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September 23, 2020</w:t>
      </w:r>
    </w:p>
    <w:p>
      <w:pPr>
        <w:spacing w:after="0" w:line="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Registration No. 333-248683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27940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To</w:t>
      </w:r>
    </w:p>
    <w:p>
      <w:pPr>
        <w:jc w:val="center"/>
        <w:ind w:right="-99"/>
        <w:spacing w:after="0" w:line="230" w:lineRule="auto"/>
        <w:rPr>
          <w:sz w:val="20"/>
          <w:szCs w:val="20"/>
          <w:color w:val="auto"/>
        </w:rPr>
      </w:pPr>
      <w:r>
        <w:rPr>
          <w:rFonts w:ascii="Times New Roman" w:cs="Times New Roman" w:eastAsia="Times New Roman" w:hAnsi="Times New Roman"/>
          <w:sz w:val="22"/>
          <w:szCs w:val="22"/>
          <w:b w:val="1"/>
          <w:bCs w:val="1"/>
          <w:color w:val="auto"/>
        </w:rPr>
        <w:t>FORM S-1</w:t>
      </w:r>
    </w:p>
    <w:p>
      <w:pPr>
        <w:jc w:val="center"/>
        <w:ind w:right="-99"/>
        <w:spacing w:after="0" w:line="227" w:lineRule="auto"/>
        <w:rPr>
          <w:sz w:val="20"/>
          <w:szCs w:val="20"/>
          <w:color w:val="auto"/>
        </w:rPr>
      </w:pPr>
      <w:r>
        <w:rPr>
          <w:rFonts w:ascii="Times New Roman" w:cs="Times New Roman" w:eastAsia="Times New Roman" w:hAnsi="Times New Roman"/>
          <w:sz w:val="22"/>
          <w:szCs w:val="22"/>
          <w:b w:val="1"/>
          <w:bCs w:val="1"/>
          <w:color w:val="auto"/>
        </w:rPr>
        <w:t>REGISTRATION STATEMENT</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p>
    <w:p>
      <w:pPr>
        <w:spacing w:after="0" w:line="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3" w:lineRule="exact"/>
        <w:rPr>
          <w:sz w:val="24"/>
          <w:szCs w:val="24"/>
          <w:color w:val="auto"/>
        </w:rPr>
      </w:pPr>
    </w:p>
    <w:tbl>
      <w:tblPr>
        <w:tblLayout w:type="fixed"/>
        <w:tblInd w:w="1280" w:type="dxa"/>
        <w:tblCellMar>
          <w:top w:w="0" w:type="dxa"/>
          <w:left w:w="0" w:type="dxa"/>
          <w:bottom w:w="0" w:type="dxa"/>
          <w:right w:w="0" w:type="dxa"/>
        </w:tblCellMar>
      </w:tblPr>
      <w:tr>
        <w:trPr>
          <w:trHeight w:val="149"/>
        </w:trPr>
        <w:tc>
          <w:tcPr>
            <w:tcW w:w="2600" w:type="dxa"/>
            <w:vAlign w:val="bottom"/>
          </w:tcPr>
          <w:p>
            <w:pPr>
              <w:jc w:val="center"/>
              <w:ind w:right="1123"/>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380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2"/>
              </w:rPr>
              <w:t>5940</w:t>
            </w:r>
          </w:p>
        </w:tc>
        <w:tc>
          <w:tcPr>
            <w:tcW w:w="2120" w:type="dxa"/>
            <w:vAlign w:val="bottom"/>
          </w:tcPr>
          <w:p>
            <w:pPr>
              <w:jc w:val="center"/>
              <w:ind w:left="1203"/>
              <w:spacing w:after="0"/>
              <w:rPr>
                <w:sz w:val="20"/>
                <w:szCs w:val="20"/>
                <w:color w:val="auto"/>
              </w:rPr>
            </w:pPr>
            <w:r>
              <w:rPr>
                <w:rFonts w:ascii="Times New Roman" w:cs="Times New Roman" w:eastAsia="Times New Roman" w:hAnsi="Times New Roman"/>
                <w:sz w:val="13"/>
                <w:szCs w:val="13"/>
                <w:b w:val="1"/>
                <w:bCs w:val="1"/>
                <w:color w:val="auto"/>
                <w:w w:val="98"/>
              </w:rPr>
              <w:t>85-1800912</w:t>
            </w:r>
          </w:p>
        </w:tc>
      </w:tr>
      <w:tr>
        <w:trPr>
          <w:trHeight w:val="122"/>
        </w:trPr>
        <w:tc>
          <w:tcPr>
            <w:tcW w:w="2600" w:type="dxa"/>
            <w:vAlign w:val="bottom"/>
          </w:tcPr>
          <w:p>
            <w:pPr>
              <w:jc w:val="center"/>
              <w:ind w:right="1123"/>
              <w:spacing w:after="0" w:line="122" w:lineRule="exact"/>
              <w:rPr>
                <w:sz w:val="20"/>
                <w:szCs w:val="20"/>
                <w:color w:val="auto"/>
              </w:rPr>
            </w:pPr>
            <w:r>
              <w:rPr>
                <w:rFonts w:ascii="Times New Roman" w:cs="Times New Roman" w:eastAsia="Times New Roman" w:hAnsi="Times New Roman"/>
                <w:sz w:val="11"/>
                <w:szCs w:val="11"/>
                <w:b w:val="1"/>
                <w:bCs w:val="1"/>
                <w:color w:val="auto"/>
                <w:w w:val="97"/>
              </w:rPr>
              <w:t>(State or other jurisdiction of</w:t>
            </w:r>
          </w:p>
        </w:tc>
        <w:tc>
          <w:tcPr>
            <w:tcW w:w="3800" w:type="dxa"/>
            <w:vAlign w:val="bottom"/>
          </w:tcPr>
          <w:p>
            <w:pPr>
              <w:jc w:val="center"/>
              <w:ind w:right="23"/>
              <w:spacing w:after="0" w:line="122" w:lineRule="exact"/>
              <w:rPr>
                <w:sz w:val="20"/>
                <w:szCs w:val="20"/>
                <w:color w:val="auto"/>
              </w:rPr>
            </w:pPr>
            <w:r>
              <w:rPr>
                <w:rFonts w:ascii="Times New Roman" w:cs="Times New Roman" w:eastAsia="Times New Roman" w:hAnsi="Times New Roman"/>
                <w:sz w:val="11"/>
                <w:szCs w:val="11"/>
                <w:b w:val="1"/>
                <w:bCs w:val="1"/>
                <w:color w:val="auto"/>
                <w:w w:val="97"/>
              </w:rPr>
              <w:t>(Primary Standard Industrial</w:t>
            </w:r>
          </w:p>
        </w:tc>
        <w:tc>
          <w:tcPr>
            <w:tcW w:w="2120" w:type="dxa"/>
            <w:vAlign w:val="bottom"/>
          </w:tcPr>
          <w:p>
            <w:pPr>
              <w:jc w:val="center"/>
              <w:ind w:left="1203"/>
              <w:spacing w:after="0" w:line="122"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2600" w:type="dxa"/>
            <w:vAlign w:val="bottom"/>
          </w:tcPr>
          <w:p>
            <w:pPr>
              <w:jc w:val="center"/>
              <w:ind w:right="1123"/>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380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8"/>
              </w:rPr>
              <w:t>Classification Code Number)</w:t>
            </w:r>
          </w:p>
        </w:tc>
        <w:tc>
          <w:tcPr>
            <w:tcW w:w="2120" w:type="dxa"/>
            <w:vAlign w:val="bottom"/>
          </w:tcPr>
          <w:p>
            <w:pPr>
              <w:jc w:val="center"/>
              <w:ind w:left="1203"/>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bl>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1800 North Mason Road</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Katy, Texas 77449</w:t>
      </w:r>
    </w:p>
    <w:p>
      <w:pPr>
        <w:jc w:val="center"/>
        <w:ind w:right="-99"/>
        <w:spacing w:after="0" w:line="225" w:lineRule="auto"/>
        <w:rPr>
          <w:sz w:val="20"/>
          <w:szCs w:val="20"/>
          <w:color w:val="auto"/>
        </w:rPr>
      </w:pPr>
      <w:r>
        <w:rPr>
          <w:rFonts w:ascii="Times New Roman" w:cs="Times New Roman" w:eastAsia="Times New Roman" w:hAnsi="Times New Roman"/>
          <w:sz w:val="14"/>
          <w:szCs w:val="14"/>
          <w:b w:val="1"/>
          <w:bCs w:val="1"/>
          <w:color w:val="auto"/>
        </w:rPr>
        <w:t>(281) 646-5200</w:t>
      </w: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Rene G. Casares, Esq.</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Senior Vice President and General Counsel</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1800 North Mason Road</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Katy, Texas 77449</w:t>
      </w:r>
    </w:p>
    <w:p>
      <w:pPr>
        <w:jc w:val="center"/>
        <w:ind w:right="-99"/>
        <w:spacing w:after="0" w:line="225" w:lineRule="auto"/>
        <w:rPr>
          <w:sz w:val="20"/>
          <w:szCs w:val="20"/>
          <w:color w:val="auto"/>
        </w:rPr>
      </w:pPr>
      <w:r>
        <w:rPr>
          <w:rFonts w:ascii="Times New Roman" w:cs="Times New Roman" w:eastAsia="Times New Roman" w:hAnsi="Times New Roman"/>
          <w:sz w:val="14"/>
          <w:szCs w:val="14"/>
          <w:b w:val="1"/>
          <w:bCs w:val="1"/>
          <w:color w:val="auto"/>
        </w:rPr>
        <w:t>(281) 646-5200</w:t>
      </w: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registrant’s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6" w:lineRule="exact"/>
        <w:rPr>
          <w:sz w:val="24"/>
          <w:szCs w:val="24"/>
          <w:color w:val="auto"/>
        </w:rPr>
      </w:pPr>
    </w:p>
    <w:tbl>
      <w:tblPr>
        <w:tblLayout w:type="fixed"/>
        <w:tblInd w:w="198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4700" w:type="dxa"/>
            <w:vAlign w:val="bottom"/>
          </w:tcPr>
          <w:p>
            <w:pPr>
              <w:ind w:left="700"/>
              <w:spacing w:after="0"/>
              <w:rPr>
                <w:sz w:val="20"/>
                <w:szCs w:val="20"/>
                <w:color w:val="auto"/>
              </w:rPr>
            </w:pPr>
            <w:r>
              <w:rPr>
                <w:rFonts w:ascii="Times New Roman" w:cs="Times New Roman" w:eastAsia="Times New Roman" w:hAnsi="Times New Roman"/>
                <w:sz w:val="14"/>
                <w:szCs w:val="14"/>
                <w:b w:val="1"/>
                <w:bCs w:val="1"/>
                <w:i w:val="1"/>
                <w:iCs w:val="1"/>
                <w:color w:val="auto"/>
              </w:rPr>
              <w:t>With copies to:</w:t>
            </w:r>
          </w:p>
        </w:tc>
      </w:tr>
      <w:tr>
        <w:trPr>
          <w:trHeight w:val="138"/>
        </w:trPr>
        <w:tc>
          <w:tcPr>
            <w:tcW w:w="2500" w:type="dxa"/>
            <w:vAlign w:val="bottom"/>
          </w:tcPr>
          <w:p>
            <w:pPr>
              <w:jc w:val="center"/>
              <w:ind w:right="637"/>
              <w:spacing w:after="0" w:line="138" w:lineRule="exact"/>
              <w:rPr>
                <w:sz w:val="20"/>
                <w:szCs w:val="20"/>
                <w:color w:val="auto"/>
              </w:rPr>
            </w:pPr>
            <w:r>
              <w:rPr>
                <w:rFonts w:ascii="Times New Roman" w:cs="Times New Roman" w:eastAsia="Times New Roman" w:hAnsi="Times New Roman"/>
                <w:sz w:val="13"/>
                <w:szCs w:val="13"/>
                <w:b w:val="1"/>
                <w:bCs w:val="1"/>
                <w:color w:val="auto"/>
                <w:w w:val="96"/>
              </w:rPr>
              <w:t>Joseph H. Kaufman, Esq.</w:t>
            </w:r>
          </w:p>
        </w:tc>
        <w:tc>
          <w:tcPr>
            <w:tcW w:w="4700" w:type="dxa"/>
            <w:vAlign w:val="bottom"/>
          </w:tcPr>
          <w:p>
            <w:pPr>
              <w:jc w:val="center"/>
              <w:ind w:left="3156"/>
              <w:spacing w:after="0" w:line="138" w:lineRule="exact"/>
              <w:rPr>
                <w:sz w:val="20"/>
                <w:szCs w:val="20"/>
                <w:color w:val="auto"/>
              </w:rPr>
            </w:pPr>
            <w:r>
              <w:rPr>
                <w:rFonts w:ascii="Times New Roman" w:cs="Times New Roman" w:eastAsia="Times New Roman" w:hAnsi="Times New Roman"/>
                <w:sz w:val="13"/>
                <w:szCs w:val="13"/>
                <w:b w:val="1"/>
                <w:bCs w:val="1"/>
                <w:color w:val="auto"/>
                <w:w w:val="96"/>
              </w:rPr>
              <w:t>Marc D. Jaffe, Esq.</w:t>
            </w:r>
          </w:p>
        </w:tc>
      </w:tr>
      <w:tr>
        <w:trPr>
          <w:trHeight w:val="135"/>
        </w:trPr>
        <w:tc>
          <w:tcPr>
            <w:tcW w:w="2500" w:type="dxa"/>
            <w:vAlign w:val="bottom"/>
          </w:tcPr>
          <w:p>
            <w:pPr>
              <w:jc w:val="center"/>
              <w:ind w:right="6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Sunny Cheong, Esq.</w:t>
            </w:r>
          </w:p>
        </w:tc>
        <w:tc>
          <w:tcPr>
            <w:tcW w:w="4700" w:type="dxa"/>
            <w:vAlign w:val="bottom"/>
          </w:tcPr>
          <w:p>
            <w:pPr>
              <w:jc w:val="center"/>
              <w:ind w:left="3156"/>
              <w:spacing w:after="0" w:line="135" w:lineRule="exact"/>
              <w:rPr>
                <w:sz w:val="20"/>
                <w:szCs w:val="20"/>
                <w:color w:val="auto"/>
              </w:rPr>
            </w:pPr>
            <w:r>
              <w:rPr>
                <w:rFonts w:ascii="Times New Roman" w:cs="Times New Roman" w:eastAsia="Times New Roman" w:hAnsi="Times New Roman"/>
                <w:sz w:val="13"/>
                <w:szCs w:val="13"/>
                <w:b w:val="1"/>
                <w:bCs w:val="1"/>
                <w:color w:val="auto"/>
                <w:w w:val="96"/>
              </w:rPr>
              <w:t>Ian D. Schuman, Esq.</w:t>
            </w:r>
          </w:p>
        </w:tc>
      </w:tr>
      <w:tr>
        <w:trPr>
          <w:trHeight w:val="135"/>
        </w:trPr>
        <w:tc>
          <w:tcPr>
            <w:tcW w:w="2500" w:type="dxa"/>
            <w:vAlign w:val="bottom"/>
          </w:tcPr>
          <w:p>
            <w:pPr>
              <w:jc w:val="center"/>
              <w:ind w:right="6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Simpson Thacher &amp; Bartlett LLP</w:t>
            </w:r>
          </w:p>
        </w:tc>
        <w:tc>
          <w:tcPr>
            <w:tcW w:w="4700" w:type="dxa"/>
            <w:vAlign w:val="bottom"/>
          </w:tcPr>
          <w:p>
            <w:pPr>
              <w:jc w:val="center"/>
              <w:ind w:left="3156"/>
              <w:spacing w:after="0" w:line="135" w:lineRule="exact"/>
              <w:rPr>
                <w:sz w:val="20"/>
                <w:szCs w:val="20"/>
                <w:color w:val="auto"/>
              </w:rPr>
            </w:pPr>
            <w:r>
              <w:rPr>
                <w:rFonts w:ascii="Times New Roman" w:cs="Times New Roman" w:eastAsia="Times New Roman" w:hAnsi="Times New Roman"/>
                <w:sz w:val="13"/>
                <w:szCs w:val="13"/>
                <w:b w:val="1"/>
                <w:bCs w:val="1"/>
                <w:color w:val="auto"/>
                <w:w w:val="96"/>
              </w:rPr>
              <w:t>Latham &amp; Watkins LLP</w:t>
            </w:r>
          </w:p>
        </w:tc>
      </w:tr>
      <w:tr>
        <w:trPr>
          <w:trHeight w:val="135"/>
        </w:trPr>
        <w:tc>
          <w:tcPr>
            <w:tcW w:w="2500" w:type="dxa"/>
            <w:vAlign w:val="bottom"/>
          </w:tcPr>
          <w:p>
            <w:pPr>
              <w:jc w:val="center"/>
              <w:ind w:right="6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425 Lexington Avenue</w:t>
            </w:r>
          </w:p>
        </w:tc>
        <w:tc>
          <w:tcPr>
            <w:tcW w:w="4700" w:type="dxa"/>
            <w:vAlign w:val="bottom"/>
          </w:tcPr>
          <w:p>
            <w:pPr>
              <w:jc w:val="center"/>
              <w:ind w:left="3156"/>
              <w:spacing w:after="0" w:line="135" w:lineRule="exact"/>
              <w:rPr>
                <w:sz w:val="20"/>
                <w:szCs w:val="20"/>
                <w:color w:val="auto"/>
              </w:rPr>
            </w:pPr>
            <w:r>
              <w:rPr>
                <w:rFonts w:ascii="Times New Roman" w:cs="Times New Roman" w:eastAsia="Times New Roman" w:hAnsi="Times New Roman"/>
                <w:sz w:val="13"/>
                <w:szCs w:val="13"/>
                <w:b w:val="1"/>
                <w:bCs w:val="1"/>
                <w:color w:val="auto"/>
                <w:w w:val="95"/>
              </w:rPr>
              <w:t>885 Third Avenue</w:t>
            </w:r>
          </w:p>
        </w:tc>
      </w:tr>
      <w:tr>
        <w:trPr>
          <w:trHeight w:val="135"/>
        </w:trPr>
        <w:tc>
          <w:tcPr>
            <w:tcW w:w="2500" w:type="dxa"/>
            <w:vAlign w:val="bottom"/>
          </w:tcPr>
          <w:p>
            <w:pPr>
              <w:jc w:val="center"/>
              <w:ind w:right="6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New York, New York 10017</w:t>
            </w:r>
          </w:p>
        </w:tc>
        <w:tc>
          <w:tcPr>
            <w:tcW w:w="4700" w:type="dxa"/>
            <w:vAlign w:val="bottom"/>
          </w:tcPr>
          <w:p>
            <w:pPr>
              <w:jc w:val="center"/>
              <w:ind w:left="3156"/>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New York, New York 10022</w:t>
            </w:r>
          </w:p>
        </w:tc>
      </w:tr>
      <w:tr>
        <w:trPr>
          <w:trHeight w:val="166"/>
        </w:trPr>
        <w:tc>
          <w:tcPr>
            <w:tcW w:w="2500" w:type="dxa"/>
            <w:vAlign w:val="bottom"/>
          </w:tcPr>
          <w:p>
            <w:pPr>
              <w:jc w:val="center"/>
              <w:ind w:right="637"/>
              <w:spacing w:after="0"/>
              <w:rPr>
                <w:sz w:val="20"/>
                <w:szCs w:val="20"/>
                <w:color w:val="auto"/>
              </w:rPr>
            </w:pPr>
            <w:r>
              <w:rPr>
                <w:rFonts w:ascii="Times New Roman" w:cs="Times New Roman" w:eastAsia="Times New Roman" w:hAnsi="Times New Roman"/>
                <w:sz w:val="13"/>
                <w:szCs w:val="13"/>
                <w:b w:val="1"/>
                <w:bCs w:val="1"/>
                <w:color w:val="auto"/>
                <w:w w:val="98"/>
              </w:rPr>
              <w:t>(212) 455-2000</w:t>
            </w:r>
          </w:p>
        </w:tc>
        <w:tc>
          <w:tcPr>
            <w:tcW w:w="4700" w:type="dxa"/>
            <w:vAlign w:val="bottom"/>
          </w:tcPr>
          <w:p>
            <w:pPr>
              <w:jc w:val="center"/>
              <w:ind w:left="3156"/>
              <w:spacing w:after="0"/>
              <w:rPr>
                <w:sz w:val="20"/>
                <w:szCs w:val="20"/>
                <w:color w:val="auto"/>
              </w:rPr>
            </w:pPr>
            <w:r>
              <w:rPr>
                <w:rFonts w:ascii="Times New Roman" w:cs="Times New Roman" w:eastAsia="Times New Roman" w:hAnsi="Times New Roman"/>
                <w:sz w:val="13"/>
                <w:szCs w:val="13"/>
                <w:b w:val="1"/>
                <w:bCs w:val="1"/>
                <w:color w:val="auto"/>
                <w:w w:val="98"/>
              </w:rPr>
              <w:t>(212)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w:t>
      </w:r>
      <w:r>
        <w:rPr>
          <w:rFonts w:ascii="Times New Roman" w:cs="Times New Roman" w:eastAsia="Times New Roman" w:hAnsi="Times New Roman"/>
          <w:sz w:val="13"/>
          <w:szCs w:val="13"/>
          <w:color w:val="auto"/>
        </w:rPr>
        <w:t>: As soon as practicable after this Registration Statement is declared effective.</w:t>
      </w:r>
    </w:p>
    <w:p>
      <w:pPr>
        <w:spacing w:after="0" w:line="21" w:lineRule="exact"/>
        <w:rPr>
          <w:sz w:val="24"/>
          <w:szCs w:val="24"/>
          <w:color w:val="auto"/>
        </w:rPr>
      </w:pPr>
    </w:p>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49" w:lineRule="exact"/>
        <w:rPr>
          <w:sz w:val="24"/>
          <w:szCs w:val="24"/>
          <w:color w:val="auto"/>
        </w:rPr>
      </w:pPr>
    </w:p>
    <w:p>
      <w:pPr>
        <w:ind w:left="120" w:right="60"/>
        <w:spacing w:after="0" w:line="161"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260"/>
        <w:spacing w:after="0" w:line="15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240"/>
        <w:spacing w:after="0" w:line="162"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560"/>
        <w:spacing w:after="0" w:line="23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120" w:type="dxa"/>
        <w:tblCellMar>
          <w:top w:w="0" w:type="dxa"/>
          <w:left w:w="0" w:type="dxa"/>
          <w:bottom w:w="0" w:type="dxa"/>
          <w:right w:w="0" w:type="dxa"/>
        </w:tblCellMar>
      </w:tblPr>
      <w:tr>
        <w:trPr>
          <w:trHeight w:val="199"/>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9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Accelerated filer</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57"/>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9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54"/>
        </w:trPr>
        <w:tc>
          <w:tcPr>
            <w:tcW w:w="14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520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Emerging growth company</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bl>
    <w:p>
      <w:pPr>
        <w:jc w:val="both"/>
        <w:ind w:left="120" w:right="100"/>
        <w:spacing w:after="0" w:line="15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86995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CALCULATION OF REGISTRATION FEE</w:t>
      </w:r>
    </w:p>
    <w:p>
      <w:pPr>
        <w:spacing w:after="0" w:line="53"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356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95"/>
        </w:trPr>
        <w:tc>
          <w:tcPr>
            <w:tcW w:w="356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860" w:type="dxa"/>
            <w:vAlign w:val="bottom"/>
            <w:tcBorders>
              <w:right w:val="single" w:sz="8" w:color="auto"/>
            </w:tcBorders>
          </w:tcPr>
          <w:p>
            <w:pPr>
              <w:jc w:val="center"/>
              <w:ind w:left="19"/>
              <w:spacing w:after="0" w:line="95" w:lineRule="exact"/>
              <w:rPr>
                <w:sz w:val="20"/>
                <w:szCs w:val="20"/>
                <w:color w:val="auto"/>
              </w:rPr>
            </w:pPr>
            <w:r>
              <w:rPr>
                <w:rFonts w:ascii="Times New Roman" w:cs="Times New Roman" w:eastAsia="Times New Roman" w:hAnsi="Times New Roman"/>
                <w:sz w:val="10"/>
                <w:szCs w:val="10"/>
                <w:b w:val="1"/>
                <w:bCs w:val="1"/>
                <w:color w:val="auto"/>
              </w:rPr>
              <w:t>Proposed</w:t>
            </w:r>
          </w:p>
        </w:tc>
        <w:tc>
          <w:tcPr>
            <w:tcW w:w="1860" w:type="dxa"/>
            <w:vAlign w:val="bottom"/>
            <w:tcBorders>
              <w:right w:val="single" w:sz="8" w:color="auto"/>
            </w:tcBorders>
          </w:tcPr>
          <w:p>
            <w:pPr>
              <w:jc w:val="center"/>
              <w:ind w:left="19"/>
              <w:spacing w:after="0" w:line="95" w:lineRule="exact"/>
              <w:rPr>
                <w:sz w:val="20"/>
                <w:szCs w:val="20"/>
                <w:color w:val="auto"/>
              </w:rPr>
            </w:pPr>
            <w:r>
              <w:rPr>
                <w:rFonts w:ascii="Times New Roman" w:cs="Times New Roman" w:eastAsia="Times New Roman" w:hAnsi="Times New Roman"/>
                <w:sz w:val="10"/>
                <w:szCs w:val="10"/>
                <w:b w:val="1"/>
                <w:bCs w:val="1"/>
                <w:color w:val="auto"/>
              </w:rPr>
              <w:t>Proposed</w:t>
            </w:r>
          </w:p>
        </w:tc>
        <w:tc>
          <w:tcPr>
            <w:tcW w:w="1860" w:type="dxa"/>
            <w:vAlign w:val="bottom"/>
          </w:tcPr>
          <w:p>
            <w:pPr>
              <w:spacing w:after="0"/>
              <w:rPr>
                <w:sz w:val="8"/>
                <w:szCs w:val="8"/>
                <w:color w:val="auto"/>
              </w:rPr>
            </w:pPr>
          </w:p>
        </w:tc>
      </w:tr>
      <w:tr>
        <w:trPr>
          <w:trHeight w:val="142"/>
        </w:trPr>
        <w:tc>
          <w:tcPr>
            <w:tcW w:w="356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tcPr>
          <w:p>
            <w:pPr>
              <w:jc w:val="center"/>
              <w:ind w:left="17"/>
              <w:spacing w:after="0" w:line="14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86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860" w:type="dxa"/>
            <w:vAlign w:val="bottom"/>
            <w:tcBorders>
              <w:right w:val="single" w:sz="8" w:color="auto"/>
            </w:tcBorders>
          </w:tcPr>
          <w:p>
            <w:pPr>
              <w:jc w:val="center"/>
              <w:ind w:left="39"/>
              <w:spacing w:after="0" w:line="142"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860" w:type="dxa"/>
            <w:vAlign w:val="bottom"/>
          </w:tcPr>
          <w:p>
            <w:pPr>
              <w:spacing w:after="0"/>
              <w:rPr>
                <w:sz w:val="12"/>
                <w:szCs w:val="12"/>
                <w:color w:val="auto"/>
              </w:rPr>
            </w:pPr>
          </w:p>
        </w:tc>
      </w:tr>
      <w:tr>
        <w:trPr>
          <w:trHeight w:val="135"/>
        </w:trPr>
        <w:tc>
          <w:tcPr>
            <w:tcW w:w="3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Title of Each Class of</w:t>
            </w:r>
          </w:p>
        </w:tc>
        <w:tc>
          <w:tcPr>
            <w:tcW w:w="1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to be</w:t>
            </w:r>
          </w:p>
        </w:tc>
        <w:tc>
          <w:tcPr>
            <w:tcW w:w="1860" w:type="dxa"/>
            <w:vAlign w:val="bottom"/>
            <w:tcBorders>
              <w:right w:val="single" w:sz="8" w:color="auto"/>
            </w:tcBorders>
          </w:tcPr>
          <w:p>
            <w:pPr>
              <w:jc w:val="center"/>
              <w:ind w:left="19"/>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Offering Price</w:t>
            </w:r>
          </w:p>
        </w:tc>
        <w:tc>
          <w:tcPr>
            <w:tcW w:w="1860" w:type="dxa"/>
            <w:vAlign w:val="bottom"/>
            <w:tcBorders>
              <w:right w:val="single" w:sz="8" w:color="auto"/>
            </w:tcBorders>
          </w:tcPr>
          <w:p>
            <w:pPr>
              <w:jc w:val="center"/>
              <w:ind w:left="19"/>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186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r>
      <w:tr>
        <w:trPr>
          <w:trHeight w:val="162"/>
        </w:trPr>
        <w:tc>
          <w:tcPr>
            <w:tcW w:w="3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Securities to be Registered</w:t>
            </w:r>
          </w:p>
        </w:tc>
        <w:tc>
          <w:tcPr>
            <w:tcW w:w="1880" w:type="dxa"/>
            <w:vAlign w:val="bottom"/>
            <w:tcBorders>
              <w:bottom w:val="single" w:sz="8" w:color="auto"/>
              <w:right w:val="single" w:sz="8" w:color="auto"/>
            </w:tcBorders>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5"/>
              </w:rPr>
              <w:t>Registered</w:t>
            </w:r>
            <w:r>
              <w:rPr>
                <w:rFonts w:ascii="Times New Roman" w:cs="Times New Roman" w:eastAsia="Times New Roman" w:hAnsi="Times New Roman"/>
                <w:sz w:val="10"/>
                <w:szCs w:val="10"/>
                <w:b w:val="1"/>
                <w:bCs w:val="1"/>
                <w:color w:val="auto"/>
                <w:w w:val="95"/>
              </w:rPr>
              <w:t>(1)</w:t>
            </w:r>
          </w:p>
        </w:tc>
        <w:tc>
          <w:tcPr>
            <w:tcW w:w="186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3"/>
                <w:szCs w:val="13"/>
                <w:b w:val="1"/>
                <w:bCs w:val="1"/>
                <w:color w:val="auto"/>
                <w:w w:val="98"/>
              </w:rPr>
              <w:t>Per Share</w:t>
            </w:r>
            <w:r>
              <w:rPr>
                <w:rFonts w:ascii="Times New Roman" w:cs="Times New Roman" w:eastAsia="Times New Roman" w:hAnsi="Times New Roman"/>
                <w:sz w:val="10"/>
                <w:szCs w:val="10"/>
                <w:b w:val="1"/>
                <w:bCs w:val="1"/>
                <w:color w:val="auto"/>
                <w:w w:val="98"/>
              </w:rPr>
              <w:t>(2)</w:t>
            </w:r>
          </w:p>
        </w:tc>
        <w:tc>
          <w:tcPr>
            <w:tcW w:w="186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3"/>
                <w:szCs w:val="13"/>
                <w:b w:val="1"/>
                <w:bCs w:val="1"/>
                <w:color w:val="auto"/>
                <w:w w:val="98"/>
              </w:rPr>
              <w:t>Offering Price</w:t>
            </w:r>
            <w:r>
              <w:rPr>
                <w:rFonts w:ascii="Times New Roman" w:cs="Times New Roman" w:eastAsia="Times New Roman" w:hAnsi="Times New Roman"/>
                <w:sz w:val="10"/>
                <w:szCs w:val="10"/>
                <w:b w:val="1"/>
                <w:bCs w:val="1"/>
                <w:color w:val="auto"/>
                <w:w w:val="98"/>
              </w:rPr>
              <w:t>(1)(2)</w:t>
            </w:r>
          </w:p>
        </w:tc>
        <w:tc>
          <w:tcPr>
            <w:tcW w:w="18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8"/>
              </w:rPr>
              <w:t>Registration Fee</w:t>
            </w:r>
            <w:r>
              <w:rPr>
                <w:rFonts w:ascii="Times New Roman" w:cs="Times New Roman" w:eastAsia="Times New Roman" w:hAnsi="Times New Roman"/>
                <w:sz w:val="10"/>
                <w:szCs w:val="10"/>
                <w:b w:val="1"/>
                <w:bCs w:val="1"/>
                <w:color w:val="auto"/>
                <w:w w:val="98"/>
              </w:rPr>
              <w:t>(3)</w:t>
            </w:r>
          </w:p>
        </w:tc>
      </w:tr>
      <w:tr>
        <w:trPr>
          <w:trHeight w:val="128"/>
        </w:trPr>
        <w:tc>
          <w:tcPr>
            <w:tcW w:w="356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Common Stock, $0.01 par value per share</w:t>
            </w:r>
          </w:p>
        </w:tc>
        <w:tc>
          <w:tcPr>
            <w:tcW w:w="1880" w:type="dxa"/>
            <w:vAlign w:val="bottom"/>
            <w:tcBorders>
              <w:bottom w:val="single" w:sz="8" w:color="auto"/>
              <w:right w:val="single" w:sz="8" w:color="auto"/>
            </w:tcBorders>
          </w:tcPr>
          <w:p>
            <w:pPr>
              <w:jc w:val="center"/>
              <w:ind w:left="17"/>
              <w:spacing w:after="0" w:line="129" w:lineRule="exact"/>
              <w:rPr>
                <w:sz w:val="20"/>
                <w:szCs w:val="20"/>
                <w:color w:val="auto"/>
              </w:rPr>
            </w:pPr>
            <w:r>
              <w:rPr>
                <w:rFonts w:ascii="Times New Roman" w:cs="Times New Roman" w:eastAsia="Times New Roman" w:hAnsi="Times New Roman"/>
                <w:sz w:val="13"/>
                <w:szCs w:val="13"/>
                <w:color w:val="auto"/>
                <w:w w:val="95"/>
              </w:rPr>
              <w:t>17,968,750</w:t>
            </w:r>
          </w:p>
        </w:tc>
        <w:tc>
          <w:tcPr>
            <w:tcW w:w="1860" w:type="dxa"/>
            <w:vAlign w:val="bottom"/>
            <w:tcBorders>
              <w:bottom w:val="single" w:sz="8" w:color="auto"/>
              <w:right w:val="single" w:sz="8" w:color="auto"/>
            </w:tcBorders>
          </w:tcPr>
          <w:p>
            <w:pPr>
              <w:jc w:val="center"/>
              <w:ind w:left="19"/>
              <w:spacing w:after="0" w:line="129" w:lineRule="exact"/>
              <w:rPr>
                <w:sz w:val="20"/>
                <w:szCs w:val="20"/>
                <w:color w:val="auto"/>
              </w:rPr>
            </w:pPr>
            <w:r>
              <w:rPr>
                <w:rFonts w:ascii="Times New Roman" w:cs="Times New Roman" w:eastAsia="Times New Roman" w:hAnsi="Times New Roman"/>
                <w:sz w:val="13"/>
                <w:szCs w:val="13"/>
                <w:color w:val="auto"/>
                <w:w w:val="94"/>
              </w:rPr>
              <w:t>$17.00</w:t>
            </w:r>
          </w:p>
        </w:tc>
        <w:tc>
          <w:tcPr>
            <w:tcW w:w="1860" w:type="dxa"/>
            <w:vAlign w:val="bottom"/>
            <w:tcBorders>
              <w:bottom w:val="single" w:sz="8" w:color="auto"/>
              <w:right w:val="single" w:sz="8" w:color="auto"/>
            </w:tcBorders>
          </w:tcPr>
          <w:p>
            <w:pPr>
              <w:jc w:val="center"/>
              <w:ind w:left="19"/>
              <w:spacing w:after="0" w:line="129" w:lineRule="exact"/>
              <w:rPr>
                <w:sz w:val="20"/>
                <w:szCs w:val="20"/>
                <w:color w:val="auto"/>
              </w:rPr>
            </w:pPr>
            <w:r>
              <w:rPr>
                <w:rFonts w:ascii="Times New Roman" w:cs="Times New Roman" w:eastAsia="Times New Roman" w:hAnsi="Times New Roman"/>
                <w:sz w:val="13"/>
                <w:szCs w:val="13"/>
                <w:color w:val="auto"/>
                <w:w w:val="97"/>
              </w:rPr>
              <w:t>$305,468,750</w:t>
            </w:r>
          </w:p>
        </w:tc>
        <w:tc>
          <w:tcPr>
            <w:tcW w:w="1860" w:type="dxa"/>
            <w:vAlign w:val="bottom"/>
            <w:tcBorders>
              <w:bottom w:val="single" w:sz="8" w:color="auto"/>
            </w:tcBorders>
          </w:tcPr>
          <w:p>
            <w:pPr>
              <w:jc w:val="center"/>
              <w:ind w:left="17"/>
              <w:spacing w:after="0" w:line="129" w:lineRule="exact"/>
              <w:rPr>
                <w:sz w:val="20"/>
                <w:szCs w:val="20"/>
                <w:color w:val="auto"/>
              </w:rPr>
            </w:pPr>
            <w:r>
              <w:rPr>
                <w:rFonts w:ascii="Times New Roman" w:cs="Times New Roman" w:eastAsia="Times New Roman" w:hAnsi="Times New Roman"/>
                <w:sz w:val="13"/>
                <w:szCs w:val="13"/>
                <w:color w:val="auto"/>
                <w:w w:val="99"/>
              </w:rPr>
              <w:t>$39,650</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ind w:left="440" w:hanging="324"/>
        <w:spacing w:after="0" w:line="231" w:lineRule="auto"/>
        <w:tabs>
          <w:tab w:leader="none" w:pos="4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2,343,750 shares of common stock that the underwriters have the option to purchase. See “Underwriting (Conflicts of Interest).”</w:t>
      </w:r>
    </w:p>
    <w:p>
      <w:pPr>
        <w:ind w:left="440" w:hanging="324"/>
        <w:spacing w:after="0" w:line="216" w:lineRule="auto"/>
        <w:tabs>
          <w:tab w:leader="none" w:pos="4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Estimated solely for the purpose of calculating the registration fee in accordance with Rule 457(a) promulgated under the Securities Act of 1933, as amended.</w:t>
      </w:r>
    </w:p>
    <w:p>
      <w:pPr>
        <w:ind w:left="440" w:hanging="324"/>
        <w:spacing w:after="0"/>
        <w:tabs>
          <w:tab w:leader="none" w:pos="4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$12,980 of such fee was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2" w:lineRule="exact"/>
        <w:rPr>
          <w:sz w:val="24"/>
          <w:szCs w:val="24"/>
          <w:color w:val="auto"/>
        </w:rPr>
      </w:pPr>
    </w:p>
    <w:p>
      <w:pPr>
        <w:ind w:left="120" w:right="180"/>
        <w:spacing w:after="0" w:line="233"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53340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96520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Registration Statement on Form S-1, or the Registration Statement, is being filed by Academy Sports and Outdoors, Inc., a newly formed Delaware corporation, or the Registrant, in connection with a proposed registered public offering of shares of its common stock. Prior to the consummation of this offering, we intend to undertake a series of reorganization transactions, which we refer to as the Reorganization Transactions, that will result in, among other things, New Academy Holding Company, LLC, the current holding company for the business described in this prospectus that is part of the Registration Statement, being contributed to the Registrant by its unitholders and becoming a wholly owned subsidiary of the Registrant. Following the Reorganization Transactions, the Registrant will be the holding company of the business described in this prospectus.</w:t>
      </w:r>
    </w:p>
    <w:p>
      <w:pPr>
        <w:sectPr>
          <w:pgSz w:w="11900" w:h="16838" w:orient="portrait"/>
          <w:cols w:equalWidth="0" w:num="1">
            <w:col w:w="11060"/>
          </w:cols>
          <w:pgMar w:left="320" w:top="455" w:right="51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right="160"/>
        <w:spacing w:after="0" w:line="252"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a solicitation of an offer to buy these securities in any jurisdiction where the offer and sale is not permitted.</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FF4338"/>
        </w:rPr>
        <w:t>Subject to completion, dated September 23, 2020</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15,625,000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27940</wp:posOffset>
            </wp:positionV>
            <wp:extent cx="1482725" cy="368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8272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Academy Sports and Outdoors, Inc.</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182245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6" w:lineRule="exact"/>
        <w:rPr>
          <w:sz w:val="20"/>
          <w:szCs w:val="20"/>
          <w:color w:val="auto"/>
        </w:rPr>
      </w:pPr>
    </w:p>
    <w:p>
      <w:pPr>
        <w:ind w:left="120" w:right="60" w:firstLine="991"/>
        <w:spacing w:after="0" w:line="276" w:lineRule="auto"/>
        <w:rPr>
          <w:sz w:val="20"/>
          <w:szCs w:val="20"/>
          <w:color w:val="auto"/>
        </w:rPr>
      </w:pPr>
      <w:r>
        <w:rPr>
          <w:rFonts w:ascii="Arial" w:cs="Arial" w:eastAsia="Arial" w:hAnsi="Arial"/>
          <w:sz w:val="18"/>
          <w:szCs w:val="18"/>
          <w:color w:val="auto"/>
        </w:rPr>
        <w:t>This is the initial public offering of common stock of Academy Sports and Outdoors, Inc. We are offering 15,625,000 shares of our common stock.</w:t>
      </w:r>
    </w:p>
    <w:p>
      <w:pPr>
        <w:spacing w:after="0" w:line="145" w:lineRule="exact"/>
        <w:rPr>
          <w:sz w:val="20"/>
          <w:szCs w:val="20"/>
          <w:color w:val="auto"/>
        </w:rPr>
      </w:pPr>
    </w:p>
    <w:p>
      <w:pPr>
        <w:ind w:left="120" w:right="160" w:firstLine="991"/>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We expect that the initial public offering price of our common stock will be between $15.00 and $17.00 per share. We have applied to list our common stock on Nasdaq Global Select Market, or Nasdaq, under the symbol “ASO.”</w:t>
      </w:r>
    </w:p>
    <w:p>
      <w:pPr>
        <w:spacing w:after="0" w:line="164" w:lineRule="exact"/>
        <w:rPr>
          <w:sz w:val="20"/>
          <w:szCs w:val="20"/>
          <w:color w:val="auto"/>
        </w:rPr>
      </w:pPr>
    </w:p>
    <w:p>
      <w:pPr>
        <w:ind w:left="120" w:right="140" w:firstLine="991"/>
        <w:spacing w:after="0" w:line="248" w:lineRule="auto"/>
        <w:rPr>
          <w:sz w:val="20"/>
          <w:szCs w:val="20"/>
          <w:color w:val="auto"/>
        </w:rPr>
      </w:pPr>
      <w:r>
        <w:rPr>
          <w:rFonts w:ascii="Arial" w:cs="Arial" w:eastAsia="Arial" w:hAnsi="Arial"/>
          <w:sz w:val="18"/>
          <w:szCs w:val="18"/>
          <w:color w:val="auto"/>
        </w:rPr>
        <w:t>After the completion of this offering, investment entities owned by investment funds and other entities affiliated with Kohlberg Kravis Roberts &amp; Co. L.P. will beneficially own approximately 70% of the voting power of our common stock. As a result, we will be a “controlled company” within the meaning of the corporate governance standards of Nasdaq. See “Management—Controlled Company Exemption.”</w:t>
      </w:r>
    </w:p>
    <w:p>
      <w:pPr>
        <w:spacing w:after="0" w:line="290" w:lineRule="exact"/>
        <w:rPr>
          <w:sz w:val="20"/>
          <w:szCs w:val="20"/>
          <w:color w:val="auto"/>
        </w:rPr>
      </w:pPr>
    </w:p>
    <w:p>
      <w:pPr>
        <w:ind w:left="120" w:right="300" w:firstLine="991"/>
        <w:spacing w:after="0" w:line="287"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risks. See “</w:t>
      </w:r>
      <w:hyperlink w:anchor="page33">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22 to read about factors you should consider before buying shares of our common stock.</w:t>
      </w:r>
    </w:p>
    <w:p>
      <w:pPr>
        <w:spacing w:after="0" w:line="247" w:lineRule="exact"/>
        <w:rPr>
          <w:sz w:val="20"/>
          <w:szCs w:val="20"/>
          <w:color w:val="auto"/>
        </w:rPr>
      </w:pPr>
    </w:p>
    <w:p>
      <w:pPr>
        <w:jc w:val="both"/>
        <w:ind w:left="120" w:right="20" w:firstLine="991"/>
        <w:spacing w:after="0" w:line="261" w:lineRule="auto"/>
        <w:rPr>
          <w:sz w:val="20"/>
          <w:szCs w:val="20"/>
          <w:color w:val="auto"/>
        </w:rPr>
      </w:pPr>
      <w:r>
        <w:rPr>
          <w:rFonts w:ascii="Arial" w:cs="Arial" w:eastAsia="Arial" w:hAnsi="Arial"/>
          <w:sz w:val="18"/>
          <w:szCs w:val="18"/>
          <w:b w:val="1"/>
          <w:b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6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Proceeds to</w:t>
            </w:r>
          </w:p>
        </w:tc>
      </w:tr>
      <w:tr>
        <w:trPr>
          <w:trHeight w:val="162"/>
        </w:trPr>
        <w:tc>
          <w:tcPr>
            <w:tcW w:w="6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Underwriting</w:t>
            </w: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Academy</w:t>
            </w:r>
          </w:p>
        </w:tc>
      </w:tr>
      <w:tr>
        <w:trPr>
          <w:trHeight w:val="159"/>
        </w:trPr>
        <w:tc>
          <w:tcPr>
            <w:tcW w:w="6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gridSpan w:val="2"/>
          </w:tcPr>
          <w:p>
            <w:pPr>
              <w:jc w:val="center"/>
              <w:ind w:right="840"/>
              <w:spacing w:after="0" w:line="159" w:lineRule="exact"/>
              <w:rPr>
                <w:sz w:val="20"/>
                <w:szCs w:val="20"/>
                <w:color w:val="auto"/>
              </w:rPr>
            </w:pPr>
            <w:r>
              <w:rPr>
                <w:rFonts w:ascii="Arial" w:cs="Arial" w:eastAsia="Arial" w:hAnsi="Arial"/>
                <w:sz w:val="14"/>
                <w:szCs w:val="14"/>
                <w:b w:val="1"/>
                <w:bCs w:val="1"/>
                <w:color w:val="auto"/>
              </w:rPr>
              <w:t>Discounts and</w:t>
            </w:r>
          </w:p>
        </w:tc>
        <w:tc>
          <w:tcPr>
            <w:tcW w:w="104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rPr>
              <w:t>Sports and</w:t>
            </w:r>
          </w:p>
        </w:tc>
      </w:tr>
      <w:tr>
        <w:trPr>
          <w:trHeight w:val="181"/>
        </w:trPr>
        <w:tc>
          <w:tcPr>
            <w:tcW w:w="618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Price to Public</w:t>
            </w:r>
          </w:p>
        </w:tc>
        <w:tc>
          <w:tcPr>
            <w:tcW w:w="1940" w:type="dxa"/>
            <w:vAlign w:val="bottom"/>
            <w:gridSpan w:val="2"/>
          </w:tcPr>
          <w:p>
            <w:pPr>
              <w:spacing w:after="0" w:line="181" w:lineRule="exact"/>
              <w:rPr>
                <w:sz w:val="20"/>
                <w:szCs w:val="20"/>
                <w:color w:val="auto"/>
              </w:rPr>
            </w:pPr>
            <w:r>
              <w:rPr>
                <w:rFonts w:ascii="Arial" w:cs="Arial" w:eastAsia="Arial" w:hAnsi="Arial"/>
                <w:sz w:val="12"/>
                <w:szCs w:val="12"/>
                <w:b w:val="1"/>
                <w:bCs w:val="1"/>
                <w:color w:val="auto"/>
              </w:rPr>
              <w:t>Commissions</w:t>
            </w:r>
            <w:r>
              <w:rPr>
                <w:rFonts w:ascii="Arial" w:cs="Arial" w:eastAsia="Arial" w:hAnsi="Arial"/>
                <w:sz w:val="20"/>
                <w:szCs w:val="20"/>
                <w:b w:val="1"/>
                <w:bCs w:val="1"/>
                <w:color w:val="auto"/>
                <w:vertAlign w:val="superscript"/>
              </w:rPr>
              <w:t>(1)</w:t>
            </w: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Outdoors, Inc.</w:t>
            </w:r>
          </w:p>
        </w:tc>
      </w:tr>
      <w:tr>
        <w:trPr>
          <w:trHeight w:val="196"/>
        </w:trPr>
        <w:tc>
          <w:tcPr>
            <w:tcW w:w="6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10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2"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(Conflicts of Interest)” for additional information regarding underwriting compensation.</w:t>
      </w:r>
    </w:p>
    <w:p>
      <w:pPr>
        <w:spacing w:after="0" w:line="212" w:lineRule="exact"/>
        <w:rPr>
          <w:sz w:val="20"/>
          <w:szCs w:val="20"/>
          <w:color w:val="auto"/>
        </w:rPr>
      </w:pPr>
    </w:p>
    <w:p>
      <w:pPr>
        <w:jc w:val="both"/>
        <w:ind w:left="120" w:right="280" w:firstLine="991"/>
        <w:spacing w:after="0" w:line="255" w:lineRule="auto"/>
        <w:rPr>
          <w:sz w:val="20"/>
          <w:szCs w:val="20"/>
          <w:color w:val="auto"/>
        </w:rPr>
      </w:pPr>
      <w:r>
        <w:rPr>
          <w:rFonts w:ascii="Arial" w:cs="Arial" w:eastAsia="Arial" w:hAnsi="Arial"/>
          <w:sz w:val="18"/>
          <w:szCs w:val="18"/>
          <w:color w:val="auto"/>
        </w:rPr>
        <w:t>We have granted the underwriters a 30-day option from the date of this prospectus to purchase up to 2,343,750 additional shares of our common stock at the initial public offering price, less underwriting discounts and commissions, to cover over-allotments, if any.</w:t>
      </w:r>
    </w:p>
    <w:p>
      <w:pPr>
        <w:spacing w:after="0" w:line="164" w:lineRule="exact"/>
        <w:rPr>
          <w:sz w:val="20"/>
          <w:szCs w:val="20"/>
          <w:color w:val="auto"/>
        </w:rPr>
      </w:pPr>
    </w:p>
    <w:tbl>
      <w:tblPr>
        <w:tblLayout w:type="fixed"/>
        <w:tblInd w:w="320" w:type="dxa"/>
        <w:tblCellMar>
          <w:top w:w="0" w:type="dxa"/>
          <w:left w:w="0" w:type="dxa"/>
          <w:bottom w:w="0" w:type="dxa"/>
          <w:right w:w="0" w:type="dxa"/>
        </w:tblCellMar>
      </w:tblPr>
      <w:tr>
        <w:trPr>
          <w:trHeight w:val="243"/>
        </w:trPr>
        <w:tc>
          <w:tcPr>
            <w:tcW w:w="6100" w:type="dxa"/>
            <w:vAlign w:val="bottom"/>
            <w:gridSpan w:val="3"/>
          </w:tcPr>
          <w:p>
            <w:pPr>
              <w:ind w:left="780"/>
              <w:spacing w:after="0"/>
              <w:rPr>
                <w:sz w:val="20"/>
                <w:szCs w:val="20"/>
                <w:color w:val="auto"/>
              </w:rPr>
            </w:pPr>
            <w:r>
              <w:rPr>
                <w:rFonts w:ascii="Arial" w:cs="Arial" w:eastAsia="Arial" w:hAnsi="Arial"/>
                <w:sz w:val="18"/>
                <w:szCs w:val="18"/>
                <w:color w:val="auto"/>
              </w:rPr>
              <w:t>The underwriters expect to deliver the shares on or about</w:t>
            </w:r>
          </w:p>
        </w:tc>
        <w:tc>
          <w:tcPr>
            <w:tcW w:w="1860" w:type="dxa"/>
            <w:vAlign w:val="bottom"/>
          </w:tcPr>
          <w:p>
            <w:pPr>
              <w:jc w:val="right"/>
              <w:ind w:right="1119"/>
              <w:spacing w:after="0"/>
              <w:rPr>
                <w:sz w:val="20"/>
                <w:szCs w:val="20"/>
                <w:color w:val="auto"/>
              </w:rPr>
            </w:pPr>
            <w:r>
              <w:rPr>
                <w:rFonts w:ascii="Arial" w:cs="Arial" w:eastAsia="Arial" w:hAnsi="Arial"/>
                <w:sz w:val="18"/>
                <w:szCs w:val="18"/>
                <w:color w:val="auto"/>
              </w:rPr>
              <w:t>, 2020.</w:t>
            </w:r>
          </w:p>
        </w:tc>
        <w:tc>
          <w:tcPr>
            <w:tcW w:w="2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2160" w:type="dxa"/>
            <w:vAlign w:val="bottom"/>
            <w:vMerge w:val="restart"/>
          </w:tcPr>
          <w:p>
            <w:pPr>
              <w:ind w:left="380"/>
              <w:spacing w:after="0"/>
              <w:rPr>
                <w:sz w:val="20"/>
                <w:szCs w:val="20"/>
                <w:color w:val="auto"/>
              </w:rPr>
            </w:pPr>
            <w:r>
              <w:rPr>
                <w:rFonts w:ascii="Arial" w:cs="Arial" w:eastAsia="Arial" w:hAnsi="Arial"/>
                <w:sz w:val="27"/>
                <w:szCs w:val="27"/>
                <w:b w:val="1"/>
                <w:bCs w:val="1"/>
                <w:color w:val="auto"/>
              </w:rPr>
              <w:t>Credit Suisse</w:t>
            </w:r>
          </w:p>
        </w:tc>
        <w:tc>
          <w:tcPr>
            <w:tcW w:w="5800" w:type="dxa"/>
            <w:vAlign w:val="bottom"/>
            <w:gridSpan w:val="3"/>
          </w:tcPr>
          <w:p>
            <w:pPr>
              <w:jc w:val="center"/>
              <w:ind w:left="381"/>
              <w:spacing w:after="0"/>
              <w:rPr>
                <w:sz w:val="20"/>
                <w:szCs w:val="20"/>
                <w:color w:val="auto"/>
              </w:rPr>
            </w:pPr>
            <w:r>
              <w:rPr>
                <w:rFonts w:ascii="Arial" w:cs="Arial" w:eastAsia="Arial" w:hAnsi="Arial"/>
                <w:sz w:val="18"/>
                <w:szCs w:val="18"/>
                <w:b w:val="1"/>
                <w:bCs w:val="1"/>
                <w:i w:val="1"/>
                <w:iCs w:val="1"/>
                <w:color w:val="auto"/>
                <w:w w:val="99"/>
              </w:rPr>
              <w:t>Joint Book-Running Managers</w:t>
            </w:r>
          </w:p>
        </w:tc>
        <w:tc>
          <w:tcPr>
            <w:tcW w:w="2640" w:type="dxa"/>
            <w:vAlign w:val="bottom"/>
            <w:vMerge w:val="restart"/>
          </w:tcPr>
          <w:p>
            <w:pPr>
              <w:ind w:left="640"/>
              <w:spacing w:after="0"/>
              <w:rPr>
                <w:sz w:val="20"/>
                <w:szCs w:val="20"/>
                <w:color w:val="auto"/>
              </w:rPr>
            </w:pPr>
            <w:r>
              <w:rPr>
                <w:rFonts w:ascii="Arial" w:cs="Arial" w:eastAsia="Arial" w:hAnsi="Arial"/>
                <w:sz w:val="27"/>
                <w:szCs w:val="27"/>
                <w:b w:val="1"/>
                <w:bCs w:val="1"/>
                <w:color w:val="auto"/>
                <w:w w:val="98"/>
              </w:rPr>
              <w:t>BofA Securities</w:t>
            </w:r>
          </w:p>
        </w:tc>
        <w:tc>
          <w:tcPr>
            <w:tcW w:w="0" w:type="dxa"/>
            <w:vAlign w:val="bottom"/>
          </w:tcPr>
          <w:p>
            <w:pPr>
              <w:spacing w:after="0"/>
              <w:rPr>
                <w:sz w:val="1"/>
                <w:szCs w:val="1"/>
                <w:color w:val="auto"/>
              </w:rPr>
            </w:pPr>
          </w:p>
        </w:tc>
      </w:tr>
      <w:tr>
        <w:trPr>
          <w:trHeight w:val="382"/>
        </w:trPr>
        <w:tc>
          <w:tcPr>
            <w:tcW w:w="2160" w:type="dxa"/>
            <w:vAlign w:val="bottom"/>
            <w:vMerge w:val="continue"/>
          </w:tcPr>
          <w:p>
            <w:pPr>
              <w:spacing w:after="0"/>
              <w:rPr>
                <w:sz w:val="24"/>
                <w:szCs w:val="24"/>
                <w:color w:val="auto"/>
              </w:rPr>
            </w:pPr>
          </w:p>
        </w:tc>
        <w:tc>
          <w:tcPr>
            <w:tcW w:w="3940" w:type="dxa"/>
            <w:vAlign w:val="bottom"/>
            <w:gridSpan w:val="2"/>
          </w:tcPr>
          <w:p>
            <w:pPr>
              <w:ind w:left="1260"/>
              <w:spacing w:after="0"/>
              <w:rPr>
                <w:sz w:val="20"/>
                <w:szCs w:val="20"/>
                <w:color w:val="auto"/>
              </w:rPr>
            </w:pPr>
            <w:r>
              <w:rPr>
                <w:rFonts w:ascii="Arial" w:cs="Arial" w:eastAsia="Arial" w:hAnsi="Arial"/>
                <w:sz w:val="27"/>
                <w:szCs w:val="27"/>
                <w:b w:val="1"/>
                <w:bCs w:val="1"/>
                <w:color w:val="auto"/>
              </w:rPr>
              <w:t>J.P. Morgan</w:t>
            </w:r>
          </w:p>
        </w:tc>
        <w:tc>
          <w:tcPr>
            <w:tcW w:w="1860" w:type="dxa"/>
            <w:vAlign w:val="bottom"/>
          </w:tcPr>
          <w:p>
            <w:pPr>
              <w:jc w:val="center"/>
              <w:ind w:right="139"/>
              <w:spacing w:after="0"/>
              <w:rPr>
                <w:sz w:val="20"/>
                <w:szCs w:val="20"/>
                <w:color w:val="auto"/>
              </w:rPr>
            </w:pPr>
            <w:r>
              <w:rPr>
                <w:rFonts w:ascii="Arial" w:cs="Arial" w:eastAsia="Arial" w:hAnsi="Arial"/>
                <w:sz w:val="27"/>
                <w:szCs w:val="27"/>
                <w:b w:val="1"/>
                <w:bCs w:val="1"/>
                <w:color w:val="auto"/>
                <w:w w:val="99"/>
              </w:rPr>
              <w:t>KKR</w:t>
            </w:r>
          </w:p>
        </w:tc>
        <w:tc>
          <w:tcPr>
            <w:tcW w:w="2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40" w:type="dxa"/>
            <w:vAlign w:val="bottom"/>
          </w:tcPr>
          <w:p>
            <w:pPr>
              <w:jc w:val="center"/>
              <w:ind w:right="68"/>
              <w:spacing w:after="0"/>
              <w:rPr>
                <w:sz w:val="20"/>
                <w:szCs w:val="20"/>
                <w:color w:val="auto"/>
              </w:rPr>
            </w:pPr>
            <w:r>
              <w:rPr>
                <w:rFonts w:ascii="Arial" w:cs="Arial" w:eastAsia="Arial" w:hAnsi="Arial"/>
                <w:sz w:val="18"/>
                <w:szCs w:val="18"/>
                <w:b w:val="1"/>
                <w:bCs w:val="1"/>
                <w:i w:val="1"/>
                <w:iCs w:val="1"/>
                <w:color w:val="auto"/>
                <w:w w:val="99"/>
              </w:rPr>
              <w:t>Bookrunners</w:t>
            </w:r>
          </w:p>
        </w:tc>
        <w:tc>
          <w:tcPr>
            <w:tcW w:w="18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2160" w:type="dxa"/>
            <w:vAlign w:val="bottom"/>
          </w:tcPr>
          <w:p>
            <w:pPr>
              <w:ind w:left="280"/>
              <w:spacing w:after="0"/>
              <w:rPr>
                <w:sz w:val="20"/>
                <w:szCs w:val="20"/>
                <w:color w:val="auto"/>
              </w:rPr>
            </w:pPr>
            <w:r>
              <w:rPr>
                <w:rFonts w:ascii="Arial" w:cs="Arial" w:eastAsia="Arial" w:hAnsi="Arial"/>
                <w:sz w:val="20"/>
                <w:szCs w:val="20"/>
                <w:b w:val="1"/>
                <w:bCs w:val="1"/>
                <w:color w:val="auto"/>
              </w:rPr>
              <w:t>Evercore ISI</w:t>
            </w:r>
          </w:p>
        </w:tc>
        <w:tc>
          <w:tcPr>
            <w:tcW w:w="2500" w:type="dxa"/>
            <w:vAlign w:val="bottom"/>
          </w:tcPr>
          <w:p>
            <w:pPr>
              <w:ind w:left="220"/>
              <w:spacing w:after="0"/>
              <w:rPr>
                <w:sz w:val="20"/>
                <w:szCs w:val="20"/>
                <w:color w:val="auto"/>
              </w:rPr>
            </w:pPr>
            <w:r>
              <w:rPr>
                <w:rFonts w:ascii="Arial" w:cs="Arial" w:eastAsia="Arial" w:hAnsi="Arial"/>
                <w:sz w:val="20"/>
                <w:szCs w:val="20"/>
                <w:b w:val="1"/>
                <w:bCs w:val="1"/>
                <w:color w:val="auto"/>
              </w:rPr>
              <w:t>Guggenheim Securities</w:t>
            </w:r>
          </w:p>
        </w:tc>
        <w:tc>
          <w:tcPr>
            <w:tcW w:w="3300" w:type="dxa"/>
            <w:vAlign w:val="bottom"/>
            <w:gridSpan w:val="2"/>
          </w:tcPr>
          <w:p>
            <w:pPr>
              <w:jc w:val="center"/>
              <w:ind w:left="208"/>
              <w:spacing w:after="0"/>
              <w:rPr>
                <w:sz w:val="20"/>
                <w:szCs w:val="20"/>
                <w:color w:val="auto"/>
              </w:rPr>
            </w:pPr>
            <w:r>
              <w:rPr>
                <w:rFonts w:ascii="Arial" w:cs="Arial" w:eastAsia="Arial" w:hAnsi="Arial"/>
                <w:sz w:val="20"/>
                <w:szCs w:val="20"/>
                <w:b w:val="1"/>
                <w:bCs w:val="1"/>
                <w:color w:val="auto"/>
                <w:w w:val="98"/>
              </w:rPr>
              <w:t>UBS Investment Bank</w:t>
            </w:r>
          </w:p>
        </w:tc>
        <w:tc>
          <w:tcPr>
            <w:tcW w:w="2640" w:type="dxa"/>
            <w:vAlign w:val="bottom"/>
          </w:tcPr>
          <w:p>
            <w:pPr>
              <w:ind w:left="360"/>
              <w:spacing w:after="0"/>
              <w:rPr>
                <w:sz w:val="20"/>
                <w:szCs w:val="20"/>
                <w:color w:val="auto"/>
              </w:rPr>
            </w:pPr>
            <w:r>
              <w:rPr>
                <w:rFonts w:ascii="Arial" w:cs="Arial" w:eastAsia="Arial" w:hAnsi="Arial"/>
                <w:sz w:val="20"/>
                <w:szCs w:val="20"/>
                <w:b w:val="1"/>
                <w:bCs w:val="1"/>
                <w:color w:val="auto"/>
              </w:rPr>
              <w:t>Wells Fargo Securities</w:t>
            </w:r>
          </w:p>
        </w:tc>
        <w:tc>
          <w:tcPr>
            <w:tcW w:w="0" w:type="dxa"/>
            <w:vAlign w:val="bottom"/>
          </w:tcPr>
          <w:p>
            <w:pPr>
              <w:spacing w:after="0"/>
              <w:rPr>
                <w:sz w:val="1"/>
                <w:szCs w:val="1"/>
                <w:color w:val="auto"/>
              </w:rPr>
            </w:pPr>
          </w:p>
        </w:tc>
      </w:tr>
      <w:tr>
        <w:trPr>
          <w:trHeight w:val="410"/>
        </w:trPr>
        <w:tc>
          <w:tcPr>
            <w:tcW w:w="2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40" w:type="dxa"/>
            <w:vAlign w:val="bottom"/>
          </w:tcPr>
          <w:p>
            <w:pPr>
              <w:jc w:val="center"/>
              <w:ind w:right="48"/>
              <w:spacing w:after="0"/>
              <w:rPr>
                <w:sz w:val="20"/>
                <w:szCs w:val="20"/>
                <w:color w:val="auto"/>
              </w:rPr>
            </w:pPr>
            <w:r>
              <w:rPr>
                <w:rFonts w:ascii="Arial" w:cs="Arial" w:eastAsia="Arial" w:hAnsi="Arial"/>
                <w:sz w:val="18"/>
                <w:szCs w:val="18"/>
                <w:b w:val="1"/>
                <w:bCs w:val="1"/>
                <w:i w:val="1"/>
                <w:iCs w:val="1"/>
                <w:color w:val="auto"/>
                <w:w w:val="99"/>
              </w:rPr>
              <w:t>Co-Managers</w:t>
            </w:r>
          </w:p>
        </w:tc>
        <w:tc>
          <w:tcPr>
            <w:tcW w:w="18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160" w:type="dxa"/>
            <w:vAlign w:val="bottom"/>
          </w:tcPr>
          <w:p>
            <w:pPr>
              <w:jc w:val="center"/>
              <w:ind w:right="499"/>
              <w:spacing w:after="0"/>
              <w:rPr>
                <w:sz w:val="20"/>
                <w:szCs w:val="20"/>
                <w:color w:val="auto"/>
              </w:rPr>
            </w:pPr>
            <w:r>
              <w:rPr>
                <w:rFonts w:ascii="Arial" w:cs="Arial" w:eastAsia="Arial" w:hAnsi="Arial"/>
                <w:sz w:val="18"/>
                <w:szCs w:val="18"/>
                <w:b w:val="1"/>
                <w:bCs w:val="1"/>
                <w:color w:val="auto"/>
                <w:w w:val="99"/>
              </w:rPr>
              <w:t>Stephens Inc.</w:t>
            </w:r>
          </w:p>
        </w:tc>
        <w:tc>
          <w:tcPr>
            <w:tcW w:w="2500" w:type="dxa"/>
            <w:vAlign w:val="bottom"/>
          </w:tcPr>
          <w:p>
            <w:pPr>
              <w:ind w:left="60"/>
              <w:spacing w:after="0"/>
              <w:rPr>
                <w:sz w:val="20"/>
                <w:szCs w:val="20"/>
                <w:color w:val="auto"/>
              </w:rPr>
            </w:pPr>
            <w:r>
              <w:rPr>
                <w:rFonts w:ascii="Arial" w:cs="Arial" w:eastAsia="Arial" w:hAnsi="Arial"/>
                <w:sz w:val="18"/>
                <w:szCs w:val="18"/>
                <w:b w:val="1"/>
                <w:bCs w:val="1"/>
                <w:color w:val="auto"/>
              </w:rPr>
              <w:t>Capital One Securities</w:t>
            </w:r>
          </w:p>
        </w:tc>
        <w:tc>
          <w:tcPr>
            <w:tcW w:w="3300" w:type="dxa"/>
            <w:vAlign w:val="bottom"/>
            <w:gridSpan w:val="2"/>
          </w:tcPr>
          <w:p>
            <w:pPr>
              <w:jc w:val="right"/>
              <w:ind w:right="759"/>
              <w:spacing w:after="0"/>
              <w:rPr>
                <w:sz w:val="20"/>
                <w:szCs w:val="20"/>
                <w:color w:val="auto"/>
              </w:rPr>
            </w:pPr>
            <w:r>
              <w:rPr>
                <w:rFonts w:ascii="Arial" w:cs="Arial" w:eastAsia="Arial" w:hAnsi="Arial"/>
                <w:sz w:val="18"/>
                <w:szCs w:val="18"/>
                <w:b w:val="1"/>
                <w:bCs w:val="1"/>
                <w:color w:val="auto"/>
              </w:rPr>
              <w:t>Loop Capital Markets</w:t>
            </w:r>
          </w:p>
        </w:tc>
        <w:tc>
          <w:tcPr>
            <w:tcW w:w="2640" w:type="dxa"/>
            <w:vAlign w:val="bottom"/>
          </w:tcPr>
          <w:p>
            <w:pPr>
              <w:ind w:left="220"/>
              <w:spacing w:after="0"/>
              <w:rPr>
                <w:sz w:val="20"/>
                <w:szCs w:val="20"/>
                <w:color w:val="auto"/>
              </w:rPr>
            </w:pPr>
            <w:r>
              <w:rPr>
                <w:rFonts w:ascii="Arial" w:cs="Arial" w:eastAsia="Arial" w:hAnsi="Arial"/>
                <w:sz w:val="18"/>
                <w:szCs w:val="18"/>
                <w:b w:val="1"/>
                <w:bCs w:val="1"/>
                <w:color w:val="auto"/>
              </w:rPr>
              <w:t>CastleOak Securities, L.P.</w:t>
            </w:r>
          </w:p>
        </w:tc>
        <w:tc>
          <w:tcPr>
            <w:tcW w:w="0" w:type="dxa"/>
            <w:vAlign w:val="bottom"/>
          </w:tcPr>
          <w:p>
            <w:pPr>
              <w:spacing w:after="0"/>
              <w:rPr>
                <w:sz w:val="1"/>
                <w:szCs w:val="1"/>
                <w:color w:val="auto"/>
              </w:rPr>
            </w:pPr>
          </w:p>
        </w:tc>
      </w:tr>
      <w:tr>
        <w:trPr>
          <w:trHeight w:val="310"/>
        </w:trPr>
        <w:tc>
          <w:tcPr>
            <w:tcW w:w="2160" w:type="dxa"/>
            <w:vAlign w:val="bottom"/>
          </w:tcPr>
          <w:p>
            <w:pPr>
              <w:jc w:val="center"/>
              <w:ind w:right="499"/>
              <w:spacing w:after="0"/>
              <w:rPr>
                <w:sz w:val="20"/>
                <w:szCs w:val="20"/>
                <w:color w:val="auto"/>
              </w:rPr>
            </w:pPr>
            <w:r>
              <w:rPr>
                <w:rFonts w:ascii="Arial" w:cs="Arial" w:eastAsia="Arial" w:hAnsi="Arial"/>
                <w:sz w:val="18"/>
                <w:szCs w:val="18"/>
                <w:b w:val="1"/>
                <w:bCs w:val="1"/>
                <w:color w:val="auto"/>
                <w:w w:val="99"/>
              </w:rPr>
              <w:t>Blaylock Van, LLC</w:t>
            </w:r>
          </w:p>
        </w:tc>
        <w:tc>
          <w:tcPr>
            <w:tcW w:w="3940" w:type="dxa"/>
            <w:vAlign w:val="bottom"/>
            <w:gridSpan w:val="2"/>
          </w:tcPr>
          <w:p>
            <w:pPr>
              <w:ind w:left="300"/>
              <w:spacing w:after="0"/>
              <w:rPr>
                <w:sz w:val="20"/>
                <w:szCs w:val="20"/>
                <w:color w:val="auto"/>
              </w:rPr>
            </w:pPr>
            <w:r>
              <w:rPr>
                <w:rFonts w:ascii="Arial" w:cs="Arial" w:eastAsia="Arial" w:hAnsi="Arial"/>
                <w:sz w:val="18"/>
                <w:szCs w:val="18"/>
                <w:b w:val="1"/>
                <w:bCs w:val="1"/>
                <w:color w:val="auto"/>
              </w:rPr>
              <w:t>Cabrera Capital Markets, LLC</w:t>
            </w:r>
          </w:p>
        </w:tc>
        <w:tc>
          <w:tcPr>
            <w:tcW w:w="1860" w:type="dxa"/>
            <w:vAlign w:val="bottom"/>
          </w:tcPr>
          <w:p>
            <w:pPr>
              <w:jc w:val="center"/>
              <w:ind w:right="119"/>
              <w:spacing w:after="0"/>
              <w:rPr>
                <w:sz w:val="20"/>
                <w:szCs w:val="20"/>
                <w:color w:val="auto"/>
              </w:rPr>
            </w:pPr>
            <w:r>
              <w:rPr>
                <w:rFonts w:ascii="Arial" w:cs="Arial" w:eastAsia="Arial" w:hAnsi="Arial"/>
                <w:sz w:val="18"/>
                <w:szCs w:val="18"/>
                <w:b w:val="1"/>
                <w:bCs w:val="1"/>
                <w:color w:val="auto"/>
              </w:rPr>
              <w:t>Ramirez &amp; Co., Inc.</w:t>
            </w:r>
          </w:p>
        </w:tc>
        <w:tc>
          <w:tcPr>
            <w:tcW w:w="2640" w:type="dxa"/>
            <w:vAlign w:val="bottom"/>
          </w:tcPr>
          <w:p>
            <w:pPr>
              <w:ind w:left="660"/>
              <w:spacing w:after="0"/>
              <w:rPr>
                <w:sz w:val="20"/>
                <w:szCs w:val="20"/>
                <w:color w:val="auto"/>
              </w:rPr>
            </w:pPr>
            <w:r>
              <w:rPr>
                <w:rFonts w:ascii="Arial" w:cs="Arial" w:eastAsia="Arial" w:hAnsi="Arial"/>
                <w:sz w:val="18"/>
                <w:szCs w:val="18"/>
                <w:b w:val="1"/>
                <w:bCs w:val="1"/>
                <w:color w:val="auto"/>
              </w:rPr>
              <w:t>R. Seelaus &amp; Co., LLC</w:t>
            </w:r>
          </w:p>
        </w:tc>
        <w:tc>
          <w:tcPr>
            <w:tcW w:w="0" w:type="dxa"/>
            <w:vAlign w:val="bottom"/>
          </w:tcPr>
          <w:p>
            <w:pPr>
              <w:spacing w:after="0"/>
              <w:rPr>
                <w:sz w:val="1"/>
                <w:szCs w:val="1"/>
                <w:color w:val="auto"/>
              </w:rPr>
            </w:pPr>
          </w:p>
        </w:tc>
      </w:tr>
      <w:tr>
        <w:trPr>
          <w:trHeight w:val="418"/>
        </w:trPr>
        <w:tc>
          <w:tcPr>
            <w:tcW w:w="2160" w:type="dxa"/>
            <w:vAlign w:val="bottom"/>
          </w:tcPr>
          <w:p>
            <w:pPr>
              <w:spacing w:after="0"/>
              <w:rPr>
                <w:sz w:val="24"/>
                <w:szCs w:val="24"/>
                <w:color w:val="auto"/>
              </w:rPr>
            </w:pPr>
          </w:p>
        </w:tc>
        <w:tc>
          <w:tcPr>
            <w:tcW w:w="3940" w:type="dxa"/>
            <w:vAlign w:val="bottom"/>
            <w:gridSpan w:val="2"/>
          </w:tcPr>
          <w:p>
            <w:pPr>
              <w:ind w:left="1360"/>
              <w:spacing w:after="0"/>
              <w:rPr>
                <w:sz w:val="20"/>
                <w:szCs w:val="20"/>
                <w:color w:val="auto"/>
              </w:rPr>
            </w:pPr>
            <w:r>
              <w:rPr>
                <w:rFonts w:ascii="Arial" w:cs="Arial" w:eastAsia="Arial" w:hAnsi="Arial"/>
                <w:sz w:val="18"/>
                <w:szCs w:val="18"/>
                <w:b w:val="1"/>
                <w:bCs w:val="1"/>
                <w:color w:val="auto"/>
              </w:rPr>
              <w:t>The date of this prospectus is</w:t>
            </w:r>
          </w:p>
        </w:tc>
        <w:tc>
          <w:tcPr>
            <w:tcW w:w="1860" w:type="dxa"/>
            <w:vAlign w:val="bottom"/>
          </w:tcPr>
          <w:p>
            <w:pPr>
              <w:jc w:val="right"/>
              <w:ind w:right="779"/>
              <w:spacing w:after="0"/>
              <w:rPr>
                <w:sz w:val="20"/>
                <w:szCs w:val="20"/>
                <w:color w:val="auto"/>
              </w:rPr>
            </w:pPr>
            <w:r>
              <w:rPr>
                <w:rFonts w:ascii="Arial" w:cs="Arial" w:eastAsia="Arial" w:hAnsi="Arial"/>
                <w:sz w:val="18"/>
                <w:szCs w:val="18"/>
                <w:b w:val="1"/>
                <w:bCs w:val="1"/>
                <w:color w:val="auto"/>
              </w:rPr>
              <w:t>, 2020.</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 w:name="page4"/>
    <w:bookmarkEnd w:id="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215265</wp:posOffset>
            </wp:positionV>
            <wp:extent cx="4629150" cy="5777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29150" cy="577786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064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4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Industry and Market Data</w:t>
              </w:r>
            </w:hyperlink>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64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Trademarks, Tradenames, Service Marks and Copyrights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Basis of Presentation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Non-GAAP Financial Measures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Letter From Our Chairman, President and Chief Executive Officer</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vi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Summary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Forward-Looking Statements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Dilution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Selected Historical Consolidated Financial Data</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05">
              <w:r>
                <w:rPr>
                  <w:rFonts w:ascii="Times New Roman" w:cs="Times New Roman" w:eastAsia="Times New Roman" w:hAnsi="Times New Roman"/>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24">
              <w:r>
                <w:rPr>
                  <w:rFonts w:ascii="Times New Roman" w:cs="Times New Roman" w:eastAsia="Times New Roman" w:hAnsi="Times New Roman"/>
                  <w:sz w:val="18"/>
                  <w:szCs w:val="18"/>
                  <w:u w:val="single" w:color="auto"/>
                  <w:color w:val="0000EE"/>
                </w:rPr>
                <w:t>Management</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31">
              <w:r>
                <w:rPr>
                  <w:rFonts w:ascii="Times New Roman" w:cs="Times New Roman" w:eastAsia="Times New Roman" w:hAnsi="Times New Roman"/>
                  <w:sz w:val="18"/>
                  <w:szCs w:val="18"/>
                  <w:u w:val="single" w:color="auto"/>
                  <w:color w:val="0000EE"/>
                </w:rPr>
                <w:t>Executive Compensation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3">
              <w:r>
                <w:rPr>
                  <w:rFonts w:ascii="Times New Roman" w:cs="Times New Roman" w:eastAsia="Times New Roman" w:hAnsi="Times New Roman"/>
                  <w:sz w:val="18"/>
                  <w:szCs w:val="18"/>
                  <w:u w:val="single" w:color="auto"/>
                  <w:color w:val="0000EE"/>
                </w:rPr>
                <w:t>Certain Relationships and Related Party Transactions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7">
              <w:r>
                <w:rPr>
                  <w:rFonts w:ascii="Times New Roman" w:cs="Times New Roman" w:eastAsia="Times New Roman" w:hAnsi="Times New Roman"/>
                  <w:sz w:val="18"/>
                  <w:szCs w:val="18"/>
                  <w:u w:val="single" w:color="auto"/>
                  <w:color w:val="0000EE"/>
                </w:rPr>
                <w:t>Principal Stockholders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9">
              <w:r>
                <w:rPr>
                  <w:rFonts w:ascii="Times New Roman" w:cs="Times New Roman" w:eastAsia="Times New Roman" w:hAnsi="Times New Roman"/>
                  <w:sz w:val="18"/>
                  <w:szCs w:val="18"/>
                  <w:u w:val="single" w:color="auto"/>
                  <w:color w:val="0000EE"/>
                </w:rPr>
                <w:t>Description of Capital Stock</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7">
              <w:r>
                <w:rPr>
                  <w:rFonts w:ascii="Times New Roman" w:cs="Times New Roman" w:eastAsia="Times New Roman" w:hAnsi="Times New Roman"/>
                  <w:sz w:val="18"/>
                  <w:szCs w:val="18"/>
                  <w:u w:val="single" w:color="auto"/>
                  <w:color w:val="0000EE"/>
                </w:rPr>
                <w:t>Description of Certain Indebtedness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Shares Eligible for Future Sale</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21">
              <w:r>
                <w:rPr>
                  <w:rFonts w:ascii="Times New Roman" w:cs="Times New Roman" w:eastAsia="Times New Roman" w:hAnsi="Times New Roman"/>
                  <w:sz w:val="18"/>
                  <w:szCs w:val="18"/>
                  <w:u w:val="single" w:color="auto"/>
                  <w:color w:val="0000EE"/>
                </w:rPr>
                <w:t>Material U.S. Federal Income and Estate Tax Consequences to Non-U.S. Holders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24">
              <w:r>
                <w:rPr>
                  <w:rFonts w:ascii="Times New Roman" w:cs="Times New Roman" w:eastAsia="Times New Roman" w:hAnsi="Times New Roman"/>
                  <w:sz w:val="18"/>
                  <w:szCs w:val="18"/>
                  <w:u w:val="single" w:color="auto"/>
                  <w:color w:val="0000EE"/>
                </w:rPr>
                <w:t>Underwriting (Conflicts of Interest)</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31">
              <w:r>
                <w:rPr>
                  <w:rFonts w:ascii="Times New Roman" w:cs="Times New Roman" w:eastAsia="Times New Roman" w:hAnsi="Times New Roman"/>
                  <w:sz w:val="18"/>
                  <w:szCs w:val="18"/>
                  <w:u w:val="single" w:color="auto"/>
                  <w:color w:val="0000EE"/>
                </w:rPr>
                <w:t>Legal Matters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31">
              <w:r>
                <w:rPr>
                  <w:rFonts w:ascii="Times New Roman" w:cs="Times New Roman" w:eastAsia="Times New Roman" w:hAnsi="Times New Roman"/>
                  <w:sz w:val="18"/>
                  <w:szCs w:val="18"/>
                  <w:u w:val="single" w:color="auto"/>
                  <w:color w:val="0000EE"/>
                </w:rPr>
                <w:t>Experts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31">
              <w:r>
                <w:rPr>
                  <w:rFonts w:ascii="Times New Roman" w:cs="Times New Roman" w:eastAsia="Times New Roman" w:hAnsi="Times New Roman"/>
                  <w:sz w:val="18"/>
                  <w:szCs w:val="18"/>
                  <w:u w:val="single" w:color="auto"/>
                  <w:color w:val="0000EE"/>
                </w:rPr>
                <w:t>Where You Can Find More Information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34"/>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32">
              <w:r>
                <w:rPr>
                  <w:rFonts w:ascii="Times New Roman" w:cs="Times New Roman" w:eastAsia="Times New Roman" w:hAnsi="Times New Roman"/>
                  <w:sz w:val="18"/>
                  <w:szCs w:val="18"/>
                  <w:u w:val="single" w:color="auto"/>
                  <w:color w:val="0000EE"/>
                </w:rPr>
                <w:t>Index to Financial Statements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both"/>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Through and including the 25th day after the date of this prospectus, all dealers that effect transactions in these shares of our common stock, whether or not participating in this offering, may be required to deliver a prospectus. This is in addition to the dealers’ obligations to deliver a prospectus when acting as underwriters and with respect to their unsold allotments or subscriptions.</w:t>
      </w:r>
    </w:p>
    <w:p>
      <w:pPr>
        <w:spacing w:after="0" w:line="17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in any free writing prospectus we may authorize to be delivered or made available to you. Neither we nor the underwriters have authorized anyone to provide you with different information. The information in this prospectus is accurate only as of the date of this prospectus, regardless of the time of delivery of this prospectus, or any free writing prospectus, as the case may be, or any sale of shares of our common stock.</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we are offering to sell, and seeking offers to buy, shares of our common stock only in jurisdictions where offers and sales are permitted.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Within this prospectus, we reference information and statistics regarding the sporting goods and outdoor recreation retail industries. We have obtained this information and statistics from various independent third-party sources, including independent industry publications, reports by market research firms and other independent sources. Some data and other information contained in this prospectus are also based on management’s estimates and calculations, which are derived from our review and interpretation of internal company research, surveys and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these industries. While we believe such information is reliable, we have not independently verified any third-party information. While we believe our internal company research, surveys and estimates are reliable, such research, surveys and estimates have not been verified by any independent source. In addition, assumptions and estimates of our and our industries’ future performance are necessarily subject to a high degree of uncertainty and risk due to a variety of factors, including those described in “Risk Factors.” These and other factors could cause our future performance to differ materially from our assumptions and estimates. See “Forward-Looking Statements.”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TRADEMARKS, TRADENAMES, SERVICE MARKS AND COPYRIGHTS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own and license a number of registered and common law trademarks and pending applications for trademark registrations in the United States, primarily through our subsidiaries, including, for example: Academy Sports + Outdoors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Magellan Outdoors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BCG</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O’rageous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Outdoor Gourmet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Unless otherwise indicated, all trademarks appearing in this prospectus are proprietary to us, our affiliates and/or licensors. This prospectus also contains trademarks, tradenames, service marks and copyrights of other companies, which are the property of their respective owners. Solely for convenience, certain trademarks, tradenames, service marks and copyrights referred to in this prospectus may appear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rights of the applicable licensors to these trademarks, tradenames, service marks and copyrights. We do not intend our use or display of other parties’ trademarks, tradenames, service marks or copyrights to imply, and such use or display should not be construed to imply, a relationship with, or endorsement or sponsorship of us by, these other parties.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terms are used in this prospectus unless otherwise noted or indicated by the context:</w:t>
      </w:r>
    </w:p>
    <w:p>
      <w:pPr>
        <w:spacing w:after="0" w:line="131" w:lineRule="exact"/>
        <w:rPr>
          <w:sz w:val="20"/>
          <w:szCs w:val="20"/>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 Facility” means our senior secured asset-based revolving credit facility, as described under “Description of Certain Indebtedness;”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“Academy,” “Academy Sports + Outdoors,” the “Company,” “we,” “us” and “our” refer to, (1) prior to the consummation of this offering, New Academy Holding Company, LLC, a Delaware limited liability company and the current holding company for our operations, and its consolidated subsidiaries; and (2) following the consummation of this offering, Academy Sports and Outdoors, Inc. and its consolidated subsidiaries;</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“Adviser” has the meaning set forth under “Certain Relationships and Related Party Transactions—Monitoring Agreement;”</w:t>
      </w:r>
    </w:p>
    <w:p>
      <w:pPr>
        <w:spacing w:after="0" w:line="130"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“Allstar Managers” means Allstar Managers, LLC, an entity owned by certain current and former executives and directors of the Company;</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order value” means in-store and e-commerce merchandise sales divided by the number of sales transactions, which indicates the average amount of a sales receipt;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“BOPIS” means our buy-online-pickup-in-store program;</w:t>
      </w:r>
    </w:p>
    <w:p>
      <w:pPr>
        <w:spacing w:after="0" w:line="130"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means the percentage of period-over-period net sales increase or decrease, in the aggregate, for stores open after thirteen full fiscal months as well as for all e-commerce sales. See “Management’s Discussion and Analysis of Financial Condition and Results of Operations—How We Assess the Performance of Our Business—Comparable Sales.” There may be variations in the way in which some of our competitors and other retailers calculate comparable sales. As a result, data in this prospectus regarding our comparable sales may not be comparable to similar data made available by other retailers;</w:t>
      </w:r>
    </w:p>
    <w:p>
      <w:pPr>
        <w:spacing w:after="0" w:line="88"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“footprint” means, in the aggregate, the geographic locations where our stores are located. As of the date of this prospectus, our stores are located in the following states: Alabama, Arkansas, Florida, Georgia, Illinois, Indiana, Kansas, Kentucky, Louisiana, Mississippi, Missouri, North Carolina, Oklahoma, South Carolina, Tennessee and Texas;</w:t>
      </w:r>
    </w:p>
    <w:p>
      <w:pPr>
        <w:spacing w:after="0" w:line="81" w:lineRule="exact"/>
        <w:rPr>
          <w:rFonts w:ascii="Times New Roman" w:cs="Times New Roman" w:eastAsia="Times New Roman" w:hAnsi="Times New Roman"/>
          <w:sz w:val="18"/>
          <w:szCs w:val="18"/>
          <w:color w:val="auto"/>
        </w:rPr>
      </w:pPr>
    </w:p>
    <w:p>
      <w:pPr>
        <w:ind w:left="1080" w:right="180" w:hanging="532"/>
        <w:spacing w:after="0" w:line="25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“full-line sporting goods and outdoor recreation retailers” means: retailers who offer all three of the following categories, across all price points and brands (i) sporting goods (e.g., team and individual sports, footwear/apparel, fitness), (ii) outdoor goods (e.g., hunting gear, fishing rods, outdoor cooking, camping), and (iii) recreation goods (e.g., pools, backyard living, bikes). Among the current full-line sporting goods and outdoor recreation retailers in the United States, management has determined that the Company is one of the leading full-line sporting goods and outdoor recreation retailers because its annual revenue in each of the years from 2014 to 2019 is the second highest;</w:t>
      </w:r>
    </w:p>
    <w:p>
      <w:pPr>
        <w:spacing w:after="0" w:line="9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“Gochman Investors” means, collectively, certain investors who are family descendants of our founder, Max Gochman;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“KKR” means, collectively, investment funds and other entities affiliated with Kohlberg Kravis Roberts &amp; Co. L.P.;</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“KKR Stockholders” means, collectively, investment entities owned by KKR;</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“largest value-oriented sporting goods and outdoor recreation retailer in the country” refers to management’s determination of the Company’s comparative position based upon (i) the Company’s competitive pricing index, which illustrates the Company’s prices are lower on average compared to those full-line sporting goods and recreational retailers with higher annual revenue, and (ii) the Company’s 2019 and 2020 customer surveys, which indicate that customers perceive the Company as being more value-oriented than all of the other full-line sporting goods and recreation retailers;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stores” means stores that have been in operation for longer than four years;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sales transactions” means total quantity of sales transactions generated, whether in-store or online;</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brands” means our private label brands, which include both our own brands, as well as brands we license under exclusive license contracts;</w:t>
      </w:r>
    </w:p>
    <w:p>
      <w:pPr>
        <w:spacing w:after="0" w:line="67" w:lineRule="exact"/>
        <w:rPr>
          <w:rFonts w:ascii="Times New Roman" w:cs="Times New Roman" w:eastAsia="Times New Roman" w:hAnsi="Times New Roman"/>
          <w:sz w:val="18"/>
          <w:szCs w:val="18"/>
          <w:color w:val="auto"/>
        </w:rPr>
      </w:pPr>
    </w:p>
    <w:p>
      <w:pPr>
        <w:ind w:left="1080" w:right="300" w:hanging="532"/>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Transactions” means the series of reorganization transactions that will take place prior to the consummation of this offering and will result in, among other things, New Academy Holding Company, LLC, the current holding company for the business described in this prospectus, being contributed to Academy Sports and Outdoors, Inc. by its unitholders and becoming a wholly owned subsidiary of Academy Sports and Outdoors, Inc.; and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Facility” means our senior secured term loan facility, as described under “Description of Certain Indebtedness.”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Presentation of Financial Information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New Academy Holding Company, LLC conducts (and after the consummation of this offering, Academy Sports and Outdoors, Inc. will conduct) its operations through its subsidiaries, including its indirect subsidiary, Academy, Ltd., an operating company which is doing business as “Academy Sports + Outdoors.”</w:t>
      </w:r>
    </w:p>
    <w:p>
      <w:pPr>
        <w:spacing w:after="0" w:line="176"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We operate on a retail fiscal calendar pursuant to which our fiscal year consists of 52 or 53 weeks, ending on the Saturday closest to January 31 (which such Saturday may occur on a date following January 31) each year. References to any “year,” “quarter,” “half” or “month” mean “fiscal year,” “fiscal quarter,” “fiscal half year” and “fiscal month,” respectively, unless the context requires otherwise. References to “2015,” “2016,” “2017,” “2018” and “2019” relate to our fiscal years ended January 30, 2016, January 28, 2017, February 3, 2018, February 2, 2019 and February 1, 2020, respectively, unless the context requires otherwise. References to “2020” relate to our fiscal year ending January 30, 2021, unless the context requires otherwise.</w:t>
      </w:r>
    </w:p>
    <w:p>
      <w:pPr>
        <w:spacing w:after="0" w:line="168"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contains “non-GAAP financial measures,” which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“Adjusted EBITDA,” “Adjusted Net Income (Loss),” “Pro Forma Adjusted Net Income (Loss)” and “Adjusted Free Cash Flow.”</w:t>
      </w:r>
    </w:p>
    <w:p>
      <w:pPr>
        <w:spacing w:after="0" w:line="180" w:lineRule="exact"/>
        <w:rPr>
          <w:sz w:val="20"/>
          <w:szCs w:val="20"/>
          <w:color w:val="auto"/>
        </w:rPr>
      </w:pPr>
    </w:p>
    <w:p>
      <w:pPr>
        <w:ind w:left="120" w:right="160" w:firstLine="440"/>
        <w:spacing w:after="0" w:line="273" w:lineRule="auto"/>
        <w:rPr>
          <w:sz w:val="20"/>
          <w:szCs w:val="20"/>
          <w:color w:val="auto"/>
        </w:rPr>
      </w:pPr>
      <w:r>
        <w:rPr>
          <w:rFonts w:ascii="Times New Roman" w:cs="Times New Roman" w:eastAsia="Times New Roman" w:hAnsi="Times New Roman"/>
          <w:sz w:val="17"/>
          <w:szCs w:val="17"/>
          <w:color w:val="auto"/>
        </w:rPr>
        <w:t>Adjusted EBITDA, Adjusted Net Income (Loss), Pro Forma Adjusted Net Income (Loss) and Adjusted Free Cash Flow have been presented in this prospectus as supplemental measures of financial performance that are not required by, or presented in accordance with, GAAP. We believe Adjusted EBITDA, Adjusted Net Income (Loss) and Pro Forma Adjusted Net Income (Loss) assist investors and analysts in comparing our operating performance across reporting periods on a consistent basis by excluding items that we do not believe are indicative of our core operating performance. Management believes Adjusted EBITDA, Adjusted Net Income (Loss) and Pro Forma Adjusted Net Income (Loss)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00"/>
          </w:cols>
          <w:pgMar w:left="320" w:top="455" w:right="4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measure of liquidity and an additional basis for assessing our ability to generate cash. Management uses Adjusted EBITDA, Adjusted Net Income (Loss), Pro Forma Adjusted Net Income (Loss) and Adjusted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w:t>
      </w:r>
    </w:p>
    <w:p>
      <w:pPr>
        <w:spacing w:after="0" w:line="16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“Summary—Summary Historical Consolidated Financial and Other Data.”</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also present adjusted comparable sales, which is a non-GAAP measure, in this prospectus. For a discussion of adjusted comparable sales and a reconciliation to comparable sales, see “Management’s Discussion and Analysis of Financial Condition and Results of Operations—Non-GAAP Measures—Adjusted comparable sales.”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20"/>
          </w:cols>
          <w:pgMar w:left="320" w:top="455"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LETTER FROM OUR CHAIRMAN, PRESIDENT AND CHIEF EXECUTIVE OFFICER</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Stakeholders and Future Stakeholders:</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 am proud to introduce those of you who are not very familiar with, and further inform those of you who know us, to Academy Sports + Outdoors. I am excited to be part of this company and share all the great things we are accomplishing. Academy began over 80 years ago in San Antonio, Texas focusing on its customers with a powerful assortment and great value. It has evolved into a truly remarkable Sports + Outdoors emporium with the same strong focus on customers, assortment, and value.</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Having known Academy since I was growing up in Houston, I was excited to join its Board of Managers three years ago. During that time, I learned more about Academy’s opportunities. When the opportunity to become CEO was presented two years ago, I enthusiastically took the position for three major reasons:</w:t>
      </w:r>
    </w:p>
    <w:p>
      <w:pPr>
        <w:spacing w:after="0" w:line="81"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unparalleled opportunity to grow its existing stores within its current footprint, new markets, and through omnichannel penetration;</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chance to improve its operational efficiencies and effectiveness across all elements of the company with an accomplished, experienced leadership team;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lead a company that has tremendous brand position and customer loyalty with an emphasis on fun, family and community.</w:t>
      </w:r>
    </w:p>
    <w:p>
      <w:pPr>
        <w:spacing w:after="0" w:line="225"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Leading Academy is a dream job that allows me to fill my passion for retail and connecting with customers. I have been fortunate to be part of bringing growth and improved performance to retailers in the role of President, CEO, Chairman, or Director. My current role with our strong leadership team creates a significant opportunity to enhance the culture, operations, and customer connections at Academy. We have a deep bench of excellent executives working with me, which has allowed us to achieve improving comparable sales, profitability and cash flow, thus helping to drive significant long-term shareholder value.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 I began leading Academy, we have been working on several key initiatives including:</w:t>
      </w:r>
    </w:p>
    <w:p>
      <w:pPr>
        <w:spacing w:after="0" w:line="131"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People</w:t>
      </w:r>
    </w:p>
    <w:p>
      <w:pPr>
        <w:spacing w:after="0" w:line="117" w:lineRule="exact"/>
        <w:rPr>
          <w:rFonts w:ascii="Times New Roman" w:cs="Times New Roman" w:eastAsia="Times New Roman" w:hAnsi="Times New Roman"/>
          <w:sz w:val="18"/>
          <w:szCs w:val="18"/>
          <w:color w:val="auto"/>
        </w:rPr>
      </w:pPr>
    </w:p>
    <w:p>
      <w:pPr>
        <w:ind w:left="1100" w:right="2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a focused strategy with a clear vision to be the best with a strong positive culture. We have a dedicated staff of over 20,000 team members that are focused on serving our customers and building our company. We have put together an outstanding leadership team from within and outside the company that has transformed the company over the past two years.</w:t>
      </w:r>
    </w:p>
    <w:p>
      <w:pPr>
        <w:spacing w:after="0" w:line="20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Merchandising</w:t>
      </w:r>
    </w:p>
    <w:p>
      <w:pPr>
        <w:spacing w:after="0" w:line="117" w:lineRule="exact"/>
        <w:rPr>
          <w:rFonts w:ascii="Times New Roman" w:cs="Times New Roman" w:eastAsia="Times New Roman" w:hAnsi="Times New Roman"/>
          <w:sz w:val="18"/>
          <w:szCs w:val="18"/>
          <w:color w:val="auto"/>
        </w:rPr>
      </w:pPr>
    </w:p>
    <w:p>
      <w:pPr>
        <w:ind w:left="110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taken significant actions to improve our merchandise offering, beginning with strengthening our sports and outdoors assortment quality and selection and exiting or reducing categories that were low profit or did not fit, such as toys, electronics and luggage. We developed and improved our pricing and clearance programs to ensure our value and keep our inventory fresh. In stores, we enhanced our merchandise presentation and signage to make the shopping experience more exciting. We also upgraded our planning and allocation systems to improve our in-stocks and inventory turns and allow us to target markets and stores with the right merchandise.</w:t>
      </w:r>
    </w:p>
    <w:p>
      <w:pPr>
        <w:spacing w:after="0" w:line="21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Omnichannel</w:t>
      </w:r>
    </w:p>
    <w:p>
      <w:pPr>
        <w:spacing w:after="0" w:line="117" w:lineRule="exact"/>
        <w:rPr>
          <w:rFonts w:ascii="Times New Roman" w:cs="Times New Roman" w:eastAsia="Times New Roman" w:hAnsi="Times New Roman"/>
          <w:sz w:val="18"/>
          <w:szCs w:val="18"/>
          <w:color w:val="auto"/>
        </w:rPr>
      </w:pPr>
    </w:p>
    <w:p>
      <w:pPr>
        <w:ind w:left="1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Academy had been underdeveloped in omnichannel capabilities, but we have been making major improvements to our capabilities that have shown substantial progress and effects over the past year. We have made numerous website improvements, including increased speed, simplified checkout, expanded payment options, content and product information, and search capabilities. We have increased the connection between our website and our stores through our marketing, inventory, and BOPIS.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120"/>
          </w:cols>
          <w:pgMar w:left="320" w:top="455"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w:t>
      </w:r>
    </w:p>
    <w:p>
      <w:pPr>
        <w:spacing w:after="0" w:line="117" w:lineRule="exact"/>
        <w:rPr>
          <w:rFonts w:ascii="Times New Roman" w:cs="Times New Roman" w:eastAsia="Times New Roman" w:hAnsi="Times New Roman"/>
          <w:sz w:val="18"/>
          <w:szCs w:val="18"/>
          <w:color w:val="auto"/>
        </w:rPr>
      </w:pPr>
    </w:p>
    <w:p>
      <w:pPr>
        <w:ind w:left="1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substantial enhancements in our stores, including upgrading our service levels by using new technology to hire better team members, scheduling team members to maximize their service level effectiveness, and training team members to improve selling skills and product knowledge. We have improved our supply chain operations by using a new freight system and improved freight handling processes. We have also developed and implemented a work productivity pay program that allows our distribution team members to earn more as they increase their productivity.</w:t>
      </w:r>
    </w:p>
    <w:p>
      <w:pPr>
        <w:spacing w:after="0" w:line="183"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As you can see, we have been busy working on these and other high-value programs to improve our long-term performance. Beginning last year, we started to see improvements resulting from these initiatives. In addition, the improvements to our omnichannel capabilities have positioned us well to benefit from changing consumer preferences in response to the COVID-19 pandemic and resulted in substantial increases of our e-commerce sales and, in turn, our comparable sales. We have achieved four consecutive quarters with positive comparable sales, which is an improvement over our negative comparable sales for the past three fiscal years. In addition, second quarter of 2020 was our fourth consecutive quarter of profitability growth and our fifth consecutive quarter of cash flow growth. These results have allowed us to make significant progress on our long-term goals. While we still have a great deal of work and opportunity ahead of us, we are committed to work and focus on achieving our long-range vision and objectives.</w:t>
      </w:r>
    </w:p>
    <w:p>
      <w:pPr>
        <w:spacing w:after="0" w:line="18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Through the years, we have concentrated on serving our customers and communities, in both good and bad times. I am proud of how our company has continued this commitment during the COVID-19 crisis, through our stores that remained open after being designated as an essential retailer and through our website and omnichannel capabilities, all proving valuable to our customers. Our 20,000+ team members have been nothing short of inspiring during this challenging time, which shows not only their dedication, but their ability to adapt and succeed in any environment, be it a hurricane, recession, or pandemic. We will continue to serve our customers by offering a broad, differentiated, value assortment with the service they expect from Academy that satisfies them, regardless of the situation.</w:t>
      </w:r>
    </w:p>
    <w:p>
      <w:pPr>
        <w:spacing w:after="0" w:line="187"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Today and going forward, we will maintain focus on our priorities and the execution necessary to achieve excellence. We believe that we have a best-in-class value offering with localized merchandising and marketing, and a new store opening and growth strategy that sets us apart from our competitors. We have proven that we are much more than a sporting goods store, as we are sought out for our extensive assortment and value by our customers, in all seasons and situations. Our customers return to our stores knowing they can count on us, time after time.</w:t>
      </w:r>
    </w:p>
    <w:p>
      <w:pPr>
        <w:spacing w:after="0" w:line="180"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We are at the beginning of an incredible journey and still have much to accomplish. I know that we can and will be the best. I look forward to connecting with you and hope that you will join us as a public stakeholder in our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791335" cy="6254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9133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Ken C. Hicks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Chairman, President and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120"/>
          </w:cols>
          <w:pgMar w:left="32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53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that you should consider before deciding to invest in our common stock. You should read the entire prospectus carefully, including “Risk Factors”, “Management’s Discussion and Analysis of Financial Condition and Results of Operations,” and our consolidated financial statements and related notes included elsewhere in this prospectus, before making an investment decision. This summary contains forward-looking statements that involve risks and uncertainties.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Academy Sports + Outdoors is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believe the following key attributes differentiate us from our competitors:</w:t>
      </w:r>
    </w:p>
    <w:p>
      <w:pPr>
        <w:spacing w:after="0" w:line="131" w:lineRule="exact"/>
        <w:rPr>
          <w:sz w:val="20"/>
          <w:szCs w:val="20"/>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Value-based assortment that enables our customers to participate and have fun, no matter their budget.</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assortment that extends beyond sporting goods and apparel to outdoor recreation.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rapidly growing and profitable omnichannel strategy that leverages our strong BOPIS and shipping fulfillment capabilities.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customer loyalty, with opportunities to increase penetration in existing markets.</w:t>
      </w:r>
    </w:p>
    <w:p>
      <w:pPr>
        <w:spacing w:after="0" w:line="130"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focus in the southern United States with a strong and growing presence in six of the top 10 fastest-growing metropolitan statistical areas, or MSAs.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customers comprising active families that we support with one-stop shop convenience.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whitespace opportunity for both in-fill and adjacent geographies and new markets.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financial profile with accelerating performance and attractive cash flow generation.</w:t>
      </w:r>
    </w:p>
    <w:p>
      <w:pPr>
        <w:spacing w:after="0" w:line="225"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Originally founded in 1938 as a family business in Texas, we have grown to 259 stores across 16 contiguous states, primarily in the southern United States. Our mission is to provide “Fun for All” and fulfill this mission with a localized merchandising strategy and value proposition that deeply connect with a broad range of consumers. Our product assortment focuses on key categories of outdoor, apparel, footwear and sports &amp; recreation (representing 32%, 29%, 21% and 18% of our 2019 net sales, respectively) through both leading national brands and a portfolio of 17 owned brands, which go well beyond traditional sporting goods and apparel offerings.</w:t>
      </w:r>
    </w:p>
    <w:p>
      <w:pPr>
        <w:spacing w:after="0" w:line="183"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20,000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159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0"/>
        <w:spacing w:after="0" w:line="266" w:lineRule="auto"/>
        <w:rPr>
          <w:sz w:val="20"/>
          <w:szCs w:val="20"/>
          <w:color w:val="auto"/>
        </w:rPr>
      </w:pPr>
      <w:r>
        <w:rPr>
          <w:rFonts w:ascii="Times New Roman" w:cs="Times New Roman" w:eastAsia="Times New Roman" w:hAnsi="Times New Roman"/>
          <w:sz w:val="18"/>
          <w:szCs w:val="18"/>
          <w:color w:val="auto"/>
        </w:rPr>
        <w:t>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twelve months of opening a store.</w:t>
      </w:r>
    </w:p>
    <w:p>
      <w:pPr>
        <w:spacing w:after="0" w:line="176"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We are active members of the communities in which we operate. Our long-time customers have grown up with the Academy brand over time and pass their passion for us on to the next generation, enabling us to benefit from strong customer loyalty and shopping frequency in our embedded regional markets.</w:t>
      </w:r>
    </w:p>
    <w:p>
      <w:pPr>
        <w:spacing w:after="0" w:line="203" w:lineRule="exact"/>
        <w:rPr>
          <w:sz w:val="20"/>
          <w:szCs w:val="20"/>
          <w:color w:val="auto"/>
        </w:rPr>
      </w:pPr>
    </w:p>
    <w:p>
      <w:pPr>
        <w:ind w:left="300" w:right="4320" w:firstLine="360"/>
        <w:spacing w:after="0" w:line="253" w:lineRule="auto"/>
        <w:rPr>
          <w:sz w:val="20"/>
          <w:szCs w:val="20"/>
          <w:color w:val="auto"/>
        </w:rPr>
      </w:pPr>
      <w:r>
        <w:rPr>
          <w:rFonts w:ascii="Times New Roman" w:cs="Times New Roman" w:eastAsia="Times New Roman" w:hAnsi="Times New Roman"/>
          <w:sz w:val="18"/>
          <w:szCs w:val="18"/>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221" w:lineRule="exact"/>
        <w:rPr>
          <w:sz w:val="20"/>
          <w:szCs w:val="20"/>
          <w:color w:val="auto"/>
        </w:rPr>
      </w:pPr>
    </w:p>
    <w:p>
      <w:pPr>
        <w:ind w:left="300" w:right="4260" w:firstLine="360"/>
        <w:spacing w:after="0" w:line="254"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w:t>
      </w:r>
    </w:p>
    <w:p>
      <w:pPr>
        <w:spacing w:after="0" w:line="3" w:lineRule="exact"/>
        <w:rPr>
          <w:sz w:val="20"/>
          <w:szCs w:val="20"/>
          <w:color w:val="auto"/>
        </w:rPr>
      </w:pPr>
    </w:p>
    <w:p>
      <w:pPr>
        <w:ind w:left="300" w:right="120"/>
        <w:spacing w:after="0" w:line="255" w:lineRule="auto"/>
        <w:rPr>
          <w:sz w:val="20"/>
          <w:szCs w:val="20"/>
          <w:color w:val="auto"/>
        </w:rPr>
      </w:pPr>
      <w:r>
        <w:rPr>
          <w:rFonts w:ascii="Times New Roman" w:cs="Times New Roman" w:eastAsia="Times New Roman" w:hAnsi="Times New Roman"/>
          <w:sz w:val="18"/>
          <w:szCs w:val="18"/>
          <w:color w:val="auto"/>
        </w:rPr>
        <w:t>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and approximately 60% of our customers purchased an owned brand item from us in 2019. Our merchandising creates a balanced sales mix throughout the year with no single season accounting for more than 28% of our annual sales.</w:t>
      </w:r>
    </w:p>
    <w:p>
      <w:pPr>
        <w:spacing w:after="0" w:line="188"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Our stores deliver industry-leading unit sales and profitability, including 2019 net sales per store of $18.7 million, average sales per square foot of $264, and average EBITDA per store of $1.3 million. Our customers love the Academy store shopping experience because they are able to easily find, learn about, feel, try on and walk out with their favorite items. Our one-stop, convenient store layout, together with our highly trained team members offering value-added customer services, drive strong and consistent store foot traffic and transaction volume, with our average customers visiting our stores two to four times per year and our best customers visiting our stores nine times per year. The majority of our stores are located in high-traffic shopping centers, while none of the stores are located in, or anchored to, malls.</w:t>
      </w:r>
    </w:p>
    <w:p>
      <w:pPr>
        <w:spacing w:after="0" w:line="187"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Our emerging, profitable e-commerce platform that leverages our strong BOPIS and shipping fulfillment capabilities has achieved year-over-year sales growth of 8% and 284% during 2019 and the first half 2020,</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191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6191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respectively. Our e-commerce sales represented 5% and 11% of our merchandise sales in 2019 and the first half 2020, respectively. We are deepening our customer relationships, further integrating our e-commerce platform with our stores and driving operating efficiencies by developing our omnichannel capabilities. Our BOPIS program, launched in 2019, accounted for approximately 24% and 50% of our e-commerce sales during 2019 and the first half 2020, respectively, and allows customers to place an order on our website and pick up their product at a desired location, either in-store or curbside. Our website also serves as a platform for marketing and product education, enhancing our customer experience and driving traffic to our stores. Our website is introducing new customers to the Academy brand, with approximately 25% of our e-commerce sales during first half 2020 coming from new households.</w:t>
      </w:r>
    </w:p>
    <w:p>
      <w:pPr>
        <w:spacing w:after="0" w:line="189"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We serve our communities by supporting events, programs and organizations that help make a positive impact, including the sponsorship of over 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w:t>
      </w:r>
    </w:p>
    <w:p>
      <w:pPr>
        <w:spacing w:after="0" w:line="183"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finished the twelve months ended August 1, 2020 with approximately $5.3 billion in sales, $204 million of net income and $449 million in Adjusted EBITDA. Although comparable sales have been negative for the past three fiscal years, we have seen four consecutive quarters of positive comparable sales as of second quarter 2020. In addition, second quarter 2020 reflected our fourth consecutive quarter of Adjusted EBITDA growth and our fifth consecutive quarter of Adjusted Free Cash Flow growth. We earned net income of $21 million, $120 million and $204 million and Pro Forma Adjusted Net Income of $41 million, $76 million and $178 million in 2018, 2019 and the twelve months ended August 1, 2020, respectively, which included $158 million of net income and $135 million of Pro Forma Adjusted Net Income for first half 2020. See “— Summary Historical Consolidated Financial and Other Data” for definitions of Adjusted EBITDA, Pro Forma Adjusted Net Income and Adjusted Free Cash Flow and reconciliations of Adjusted EBITDA and Pro Forma Adjusted Net Income to net income and Adjusted Free Cash Flow to net cash provided by operating activities.</w:t>
      </w:r>
    </w:p>
    <w:p>
      <w:pPr>
        <w:spacing w:after="0" w:line="211" w:lineRule="exact"/>
        <w:rPr>
          <w:sz w:val="20"/>
          <w:szCs w:val="20"/>
          <w:color w:val="auto"/>
        </w:rPr>
      </w:pPr>
    </w:p>
    <w:p>
      <w:pPr>
        <w:ind w:left="1360"/>
        <w:spacing w:after="0"/>
        <w:tabs>
          <w:tab w:leader="none" w:pos="5100" w:val="left"/>
          <w:tab w:leader="none" w:pos="8480" w:val="left"/>
        </w:tabs>
        <w:rPr>
          <w:sz w:val="20"/>
          <w:szCs w:val="20"/>
          <w:color w:val="auto"/>
        </w:rPr>
      </w:pPr>
      <w:r>
        <w:rPr>
          <w:rFonts w:ascii="Times New Roman" w:cs="Times New Roman" w:eastAsia="Times New Roman" w:hAnsi="Times New Roman"/>
          <w:sz w:val="14"/>
          <w:szCs w:val="14"/>
          <w:color w:val="auto"/>
        </w:rPr>
        <w:t>Net Sales ($ in millions)</w:t>
      </w:r>
      <w:r>
        <w:rPr>
          <w:sz w:val="20"/>
          <w:szCs w:val="20"/>
          <w:color w:val="auto"/>
        </w:rPr>
        <w:tab/>
      </w:r>
      <w:r>
        <w:rPr>
          <w:rFonts w:ascii="Times New Roman" w:cs="Times New Roman" w:eastAsia="Times New Roman" w:hAnsi="Times New Roman"/>
          <w:sz w:val="14"/>
          <w:szCs w:val="14"/>
          <w:color w:val="auto"/>
        </w:rPr>
        <w:t>Adj. EBITDA ($ in millions)</w:t>
      </w:r>
      <w:r>
        <w:rPr>
          <w:sz w:val="20"/>
          <w:szCs w:val="20"/>
          <w:color w:val="auto"/>
        </w:rPr>
        <w:tab/>
      </w:r>
      <w:r>
        <w:rPr>
          <w:rFonts w:ascii="Times New Roman" w:cs="Times New Roman" w:eastAsia="Times New Roman" w:hAnsi="Times New Roman"/>
          <w:sz w:val="14"/>
          <w:szCs w:val="14"/>
          <w:color w:val="auto"/>
        </w:rPr>
        <w:t>Cum. Adjusted FCF ($ in millions)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Performance Improvement Initiatives</w:t>
      </w:r>
    </w:p>
    <w:p>
      <w:pPr>
        <w:spacing w:after="0" w:line="121" w:lineRule="exact"/>
        <w:rPr>
          <w:sz w:val="20"/>
          <w:szCs w:val="20"/>
          <w:color w:val="auto"/>
        </w:rPr>
      </w:pPr>
    </w:p>
    <w:p>
      <w:pPr>
        <w:jc w:val="both"/>
        <w:ind w:left="300" w:right="200" w:firstLine="426"/>
        <w:spacing w:after="0" w:line="266" w:lineRule="auto"/>
        <w:rPr>
          <w:sz w:val="20"/>
          <w:szCs w:val="20"/>
          <w:color w:val="auto"/>
        </w:rPr>
      </w:pPr>
      <w:r>
        <w:rPr>
          <w:rFonts w:ascii="Times New Roman" w:cs="Times New Roman" w:eastAsia="Times New Roman" w:hAnsi="Times New Roman"/>
          <w:sz w:val="18"/>
          <w:szCs w:val="18"/>
          <w:color w:val="auto"/>
        </w:rPr>
        <w:t>We have made significant progress on several key performance improvement initiatives that drove positive comparable sales and Adjusted EBITDA growth in the last four consecutive quarters ended August 1, 2020, and created a foundation for our future growth. These key initiatives include:</w:t>
      </w:r>
    </w:p>
    <w:p>
      <w:pPr>
        <w:spacing w:after="0" w:line="79" w:lineRule="exact"/>
        <w:rPr>
          <w:sz w:val="20"/>
          <w:szCs w:val="20"/>
          <w:color w:val="auto"/>
        </w:rPr>
      </w:pPr>
    </w:p>
    <w:p>
      <w:pPr>
        <w:ind w:left="1240" w:right="200" w:hanging="415"/>
        <w:spacing w:after="0" w:line="257"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Strengthened leadership team </w:t>
      </w:r>
      <w:r>
        <w:rPr>
          <w:rFonts w:ascii="Times New Roman" w:cs="Times New Roman" w:eastAsia="Times New Roman" w:hAnsi="Times New Roman"/>
          <w:sz w:val="18"/>
          <w:szCs w:val="18"/>
          <w:color w:val="auto"/>
        </w:rPr>
        <w:t>– Our leadership team comprises nine highly experienced and proven individuals, six of whom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Academy from 2017 to 2018, led by our Chief Executive Officer and including our Chief Financial Officer, Chief Merchandising Officer, EVP of Retail Operations,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64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240" w:hanging="415"/>
        <w:spacing w:after="0" w:line="261"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Build omnichannel </w:t>
      </w:r>
      <w:r>
        <w:rPr>
          <w:rFonts w:ascii="Times New Roman" w:cs="Times New Roman" w:eastAsia="Times New Roman" w:hAnsi="Times New Roman"/>
          <w:sz w:val="18"/>
          <w:szCs w:val="18"/>
          <w:color w:val="auto"/>
        </w:rPr>
        <w:t>– After investing approximately $50 million over the last three years in our omnichannel capabilities, we launched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new omnichannel initiatives in 2019, including our BOPIS program and new website design, content and functionality. While still early in our omnichannel strategy, we have built a profitable omnichannel business that is poised for continued growth and improvement of capabilities.</w:t>
      </w:r>
    </w:p>
    <w:p>
      <w:pPr>
        <w:spacing w:after="0" w:line="85" w:lineRule="exact"/>
        <w:rPr>
          <w:rFonts w:ascii="Times New Roman" w:cs="Times New Roman" w:eastAsia="Times New Roman" w:hAnsi="Times New Roman"/>
          <w:sz w:val="18"/>
          <w:szCs w:val="18"/>
          <w:color w:val="auto"/>
        </w:rPr>
      </w:pPr>
    </w:p>
    <w:p>
      <w:pPr>
        <w:ind w:left="1240" w:right="420" w:hanging="415"/>
        <w:spacing w:after="0" w:line="284"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Localized merchandising </w:t>
      </w:r>
      <w:r>
        <w:rPr>
          <w:rFonts w:ascii="Times New Roman" w:cs="Times New Roman" w:eastAsia="Times New Roman" w:hAnsi="Times New Roman"/>
          <w:sz w:val="18"/>
          <w:szCs w:val="18"/>
          <w:color w:val="auto"/>
        </w:rPr>
        <w:t>– Since 2018, we improved the localization of our assortment across selected inventory offerings.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initiative resulted in an improved customer shopping experience and increased sales.</w:t>
      </w:r>
    </w:p>
    <w:p>
      <w:pPr>
        <w:spacing w:after="0" w:line="63" w:lineRule="exact"/>
        <w:rPr>
          <w:rFonts w:ascii="Times New Roman" w:cs="Times New Roman" w:eastAsia="Times New Roman" w:hAnsi="Times New Roman"/>
          <w:sz w:val="18"/>
          <w:szCs w:val="18"/>
          <w:color w:val="auto"/>
        </w:rPr>
      </w:pPr>
    </w:p>
    <w:p>
      <w:pPr>
        <w:ind w:left="1240" w:right="180" w:hanging="415"/>
        <w:spacing w:after="0" w:line="267"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Category focus </w:t>
      </w:r>
      <w:r>
        <w:rPr>
          <w:rFonts w:ascii="Times New Roman" w:cs="Times New Roman" w:eastAsia="Times New Roman" w:hAnsi="Times New Roman"/>
          <w:sz w:val="18"/>
          <w:szCs w:val="18"/>
          <w:color w:val="auto"/>
        </w:rPr>
        <w:t>– In 2019, we improved and focused our assortments in priority product categories, such as team sports, fishing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outdoors, while exiting certain other product categories, such as luggage, electronics and toys, that were less profitable or unprofitable, slower moving, and not core to our sporting goods and outdoor offering.</w:t>
      </w:r>
    </w:p>
    <w:p>
      <w:pPr>
        <w:spacing w:after="0" w:line="78" w:lineRule="exact"/>
        <w:rPr>
          <w:rFonts w:ascii="Times New Roman" w:cs="Times New Roman" w:eastAsia="Times New Roman" w:hAnsi="Times New Roman"/>
          <w:sz w:val="18"/>
          <w:szCs w:val="18"/>
          <w:color w:val="auto"/>
        </w:rPr>
      </w:pPr>
    </w:p>
    <w:p>
      <w:pPr>
        <w:ind w:left="1240" w:right="60" w:hanging="415"/>
        <w:spacing w:after="0" w:line="284"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 store optimization </w:t>
      </w:r>
      <w:r>
        <w:rPr>
          <w:rFonts w:ascii="Times New Roman" w:cs="Times New Roman" w:eastAsia="Times New Roman" w:hAnsi="Times New Roman"/>
          <w:sz w:val="18"/>
          <w:szCs w:val="18"/>
          <w:color w:val="auto"/>
        </w:rPr>
        <w:t>– We leverage technology to enable our store team members to better manage, prioritize and reduce tasks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give them more time to engage in customer service, thereby increasing our productivity and sales conversion.</w:t>
      </w:r>
    </w:p>
    <w:p>
      <w:pPr>
        <w:spacing w:after="0" w:line="63" w:lineRule="exact"/>
        <w:rPr>
          <w:rFonts w:ascii="Times New Roman" w:cs="Times New Roman" w:eastAsia="Times New Roman" w:hAnsi="Times New Roman"/>
          <w:sz w:val="18"/>
          <w:szCs w:val="18"/>
          <w:color w:val="auto"/>
        </w:rPr>
      </w:pPr>
    </w:p>
    <w:p>
      <w:pPr>
        <w:ind w:left="1240" w:right="160" w:hanging="415"/>
        <w:spacing w:after="0" w:line="267"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marketing program </w:t>
      </w:r>
      <w:r>
        <w:rPr>
          <w:rFonts w:ascii="Times New Roman" w:cs="Times New Roman" w:eastAsia="Times New Roman" w:hAnsi="Times New Roman"/>
          <w:sz w:val="18"/>
          <w:szCs w:val="18"/>
          <w:color w:val="auto"/>
        </w:rPr>
        <w:t>– During the last two years, we shifted our primary marketing focus from print to digital marketing.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website also supports our stores with digital marketing and our BOPIS program. Each of these initiatives has given us a closer connection with our customers.</w:t>
      </w:r>
    </w:p>
    <w:p>
      <w:pPr>
        <w:spacing w:after="0" w:line="78" w:lineRule="exact"/>
        <w:rPr>
          <w:rFonts w:ascii="Times New Roman" w:cs="Times New Roman" w:eastAsia="Times New Roman" w:hAnsi="Times New Roman"/>
          <w:sz w:val="18"/>
          <w:szCs w:val="18"/>
          <w:color w:val="auto"/>
        </w:rPr>
      </w:pPr>
    </w:p>
    <w:p>
      <w:pPr>
        <w:jc w:val="both"/>
        <w:ind w:left="1240" w:right="120" w:hanging="415"/>
        <w:spacing w:after="0" w:line="267"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 loyalty program </w:t>
      </w:r>
      <w:r>
        <w:rPr>
          <w:rFonts w:ascii="Times New Roman" w:cs="Times New Roman" w:eastAsia="Times New Roman" w:hAnsi="Times New Roman"/>
          <w:sz w:val="18"/>
          <w:szCs w:val="18"/>
          <w:color w:val="auto"/>
        </w:rPr>
        <w:t>– We launched the Academy Credit Card program in May 2019, which constituted approximately 4%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half 2020 net sales. Academy Credit Card represents a significant opportunity to build customer loyalty, as our Academy Credit Card customers both spend more per trip and visit our stores more often.</w:t>
      </w:r>
    </w:p>
    <w:p>
      <w:pPr>
        <w:spacing w:after="0" w:line="78"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Programmatic inventory management </w:t>
      </w:r>
      <w:r>
        <w:rPr>
          <w:rFonts w:ascii="Times New Roman" w:cs="Times New Roman" w:eastAsia="Times New Roman" w:hAnsi="Times New Roman"/>
          <w:sz w:val="18"/>
          <w:szCs w:val="18"/>
          <w:color w:val="auto"/>
        </w:rPr>
        <w:t>– We implemented a new disciplined price markdown strategy that has improved our margins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2.68x in 2017 to 3.36x for the twelve months ended August 1, 2020.</w:t>
      </w:r>
    </w:p>
    <w:p>
      <w:pPr>
        <w:spacing w:after="0" w:line="85" w:lineRule="exact"/>
        <w:rPr>
          <w:rFonts w:ascii="Times New Roman" w:cs="Times New Roman" w:eastAsia="Times New Roman" w:hAnsi="Times New Roman"/>
          <w:sz w:val="18"/>
          <w:szCs w:val="18"/>
          <w:color w:val="auto"/>
        </w:rPr>
      </w:pPr>
    </w:p>
    <w:p>
      <w:pPr>
        <w:ind w:left="1240" w:right="140" w:hanging="415"/>
        <w:spacing w:after="0" w:line="258"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 small box format </w:t>
      </w:r>
      <w:r>
        <w:rPr>
          <w:rFonts w:ascii="Times New Roman" w:cs="Times New Roman" w:eastAsia="Times New Roman" w:hAnsi="Times New Roman"/>
          <w:sz w:val="18"/>
          <w:szCs w:val="18"/>
          <w:color w:val="auto"/>
        </w:rPr>
        <w:t>– We opened our first small format store (approximately 40,000 square feet) in Dallas, Texas in 2019.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this new smaller format store allows us to open new stores in urban and less dense areas. During first half 2020, this smaller format store experienced approximately 25% higher sales per square foot and 13% higher inventory turns than the average of all Academy stores, the latter of which had $150 sales per square foot and 2.44x inventory turns. We evaluate performance inclusive of store sales, as well as BOPIS sales and other fulfilled sales from the location.</w:t>
      </w:r>
    </w:p>
    <w:p>
      <w:pPr>
        <w:spacing w:after="0" w:line="185"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43% of Americans expect to be doing more outdoor recreational activities in the future in order to facilitate social distancing. We expect that this will continue throughout the duration of the pandemic and will result in a long-term increase to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We have invested in and built our operating platforms over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320" w:top="455" w:right="6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9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8"/>
          <w:szCs w:val="18"/>
          <w:color w:val="auto"/>
        </w:rPr>
        <w:t>last several years and, coupled with our product offering and accessible stores, have laid the foundation for our future growth and success in this environment. It is difficult to ascertain with precision what portion of our increased comparable sales during the first half of 2020 is attributable to the increase in e-commerce sales due to the COVID-19 pandemic as compared to the impact of the business improvements described above.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We compete in a $70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 The retail business is highly competitive based on many variables including price, product assortment, customer service, omnichannel experience and store locations.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retail sporting goods and outdoor recreation retail industry comprises six principal categories of retailers:</w:t>
      </w:r>
    </w:p>
    <w:p>
      <w:pPr>
        <w:spacing w:after="0" w:line="131" w:lineRule="exact"/>
        <w:rPr>
          <w:sz w:val="20"/>
          <w:szCs w:val="20"/>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general merchants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format sporting goods stores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sporting goods stores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outdoor retailers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footwear retailers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Catalogue &amp; Internet retailers</w:t>
      </w:r>
    </w:p>
    <w:p>
      <w:pPr>
        <w:spacing w:after="0" w:line="225" w:lineRule="exact"/>
        <w:rPr>
          <w:sz w:val="20"/>
          <w:szCs w:val="20"/>
          <w:color w:val="auto"/>
        </w:rPr>
      </w:pPr>
    </w:p>
    <w:p>
      <w:pPr>
        <w:ind w:left="300" w:right="320" w:firstLine="426"/>
        <w:spacing w:after="0" w:line="282" w:lineRule="auto"/>
        <w:rPr>
          <w:sz w:val="20"/>
          <w:szCs w:val="20"/>
          <w:color w:val="auto"/>
        </w:rPr>
      </w:pPr>
      <w:r>
        <w:rPr>
          <w:rFonts w:ascii="Times New Roman" w:cs="Times New Roman" w:eastAsia="Times New Roman" w:hAnsi="Times New Roman"/>
          <w:sz w:val="18"/>
          <w:szCs w:val="18"/>
          <w:color w:val="auto"/>
        </w:rPr>
        <w:t>Our primary competitors are large format sporting goods stores and mass general merchants that offer sporting goods, outdoor recreation products and other lifestyle and recreational merchandise.</w:t>
      </w:r>
    </w:p>
    <w:p>
      <w:pPr>
        <w:spacing w:after="0" w:line="162" w:lineRule="exact"/>
        <w:rPr>
          <w:sz w:val="20"/>
          <w:szCs w:val="20"/>
          <w:color w:val="auto"/>
        </w:rPr>
      </w:pPr>
    </w:p>
    <w:p>
      <w:pPr>
        <w:ind w:left="300" w:right="40" w:firstLine="426"/>
        <w:spacing w:after="0" w:line="253" w:lineRule="auto"/>
        <w:rPr>
          <w:sz w:val="20"/>
          <w:szCs w:val="20"/>
          <w:color w:val="auto"/>
        </w:rPr>
      </w:pPr>
      <w:r>
        <w:rPr>
          <w:rFonts w:ascii="Times New Roman" w:cs="Times New Roman" w:eastAsia="Times New Roman" w:hAnsi="Times New Roman"/>
          <w:sz w:val="18"/>
          <w:szCs w:val="18"/>
          <w:color w:val="auto"/>
        </w:rPr>
        <w:t>The overall U.S. sporting goods and outdoors recreation industry is constantly evolving and demand for certain sports and outdoors recreation goods may increase or decrease depending upon the economics, 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The rising popularity in loyalty to premium brands, and importance of experience for customers also serve as constructive tailwinds to our business. We believe we are well positioned to capture an increasing portion of the wallets of important growing demographics, such as female and Hispanic customers.</w:t>
      </w:r>
    </w:p>
    <w:p>
      <w:pPr>
        <w:spacing w:after="0" w:line="19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320" w:top="455" w:right="6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16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attribute our success to the following competitive strengths: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Regional leader in growing industry</w:t>
      </w:r>
    </w:p>
    <w:p>
      <w:pPr>
        <w:spacing w:after="0" w:line="121"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color w:val="auto"/>
        </w:rPr>
        <w:t>We are the second largest full-line sporting goods and outdoor recreation retailer in the United States, with 2019 net sales of $4.8 billion. We believe our stores are well positioned geographically, with a strong and growing presence in six of the top 10 fastest-growing MSAs, including Dallas, Houston, Atlanta, Austin, Charlotte and San Antonio. As of August 1, 2020, 29% of our stores are in four of the top five fastest-growing MSAs. This deep penetration of our established markets results in high customer awareness of, and loyalty to, the Academy name and frequent visits to our conveniently located stores.</w:t>
      </w:r>
    </w:p>
    <w:p>
      <w:pPr>
        <w:spacing w:after="0" w:line="183"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The size of the sporting goods and outdoor recreation industry was estimated at $70 billion in the United States in 2018, and it is growing. According to Allied Market Research, sales growth from 2019 through 2027 in categories we participate, such as outdoor, team sports, apparel and footwear, is expected to grow approximately 6% per annum.</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Broad assortment and compelling value proposition across the spectrum</w:t>
      </w:r>
    </w:p>
    <w:p>
      <w:pPr>
        <w:spacing w:after="0" w:line="121"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 leading value-oriented position by offering customers extensive choices of “good, better and best” merchandise 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Diversified mix of industry-leading national brands and owned brands</w:t>
      </w:r>
    </w:p>
    <w:p>
      <w:pPr>
        <w:spacing w:after="0" w:line="121"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2019 merchandise sales was comprised of national brand products, with the remainder coming from exclusive products in our portfolio of 17 owned brands. We have minimal product overlap with direct-to-consumer brands and competitors. No single brand we carry accounted for more than 12% of our 2019 sales.</w:t>
      </w:r>
    </w:p>
    <w:p>
      <w:pPr>
        <w:spacing w:after="0" w:line="183" w:lineRule="exact"/>
        <w:rPr>
          <w:sz w:val="20"/>
          <w:szCs w:val="20"/>
          <w:color w:val="auto"/>
        </w:rPr>
      </w:pPr>
    </w:p>
    <w:p>
      <w:pPr>
        <w:ind w:left="300" w:right="780" w:firstLine="426"/>
        <w:spacing w:after="0" w:line="282" w:lineRule="auto"/>
        <w:rPr>
          <w:sz w:val="20"/>
          <w:szCs w:val="20"/>
          <w:color w:val="auto"/>
        </w:rPr>
      </w:pPr>
      <w:r>
        <w:rPr>
          <w:rFonts w:ascii="Times New Roman" w:cs="Times New Roman" w:eastAsia="Times New Roman" w:hAnsi="Times New Roman"/>
          <w:sz w:val="18"/>
          <w:szCs w:val="18"/>
          <w:color w:val="auto"/>
        </w:rPr>
        <w:t>We have premium access to hundreds of well-recognized national brands, such as Nike, Carhartt, adidas, Under Armour, Columbia Sportswear, North Face and Winchester, which are critical to our market penetration.</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36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color w:val="auto"/>
        </w:rPr>
        <w:t>These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183" w:lineRule="exact"/>
        <w:rPr>
          <w:sz w:val="20"/>
          <w:szCs w:val="20"/>
          <w:color w:val="auto"/>
        </w:rPr>
      </w:pPr>
    </w:p>
    <w:p>
      <w:pPr>
        <w:ind w:left="300" w:right="200" w:firstLine="426"/>
        <w:spacing w:after="0" w:line="254" w:lineRule="auto"/>
        <w:rPr>
          <w:sz w:val="20"/>
          <w:szCs w:val="20"/>
          <w:color w:val="auto"/>
        </w:rPr>
      </w:pPr>
      <w:r>
        <w:rPr>
          <w:rFonts w:ascii="Times New Roman" w:cs="Times New Roman" w:eastAsia="Times New Roman" w:hAnsi="Times New Roman"/>
          <w:sz w:val="18"/>
          <w:szCs w:val="18"/>
          <w:color w:val="auto"/>
        </w:rPr>
        <w:t>Our owned brand portfolio consists of 17 brands, including Magellan Outdoors, BCG, Academy Sports + Outdoors and Outdoor Gourmet. Our owned brand strategy focuses on in-filling categories and price points that 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7.6% and 3.9% in 2019, respectively. Additionally, our owned brands generate strong brand equity and drive significant customer loyalty, as several of our exclusive products, such as the Academy-logo folding chair and folding wagon, are top-selling items. Approximately 60% of our customers purchased an owned brand item from us in 2019. Whether it is seeing a row of Academy-branded chairs at a softball game, or individuals wearing Magellan Outdoors shirts around town, our owned brands are worn and used throughout our footprint.</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in-store experience</w:t>
      </w:r>
    </w:p>
    <w:p>
      <w:pPr>
        <w:spacing w:after="0" w:line="121" w:lineRule="exact"/>
        <w:rPr>
          <w:sz w:val="20"/>
          <w:szCs w:val="20"/>
          <w:color w:val="auto"/>
        </w:rPr>
      </w:pPr>
    </w:p>
    <w:p>
      <w:pPr>
        <w:ind w:left="300" w:right="60" w:firstLine="426"/>
        <w:spacing w:after="0" w:line="253" w:lineRule="auto"/>
        <w:rPr>
          <w:sz w:val="20"/>
          <w:szCs w:val="20"/>
          <w:color w:val="auto"/>
        </w:rPr>
      </w:pPr>
      <w:r>
        <w:rPr>
          <w:rFonts w:ascii="Times New Roman" w:cs="Times New Roman" w:eastAsia="Times New Roman" w:hAnsi="Times New Roman"/>
          <w:sz w:val="18"/>
          <w:szCs w:val="18"/>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 considerable expertise in identifying, stocking and selling a relevant assortment to meet the local needs and demands.</w:t>
      </w:r>
    </w:p>
    <w:p>
      <w:pPr>
        <w:spacing w:after="0" w:line="194" w:lineRule="exact"/>
        <w:rPr>
          <w:sz w:val="20"/>
          <w:szCs w:val="20"/>
          <w:color w:val="auto"/>
        </w:rPr>
      </w:pPr>
    </w:p>
    <w:p>
      <w:pPr>
        <w:ind w:left="300" w:firstLine="426"/>
        <w:spacing w:after="0" w:line="269" w:lineRule="auto"/>
        <w:rPr>
          <w:sz w:val="20"/>
          <w:szCs w:val="20"/>
          <w:color w:val="auto"/>
        </w:rPr>
      </w:pPr>
      <w:r>
        <w:rPr>
          <w:rFonts w:ascii="Times New Roman" w:cs="Times New Roman" w:eastAsia="Times New Roman" w:hAnsi="Times New Roman"/>
          <w:sz w:val="17"/>
          <w:szCs w:val="17"/>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Times New Roman" w:cs="Times New Roman" w:eastAsia="Times New Roman" w:hAnsi="Times New Roman"/>
          <w:sz w:val="17"/>
          <w:szCs w:val="17"/>
          <w:i w:val="1"/>
          <w:iCs w:val="1"/>
          <w:color w:val="auto"/>
        </w:rPr>
        <w:t>Enthusiasts</w:t>
      </w:r>
      <w:r>
        <w:rPr>
          <w:rFonts w:ascii="Times New Roman" w:cs="Times New Roman" w:eastAsia="Times New Roman" w:hAnsi="Times New Roman"/>
          <w:sz w:val="17"/>
          <w:szCs w:val="17"/>
          <w:color w:val="auto"/>
        </w:rPr>
        <w:t xml:space="preserve"> –passionate local experts who are specially recruited and trained for category-specific positions. Our </w:t>
      </w:r>
      <w:r>
        <w:rPr>
          <w:rFonts w:ascii="Times New Roman" w:cs="Times New Roman" w:eastAsia="Times New Roman" w:hAnsi="Times New Roman"/>
          <w:sz w:val="17"/>
          <w:szCs w:val="17"/>
          <w:i w:val="1"/>
          <w:iCs w:val="1"/>
          <w:color w:val="auto"/>
        </w:rPr>
        <w:t>Enthusiasts</w:t>
      </w:r>
      <w:r>
        <w:rPr>
          <w:rFonts w:ascii="Times New Roman" w:cs="Times New Roman" w:eastAsia="Times New Roman" w:hAnsi="Times New Roman"/>
          <w:sz w:val="17"/>
          <w:szCs w:val="17"/>
          <w:color w:val="auto"/>
        </w:rPr>
        <w:t xml:space="preserve"> use the products they sell 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Times New Roman" w:cs="Times New Roman" w:eastAsia="Times New Roman" w:hAnsi="Times New Roman"/>
          <w:sz w:val="17"/>
          <w:szCs w:val="17"/>
          <w:i w:val="1"/>
          <w:iCs w:val="1"/>
          <w:color w:val="auto"/>
        </w:rPr>
        <w:t>Enthusiasts</w:t>
      </w:r>
      <w:r>
        <w:rPr>
          <w:rFonts w:ascii="Times New Roman" w:cs="Times New Roman" w:eastAsia="Times New Roman" w:hAnsi="Times New Roman"/>
          <w:sz w:val="17"/>
          <w:szCs w:val="17"/>
          <w:color w:val="auto"/>
        </w:rPr>
        <w:t xml:space="preserve"> to share experiences and obtain further advice and assistance.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420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Large and loyal customer base</w:t>
      </w:r>
    </w:p>
    <w:p>
      <w:pPr>
        <w:spacing w:after="0" w:line="121" w:lineRule="exact"/>
        <w:rPr>
          <w:sz w:val="20"/>
          <w:szCs w:val="20"/>
          <w:color w:val="auto"/>
        </w:rPr>
      </w:pPr>
    </w:p>
    <w:p>
      <w:pPr>
        <w:jc w:val="both"/>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We endeavor to offer products for customers of all ages, incomes and aspirations across sporting and outdoor recreation activities, seasons and experience levels. As such, we have a balanced, year-round business and a large customer base. In 2019, we estimate we served 30 million unique customers and we completed approximately 80 million transactions, resulting in strong household penetration in our core markets.</w:t>
      </w:r>
    </w:p>
    <w:p>
      <w:pPr>
        <w:spacing w:after="0" w:line="158"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Our customers love shopping at Academy. Our average customer visits our stores anywhere from two to four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that are large format sporting goods stores and specialty outdoor retailers and their customers. As of August 1, 2020, we estimate we have gained approximately two million new customers this year.</w:t>
      </w:r>
    </w:p>
    <w:p>
      <w:pPr>
        <w:spacing w:after="0" w:line="183"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183"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Fans and spectators also constitute a large part of our customer base. Academy-branded folding chairs and wagons are frequently spotted at any local sporting or spectator event. We are active members in our communities, sponsoring events for the NCAA Southeastern Conference, local events, such as the Bassmaster 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Highly experienced and passionate senior management team with a proven track record</w:t>
      </w:r>
    </w:p>
    <w:p>
      <w:pPr>
        <w:spacing w:after="0" w:line="121" w:lineRule="exact"/>
        <w:rPr>
          <w:sz w:val="20"/>
          <w:szCs w:val="20"/>
          <w:color w:val="auto"/>
        </w:rPr>
      </w:pPr>
    </w:p>
    <w:p>
      <w:pPr>
        <w:ind w:left="300" w:firstLine="426"/>
        <w:spacing w:after="0" w:line="273" w:lineRule="auto"/>
        <w:rPr>
          <w:sz w:val="20"/>
          <w:szCs w:val="20"/>
          <w:color w:val="auto"/>
        </w:rPr>
      </w:pPr>
      <w:r>
        <w:rPr>
          <w:rFonts w:ascii="Times New Roman" w:cs="Times New Roman" w:eastAsia="Times New Roman" w:hAnsi="Times New Roman"/>
          <w:sz w:val="17"/>
          <w:szCs w:val="17"/>
          <w:color w:val="auto"/>
        </w:rPr>
        <w:t>Our company is led by a highly-accomplished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24 years of retail experience. Six out of the nine members of our senior management team, including our Chairman, President and Chief Executive Officer, Ken C. Hicks, were hired beginning early 2017 to lead the development and execution of our strategic growth and initiatives in merchandising, e-commerce and omnichannel, stores, information technology and finance. Together, our senior management has delivered strong results, with four consecutive quarters of positive comparable sales as of second quarter 2020, Adjusted EBITDA growth to $323 million in 2019, or 8%, compared to 2018, and Adjusted Free Cash Flow growth of $99 million in 2018 to $197 million in 2019.</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Strong and adaptive financial performance through economic cycles</w:t>
      </w:r>
    </w:p>
    <w:p>
      <w:pPr>
        <w:spacing w:after="0" w:line="121"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55" w:right="6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47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20"/>
        <w:spacing w:after="0" w:line="282" w:lineRule="auto"/>
        <w:rPr>
          <w:sz w:val="20"/>
          <w:szCs w:val="20"/>
          <w:color w:val="auto"/>
        </w:rPr>
      </w:pPr>
      <w:r>
        <w:rPr>
          <w:rFonts w:ascii="Times New Roman" w:cs="Times New Roman" w:eastAsia="Times New Roman" w:hAnsi="Times New Roman"/>
          <w:sz w:val="18"/>
          <w:szCs w:val="18"/>
          <w:color w:val="auto"/>
        </w:rPr>
        <w:t>market share during all economic cycles, including during April and May 2020. We attribute this to customers knowing we offer a broad assortment of the items they want during a down cycle at everyday value.</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We have consistently demonstrated steady revenue growth, expanded profit margins and disciplined capital expenditures. We generated</w:t>
      </w:r>
    </w:p>
    <w:p>
      <w:pPr>
        <w:spacing w:after="0" w:line="27"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$4.8 billion in net sales, $120 million in net income and $323 million in Adjusted EBITDA in 2019. In 2019, we also generated $264 million of net cash provided by operating activities and $197 million in Adjusted Free Cash Flow, while limiting net capital expenditures to $63 million. We have reduced our net leverage ratio to 1.2x as of end of second quarter 2020 compared to 5.2x as of end of both 2017 and 2018 and 4.1x as of end of 2019.</w:t>
      </w:r>
    </w:p>
    <w:p>
      <w:pPr>
        <w:spacing w:after="0" w:line="189"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We have a proven store model that has generated strong Adjusted Free Cash Flow, store-level profitability and return on invested capital. All of our 211 mature stores (stores opened longer than four years) were profitable on a four-wall basis for the twelve months ended August 1, 2020 and our new stores have average payback periods of four to five years.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are focused on the following four growth drivers: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Leverage technology and content to drive our omnichannel strategy</w:t>
      </w:r>
    </w:p>
    <w:p>
      <w:pPr>
        <w:spacing w:after="0" w:line="121"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Our e-commerce sales represented 5% and 11% of our merchandise sales for 2019 and for the first half 2020, respectively. E-commerce sales increased 406% from the prior quarter in first quarter 2020 and 210% from the prior quarter in second quarter 2020. Our goal is to increase our omnichannel penetration quickly and significantly. To meet this goal, since 2011, we have invested $225 million in omnichannel and information 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187"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Omnichannel offerings are becoming increasingly important, as our customers want options when they shop. During the first half 2020, our omnichannel customers spent 43% more than our store-only customers and 197% more than our online only customers. Since we launched our BOPIS program in 2019, we have seen significant e-commerce penetration that generates higher average order value and incremental in-store purchases. BOPIS orders accounted for 50% of all e-commerce sales during first half 2020.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expect to launch our ship-to-store capabilities in third quarter 2020, which will continue to give our customers more options on how to shop Academy.</w:t>
      </w:r>
    </w:p>
    <w:p>
      <w:pPr>
        <w:spacing w:after="0" w:line="192"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For the twelve months ended August 1, 2020, we reached approximately 6.7 million unique households, across 200 cities, in 44 states through ship-to-home orders made through our website. In 2019, 11%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53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Enhance customer engagement and increase retention</w:t>
      </w:r>
    </w:p>
    <w:p>
      <w:pPr>
        <w:spacing w:after="0" w:line="121"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We believe we have a significant opportunity to continue to expand our customer base. Better understanding our customers’ buying trends allows us to better target and cater to our customers. Our robust customer database has 38 million unique customers, and we continue to grow this through increased penetration of e-commerce sales and through the success of our Academy Credit Card program.</w:t>
      </w:r>
    </w:p>
    <w:p>
      <w:pPr>
        <w:spacing w:after="0" w:line="176" w:lineRule="exact"/>
        <w:rPr>
          <w:sz w:val="20"/>
          <w:szCs w:val="20"/>
          <w:color w:val="auto"/>
        </w:rPr>
      </w:pPr>
    </w:p>
    <w:p>
      <w:pPr>
        <w:ind w:left="300" w:right="140" w:firstLine="426"/>
        <w:spacing w:after="0" w:line="256" w:lineRule="auto"/>
        <w:rPr>
          <w:sz w:val="20"/>
          <w:szCs w:val="20"/>
          <w:color w:val="auto"/>
        </w:rPr>
      </w:pPr>
      <w:r>
        <w:rPr>
          <w:rFonts w:ascii="Times New Roman" w:cs="Times New Roman" w:eastAsia="Times New Roman" w:hAnsi="Times New Roman"/>
          <w:sz w:val="18"/>
          <w:szCs w:val="18"/>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38 million customers in our database, there is ample opportunity to increase our communication directly with our customers via one-on-one marketing. We are also leveraging the information from our approximately 80 million annual transactions to make more informed, localized decisions on promotion, marketing and inventory.</w:t>
      </w:r>
    </w:p>
    <w:p>
      <w:pPr>
        <w:spacing w:after="0" w:line="187"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 of first half 2020 net sales.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spacing w:after="0" w:line="189"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We believe we possess a significant amount of high quality customer data, which we can leverage to enhance customer engagement and retention and drive purchase conversion.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Enhance operational excellence</w:t>
      </w:r>
    </w:p>
    <w:p>
      <w:pPr>
        <w:spacing w:after="0" w:line="121"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pacing w:after="0" w:line="176"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Much of our margin expansion from 2017 to 2019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 party programs to analyze our inventory stock throughout the year at every location. This implementation has allowed us to improve our inventory management in stores, increasing the average inventory turns from 2.68x in 2017 to 3.36x for the twelve months ended August 1, 2020, and has helped us to identify and exit certain product categories, such as luggage and toys.</w:t>
      </w:r>
    </w:p>
    <w:p>
      <w:pPr>
        <w:spacing w:after="0" w:line="187"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176"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320" w:top="455" w:right="6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08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50876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81" w:lineRule="auto"/>
        <w:rPr>
          <w:sz w:val="20"/>
          <w:szCs w:val="20"/>
          <w:color w:val="auto"/>
        </w:rPr>
      </w:pPr>
      <w:r>
        <w:rPr>
          <w:rFonts w:ascii="Times New Roman" w:cs="Times New Roman" w:eastAsia="Times New Roman" w:hAnsi="Times New Roman"/>
          <w:sz w:val="17"/>
          <w:szCs w:val="17"/>
          <w:color w:val="auto"/>
        </w:rPr>
        <w:t>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2020 as a result of a shift in consumer preferences due to the COVID-19 pandemic and the related increased popularity in our isolated recreation, outdoor and leisure activity products, which are generally lower margin goods.</w:t>
      </w:r>
    </w:p>
    <w:p>
      <w:pPr>
        <w:spacing w:after="0" w:line="164" w:lineRule="exact"/>
        <w:rPr>
          <w:sz w:val="20"/>
          <w:szCs w:val="20"/>
          <w:color w:val="auto"/>
        </w:rPr>
      </w:pPr>
    </w:p>
    <w:p>
      <w:pPr>
        <w:jc w:val="both"/>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 on substantial whitespace and in-fill opportunities</w:t>
      </w:r>
    </w:p>
    <w:p>
      <w:pPr>
        <w:spacing w:after="0" w:line="121"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twelve months of opening a store. As of the end of first half 2020, we had 211 mature stores, and all were profitable on a four-wall basis for the twelve months ended August 1, 2020. We expect to open eight to 10 new stores per year starting in 2022, which is similar to our growth rates from 2018 to 2019.</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In-fill market opportunity</w:t>
      </w:r>
    </w:p>
    <w:p>
      <w:pPr>
        <w:spacing w:after="0" w:line="119"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currently includes approximately 120 locations that could accommodate our preferred size of stores in markets we would consider.</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Adjacent market opportunity</w:t>
      </w:r>
    </w:p>
    <w:p>
      <w:pPr>
        <w:spacing w:after="0" w:line="119"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preferred size of stores in markets we would consider.</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Greenfield opportunity</w:t>
      </w:r>
    </w:p>
    <w:p>
      <w:pPr>
        <w:spacing w:after="0" w:line="11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preferred size of stores in markets we would consider.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9818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69818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Significant growth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176" w:lineRule="exact"/>
        <w:rPr>
          <w:sz w:val="20"/>
          <w:szCs w:val="20"/>
          <w:color w:val="auto"/>
        </w:rPr>
      </w:pPr>
    </w:p>
    <w:p>
      <w:pPr>
        <w:jc w:val="both"/>
        <w:ind w:left="300" w:right="320" w:firstLine="426"/>
        <w:spacing w:after="0" w:line="266" w:lineRule="auto"/>
        <w:rPr>
          <w:sz w:val="20"/>
          <w:szCs w:val="20"/>
          <w:color w:val="auto"/>
        </w:rPr>
      </w:pPr>
      <w:r>
        <w:rPr>
          <w:rFonts w:ascii="Times New Roman" w:cs="Times New Roman" w:eastAsia="Times New Roman" w:hAnsi="Times New Roman"/>
          <w:sz w:val="18"/>
          <w:szCs w:val="18"/>
          <w:color w:val="auto"/>
        </w:rPr>
        <w:t>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this Offering</w:t>
      </w:r>
    </w:p>
    <w:p>
      <w:pPr>
        <w:spacing w:after="0" w:line="121"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risks described in “Risk Factors” before making a decision to invest in our common stock. If any of these risks actually occurs, our business, results of operations and financial condition may be materially adversely affected. In such case, the trading price of our common stock may decline and you may lose part or all of your investment. Below is a summary of some of the principal risks we face:</w:t>
      </w:r>
    </w:p>
    <w:p>
      <w:pPr>
        <w:spacing w:after="0" w:line="85" w:lineRule="exact"/>
        <w:rPr>
          <w:sz w:val="20"/>
          <w:szCs w:val="20"/>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130"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320" w:top="455" w:right="6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470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4470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w:t>
      </w:r>
    </w:p>
    <w:p>
      <w:pPr>
        <w:spacing w:after="0" w:line="130" w:lineRule="exact"/>
        <w:rPr>
          <w:rFonts w:ascii="Times New Roman" w:cs="Times New Roman" w:eastAsia="Times New Roman" w:hAnsi="Times New Roman"/>
          <w:sz w:val="18"/>
          <w:szCs w:val="18"/>
          <w:color w:val="auto"/>
        </w:rPr>
      </w:pPr>
    </w:p>
    <w:p>
      <w:pPr>
        <w:ind w:left="1240" w:right="60" w:hanging="523"/>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67" w:lineRule="exact"/>
        <w:rPr>
          <w:rFonts w:ascii="Times New Roman" w:cs="Times New Roman" w:eastAsia="Times New Roman" w:hAnsi="Times New Roman"/>
          <w:sz w:val="18"/>
          <w:szCs w:val="18"/>
          <w:color w:val="auto"/>
        </w:rPr>
      </w:pPr>
    </w:p>
    <w:p>
      <w:pPr>
        <w:ind w:left="1240" w:right="600" w:hanging="523"/>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 and the risk that our insurance or indemnities coverage may not be sufficient;</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technology systems;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w:t>
      </w:r>
    </w:p>
    <w:p>
      <w:pPr>
        <w:spacing w:after="0" w:line="130" w:lineRule="exact"/>
        <w:rPr>
          <w:rFonts w:ascii="Times New Roman" w:cs="Times New Roman" w:eastAsia="Times New Roman" w:hAnsi="Times New Roman"/>
          <w:sz w:val="18"/>
          <w:szCs w:val="18"/>
          <w:color w:val="auto"/>
        </w:rPr>
      </w:pPr>
    </w:p>
    <w:p>
      <w:pPr>
        <w:ind w:left="1240" w:right="620" w:hanging="523"/>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being a “controlled company” within the meaning of Nasdaq rules and, as a result, qualifying for exemptions from certain corporate governance requirements; and</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KKR Stockholders controlling us and their interests conflicting with ours or yours in the future.</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KKR</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KKR is a leading global investment firm that manages multiple alternative asset classes, including private equity, credit and real assets, with strategic partners that manage hedge funds. KKR aims to generate attractive investment returns for its fund investors by following a patient and disciplined investment approach, employing world-class people, and driving growth and value creation with KKR portfolio companies. KKR invests its own capital alongside the capital it manages for fund investors and provides financing solutions and investment opportunities through its capital markets business.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 xml:space="preserve">Our principal offices are located at 1800 North Mason Road, Katy, Texas 77449. Our telephone number is (281) 646-5200. We maintain a website at academy.com. The reference to our website is intended to be an inactive textual reference only. </w:t>
      </w:r>
      <w:r>
        <w:rPr>
          <w:rFonts w:ascii="Times New Roman" w:cs="Times New Roman" w:eastAsia="Times New Roman" w:hAnsi="Times New Roman"/>
          <w:sz w:val="18"/>
          <w:szCs w:val="18"/>
          <w:b w:val="1"/>
          <w:bCs w:val="1"/>
          <w:color w:val="auto"/>
        </w:rPr>
        <w:t>The information contained on, or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can be accessed through,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320" w:top="455" w:right="6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160" w:type="dxa"/>
            <w:vAlign w:val="bottom"/>
            <w:tcBorders>
              <w:top w:val="single" w:sz="8" w:color="auto"/>
              <w:left w:val="single" w:sz="8" w:color="auto"/>
            </w:tcBorders>
          </w:tcPr>
          <w:p>
            <w:pPr>
              <w:spacing w:after="0"/>
              <w:rPr>
                <w:sz w:val="24"/>
                <w:szCs w:val="24"/>
                <w:color w:val="auto"/>
              </w:rPr>
            </w:pPr>
          </w:p>
        </w:tc>
        <w:tc>
          <w:tcPr>
            <w:tcW w:w="686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15,625,000 shares.</w:t>
            </w:r>
          </w:p>
        </w:tc>
      </w:tr>
      <w:tr>
        <w:trPr>
          <w:trHeight w:val="450"/>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 of common</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 have granted the underwriters a 30-day option from the date of this prospectus to</w:t>
            </w:r>
          </w:p>
        </w:tc>
      </w:tr>
      <w:tr>
        <w:trPr>
          <w:trHeight w:val="220"/>
        </w:trPr>
        <w:tc>
          <w:tcPr>
            <w:tcW w:w="41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purchase up to 2,343,750 additional shares of our common stock at the initial public</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offering price, less underwriting discounts and commissions, to cover over-allotments, if</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any.</w:t>
            </w:r>
          </w:p>
        </w:tc>
      </w:tr>
      <w:tr>
        <w:trPr>
          <w:trHeight w:val="437"/>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to be outstanding immediately after</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88,103,095 shares (or 90,446,845 shares if the underwriters exercise in full their over-</w:t>
            </w:r>
          </w:p>
        </w:tc>
      </w:tr>
      <w:tr>
        <w:trPr>
          <w:trHeight w:val="238"/>
        </w:trPr>
        <w:tc>
          <w:tcPr>
            <w:tcW w:w="41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this offering</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allotment option).</w:t>
            </w:r>
          </w:p>
        </w:tc>
      </w:tr>
      <w:tr>
        <w:trPr>
          <w:trHeight w:val="454"/>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$225</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million (or approximately $260 million, if the underwriters exercise in full their over-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allotment option), assuming an initial public offering price of $16.00 per share, which is</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midpoint of the estimated price range set forth on the cover page of this prospectus, and</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after deducting the underwriting discounts and commissions and estimated offering</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expenses payable by us. For a sensitivity analysis as to the offering price and other</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information, see “Use of Proceeds.”</w:t>
            </w:r>
          </w:p>
        </w:tc>
      </w:tr>
      <w:tr>
        <w:trPr>
          <w:trHeight w:val="441"/>
        </w:trPr>
        <w:tc>
          <w:tcPr>
            <w:tcW w:w="4160" w:type="dxa"/>
            <w:vAlign w:val="bottom"/>
            <w:tcBorders>
              <w:left w:val="single" w:sz="8" w:color="auto"/>
            </w:tcBorders>
          </w:tcPr>
          <w:p>
            <w:pPr>
              <w:spacing w:after="0"/>
              <w:rPr>
                <w:sz w:val="24"/>
                <w:szCs w:val="24"/>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 intend to use these proceeds for general corporate purposes, which may include the</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repayment of certain indebtedness.</w:t>
            </w:r>
          </w:p>
        </w:tc>
      </w:tr>
      <w:tr>
        <w:trPr>
          <w:trHeight w:val="441"/>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Conflicts of Interest</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Affiliates of KKR beneficially own in excess of 10% of our issued and outstanding</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common stock. Because KKR Capital Markets LLC, an affiliate of KKR, is an underwriter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 this offering and its affiliates own in excess of 10% of our issued and outstanding</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common stock, KKR Capital Markets LLC is deemed to have a “conflict of interest” under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Rule 5121, or Rule 5121, of the Financial Industry Regulatory Authority, Inc., or FINRA.</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Accordingly, this offering is being made in compliance with the requirements of Rule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5121. Pursuant to that rule, the appointment of a “qualified independent underwriter” is not</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required in connection with this offering as the member primarily responsible for managing</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public offering does not have a conflict of interest, is not an affiliate of any member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that has a conflict of interest and meets the requirements of paragraph (f)(12)(E) of</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Rule 5121. See “Underwriting (Conflicts of Interest).”</w:t>
            </w:r>
          </w:p>
        </w:tc>
      </w:tr>
      <w:tr>
        <w:trPr>
          <w:trHeight w:val="441"/>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Controlled company</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After the completion of this offering, KKR Stockholders will collectively beneficially own</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approximately 70% of the voting power of our common stock. We currently intend to avail</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ourselves of the controlled company exemption under the corporate governance standards</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of Nasdaq.</w:t>
            </w:r>
          </w:p>
        </w:tc>
      </w:tr>
      <w:tr>
        <w:trPr>
          <w:trHeight w:val="441"/>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Dividend policy</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 have no current plans to pay dividends on our common stock. Any decision to declare</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and pay dividends in the future will be made</w:t>
            </w:r>
          </w:p>
        </w:tc>
      </w:tr>
      <w:tr>
        <w:trPr>
          <w:trHeight w:val="240"/>
        </w:trPr>
        <w:tc>
          <w:tcPr>
            <w:tcW w:w="4160" w:type="dxa"/>
            <w:vAlign w:val="bottom"/>
            <w:tcBorders>
              <w:left w:val="single" w:sz="8" w:color="auto"/>
              <w:bottom w:val="single" w:sz="8" w:color="auto"/>
            </w:tcBorders>
          </w:tcPr>
          <w:p>
            <w:pPr>
              <w:spacing w:after="0"/>
              <w:rPr>
                <w:sz w:val="20"/>
                <w:szCs w:val="20"/>
                <w:color w:val="auto"/>
              </w:rPr>
            </w:pPr>
          </w:p>
        </w:tc>
        <w:tc>
          <w:tcPr>
            <w:tcW w:w="6860" w:type="dxa"/>
            <w:vAlign w:val="bottom"/>
            <w:tcBorders>
              <w:bottom w:val="single" w:sz="8" w:color="auto"/>
              <w:right w:val="single" w:sz="8" w:color="auto"/>
            </w:tcBorders>
          </w:tcPr>
          <w:p>
            <w:pPr>
              <w:spacing w:after="0"/>
              <w:rPr>
                <w:sz w:val="20"/>
                <w:szCs w:val="20"/>
                <w:color w:val="auto"/>
              </w:rPr>
            </w:pPr>
          </w:p>
        </w:tc>
      </w:tr>
      <w:tr>
        <w:trPr>
          <w:trHeight w:val="604"/>
        </w:trPr>
        <w:tc>
          <w:tcPr>
            <w:tcW w:w="4160" w:type="dxa"/>
            <w:vAlign w:val="bottom"/>
          </w:tcPr>
          <w:p>
            <w:pPr>
              <w:spacing w:after="0"/>
              <w:rPr>
                <w:sz w:val="24"/>
                <w:szCs w:val="24"/>
                <w:color w:val="auto"/>
              </w:rPr>
            </w:pPr>
          </w:p>
        </w:tc>
        <w:tc>
          <w:tcPr>
            <w:tcW w:w="68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140"/>
          </w:cols>
          <w:pgMar w:left="320" w:top="455"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7335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67335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40"/>
        <w:spacing w:after="0" w:line="258" w:lineRule="auto"/>
        <w:rPr>
          <w:sz w:val="20"/>
          <w:szCs w:val="20"/>
          <w:color w:val="auto"/>
        </w:rPr>
      </w:pPr>
      <w:r>
        <w:rPr>
          <w:rFonts w:ascii="Times New Roman" w:cs="Times New Roman" w:eastAsia="Times New Roman" w:hAnsi="Times New Roman"/>
          <w:sz w:val="18"/>
          <w:szCs w:val="18"/>
          <w:color w:val="auto"/>
        </w:rPr>
        <w:t>at the sole discretion of our board of directors and will depend on, among other things, our results of operations, cash requirements, financial condition, legal, tax, regulatory and contractual restrictions, including restrictions in the agreements governing our indebtedness, and other factors that our board of directors may deem relevant. See “Dividend Policy.”</w:t>
      </w:r>
    </w:p>
    <w:p>
      <w:pPr>
        <w:sectPr>
          <w:pgSz w:w="11900" w:h="16838" w:orient="portrait"/>
          <w:cols w:equalWidth="0" w:num="1">
            <w:col w:w="10900"/>
          </w:cols>
          <w:pgMar w:left="320" w:top="455" w:right="679" w:bottom="1440" w:gutter="0" w:footer="0" w:header="0"/>
        </w:sectPr>
      </w:pP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Investing in shares of our common stock involves a high degree of risk. See “Risk Factors” for a discussion of factors you should carefully consider before investing in shares of our common stock.</w:t>
      </w:r>
    </w:p>
    <w:p>
      <w:pPr>
        <w:spacing w:after="0" w:line="199"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Material U.S. federal income and estate tax consequences to non-U.S. holders</w:t>
      </w:r>
    </w:p>
    <w:p>
      <w:pPr>
        <w:spacing w:after="0" w:line="20" w:lineRule="exact"/>
        <w:rPr>
          <w:sz w:val="20"/>
          <w:szCs w:val="20"/>
          <w:color w:val="auto"/>
        </w:rPr>
      </w:pPr>
      <w:r>
        <w:rPr>
          <w:sz w:val="20"/>
          <w:szCs w:val="20"/>
          <w:color w:val="auto"/>
        </w:rPr>
        <w:br w:type="column"/>
      </w:r>
    </w:p>
    <w:p>
      <w:pPr>
        <w:ind w:right="240"/>
        <w:spacing w:after="0" w:line="266" w:lineRule="auto"/>
        <w:rPr>
          <w:sz w:val="20"/>
          <w:szCs w:val="20"/>
          <w:color w:val="auto"/>
        </w:rPr>
      </w:pPr>
      <w:r>
        <w:rPr>
          <w:rFonts w:ascii="Times New Roman" w:cs="Times New Roman" w:eastAsia="Times New Roman" w:hAnsi="Times New Roman"/>
          <w:sz w:val="18"/>
          <w:szCs w:val="18"/>
          <w:color w:val="auto"/>
        </w:rPr>
        <w:t>For a discussion of certain U.S. federal income and estate tax consequences that may be relevant to non-U.S. stockholders, see “Material U.S. Federal Income and Estate Tax Consequences to Non-U.S. Holders.”</w:t>
      </w:r>
    </w:p>
    <w:p>
      <w:pPr>
        <w:spacing w:after="0" w:line="199"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Proposed 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“ASO.”</w:t>
      </w:r>
    </w:p>
    <w:p>
      <w:pPr>
        <w:spacing w:after="0" w:line="207"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we indicate otherwise or the context otherwise requires, this prospectus reflects and assumes:</w:t>
      </w:r>
    </w:p>
    <w:p>
      <w:pPr>
        <w:spacing w:after="0" w:line="131" w:lineRule="exact"/>
        <w:rPr>
          <w:sz w:val="20"/>
          <w:szCs w:val="20"/>
          <w:color w:val="auto"/>
        </w:rPr>
      </w:pPr>
    </w:p>
    <w:p>
      <w:pPr>
        <w:ind w:left="1240" w:hanging="523"/>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of our common stock;</w:t>
      </w:r>
    </w:p>
    <w:p>
      <w:pPr>
        <w:spacing w:after="0" w:line="130" w:lineRule="exact"/>
        <w:rPr>
          <w:rFonts w:ascii="Times New Roman" w:cs="Times New Roman" w:eastAsia="Times New Roman" w:hAnsi="Times New Roman"/>
          <w:sz w:val="18"/>
          <w:szCs w:val="18"/>
          <w:color w:val="auto"/>
        </w:rPr>
      </w:pPr>
    </w:p>
    <w:p>
      <w:pPr>
        <w:ind w:left="1240" w:right="220" w:hanging="523"/>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public offering price of $16.00 per share of common stock, which is the midpoint of the estimated price range set forth on the cover page of this prospectus;</w:t>
      </w:r>
    </w:p>
    <w:p>
      <w:pPr>
        <w:spacing w:after="0" w:line="67" w:lineRule="exact"/>
        <w:rPr>
          <w:rFonts w:ascii="Times New Roman" w:cs="Times New Roman" w:eastAsia="Times New Roman" w:hAnsi="Times New Roman"/>
          <w:sz w:val="18"/>
          <w:szCs w:val="18"/>
          <w:color w:val="auto"/>
        </w:rPr>
      </w:pPr>
    </w:p>
    <w:p>
      <w:pPr>
        <w:ind w:left="1240" w:right="60" w:hanging="523"/>
        <w:spacing w:after="0" w:line="289" w:lineRule="auto"/>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the Reorganization Transactions substantially concurrently with the pricing of this offering, pursuant to which, among others, we will issue one share of our common stock for every 3.15 membership units of New Academy Holding Company, LLC contributed to us by the existing unitholders of New Academy Holding Company, LLC, or such ratio, the contribution ratio; and</w:t>
      </w:r>
    </w:p>
    <w:p>
      <w:pPr>
        <w:spacing w:after="0" w:line="63" w:lineRule="exact"/>
        <w:rPr>
          <w:rFonts w:ascii="Times New Roman" w:cs="Times New Roman" w:eastAsia="Times New Roman" w:hAnsi="Times New Roman"/>
          <w:sz w:val="17"/>
          <w:szCs w:val="17"/>
          <w:color w:val="auto"/>
        </w:rPr>
      </w:pPr>
    </w:p>
    <w:p>
      <w:pPr>
        <w:ind w:left="1240" w:right="340" w:hanging="523"/>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and the adoption of our amended and restated bylaws immediately prior to the consummation of this offering.</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excludes:</w:t>
      </w:r>
    </w:p>
    <w:p>
      <w:pPr>
        <w:spacing w:after="0" w:line="131" w:lineRule="exact"/>
        <w:rPr>
          <w:sz w:val="20"/>
          <w:szCs w:val="20"/>
          <w:color w:val="auto"/>
        </w:rPr>
      </w:pPr>
    </w:p>
    <w:p>
      <w:pPr>
        <w:ind w:left="1240" w:hanging="523"/>
        <w:spacing w:after="0" w:line="261"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9,833,311 shares of common stock issuable upon exercise of outstanding options, (i) 6,663,598 of which are vested, with a weighted-average exercise price of $9.23 per share, and (ii) 3,169,713 of which are not vested, with a weighted-average exercise price of $16.88 per share, in each case, issued under the New Academy Holding Company, LLC 2011 Unit Incentive Plan, or the 2011 Equity Plan, and adjusted based on the contribution ratio. See “Executive Compensation—Equity Compensation Plans—2011 Equity Plan;”</w:t>
      </w:r>
    </w:p>
    <w:p>
      <w:pPr>
        <w:spacing w:after="0" w:line="85" w:lineRule="exact"/>
        <w:rPr>
          <w:rFonts w:ascii="Times New Roman" w:cs="Times New Roman" w:eastAsia="Times New Roman" w:hAnsi="Times New Roman"/>
          <w:sz w:val="18"/>
          <w:szCs w:val="18"/>
          <w:color w:val="auto"/>
        </w:rPr>
      </w:pPr>
    </w:p>
    <w:p>
      <w:pPr>
        <w:ind w:left="1240" w:right="100" w:hanging="523"/>
        <w:spacing w:after="0" w:line="266"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2,217,196 shares of common stock issuable upon settlement of outstanding restricted stock units, (i) 802,510 of which are vested and (ii) 1,414,686 of which are not vested, in each case, issued under the 2011 Equity Plan, and adjusted based on the contribution ratio. See “Executive Compensation—Equity Compensation Plans—2011 Equity Plan;”</w:t>
      </w:r>
    </w:p>
    <w:p>
      <w:pPr>
        <w:spacing w:after="0" w:line="81" w:lineRule="exact"/>
        <w:rPr>
          <w:rFonts w:ascii="Times New Roman" w:cs="Times New Roman" w:eastAsia="Times New Roman" w:hAnsi="Times New Roman"/>
          <w:sz w:val="18"/>
          <w:szCs w:val="18"/>
          <w:color w:val="auto"/>
        </w:rPr>
      </w:pPr>
    </w:p>
    <w:p>
      <w:pPr>
        <w:ind w:left="1240" w:hanging="523"/>
        <w:spacing w:after="0" w:line="258"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5,150,000 shares of common stock reserved for future issuance under our new 2020 Omnibus Incentive Plan, or the 2020 Equity Plan, which we intend to adopt in connection with this offering, which number of shares includes the awards we expect to grant concurrently with the closing of this offering in the form of 112,844 options and 10,409 restricted stock units. See “Executive Compensation—Long-Term Equity Incentive Compensation—IPO Equity Awards under 2020 Equity Plan” and “Executive Compensation—Equity Compensation Plans—2020 Equity Plan;” and</w:t>
      </w:r>
    </w:p>
    <w:p>
      <w:pPr>
        <w:spacing w:after="0" w:line="88" w:lineRule="exact"/>
        <w:rPr>
          <w:rFonts w:ascii="Times New Roman" w:cs="Times New Roman" w:eastAsia="Times New Roman" w:hAnsi="Times New Roman"/>
          <w:sz w:val="18"/>
          <w:szCs w:val="18"/>
          <w:color w:val="auto"/>
        </w:rPr>
      </w:pPr>
    </w:p>
    <w:p>
      <w:pPr>
        <w:ind w:left="1240" w:right="360" w:hanging="523"/>
        <w:spacing w:after="0" w:line="266"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common stock reserved for future issuance under our new 2020 Employee Stock Purchase Plan, or the ESPP, which we intend to adopt in connection with this offering. See “Executive Compensation—Equity Compensation Plans—2020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320" w:top="455" w:right="67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872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48729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AND OTHER DATA</w:t>
      </w:r>
    </w:p>
    <w:p>
      <w:pPr>
        <w:spacing w:after="0" w:line="229" w:lineRule="exact"/>
        <w:rPr>
          <w:sz w:val="20"/>
          <w:szCs w:val="20"/>
          <w:color w:val="auto"/>
        </w:rPr>
      </w:pPr>
    </w:p>
    <w:p>
      <w:pPr>
        <w:ind w:left="300" w:right="320" w:firstLine="426"/>
        <w:spacing w:after="0" w:line="258" w:lineRule="auto"/>
        <w:rPr>
          <w:sz w:val="20"/>
          <w:szCs w:val="20"/>
          <w:color w:val="auto"/>
        </w:rPr>
      </w:pPr>
      <w:r>
        <w:rPr>
          <w:rFonts w:ascii="Times New Roman" w:cs="Times New Roman" w:eastAsia="Times New Roman" w:hAnsi="Times New Roman"/>
          <w:sz w:val="18"/>
          <w:szCs w:val="18"/>
          <w:color w:val="auto"/>
        </w:rPr>
        <w:t>Set forth below is the summary historical consolidated financial and other data for New Academy Holding Company, LLC and its subsidiaries. The summary historical financial data for 2019, 2018 and 2017 has been derived from our audited consolidated financial statements included elsewhere in this prospectus. The summary historical financial data as of August 1, 2020 and for the twenty-six weeks ended August 1, 2020 and August 3, 2019 has been derived from our unaudited condensed consolidated financial statements included elsewhere in this prospectus. The results of operations for any period are not necessarily indicative of our future financial condition or results of operations.</w:t>
      </w:r>
    </w:p>
    <w:p>
      <w:pPr>
        <w:spacing w:after="0" w:line="183"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The summary historical consolidated financial data of Academy Sports and Outdoors, Inc. has not been presented, as Academy Sports and Outdoors, Inc. is a newly incorporated entity, has had no business transactions or activities to date other than in connection with its formation and this offering and had no assets or liabilities during the periods presented in this section.</w:t>
      </w:r>
    </w:p>
    <w:p>
      <w:pPr>
        <w:spacing w:after="0" w:line="176"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You should read the following summary financial and other data below together with the information under “Selected Historical Consolidated Financial Data,” “Capitalization” and “Management’s Discussion and Analysis of Financial Condition and Results of Operations” and our audited consolidated financial statements and related notes and our unaudited condensed consolidated financial statements and related notes, each included elsewhere in this prospectus.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Period length</w:t>
            </w:r>
          </w:p>
        </w:tc>
        <w:tc>
          <w:tcPr>
            <w:tcW w:w="1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40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53 weeks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26 weeks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26 weeks</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 thousands)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15"/>
                <w:szCs w:val="15"/>
                <w:color w:val="auto"/>
              </w:rPr>
              <w:t>(1)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4,829,897</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4,783,893</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4,835,582</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2,742,721</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2,314,202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3,398,743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3,415,941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3,436,618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1,948,275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1,616,002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1,431,154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1,367,952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1,398,964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794,446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1,251,733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1,239,002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1,241,643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596,636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614,172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197,810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52,586</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r>
              <w:rPr>
                <w:rFonts w:ascii="Times New Roman" w:cs="Times New Roman" w:eastAsia="Times New Roman" w:hAnsi="Times New Roman"/>
                <w:sz w:val="15"/>
                <w:szCs w:val="15"/>
                <w:color w:val="auto"/>
              </w:rPr>
              <w:t>(2)</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159,174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157,656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6560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66560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5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20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53 weeks</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26 weeks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26 weeks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 except store data)</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4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 (end of period):</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884,029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5"/>
                <w:szCs w:val="15"/>
                <w:color w:val="auto"/>
              </w:rPr>
              <w:t>(3)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758,081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15"/>
                <w:szCs w:val="15"/>
                <w:color w:val="auto"/>
              </w:rPr>
              <w:t>(3)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4,816,582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debt, net of deferred loan costs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1,431,050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1,149,096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 Data:</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263,669</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198,481</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83,355</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773,621</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103,961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(66,783)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(99,027)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(115,901)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(123,192)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(54,808)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(95,795)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62,818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107,905</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132,126</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13,850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Store Data (unaudited):</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Comparable sales increase (decrease)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stores at end of period</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square feet at end of period (in millions)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per square foot</w:t>
            </w:r>
            <w:r>
              <w:rPr>
                <w:rFonts w:ascii="Times New Roman" w:cs="Times New Roman" w:eastAsia="Times New Roman" w:hAnsi="Times New Roman"/>
                <w:sz w:val="15"/>
                <w:szCs w:val="15"/>
                <w:color w:val="auto"/>
              </w:rPr>
              <w:t>(4)</w:t>
            </w:r>
          </w:p>
        </w:tc>
        <w:tc>
          <w:tcPr>
            <w:tcW w:w="6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264</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Financial Data (unaudited):</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5"/>
                <w:szCs w:val="15"/>
                <w:color w:val="auto"/>
              </w:rPr>
              <w:t>(5)</w:t>
            </w:r>
          </w:p>
        </w:tc>
        <w:tc>
          <w:tcPr>
            <w:tcW w:w="6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322,814</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300,259</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315,420</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282,902</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156,837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15"/>
                <w:szCs w:val="15"/>
                <w:color w:val="auto"/>
              </w:rPr>
              <w:t>(5)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55,405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179,106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Adjusted Net Income</w:t>
            </w:r>
            <w:r>
              <w:rPr>
                <w:rFonts w:ascii="Times New Roman" w:cs="Times New Roman" w:eastAsia="Times New Roman" w:hAnsi="Times New Roman"/>
                <w:sz w:val="15"/>
                <w:szCs w:val="15"/>
                <w:color w:val="auto"/>
              </w:rPr>
              <w:t>(5)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75,927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41,338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134,844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w:t>
            </w:r>
            <w:r>
              <w:rPr>
                <w:rFonts w:ascii="Times New Roman" w:cs="Times New Roman" w:eastAsia="Times New Roman" w:hAnsi="Times New Roman"/>
                <w:sz w:val="15"/>
                <w:szCs w:val="15"/>
                <w:color w:val="auto"/>
              </w:rPr>
              <w:t>(5)</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196,886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99,454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(32,546)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759,771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720" w:hanging="422"/>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53rd week to 2017 net sales was $60.6 million.</w:t>
      </w:r>
    </w:p>
    <w:p>
      <w:pPr>
        <w:spacing w:after="0" w:line="27" w:lineRule="exact"/>
        <w:rPr>
          <w:rFonts w:ascii="Times New Roman" w:cs="Times New Roman" w:eastAsia="Times New Roman" w:hAnsi="Times New Roman"/>
          <w:sz w:val="18"/>
          <w:szCs w:val="18"/>
          <w:color w:val="auto"/>
        </w:rPr>
      </w:pPr>
    </w:p>
    <w:p>
      <w:pPr>
        <w:ind w:left="720" w:right="40" w:hanging="422"/>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first half 2020 and in 2019 and 2017, we repurchased principal on our Term Loan Facility, which was trading at a discount and recognized a gain, net of the write-off of related deferred loan costs. In first half 2020, we repurchased a total of $23.9 million of principal in open market transactions for an aggregate price of $16.0 million and recognized a related net gain of $7.8 million. In 2019, we repurchased a total of $147.7 million of principal in open market transactions for an aggregate purchase price of $104.6 million and recognized a related net gain of $42.3 million. In 2017, we repurchased $26.2 million of principal in open market transactions for an aggregate purchase price of</w:t>
      </w:r>
    </w:p>
    <w:p>
      <w:pPr>
        <w:spacing w:after="0" w:line="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 million and recognized a related net gain of $6.3 million.</w:t>
      </w:r>
    </w:p>
    <w:p>
      <w:pPr>
        <w:spacing w:after="0" w:line="9" w:lineRule="exact"/>
        <w:rPr>
          <w:rFonts w:ascii="Times New Roman" w:cs="Times New Roman" w:eastAsia="Times New Roman" w:hAnsi="Times New Roman"/>
          <w:sz w:val="18"/>
          <w:szCs w:val="18"/>
          <w:color w:val="auto"/>
        </w:rPr>
      </w:pPr>
    </w:p>
    <w:p>
      <w:pPr>
        <w:ind w:left="720" w:right="60" w:hanging="422"/>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 $1.2 billion between current lease liabilities and long-term lease liabilities included on the balance sheet as of February 3, 2019. See Note 2 and Note 14 to our audited consolidated financial statements included elsewhere in this prospectus for further details regarding the adoption of this standard.</w:t>
      </w:r>
    </w:p>
    <w:p>
      <w:pPr>
        <w:spacing w:after="0" w:line="1" w:lineRule="exact"/>
        <w:rPr>
          <w:rFonts w:ascii="Times New Roman" w:cs="Times New Roman" w:eastAsia="Times New Roman" w:hAnsi="Times New Roman"/>
          <w:sz w:val="18"/>
          <w:szCs w:val="18"/>
          <w:color w:val="auto"/>
        </w:rPr>
      </w:pPr>
    </w:p>
    <w:p>
      <w:pPr>
        <w:ind w:left="720" w:right="520" w:hanging="422"/>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using net sales and square footage of all stores open at the end of the respective period. Square footage includes the in-store storage, receiving and office space that generally occupies approximately 15% of total store space in our stores.</w:t>
      </w:r>
    </w:p>
    <w:p>
      <w:pPr>
        <w:ind w:left="720" w:right="540" w:hanging="422"/>
        <w:spacing w:after="0" w:line="273" w:lineRule="auto"/>
        <w:tabs>
          <w:tab w:leader="none" w:pos="7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define Adjusted EBITDA as net income (loss)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559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line="254" w:lineRule="auto"/>
        <w:rPr>
          <w:sz w:val="20"/>
          <w:szCs w:val="20"/>
          <w:color w:val="auto"/>
        </w:rPr>
      </w:pPr>
      <w:r>
        <w:rPr>
          <w:rFonts w:ascii="Times New Roman" w:cs="Times New Roman" w:eastAsia="Times New Roman" w:hAnsi="Times New Roman"/>
          <w:sz w:val="18"/>
          <w:szCs w:val="18"/>
          <w:color w:val="auto"/>
        </w:rPr>
        <w:t>income (loss) to Adjusted EBITDA in the applicable table below. We define Adjusted Net Income (Loss) as net income (loss),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define Pro Forma Adjusted Net Income (Loss) as Adjusted Net Income (Loss) plus the estimated federal tax liability based on our proposed C-Corporation structure after this offering. We describe these adjustments reconciling net income (loss) to Adjusted Net Income (Loss) and Pro Forma Adjusted Net Income (Loss) in the applicable table below. We define Adjusted Free Cash Flow as net cash provided by (used in) operating activities less net cash used in investing activities. We describe these adjustments reconciling net cash provided by operating activities to Adjusted Free Cash Flow in the applicable table below.</w:t>
      </w:r>
    </w:p>
    <w:p>
      <w:pPr>
        <w:spacing w:after="0" w:line="80" w:lineRule="exact"/>
        <w:rPr>
          <w:sz w:val="20"/>
          <w:szCs w:val="20"/>
          <w:color w:val="auto"/>
        </w:rPr>
      </w:pPr>
    </w:p>
    <w:p>
      <w:pPr>
        <w:ind w:left="720" w:right="20"/>
        <w:spacing w:after="0" w:line="253" w:lineRule="auto"/>
        <w:rPr>
          <w:sz w:val="20"/>
          <w:szCs w:val="20"/>
          <w:color w:val="auto"/>
        </w:rPr>
      </w:pPr>
      <w:r>
        <w:rPr>
          <w:rFonts w:ascii="Times New Roman" w:cs="Times New Roman" w:eastAsia="Times New Roman" w:hAnsi="Times New Roman"/>
          <w:sz w:val="18"/>
          <w:szCs w:val="18"/>
          <w:color w:val="auto"/>
        </w:rPr>
        <w:t>Adjusted EBITDA, Adjusted Net Income (Loss), Pro Forma Adjusted Net Income (Loss) and Adjusted Free Cash Flow have been presented in this prospectus as supplemental measures of financial performance that are not required by, or presented in accordance with, GAAP. We believe Adjusted EBITDA, Adjusted Net Income (Loss) and Pro Forma Adjusted Net Income (Loss) assist investors and analysts in comparing our operating performance across reporting periods on a consistent basis by excluding items that we do not believe are indicative of our core operating performance. Management believes Adjusted EBITDA, Adjusted Net Income (Loss) and Pro Forma Adjusted Net Income (Loss)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(Loss), Pro Forma Adjusted Net Income (Loss) and Adjusted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w:t>
      </w:r>
    </w:p>
    <w:p>
      <w:pPr>
        <w:spacing w:after="0" w:line="82" w:lineRule="exact"/>
        <w:rPr>
          <w:sz w:val="20"/>
          <w:szCs w:val="20"/>
          <w:color w:val="auto"/>
        </w:rPr>
      </w:pPr>
    </w:p>
    <w:p>
      <w:pPr>
        <w:ind w:left="720"/>
        <w:spacing w:after="0" w:line="252"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(Loss) and Pro Forma Adjusted Net Income (Loss) should not be construed to imply that our future results will be unaffected by unusual or non-recurring items. In evaluating Adjusted EBITDA, Adjusted Net Income (Loss), Pro Forma Adjusted Net Income (Loss) and Adjusted Free Cash Flow, you should be aware that in the future we may incur expenses that are the same as or similar to some of the adjustments in this presentation. Our presentation of Adjusted EBITDA, Adjusted Net Income (Loss), Pro Forma Adjusted Net Income (Loss) and Adjusted Free Cash Flow should not be construed to imply that our future results will be unaffected by any such adjustments. Management compensates for these limitations by primarily relying on our GAAP results in addition to using Adjusted EBITDA, Adjusted Net Income (Loss), Pro Forma Adjusted Net Income (Loss) and Adjusted Free Cash Flow supplementally.</w:t>
      </w:r>
    </w:p>
    <w:p>
      <w:pPr>
        <w:spacing w:after="0" w:line="89" w:lineRule="exact"/>
        <w:rPr>
          <w:sz w:val="20"/>
          <w:szCs w:val="20"/>
          <w:color w:val="auto"/>
        </w:rPr>
      </w:pPr>
    </w:p>
    <w:p>
      <w:pPr>
        <w:ind w:left="720" w:right="100"/>
        <w:spacing w:after="0" w:line="266" w:lineRule="auto"/>
        <w:rPr>
          <w:sz w:val="20"/>
          <w:szCs w:val="20"/>
          <w:color w:val="auto"/>
        </w:rPr>
      </w:pPr>
      <w:r>
        <w:rPr>
          <w:rFonts w:ascii="Times New Roman" w:cs="Times New Roman" w:eastAsia="Times New Roman" w:hAnsi="Times New Roman"/>
          <w:sz w:val="18"/>
          <w:szCs w:val="18"/>
          <w:color w:val="auto"/>
        </w:rPr>
        <w:t>Our Adjusted EBITDA, Adjusted Net Income (Loss), Pro Forma Adjusted Net Income (Loss) and Adjusted Free Cash Flow measures have limitations as analytical tools, and you should not consider them in isolation, or as a substitute for analysis of our results as reported under GAAP. Some of these limitations are:</w:t>
      </w:r>
    </w:p>
    <w:p>
      <w:pPr>
        <w:spacing w:after="0" w:line="81" w:lineRule="exact"/>
        <w:rPr>
          <w:sz w:val="20"/>
          <w:szCs w:val="20"/>
          <w:color w:val="auto"/>
        </w:rPr>
      </w:pPr>
    </w:p>
    <w:p>
      <w:pPr>
        <w:ind w:left="1240" w:right="160" w:hanging="523"/>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costs or cash outlays for capital expenditures or contractual commitments;</w:t>
      </w:r>
    </w:p>
    <w:p>
      <w:pPr>
        <w:spacing w:after="0" w:line="200" w:lineRule="exact"/>
        <w:rPr>
          <w:sz w:val="20"/>
          <w:szCs w:val="20"/>
          <w:color w:val="auto"/>
        </w:rPr>
      </w:pPr>
    </w:p>
    <w:p>
      <w:pPr>
        <w:spacing w:after="0" w:line="3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60"/>
          </w:cols>
          <w:pgMar w:left="320" w:top="455" w:right="71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6619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26619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520" w:hanging="523"/>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changes in, or cash requirements for, our working capital needs;</w:t>
      </w:r>
    </w:p>
    <w:p>
      <w:pPr>
        <w:spacing w:after="0" w:line="67" w:lineRule="exact"/>
        <w:rPr>
          <w:rFonts w:ascii="Times New Roman" w:cs="Times New Roman" w:eastAsia="Times New Roman" w:hAnsi="Times New Roman"/>
          <w:sz w:val="18"/>
          <w:szCs w:val="18"/>
          <w:color w:val="auto"/>
        </w:rPr>
      </w:pPr>
    </w:p>
    <w:p>
      <w:pPr>
        <w:ind w:left="1240" w:hanging="523"/>
        <w:spacing w:after="0" w:line="312" w:lineRule="auto"/>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45" w:lineRule="exact"/>
        <w:rPr>
          <w:rFonts w:ascii="Times New Roman" w:cs="Times New Roman" w:eastAsia="Times New Roman" w:hAnsi="Times New Roman"/>
          <w:sz w:val="17"/>
          <w:szCs w:val="17"/>
          <w:color w:val="auto"/>
        </w:rPr>
      </w:pPr>
    </w:p>
    <w:p>
      <w:pPr>
        <w:ind w:left="1240" w:hanging="523"/>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period to period changes in taxes, income tax expense or the cash necessary to pay income taxes;</w:t>
      </w:r>
    </w:p>
    <w:p>
      <w:pPr>
        <w:spacing w:after="0" w:line="130" w:lineRule="exact"/>
        <w:rPr>
          <w:rFonts w:ascii="Times New Roman" w:cs="Times New Roman" w:eastAsia="Times New Roman" w:hAnsi="Times New Roman"/>
          <w:sz w:val="18"/>
          <w:szCs w:val="18"/>
          <w:color w:val="auto"/>
        </w:rPr>
      </w:pPr>
    </w:p>
    <w:p>
      <w:pPr>
        <w:ind w:left="1240" w:right="100" w:hanging="523"/>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the impact of earnings or charges resulting from matters we consider not to be indicative of our ongoing operations;</w:t>
      </w:r>
    </w:p>
    <w:p>
      <w:pPr>
        <w:spacing w:after="0" w:line="67" w:lineRule="exact"/>
        <w:rPr>
          <w:rFonts w:ascii="Times New Roman" w:cs="Times New Roman" w:eastAsia="Times New Roman" w:hAnsi="Times New Roman"/>
          <w:sz w:val="18"/>
          <w:szCs w:val="18"/>
          <w:color w:val="auto"/>
        </w:rPr>
      </w:pPr>
    </w:p>
    <w:p>
      <w:pPr>
        <w:ind w:left="1240" w:right="140" w:hanging="523"/>
        <w:spacing w:after="0" w:line="266"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81" w:lineRule="exact"/>
        <w:rPr>
          <w:rFonts w:ascii="Times New Roman" w:cs="Times New Roman" w:eastAsia="Times New Roman" w:hAnsi="Times New Roman"/>
          <w:sz w:val="18"/>
          <w:szCs w:val="18"/>
          <w:color w:val="auto"/>
        </w:rPr>
      </w:pPr>
    </w:p>
    <w:p>
      <w:pPr>
        <w:ind w:left="1240" w:right="580" w:hanging="523"/>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54" w:lineRule="exact"/>
        <w:rPr>
          <w:sz w:val="20"/>
          <w:szCs w:val="20"/>
          <w:color w:val="auto"/>
        </w:rPr>
      </w:pPr>
    </w:p>
    <w:p>
      <w:pPr>
        <w:ind w:left="720" w:right="220"/>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Adjusted Net Income (Loss), Pro Forma Adjusted Net Income (Loss) and Adjusted Free Cash Flow should not be considered as measures of discretionary cash available to invest in business growth or to reduce indebtedness.</w:t>
      </w:r>
    </w:p>
    <w:p>
      <w:pPr>
        <w:spacing w:after="0" w:line="200" w:lineRule="exact"/>
        <w:rPr>
          <w:sz w:val="20"/>
          <w:szCs w:val="20"/>
          <w:color w:val="auto"/>
        </w:rPr>
      </w:pPr>
    </w:p>
    <w:p>
      <w:pPr>
        <w:spacing w:after="0" w:line="3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60"/>
          </w:cols>
          <w:pgMar w:left="320" w:top="455" w:right="71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6992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66992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tables provide reconciliations of net income (loss) to Adjusted EBITDA, Adjusted Net Income (Loss) and Pro Forma Adjusted Net Income (Loss) for the periods presented:</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8"/>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8"/>
            <w:vMerge w:val="continue"/>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10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3"/>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54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vMerge w:val="restart"/>
          </w:tcPr>
          <w:p>
            <w:pPr>
              <w:spacing w:after="0"/>
              <w:rPr>
                <w:sz w:val="4"/>
                <w:szCs w:val="4"/>
                <w:color w:val="auto"/>
              </w:rPr>
            </w:pPr>
          </w:p>
        </w:tc>
        <w:tc>
          <w:tcPr>
            <w:tcW w:w="1140" w:type="dxa"/>
            <w:vAlign w:val="bottom"/>
          </w:tcPr>
          <w:p>
            <w:pPr>
              <w:spacing w:after="0"/>
              <w:rPr>
                <w:sz w:val="4"/>
                <w:szCs w:val="4"/>
                <w:color w:val="auto"/>
              </w:rPr>
            </w:pPr>
          </w:p>
        </w:tc>
        <w:tc>
          <w:tcPr>
            <w:tcW w:w="42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$ 120,043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58,501</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$157,656</w:t>
            </w: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101,307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108,652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104,857</w:t>
            </w:r>
          </w:p>
        </w:tc>
        <w:tc>
          <w:tcPr>
            <w:tcW w:w="16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48,088</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52,586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117,254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134,190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135,680</w:t>
            </w:r>
          </w:p>
        </w:tc>
        <w:tc>
          <w:tcPr>
            <w:tcW w:w="16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54,151</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59,097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10,263</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1260" w:type="dxa"/>
            <w:vAlign w:val="bottom"/>
            <w:gridSpan w:val="7"/>
          </w:tcPr>
          <w:p>
            <w:pPr>
              <w:jc w:val="right"/>
              <w:ind w:right="31"/>
              <w:spacing w:after="0"/>
              <w:rPr>
                <w:sz w:val="20"/>
                <w:szCs w:val="20"/>
                <w:color w:val="auto"/>
              </w:rPr>
            </w:pPr>
            <w:r>
              <w:rPr>
                <w:rFonts w:ascii="Times New Roman" w:cs="Times New Roman" w:eastAsia="Times New Roman" w:hAnsi="Times New Roman"/>
                <w:sz w:val="18"/>
                <w:szCs w:val="18"/>
                <w:color w:val="auto"/>
              </w:rPr>
              <w:t>(42,265)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(6,294)</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(7,831)</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17,632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Inventory write-down adjustments associated with strategic merchandising</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initiative (f)</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6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(g)</w:t>
            </w:r>
          </w:p>
        </w:tc>
        <w:tc>
          <w:tcPr>
            <w:tcW w:w="360" w:type="dxa"/>
            <w:vAlign w:val="bottom"/>
            <w:gridSpan w:val="2"/>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(10,144)</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$ 322,814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300,259</w:t>
            </w:r>
          </w:p>
        </w:tc>
        <w:tc>
          <w:tcPr>
            <w:tcW w:w="240" w:type="dxa"/>
            <w:vAlign w:val="bottom"/>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$ 315,420</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282,902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156,837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gridSpan w:val="8"/>
            <w:vMerge w:val="restart"/>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gridSpan w:val="8"/>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5"/>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30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74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3"/>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80" w:type="dxa"/>
            <w:vAlign w:val="bottom"/>
          </w:tcPr>
          <w:p>
            <w:pPr>
              <w:spacing w:after="0"/>
              <w:rPr>
                <w:sz w:val="15"/>
                <w:szCs w:val="15"/>
                <w:color w:val="auto"/>
              </w:rPr>
            </w:pPr>
          </w:p>
        </w:tc>
        <w:tc>
          <w:tcPr>
            <w:tcW w:w="840" w:type="dxa"/>
            <w:vAlign w:val="bottom"/>
            <w:gridSpan w:val="4"/>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3"/>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54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vMerge w:val="restart"/>
          </w:tcPr>
          <w:p>
            <w:pPr>
              <w:spacing w:after="0"/>
              <w:rPr>
                <w:sz w:val="4"/>
                <w:szCs w:val="4"/>
                <w:color w:val="auto"/>
              </w:rPr>
            </w:pPr>
          </w:p>
        </w:tc>
        <w:tc>
          <w:tcPr>
            <w:tcW w:w="1140" w:type="dxa"/>
            <w:vAlign w:val="bottom"/>
          </w:tcPr>
          <w:p>
            <w:pPr>
              <w:spacing w:after="0"/>
              <w:rPr>
                <w:sz w:val="4"/>
                <w:szCs w:val="4"/>
                <w:color w:val="auto"/>
              </w:rPr>
            </w:pPr>
          </w:p>
        </w:tc>
        <w:tc>
          <w:tcPr>
            <w:tcW w:w="42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3"/>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7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$ 120,043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58,501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$157,656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10,263</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1100" w:type="dxa"/>
            <w:vAlign w:val="bottom"/>
            <w:gridSpan w:val="4"/>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(42,265)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(6,294)</w:t>
            </w: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(7,831)</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Inventory write-down adjustments associated with strategic</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merchandising initiative (f)</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w:t>
            </w:r>
          </w:p>
        </w:tc>
        <w:tc>
          <w:tcPr>
            <w:tcW w:w="1100" w:type="dxa"/>
            <w:vAlign w:val="bottom"/>
            <w:gridSpan w:val="4"/>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7,111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2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(10,144)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effects of these adjustments (h)</w:t>
            </w: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$ 101,469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55,405</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72,078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179,106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$ 43,800</w:t>
            </w:r>
          </w:p>
        </w:tc>
        <w:tc>
          <w:tcPr>
            <w:tcW w:w="0" w:type="dxa"/>
            <w:vAlign w:val="bottom"/>
          </w:tcPr>
          <w:p>
            <w:pPr>
              <w:spacing w:after="0"/>
              <w:rPr>
                <w:sz w:val="1"/>
                <w:szCs w:val="1"/>
                <w:color w:val="auto"/>
              </w:rPr>
            </w:pPr>
          </w:p>
        </w:tc>
      </w:tr>
      <w:tr>
        <w:trPr>
          <w:trHeight w:val="230"/>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tax effect of change to C-Corporation status (i)</w:t>
            </w:r>
          </w:p>
        </w:tc>
        <w:tc>
          <w:tcPr>
            <w:tcW w:w="20" w:type="dxa"/>
            <w:vAlign w:val="bottom"/>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(25,542)</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4"/>
              </w:rPr>
              <w:t>(14,067)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(18,346)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(44,262)</w:t>
            </w:r>
          </w:p>
        </w:tc>
        <w:tc>
          <w:tcPr>
            <w:tcW w:w="240" w:type="dxa"/>
            <w:vAlign w:val="bottom"/>
            <w:gridSpan w:val="2"/>
          </w:tcPr>
          <w:p>
            <w:pPr>
              <w:spacing w:after="0"/>
              <w:rPr>
                <w:sz w:val="20"/>
                <w:szCs w:val="20"/>
                <w:color w:val="auto"/>
              </w:rPr>
            </w:pPr>
          </w:p>
        </w:tc>
        <w:tc>
          <w:tcPr>
            <w:tcW w:w="160" w:type="dxa"/>
            <w:vAlign w:val="bottom"/>
            <w:gridSpan w:val="2"/>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Pro Forma Adjusted Net Income</w:t>
            </w:r>
          </w:p>
        </w:tc>
        <w:tc>
          <w:tcPr>
            <w:tcW w:w="1100" w:type="dxa"/>
            <w:vAlign w:val="bottom"/>
            <w:gridSpan w:val="4"/>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  75,927</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41,338</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53,732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134,844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$ 32,737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720" w:hanging="422"/>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outside consulting fees associated with our strategic cost savings and business optimization initiatives.</w:t>
      </w:r>
    </w:p>
    <w:p>
      <w:pPr>
        <w:spacing w:after="0" w:line="27" w:lineRule="exact"/>
        <w:rPr>
          <w:rFonts w:ascii="Times New Roman" w:cs="Times New Roman" w:eastAsia="Times New Roman" w:hAnsi="Times New Roman"/>
          <w:sz w:val="18"/>
          <w:szCs w:val="18"/>
          <w:color w:val="auto"/>
        </w:rPr>
      </w:pPr>
    </w:p>
    <w:p>
      <w:pPr>
        <w:ind w:left="720" w:right="540" w:hanging="422"/>
        <w:spacing w:after="0" w:line="25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contractual payments under our Monitoring Agreement with the Adviser. See “Certain Relationships and Related Party Transactions—Monitoring Agreement.”</w:t>
      </w:r>
    </w:p>
    <w:p>
      <w:pPr>
        <w:ind w:left="720" w:right="220" w:hanging="422"/>
        <w:spacing w:after="0" w:line="26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charges related to the 2011 Equity Plan, which vary from period to period depending on certain factors such as timing and valuation of awards, achievement of performance targets and equity award forfeitures.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320" w:top="455" w:right="6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3072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43072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hanging="422"/>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costs associated with executive leadership changes and enterprise-wide organizational changes.</w:t>
      </w:r>
    </w:p>
    <w:p>
      <w:pPr>
        <w:spacing w:after="0" w:line="27" w:lineRule="exact"/>
        <w:rPr>
          <w:rFonts w:ascii="Times New Roman" w:cs="Times New Roman" w:eastAsia="Times New Roman" w:hAnsi="Times New Roman"/>
          <w:sz w:val="18"/>
          <w:szCs w:val="18"/>
          <w:color w:val="auto"/>
        </w:rPr>
      </w:pPr>
    </w:p>
    <w:p>
      <w:pPr>
        <w:ind w:left="720" w:right="260" w:hanging="422"/>
        <w:spacing w:after="0" w:line="25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w:t>
      </w:r>
    </w:p>
    <w:p>
      <w:pPr>
        <w:spacing w:after="0" w:line="1" w:lineRule="exact"/>
        <w:rPr>
          <w:rFonts w:ascii="Times New Roman" w:cs="Times New Roman" w:eastAsia="Times New Roman" w:hAnsi="Times New Roman"/>
          <w:sz w:val="18"/>
          <w:szCs w:val="18"/>
          <w:color w:val="auto"/>
        </w:rPr>
      </w:pPr>
    </w:p>
    <w:p>
      <w:pPr>
        <w:ind w:left="720" w:right="1120" w:hanging="422"/>
        <w:spacing w:after="0" w:line="25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inventory write-down adjustments in connection with our new merchandising strategy adopted as part of our strategic transformation, including exiting certain categories of products.</w:t>
      </w:r>
    </w:p>
    <w:p>
      <w:pPr>
        <w:ind w:left="720" w:right="220" w:hanging="422"/>
        <w:spacing w:after="0" w:line="25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include (representing deductions or additions to Adjusted EBITDA and Adjusted Net Income (Loss), as applicable) amounts that management believes are not representative of our operating performance, including investment income, net losses associated with Hurricane Harvey, additional profits associated with the 53rd week in fiscal year 2017, additional profits associated with Houston Astros World Series appearances, installation costs for energy savings associated with our profitability initiatives, store exit costs and other costs associated with strategic cost savings and business optimization initiatives.</w:t>
      </w:r>
    </w:p>
    <w:p>
      <w:pPr>
        <w:spacing w:after="0" w:line="1"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the total adjustments made to arrive at Adjusted Net Income (Loss) at our historical tax rate.</w:t>
      </w:r>
    </w:p>
    <w:p>
      <w:pPr>
        <w:spacing w:after="0" w:line="9" w:lineRule="exact"/>
        <w:rPr>
          <w:rFonts w:ascii="Times New Roman" w:cs="Times New Roman" w:eastAsia="Times New Roman" w:hAnsi="Times New Roman"/>
          <w:sz w:val="18"/>
          <w:szCs w:val="18"/>
          <w:color w:val="auto"/>
        </w:rPr>
      </w:pPr>
    </w:p>
    <w:p>
      <w:pPr>
        <w:ind w:left="720" w:right="260" w:hanging="422"/>
        <w:spacing w:after="0" w:line="253"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Adjusted Net Income (Loss) at our estimated effective tax rate of 24.5%. We are currently treated as a flow through entity for U.S. federal and state income tax purposes, and thus no federal income tax expense has been recorded in our consolidated statements of income. After consummation of this offering, we will become subject to U.S. federal and state income taxes and be taxed at the prevailing corporate rates. Our actual federal tax rate, and our actual income tax liability, after this offering may be different from our assumed rate, and such difference may be material.</w:t>
      </w:r>
    </w:p>
    <w:p>
      <w:pPr>
        <w:spacing w:after="0" w:line="187" w:lineRule="exact"/>
        <w:rPr>
          <w:sz w:val="20"/>
          <w:szCs w:val="20"/>
          <w:color w:val="auto"/>
        </w:rPr>
      </w:pPr>
    </w:p>
    <w:p>
      <w:pPr>
        <w:ind w:left="300" w:right="86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Ended</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2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2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60" w:type="dxa"/>
            <w:vAlign w:val="bottom"/>
          </w:tcPr>
          <w:p>
            <w:pPr>
              <w:spacing w:after="0"/>
              <w:rPr>
                <w:sz w:val="10"/>
                <w:szCs w:val="10"/>
                <w:color w:val="auto"/>
              </w:rPr>
            </w:pPr>
          </w:p>
        </w:tc>
        <w:tc>
          <w:tcPr>
            <w:tcW w:w="7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Pr>
          <w:p>
            <w:pPr>
              <w:spacing w:after="0"/>
              <w:rPr>
                <w:sz w:val="10"/>
                <w:szCs w:val="10"/>
                <w:color w:val="auto"/>
              </w:rPr>
            </w:pPr>
          </w:p>
        </w:tc>
        <w:tc>
          <w:tcPr>
            <w:tcW w:w="7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(In thousands)</w:t>
            </w:r>
          </w:p>
        </w:tc>
        <w:tc>
          <w:tcPr>
            <w:tcW w:w="190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5"/>
                <w:szCs w:val="15"/>
                <w:color w:val="auto"/>
              </w:rPr>
            </w:pPr>
          </w:p>
        </w:tc>
        <w:tc>
          <w:tcPr>
            <w:tcW w:w="8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4720" w:type="dxa"/>
            <w:vAlign w:val="bottom"/>
            <w:gridSpan w:val="2"/>
            <w:vMerge w:val="continue"/>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180" w:type="dxa"/>
            <w:vAlign w:val="bottom"/>
            <w:vMerge w:val="restart"/>
          </w:tcPr>
          <w:p>
            <w:pPr>
              <w:spacing w:after="0"/>
              <w:rPr>
                <w:sz w:val="4"/>
                <w:szCs w:val="4"/>
                <w:color w:val="auto"/>
              </w:rPr>
            </w:pPr>
          </w:p>
        </w:tc>
        <w:tc>
          <w:tcPr>
            <w:tcW w:w="45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$ 263,669</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198,481</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83,355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$773,621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103,961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(99,027)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(115,901)</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(13,850)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$ 196,886</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99,454</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(32,546)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759,771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1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and the other information set forth in this prospectus before deciding to invest in shares of our common stock. If any of the following risks actually occurs, our business, results of operations and financial condition may be materially adversely affected. In such case, the trading price of our common stock could decline and you may lose all or part of your investment.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are highly dependent on the U.S. economy and U.S. consumer discretionary spending and an economic and financial downturn may cause a decline in U.S. consumer discretionary spending and may adversely affect our business, operations, liquidity, capital resources and financial results.</w:t>
      </w:r>
    </w:p>
    <w:p>
      <w:pPr>
        <w:spacing w:after="0" w:line="6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results of operations are affected by the relative condition of the U.S. economy. All of our sales are generated within the United States, making our results of operations highly dependent on the U.S. economy and U.S. consumer discretionary spending. A decline in discretionary spending by U.S. consumers could negatively affect our business and results of operations.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general conditions that affect U.S. consumer discretionary spending in our markets include:</w:t>
      </w:r>
    </w:p>
    <w:p>
      <w:pPr>
        <w:spacing w:after="0" w:line="131"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of the economy;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the economy;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market volatility;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wages, jobs and unemployment trends;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housing market, including real estate prices and mortgage rates;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credit availability;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debt levels;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gasoline and fuel prices;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inflation;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 and tax policy;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immigration policy;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customs duties/tariffs and policy;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natural or man-made disasters;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unrest, trade disputes, labor shortages, and other disruptions to the supply chain;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raw material and commodity prices;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international security and safety concerns;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public health pandemics on team members and the economy.</w:t>
      </w:r>
    </w:p>
    <w:p>
      <w:pPr>
        <w:spacing w:after="0" w:line="225"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Increasing volatility in financial markets may cause some of the aforementioned conditions to change with even greater degree of frequency and magnitude. In addition, the recent COVID-19 pandemic, or fear of such an event, could evolve into a worldwide crisis that could adversely affect the economies and financial markets of many countries, including the United States, resulting in an economic downturn that could affect demand for our</w:t>
      </w:r>
    </w:p>
    <w:p>
      <w:pPr>
        <w:spacing w:after="0" w:line="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40"/>
          </w:cols>
          <w:pgMar w:left="320" w:top="455" w:right="5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products, materially adversely affect our business operations, our team members, facilities, partners, suppliers, distributors or customers, decrease traffic to our stores, create delays and inefficiencies in our supply chain, and make it difficult or impossible for us to deliver products to our customers.</w:t>
      </w:r>
    </w:p>
    <w:p>
      <w:pPr>
        <w:spacing w:after="0" w:line="162"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Our comparable sales, net sales per square foot, customer traffic or average value per transaction may be adversely affected if, for example, our customers reduce their purchases with us due to job losses, foreclosures, bankruptcies, higher consumer debt and interest rates, higher taxes, reduced access to credit, falling home prices and lower consumer confidence. A reduction in overall consumer spending which causes customers to shift their spending to products other than those sold by us or to products sold by us that are less profitable could result in lower net sales, decreases in inventory turnover or a reduction in profitability due to lower margins, which could make it more difficult for us to generate cash flow sufficient to satisfy our obligations under our indebtedness. A prolonged period of depressed consumer spending could have a material adverse effect on our business.</w:t>
      </w:r>
    </w:p>
    <w:p>
      <w:pPr>
        <w:spacing w:after="0" w:line="17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Additionally, if the U.S. or global economy experiences a crisis or downturn, including any capital markets volatility or government intervention in the financial markets, or if the U.S. or global economy experiences a prolonged period of decelerating or negative growth, then our liquidity, capital resources or results of operations could be materially and adversely impacted. For example, although we typically generate funds from our operations to pay our operating expenses and fund our capital expenditures, our ability to continue to meet these cash requirements over the long-term may require access to additional sources of funds, including our ABL Facility, incremental term loan facilities and the equity and debt capital markets. Adverse financial and economic conditions may adversely affect our ability to draw on our ABL Facility, the ability of banks to honor draws on our ABL Facility or our ability to obtain incremental term loan facilities or access the equity and debt capital markets. In addition, adverse economic conditions could adversely affect our suppliers’ access to the capital and liquidity required to maintain their inventory, production levels, timeliness and product quality and to operate their businesses, which could adversely affect our supply chain, or could reduce our suppliers’ offerings of trade credit, customer incentives, vendor allowances, cooperative marketing expenditures and product promotions, which could adversely affect our results of operations. Adverse economic conditions could also make it difficult for both us and our suppliers to accurately forecast future product demand trends, which could cause us to carry too much or too little merchandise in various product categories, or could adversely affect our landlords and real estate developers of retail space, which may limit the availability of attractive leased store locations. The potential ongoing effects of an economic and financial crisis are difficult to forecast and mitigate. We may experience difficulties in operating and growing our operations to react to a U.S. or global financial or economic crisis or downturn. We may be unable, in such cases, to predict how robust a recovery of the U.S. or global economy will be or whether or not it will be sustained.</w:t>
      </w:r>
    </w:p>
    <w:p>
      <w:pPr>
        <w:spacing w:after="0" w:line="299"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predict or effectively react to changes in consumer tastes and preferences, or if we fail to acquire and sell brand name merchandise at competitive prices, or if we are not successful in managing our inventory balances, then we may lose customers and our sales may decline and our results of operations may be negatively affected.</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level of success we achieve is dependent on, among other factors, the frequency of merchandise and service innovations, how accurately and timely we predict consumer tastes and preferences regarding sporting goods and outdoor recreation merchandise, the level of consumer demand, the availability of merchandise, the related impact on the demand for existing merchandise, and the competitive environment. Our products must appeal to a broad range of customers whose preferences cannot be predicted with certainty and are subject to change. We must identify, obtain supplies of, and offer to our customers, attractive, innovative and high-quality merchandise on a continuous basis. It is difficult to predict consistently and successfully the products and services our customers will demand as we often purchase products from our vendors several months in advance of the proposed delivery. Our failure to timely identify or effectively respond to changing consumer tastes, preferences and spending patterns could negatively affect our relationship with our customers, the demand for our merchandise and services and our market share, which could have a material adverse effect on our net sales and results of operations.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An unexpected major shift in consumer demand away from sporting goods, sports and casual apparel and footwear, and outdoor recreation products could have a material adverse effect on our business, results of operations and financial condition. Consumer spending on sporting goods, sports and casual apparel and footwear, and outdoor recreation products could decrease or be displaced by spending on other activities due to a number of factors, including:</w:t>
      </w:r>
    </w:p>
    <w:p>
      <w:pPr>
        <w:spacing w:after="0" w:line="85"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behavior away from team sports and outdoor activities in favor of media and electronics-driven leisure activities;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local and federal government budget cuts on facilities and activities, such as school athletic budgets, parks, ball fields, recreational sports leagues, hunting and fishing services, etc.;</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changes in federal and state hunting and fishing seasons, bag limits and firearm and ammunition restrictions;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activism relating to controversial products we may carry, services we may perform, or our corporate philosophy, including those relating to firearms and ammunition, which could cause them to take their retail business elsewhere;</w:t>
      </w:r>
    </w:p>
    <w:p>
      <w:pPr>
        <w:spacing w:after="0" w:line="67"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escalating costs of sporting and outdoor activities due to adverse changes in economic conditions, including rising fuel prices, rising participation fees and rising sporting license fees; and</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(e.g., an oil spill closing large areas of hunting or fishing), including hurricanes, tornadoes, large storms and floods, and the effects of such events on the ability of large urban areas to continue spending on sporting goods and outdoor recreation products.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Total consumer spending may not continue to increase at historical rates due to slowed production growth and shifts in population demographics, and it may not increase in certain product categories given changes in consumer interests and participation rates. Our results of operations could be negatively affected if consumer spending on sporting goods and outdoor recreation products or sports participation rates decline.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business is highly dependent upon our ability to purchase brand name merchandise from our vendors at competitive prices. We cannot guarantee that we will be able to acquire such brand name merchandise at competitive prices or on competitive terms in the future. In this regard, brand name merchandise that is in high demand may be allocated by brand name vendors based upon the vendors’ internal criterion which is beyond our control. If we lose any of our brand name vendors or if any of our brand name vendors fail to supply us with brand name merchandise, we may not be able to meet the demand of our customers for their brand names.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must maintain sufficient inventory levels of merchandise that our customers desire to successfully operate our 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For example, the popularity of much of the licensed apparel we offer is dependent on the performance of certain sporting teams throughout the course of the applicable sports seasons. If we overestimate or underestimate the projected success of a certain sports team, we may have to take significant mark-downs of our licensed apparel for that sports team or we may miss the opportunity to sell additional licensed apparel or other products with that sports team’s logo. The success of sporting teams is highly uncertain and difficult to predict. In addition, macro factors, such as the COVID-19 pandemic, may significantly affect whether or not certain sports leagues are able to host their games in their usual seasons, and if they are, whether or not spectators can attend. Our licensed apparel is significantly more popular when spectators are able to attend the games of the sports teams featured on such apparel. If we are not successful in managing our inventory balances, our results of operations may be negatively affected.</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60"/>
          </w:cols>
          <w:pgMar w:left="320" w:top="455" w:right="51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in the sporting goods and outdoor recreation retail industries could limit our growth and reduce our profitability.</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market for sporting and outdoor recreation goods is highly fragmented and intensely competitive. Our current and prospective competitors include many large companies, some of which have substantially greater market presence, name recognition and financial, marketing and other resources than us. We compete directly or indirectly with the following categories of companies:</w:t>
      </w:r>
    </w:p>
    <w:p>
      <w:pPr>
        <w:spacing w:after="0" w:line="81"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general merchants;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format sporting goods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sporting goods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outdoor retailers;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footwear retailers;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catalogue and internet retailers.</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Increased competition in markets in which we have stores or the adoption by competitors of innovative store formats, aggressive pricing, promotion or delivery strategies and retail sale methods, such as the Internet, could cause us to lose market share and could have a material adverse effect on our business, financial condition, results of operations and cash flows. In addition, as the popularity and use of Internet sites and free merchandise shipping continue to increase, our business faces increased competition from various domestic and international sources, including our suppliers. Additionally, the ability of consumers to compare prices on a real-time basis through the use of smartphones and digital technology puts additional pressure on us to maintain competitive prices vis-à-vis our competitors. We may require significant capital in the future to sustain or grow our business, including our store and e-commerce activities, due to increased competition, and there is no assurance that cash flow from operations will be sufficient to meet those needs or that additional sources of capital will be available on acceptable terms or at all.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impact of COVID-19 may adversely affect our business and financial results.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worldwide COVID-19 pandemic has negatively impacted the global and U.S. economies, disrupted consumer spending and global supply chains, and created significant volatility and disruption of labor and financial markets. The COVID-19 pandemic may have an adverse impact on our business and financial performance, including an economic downturn that adversely affects demand for our products, adversely affects our business operations, our team members, facilities, partners, suppliers, distributors or customers, decreases demand for our products, creates delays and inefficiencies in our supply chain, and makes it difficult for us to timely provide products to our customers. The extent of the impact of the COVID-19 pandemic on our business and financial performance, including our ability to execute our near-term and long-term business strategies and initiatives in the expected time frame, will depend on future developments, including the duration and severity of the pandemic, which are uncertain and cannot be predicted.</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 result of the COVID-19 pandemic, various governmental authorities and we have imposed and may further impose numerous requirements and restrictions on the operations of our facilities that are intended to protect the health and safety of our team members, consumers and communities, including temporary full or partial closures of our stores, distribution centers and corporate headquarters, restrictions on our goods and services eligible for sale, restrictions on the ability of customers and team members to reach our stores and other facilities and the neighboring businesses upon which we rely to drive traffic to our stores, and the closures of schools and businesses that our team members may rely upon for childcare while they work. The situation also</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has necessitated the imposition of significant new safety measures to which we must adhere to safely serve our customers while also providing for the safety of our team members and suppliers, including limitations on the number of customers and team members allowed in our stores at any given time, shorter operating hours, and increased distancing, face covering, cleaning and sanitization protocols. Each of these necessary measures has substantially increased our operating costs, including, but not limited to, costs incurred to implement the operational changes described above and certain payments to or other costs relating to team members who are not working during the pandemic. These limitations, requirements and decreases, which are unprecedented, unexpected, ongoing and indefinite, may adversely impact our business and results. During the first quarter 2020, we closed our corporate headquarters, temporarily furloughed a significant portion of our corporate team members, and most of our active corporate team members worked from home due to local shutdown orders, and any need to take these actions again in the future may negatively impact productivity and cause other disruptions to our business. We began partially reopening our corporate headquarters during May 2020 to a limited number of team members and the remainder of our corporate team members returned to our corporate headquarters on June 8, 2020, in accordance with local guidelines. Our information technology systems and cybersecurity could also be adversely affected due to any significant increase in remote working of our team members due to any future closing of our corporate headquarters and in online orders due to a significant increase in online transactions. The operations of our stores, distribution centers, and corporate office could be further restricted, if we deem necessary or if recommended or mandated by authorities and these measures could have an adverse impact on our sales and profits.</w:t>
      </w:r>
    </w:p>
    <w:p>
      <w:pPr>
        <w:spacing w:after="0" w:line="19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a result of the COVID-19 pandemic, we may have fewer resources to operate our business and we could also see deterioration in macroeconomic factors that typically affect us. In addition, consumer fears about becoming ill with the disease may continue, which will adversely affect traffic to our stores. Any significant reduction in consumer willingness to visit stores, levels of consumer spending at our stores or team member willingness to staff our facilities, or the further temporary closure of our facilities, relating to the pandemic or its impact on the economy, consumer sentiment or health concerns, could result in a loss of sales and profits and other material adverse effects. Consumer spending generally may also be negatively impacted by general macroeconomic conditions and consumer confidence, including the impacts of any recession, resulting from the COVID-19 pandemic. Any decreased spending at stores or online caused by decreased consumer confidence and spending following the pandemic could result in a loss of sales and profits and other material adverse effects. Also, if we do not respond appropriately to the pandemic, or if customers do not perceive our response to be adequate for a particular region or our company as a whole, we could suffer damage to our reputation and our brand, which could adversely affect our business in the future.</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COVID-19 pandemic also has the potential to significantly impact our supply chain if the factories that manufacture our products, the distributors that distribute our products, the distribution centers where we manage our inventory, or the operations of our logistics and other service providers are disrupted, temporarily closed or experience worker shortages. We may also see further disruptions or delays in shipments and negative impacts to pricing of certain components of our products. The COVID-19 pandemic has already impacted the suppliers of products we sell, particularly as a result of mandatory shutdowns in locations where our products are manufactured.</w:t>
      </w:r>
    </w:p>
    <w:p>
      <w:pPr>
        <w:spacing w:after="0" w:line="183"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A significant amount of our merchandise is produced in China and the recent COVID-19 outbreak in China has resulted in significant governmental measures being implemented in China to control the spread of the virus, including, among others, restrictions on manufacturing and the movement of team members in many regions of the country. These measures in China have resulted in, and may result in further, disruptions to our supply chain, including the temporary closure of third-party manufacturer facilities, interruptions in labor and/or product supply, or restrictions on the export or shipment of our products. As a result, our third-party manufacturers may not have the materials, capacity, or capability to manufacture our products according to our schedule and specifications. If our third-party manufacturers’ operations are curtailed, we may need to seek alternate manufacturing sources, which may be more expensive. Alternate sources may not be available or may result in delays in shipments to us from our supply chain and subsequently to our customers, each of which would affect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our results of operations. While the disruptions and restrictions on the ability to travel, quarantines, and temporary closures of the facilities of our third-party manufacturers and suppliers, as well as general limitations on movement in the region, are expected to be temporary, the duration of the production and supply chain disruption, and related financial impact, cannot be estimated at this time. Should the production and distribution closures continue for an extended period of time, the impact on our supply chain in China and globally could have a material adverse effect on our results of operations and cash flows.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extent to which COVID-19 impacts our results, financial position and liquidity will depend on future developments, including new information which may emerge concerning the severity of the pandemic and any actions or inactions to contain COVID-19 or mitigate its impact, among others, which are highly uncertain and cannot be predicted. The extent of the impact of COVID-19 on our business and financial results will also depend on the duration and spread of the outbreak, including whether there is a “second wave” caused by additional periods of increases or spikes in the number of COVID-19 cases, further mutations or related strains of the virus (or even the threat or perception that this could occur), within the markets in which we operate and the related impact on consumer confidence and spending, labor supply or product supply, all of which are highly uncertain. Actions we have taken or may take, or decisions we have made or may make, as a consequence of the COVID-19 pandemic may result in the Company becoming a party to litigation claims and/or legal proceedings, including claims relating to our customers or team members getting ill after visiting or working in our stores and other facilities, which could consume significant financial and managerial resources, result in decreased demand for our products and injury to our reputation. We may also face further closure requirements and other operational restrictions with respect to some or all of our facilities for prolonged periods of time due to, among other factors, evolving and increasingly stringent governmental restrictions including public health directives, quarantine policies or social distancing measures. An extended period of ongoing disruption could materially affect our business, results of operations, access to sources of liquidity and financial condition.</w:t>
      </w:r>
    </w:p>
    <w:p>
      <w:pPr>
        <w:spacing w:after="0" w:line="291"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the integrity, security and use of sensitive or confidential data that we hold relating to us and our customers, team members and vendors, whether as a result of unauthorized disclosure, data loss or a breach of our information technology systems, could result in lost sales, fines and/or lawsuits, a loss of confidence in us, and harm to our reputation, business, results of operations and financial condition.</w:t>
      </w:r>
    </w:p>
    <w:p>
      <w:pPr>
        <w:spacing w:after="0" w:line="67"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 secure processing, maintenance, transmission and storage of our customer, team member, vendor and company data is critical to us, and we devote significant resources to protecting this data. We collect and store sensitive and confidential data, including our intellectual property and proprietary business information and that of our vendors, and personally identifiable information of our customers and team members, in our data centers and on our networks. Additionally, the success of our retail stores and online operations depends upon the secure transmission of confidential information, including the use of cashless payments. Our customers provide personal, payment card and gift card information to purchase products or services, enroll in promotional programs, apply for credit, register and make purchases on our website, or otherwise communicate and interact with us. We may share information about such persons with vendors that assist with performing certain aspects of our business.</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and our vendors rely on commercially available information technology security measures, including systems, software, tools, plans and monitoring to provide security for processing, maintenance, transmission and storage of our customer, team member, vendor and company data. Despite the security measures we and our vendors have in place, our facilities and information technology systems, and those of our third-party service providers, may be vulnerable to, and unable to detect and appropriately respond to, security breaches, cyber-security attacks by computer hackers, acts of vandalism, computer viruses, misplaced or lost data, programming or human errors or other similar disruptions. Any security breach could compromise our networks and the data and confidential personal or business information stored there could be accessed, publicly disclosed, misappropriated, destroyed, lost or stolen. In addition, data and security breaches can also occur as a result of non-technical issues, including intentional or inadvertent breach by our team members or by persons with whom we have commercial relationships that result in the unauthorized release of confidential personal or business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information. Any such breach, access, misappropriation, loss or other unauthorized or inadvertent disclosure of confidential information, whether by us or our vendors, could attract a substantial amount of media attention, damage our relationships with our customers, team members and vendors and cause a loss of confidence in us, violate applicable privacy laws and obligations and expose us to costly government enforcement actions or private litigation and financial liability (possibly beyond the scope or limits of our insurance coverage), increase the costs we incur to protect against or remediate such breaches and comply with consumer protection and data privacy laws and obligations or disrupt our operations and distract our management and other key personnel from performing their primary operational duties, any of which could adversely affect our reputation, business, results of operations and financial condition.</w:t>
      </w:r>
    </w:p>
    <w:p>
      <w:pPr>
        <w:spacing w:after="0" w:line="18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Despite our security measures, it is possible that computer hackers or other parties might defeat these security measures and obtain sensitive or confidential data that we hold relating to us and our customers, team members and vendors. The techniques used to obtain unauthorized access, disable or degrade service, or sabotage systems, change frequently and often are not recognized until launched against a target, and we may not have the resources or technical sophistication to anticipate or prevent rapidly evolving types of cyber-attacks. Actual or anticipated attacks could require that we expend significant resources related to our information systems and infrastructure and could subject us to additional legal and financial risks, including increased investments in protection technologies, costs to deploy additional personnel, train team members and engage third-party experts and consultants, costs of compliance with privacy laws and obligations, expenses associated with providing our customers with credit protection and potential fees and penalties from our credit card processing partners, any of which could adversely affect our reputation, business, results of operations and financial condition.</w:t>
      </w:r>
    </w:p>
    <w:p>
      <w:pPr>
        <w:spacing w:after="0" w:line="292" w:lineRule="exact"/>
        <w:rPr>
          <w:sz w:val="20"/>
          <w:szCs w:val="20"/>
          <w:color w:val="auto"/>
        </w:rPr>
      </w:pPr>
    </w:p>
    <w:p>
      <w:pPr>
        <w:ind w:left="120"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the merchandise that we sell is manufactured in foreign countries, including China, which exposes us to various international risks that could have a material adverse effect on our business and results of operations.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 significant portion of the merchandise that we sell, including merchandise we purchase from domestic suppliers and much of our owned brand merchandise, is manufactured in countries such as China, Vietnam, El Salvador and Bangladesh. Foreign imports subject us to the risks of changes in import duties, quotas, loss of “most favored nation” status with the United States for a particular foreign country, delays in shipment, shipping port and ocean carrier constraints, supply and demand constraints, labor strikes, work stoppages or other disruptions, freight cost increases and economic uncertainties (including the United States imposing anti-dumping or countervailing duty orders, tariffs, safeguards, remedies or compensation and retaliation due to illegal foreign trade practices). To the extent that any foreign manufacturers from whom we purchase products directly or indirectly employ labor, environmental, corruption, workplace safety, or other business practices that vary from those commonly accepted in the United States, we could be hurt by any resulting negative publicity or, in some cases, potential claims of liability. Merchandise or raw materials purchased from alternative sources may be of lesser quality or more expensive than the merchandise or raw materials we currently purchase abroad. If any of these or other factors were to cause a disruption of trade from the countries in which our suppliers are located, our inventory levels may be reduced or the costs of our merchandise may increase.</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political, health, safety, security, and economic environments of the countries in which we or our vendors obtain merchandise or raw materials have the potential to materially affect our operations. In the event of disruptions or delays in supply due to economic, political, health, safety or security conditions in foreign countries or their relations with the United States, such disruptions or delays could adversely affect our results of operations unless and until alternative supply arrangements could be made. Also, the imposition of trade tariffs, sanctions or other regulations against merchandise imported by us, or the loss of “normal trade relations” status with the countries in which we or our vendors obtain merchandise or raw materials, could significantly increase our cost of products imported into the United States and harm our business. The prices charged for the merchandise that we purchase by foreign manufacturers may be affected by the fluctuation of their local currency against the U.S. dollar.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the federal government periodically considers other restrictions on the importation of products obtained by our vendors and us. If the United States were to withdraw from or materially modify any international trade agreements to which it is a party, or if tariffs were raised on the foreign-sourced goods that we sell, or if border taxes were implemented, then the goods we import may no longer be available at a commercially attractive price or at all, which in turn could have a material adverse effect on our business, financial condition and results of operations.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significant amount of our merchandise is produced in China, and increases in the costs of labor and other costs of doing business in China could significantly increase our costs to produce our merchandise and could have a negative impact on our net sales, operating income and net income. Factors that could negatively affect our business include a potential significant revaluation of the Chinese Yuan, which may result in an increase in the cost of producing products in China, labor shortages and increases in labor costs in China, and difficulties in moving products manufactured in China through the ports on the western coast of North America, whether due to port congestion, labor disputes, product regulations and/or inspections or other factors, and natural disasters or health pandemics impacting China.</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General trade tensions between the United States and China began escalating in 2018, with multiple rounds of U.S. tariffs on Chinese goods taking effect. Recently, the Trump administration imposed multiple rounds of tariffs on imports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sales and/or gross margin. Additionally, these tariffs have resulted in and could result in further retaliatory tariff actions by China and could ultimately result in further tariffs on merchandise that we, and many of our vendors, import from China. These tariffs could have an adverse or material adverse effect on our business, financial condition and results of operations. If any of these events continue as described, we may need to seek alternative suppliers or vendors, raise prices, or make changes to our operations, any of which could have a material adverse effect on our sales and profitability, results of operations and financial condition. On January 15, 2020, President Trump signed Phase I of a new trade agreement with China, signaling potential cooperation and resolution between the two countries in 2020 to the ongoing trade war. However, as of our report date, no significant modifications have been enacted relative to the escalated tariffs which impact our business.</w:t>
      </w:r>
    </w:p>
    <w:p>
      <w:pPr>
        <w:spacing w:after="0" w:line="29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costs and risks associated with laws and regulations affecting our business, including those relating to the sale, manufacture and import of consumer products and other matters, and such laws may change or become more stringent.</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Internal Revenue Service, or IRS, and Environmental Protection Agency and comparable state and local agencies.</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67"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product safety, product liability or consumer protection laws;</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related to advertising, marketing, pricing and selling our products, including but not limited to firearms, ammunition, and related accessories;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laws, including wage and hour laws;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laws or interpretations thereof, including collection of state sales tax on e-commerce sales;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 and privacy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material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or import and export laws and regulations, including collection of tariffs on product imports;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laws;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and competition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and anti-money laundering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Americans with Disabilities Act, or ADA, and similar state and local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design and content regulations;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exchange laws and regulations.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sell firearms, ammunition, and related accessories. Firearms represented less than 6% of our net sales in 2019.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the future, there may be increased federal, state or local regulation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Another significant risk relating to our operations is compliance with the U.S. Foreign Corrupt Practices Act, or FCPA, the U.K. Bribery Act, or UKBA, and other anti-corruption laws applicable to our international operations. In many foreign countries, particularly in those with developing economies, it may be a local custom that businesses operating in such countries engage in bribery and other business practices that are prohibited by the FCPA, the UKBA or other U.S. and foreign laws and regulations applicable to us.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internal policies, procedures and standards that we require all of our team members, agents and vendors to meet. Although we have implemented policies, procedures and standards of conduct designed to ensure compliance with the laws or regulations affecting our business, there can be no assurance that all of our team members, agents and vendors will comply with such laws, policies, procedures and standards of conduct. If we or one of our domestic or foreign agents or vendors fails to comply with a law or regulation, including any of the foregoing laws or regulations, or if we or one of our domestic or foreign agents or vendors fails to comply with our required policies, procedures or standards of conduct, then we may be forced to discontinue conducting business with the agent or vendor and we or they may be subject to claims, lawsuits, fines, penalties, loss of a license or permit and adverse publicity or other consequences that could have a material adverse effect on our business, results of operations and financial condition.</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 subject to claims, demands and lawsuits, and our insurance or indemnities may not be sufficient to cover damages related to those claims and lawsuits.</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lawsuits, demands or other claims arising in the ordinary course of business. For example, we are, and may in the future, be subject to claims, demands and lawsuits, and we may suffer losses and adverse effects to our reputation, related to:</w:t>
      </w:r>
    </w:p>
    <w:p>
      <w:pPr>
        <w:spacing w:after="0" w:line="67" w:lineRule="exact"/>
        <w:rPr>
          <w:sz w:val="20"/>
          <w:szCs w:val="20"/>
          <w:color w:val="auto"/>
        </w:rPr>
      </w:pPr>
    </w:p>
    <w:p>
      <w:pPr>
        <w:ind w:left="1080" w:right="120" w:hanging="532"/>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injuries or crimes associated with merchandise we sell, that has been associated with an increased risk of injury, including but not limited to firearms, ammunition, firearm accessories, air pistols, crossbows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5" w:right="49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200"/>
        <w:spacing w:after="0" w:line="282" w:lineRule="auto"/>
        <w:rPr>
          <w:sz w:val="20"/>
          <w:szCs w:val="20"/>
          <w:color w:val="auto"/>
        </w:rPr>
      </w:pPr>
      <w:r>
        <w:rPr>
          <w:rFonts w:ascii="Times New Roman" w:cs="Times New Roman" w:eastAsia="Times New Roman" w:hAnsi="Times New Roman"/>
          <w:sz w:val="18"/>
          <w:szCs w:val="18"/>
          <w:color w:val="auto"/>
        </w:rPr>
        <w:t>and other archery equipment, knives, deer stands and other hunting equipment, trampolines, wheeled goods such as bicycles and ride-on toys, certain merchandise qualifying as hazardous material and other products;</w:t>
      </w:r>
    </w:p>
    <w:p>
      <w:pPr>
        <w:spacing w:after="0" w:line="67" w:lineRule="exact"/>
        <w:rPr>
          <w:sz w:val="20"/>
          <w:szCs w:val="20"/>
          <w:color w:val="auto"/>
        </w:rPr>
      </w:pPr>
    </w:p>
    <w:p>
      <w:pPr>
        <w:ind w:left="1080" w:right="44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from customers or actions required or penalties assessed by government agencies relating to products we sell, including but not limited to products that are recalled, defective or otherwise alleged to be harmful;</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purchase, manufacture, import, distribution and sale of our owned brand products;</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transportation, storage, distribution and sale of firearms and ammunition, including improper performance of federally mandated procedures for determining customer firearm purchase eligibility (such as age and residency verification, background checks and proper completion of required paperwork);</w:t>
      </w:r>
    </w:p>
    <w:p>
      <w:pPr>
        <w:spacing w:after="0" w:line="81"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municipalities or other organizations attempting to recover costs from firearm manufacturers and retailers, relating to the use of firearms and ammunition;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a fleet of trucks for distribution purposes, including transportation of hazardous materials by such fleet;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and ownership, leasing or operation of property for retail stores, distribution centers and other corporate needs;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alleged infringement upon intellectual property rights to merchandise we sell or technology or services we use, including information technology, marketing and advertising services;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sourcing, including international, customs and trade issues;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issues, including construction, leasing, zoning and environmental issues;</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issues, including actions by team members, the Equal Employment Opportunity Commission, the Department of Labor, the Occupational Safety and Health Administration and other federal and state employment agencies;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disputes, including contractual and business disputes with vendors, landlords, or competitors;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tort, personal injury and property damage claims related to our stores, e-commerce, distribution centers or corporate headquarters; and</w:t>
      </w:r>
    </w:p>
    <w:p>
      <w:pPr>
        <w:spacing w:after="0" w:line="130" w:lineRule="exact"/>
        <w:rPr>
          <w:rFonts w:ascii="Times New Roman" w:cs="Times New Roman" w:eastAsia="Times New Roman" w:hAnsi="Times New Roman"/>
          <w:sz w:val="18"/>
          <w:szCs w:val="18"/>
          <w:color w:val="auto"/>
        </w:rPr>
      </w:pPr>
    </w:p>
    <w:p>
      <w:pPr>
        <w:jc w:val="both"/>
        <w:ind w:left="1080" w:right="240" w:hanging="532"/>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including relating to consumer protection, marketing and advertising, product safety, workplace safety, firearms, ammunition and related accessories, knives, import/export customs, taxes, tariffs, duties, and surcharges, data security and privacy, food and other regulated products, accounting, labor and employment, environmental matters, and hazardous materials.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sell firearms, ammunition, and related accessories. These products are associated with an increased risk of injury and related lawsuits with respect to our compliance with Bureau of Alcohol, Tobacco, Firearms and Explosives and state laws and regulations. Any improper or illegal use by our customers of firearms, ammunition, or related accessories sold by us could have a negative impact on our reputation and business. We may be subjected to claims and lawsuits, including potential class actions, relating to our policies and practices on the sale of firearms, ammunition, or related accessories. We are, and may in the future also be, subjected to claims and lawsuits relating to the improper use of firearms, ammunition, or related accessories sold by us, including lawsuits by victims or municipalities or other organizations attempting to recover losses or costs from manufacturers and retailers of firearms, ammunition, and related accessories.</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Due to the inherent uncertainties of claims and lawsuits, we cannot accurately predict the ultimate outcome of any such matters. These claims and lawsuits could cause us to incur significant expenses and devote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substantial resources to defend against them and, in some cases, we could incur significant losses in the form of settlements, judgments, fines, penalties, injunctions or other orders, as well as negative publicity, that could have a material adverse effect on our business, results of operations and financial condition. Even if a claim is unsuccessful or is not fully pursued, the negative publicity surrounding any such assertions could adversely affect our reputation.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offset negative insurance market trends, we may elect to self-insure, accept higher insurance deductibles or reduce the amount of insurance coverage in response to market changes. Additionally, we self-insure a portion of expected losses under our workers’ compensation, general liability, Academy, Ltd. Texas Work Injury Benefit Plan, and group health insurance programs. We use the services of independent actuaries for loss adjustment expense reserve analyses for the aforementioned lines of insurance. Liabilities associated with these lines of insurance are based on actual claim data and estimates of incurred but not reported claims, developed using actuarial methodologies, and may be based on historical claim trends, industry factors, claim development, as well as other actuarial assumptions. Unanticipated changes in any applicable actuarial assumptions and management estimates underlying our recorded liabilities for these losses, variability in inflation rates, changes in the nature and method of claims settlement, benefit level changes due to changes in applicable laws, insolvency of insurance carriers, and changes in discount rates could result in materially different expenses than expected under these programs, which could have a material adverse effect on our results of operations and financial condition.</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require many of our vendors to carry their own insurance, and we have indemnity agreements with many of our vendors, but we cannot be assured that (1) any specific claim or lawsuit will be subject to a vendor’s insurance or indemnity agreement, (2) our vendors will meet their indemnity obligations or (3) we will be able to collect payments from our vendors sufficient to offset liability losses or, in the case of our owned brand products, where almost all of the manufacturing occurs outside the United States, that we will be able to collect anything at all. Due to the inherent uncertainties of litigation and other claims, we cannot accurately predict the ultimate outcome of any such matters.</w:t>
      </w:r>
    </w:p>
    <w:p>
      <w:pPr>
        <w:spacing w:after="0" w:line="183"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Any insurance we carry, including the aforementioned insurance coverage, reflects deductibles, self-insured retentions, limits of liability and similar provisions that we believe are prudent based on our operations. With all claims and lawsuits, however, there is a risk that liabilities, fines and losses may not be covered by insurance or may exceed insurance coverage. We also may be unable to procure insurance in the future at the coverage levels, terms or rates available to us today, and we cannot be guaranteed that our insurance at the time will be adequate for any particular claim or lawsuit.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Harm to our reputation could adversely impact our ability to attract and retain customers, team members, vendors and/or other partners.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Negative publicity or perceptions involving us or our brands, products, team members, operations, vendors, spokespersons, or marketing and other partners may negatively impact our reputation and adversely impact our ability to attract and retain customers, team members, vendors and/or other partners. Failure to detect, prevent or mitigate issues that might give rise to reputational risk or failure to adequately address negative publicity or perceptions could adversely impact our reputation, business, results of operations, and financial condition. Issues that might pose a reputational risk include failure of our cybersecurity measures to protect against data breaches, product liability and product recalls, our social media activity, failure to comply with applicable laws and regulations, our policies related to the sale of firearms, ammunition and accessories, public stances on controversial social or political issues, and any of the other risks enumerated in these risk factors. As part of our marketing efforts, we rely on social media platforms and other digital marketing to attract and retain customers. A variety of risks are associated with our social media activity and digital marketing, including the improper disclosure of proprietary information, negative comments about or negative incidents regarding us, exposure of personally identifiable information, fraud or out-of-date information. The inappropriate use of social media and digital marketing vehicles by us, our customers, team members or others could increase our costs, lead to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litigation or result in negative publicity that could damage our reputation. Many social media platforms immediately publish the content, videos and/or photographs created or uploaded by their subscribers and participants, often without filters or checks on accuracy of the content posted. Information posted on such platforms at any time may be adverse to our interests and/or may be inaccurate. The dissemination of negative information related to us or our brands, products, team members, operations, vendors, spokespersons or partners could harm our business, results of operations and financial condition, regardless of the information’s accuracy, and the harm may be immediate without affording us an opportunity for redress or correction. Furthermore, the prevalence of news coverage, the internet, and social media may accelerate and increase the potential scope of any negative publicity we might receive and could increase the negative impact of these issues on our reputation, business, results of operations, and financial condition.</w:t>
      </w:r>
    </w:p>
    <w:p>
      <w:pPr>
        <w:spacing w:after="0" w:line="293"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Problems with operating, updating or implementing our information technology systems could disrupt our operations and negatively impact our business operations and materially and adversely affect our financial results.</w:t>
      </w:r>
    </w:p>
    <w:p>
      <w:pPr>
        <w:spacing w:after="0" w:line="51" w:lineRule="exact"/>
        <w:rPr>
          <w:sz w:val="20"/>
          <w:szCs w:val="20"/>
          <w:color w:val="auto"/>
        </w:rPr>
      </w:pPr>
    </w:p>
    <w:p>
      <w:pPr>
        <w:ind w:left="120" w:right="340" w:firstLine="440"/>
        <w:spacing w:after="0" w:line="281" w:lineRule="auto"/>
        <w:rPr>
          <w:sz w:val="20"/>
          <w:szCs w:val="20"/>
          <w:color w:val="auto"/>
        </w:rPr>
      </w:pPr>
      <w:r>
        <w:rPr>
          <w:rFonts w:ascii="Times New Roman" w:cs="Times New Roman" w:eastAsia="Times New Roman" w:hAnsi="Times New Roman"/>
          <w:sz w:val="17"/>
          <w:szCs w:val="17"/>
          <w:color w:val="auto"/>
        </w:rPr>
        <w:t>The efficient operation of our business is dependent on the successful integration and operation of our information technology systems. For examples, we rely on our information technology systems to effectively manage our merchandise planning and replenishment, warehousing and distribution, store operations, e-commerce, and customer transactions, optimize our overall inventory levels, process financial information and sales transactions, prevent data breaches and credit card fraud, communications, support services, and comply with legal and regulatory obligations.</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if not functioning properly, could disrupt our ability to track, record, and analyze sales and inventory and could cause disruptions of operations, including, among other things, our ability to order, process and ship inventory, process financial information including credit card transactions, prevent data breaches and credit card fraud, process payrolls or vendor payments or engage in other similar normal business activities. Our information systems, including our back-up systems, are subject to damage or interruption from power outages, computer and telecommunications failures, computer viruses, worms, other malicious computer programs, denial-of-service attacks, security breaches (through cyber-attacks from cyber-attackers or sophisticated organizations), catastrophic events such as fires, floods, tornadoes, earthquakes and hurricanes, and usage errors by our associates. Although we attempt to mitigate the risk of possible business interruptions by employing customary strategies, any material disruption, malfunction or any other similar problem in or with our information technology systems could negatively impact our business operations and materially and adversely affect our financial results.</w:t>
      </w:r>
    </w:p>
    <w:p>
      <w:pPr>
        <w:spacing w:after="0" w:line="18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our computer and information technology systems may require upgrade, enhancement, integration and/or replacement for us to maintain successful current operations and achieve future sales and store growth.</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Updating our existing information technology systems subjects us to numerous risks, including:</w:t>
      </w:r>
    </w:p>
    <w:p>
      <w:pPr>
        <w:spacing w:after="0" w:line="131"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information;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normal operations;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or other operating procedures;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 or general computer controls;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maintaining accuracy of historical data;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and dedication of key business resources to the updating of existing systems;</w:t>
      </w:r>
    </w:p>
    <w:p>
      <w:pPr>
        <w:spacing w:after="0" w:line="130" w:lineRule="exact"/>
        <w:rPr>
          <w:rFonts w:ascii="Times New Roman" w:cs="Times New Roman" w:eastAsia="Times New Roman" w:hAnsi="Times New Roman"/>
          <w:sz w:val="18"/>
          <w:szCs w:val="18"/>
          <w:color w:val="auto"/>
        </w:rPr>
      </w:pPr>
    </w:p>
    <w:p>
      <w:pPr>
        <w:jc w:val="center"/>
        <w:ind w:left="5540" w:right="460" w:hanging="4992"/>
        <w:spacing w:after="0" w:line="454" w:lineRule="auto"/>
        <w:tabs>
          <w:tab w:leader="none" w:pos="10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adequate experienced technical resources and third-party contractors for the updating of existing systems; 33</w:t>
      </w:r>
    </w:p>
    <w:p>
      <w:pPr>
        <w:sectPr>
          <w:pgSz w:w="11900" w:h="16838" w:orient="portrait"/>
          <w:cols w:equalWidth="0" w:num="1">
            <w:col w:w="11100"/>
          </w:cols>
          <w:pgMar w:left="320" w:top="455" w:right="4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impact on remaining systems;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training and change management to address critical changes in business processes and job functions;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information technology system ultimately does not meet the needs of the business.</w:t>
      </w:r>
    </w:p>
    <w:p>
      <w:pPr>
        <w:spacing w:after="0" w:line="225" w:lineRule="exact"/>
        <w:rPr>
          <w:sz w:val="20"/>
          <w:szCs w:val="20"/>
          <w:color w:val="auto"/>
        </w:rPr>
      </w:pPr>
    </w:p>
    <w:p>
      <w:pPr>
        <w:jc w:val="both"/>
        <w:ind w:left="120" w:right="580" w:firstLine="440"/>
        <w:spacing w:after="0" w:line="289" w:lineRule="auto"/>
        <w:rPr>
          <w:sz w:val="20"/>
          <w:szCs w:val="20"/>
          <w:color w:val="auto"/>
        </w:rPr>
      </w:pPr>
      <w:r>
        <w:rPr>
          <w:rFonts w:ascii="Times New Roman" w:cs="Times New Roman" w:eastAsia="Times New Roman" w:hAnsi="Times New Roman"/>
          <w:sz w:val="17"/>
          <w:szCs w:val="17"/>
          <w:color w:val="auto"/>
        </w:rPr>
        <w:t>Any failure to successfully update our information technology systems, and any missteps, delays, cost overruns, vendor disputes, technical challenges or other similar issues that may arise during the updating of our information technology systems, could have a material impact on our business, financial condition, results of operations, internal controls over financial reporting and ability to manage our business effectively.</w:t>
      </w:r>
    </w:p>
    <w:p>
      <w:pPr>
        <w:spacing w:after="0" w:line="15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we may undertake initiatives involving numerous information technology systems, including our merchandise management, warehouse management, point of sale, e-commerce, data security, and credit card fraud detection systems. While each of these information technology systems initiatives is intended to further improve and enhance our information technology systems, our failure to timely, properly or adequately implement these systems initiatives could result in increased costs or risks, the diversion of our management’s and team members’ attention and resources and could materially adversely affect our results of operations, our internal controls over financial reporting or general computer controls, our ability to manage our business effectively and possible disruption of our business operations or financial reporting.</w:t>
      </w:r>
    </w:p>
    <w:p>
      <w:pPr>
        <w:spacing w:after="0" w:line="291" w:lineRule="exact"/>
        <w:rPr>
          <w:sz w:val="20"/>
          <w:szCs w:val="20"/>
          <w:color w:val="auto"/>
        </w:rPr>
      </w:pPr>
    </w:p>
    <w:p>
      <w:pPr>
        <w:ind w:left="1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approximately 1,300 suppliers to supply us with the merchandise we purchase for resale and our significant dependence on these suppliers exposes us to risks associated with disruption in supply and losses of merchandise purchasing incentives that could have a material adverse effect on our business and results of operations.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depend on approximately 1,300 suppliers to supply us in a timely and efficient manner with the merchandise we purchase for resale. Our significant dependence on these suppliers exposes us to various risks that could have a material adverse effect on our business and results of operations. In 2019, purchases from our largest vendor represented approximately 14% of our total inventory purchases.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If there is a disruption in supply from a principal supplier (which can occur for various reasons in or out of the control of these suppliers, including the measures taken by the Chinese government in response to the recent COVID-19 coronavirus outbreak), we may experience merchandise out-of-stocks, delivery delays or increased delivery costs, or otherwise be unable to obtain the same merchandise from other suppliers in a timely and efficient manner and on acceptable terms, or at all, which could have a material affect our results of operations and our customers’ confidence in us. Changes in our relationships with our suppliers (which can occur for various reasons in or out of our control) also have the potential to increase our expenses and adversely affect our results of operations. The formation and/or strengthening of business partnerships between our suppliers and our competitors could directly alter the available supply of merchandise we desire to sell, which could have a material adverse effect on the level of customers purchasing merchandise from us and, thus,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w:t>
      </w:r>
    </w:p>
    <w:p>
      <w:pPr>
        <w:spacing w:after="0" w:line="299"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of our third-party vendors of outsourced business services and solutions to meet our performance standards and expectations could adversely affect our operations.</w:t>
      </w:r>
    </w:p>
    <w:p>
      <w:pPr>
        <w:spacing w:after="0" w:line="5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outsource certain business services and solutions, and rely on the third-party vendors of these business services and solutions, to support a variety of our business functions, including portions of our information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technology and management information systems, data security and credit card fraud detection, supply chain (including product manufacturers, logistics service providers or independent distributors), retail operations, administrative services and other core business functions. If we fail to properly manage these vendors or if they fail to meet, or are prevented from meeting, our performance standards and expectations, then our reputation, sales, and results of operations could be adversely affected. In addition, we could face increased costs associated with finding replacement service vendors or hiring new team members to provide these business services and solutions in-house.</w:t>
      </w:r>
    </w:p>
    <w:p>
      <w:pPr>
        <w:spacing w:after="0" w:line="287" w:lineRule="exact"/>
        <w:rPr>
          <w:sz w:val="20"/>
          <w:szCs w:val="20"/>
          <w:color w:val="auto"/>
        </w:rPr>
      </w:pPr>
    </w:p>
    <w:p>
      <w:pPr>
        <w:jc w:val="both"/>
        <w:ind w:left="120"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continue our store growth plans successfully or continue to manage our growth effectively, and our new stores may not generate sales levels necessary to achieve store-level sales or profitability comparable to that of our existing stores, which could materially and adversely affect our business, financial condition and results of operations.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strategy includes opening stores in existing markets and, from time to time, new markets. We must successfully choose our store sites, execute favorable real estate transactions on terms that are acceptable to us, construct and equip the stores with furnishings and appropriate merchandise, hire and train competent personnel and effectively open and operate these new stores and integrate the stores into our operations, and we may need to expand our distribution infrastructure, including the addition of new distribution centers. Our plans to increase our number of retail stores will depend in part on the availability of existing retail stores or store sites. A lack of available financing on terms acceptable to real estate developers or a tightening credit market may adversely affect the retail sites available to us. We cannot expect that stores or sites will be available to us, or that they will be available on terms acceptable to us. If additional retail store sites are unavailable on acceptable terms, we may not be able to carry out a significant part of our growth strategy. Rising real estate costs and acquisition, construction and development costs, available credit to landlords and developers and landlord bankruptcies could also inhibit our ability to grow. If we fail to locate desirable sites, obtain lease rights to these sites on terms acceptable to us, hire adequate personnel and open and effectively operate these new stores, our financial performance could be adversely affected.</w:t>
      </w:r>
    </w:p>
    <w:p>
      <w:pPr>
        <w:spacing w:after="0" w:line="19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lease our stores under operating leases with terms of 15 to 20 years, and we generally cannot cancel these leases at our option. If a store is not profitable, and we decide to close it, we may nonetheless be committed to perform our obligations under the applicable lease including, among other things, paying the base rent for the balance of the lease term. Similarly, we may be committed to perform our obligations under the applicable leases even if current locations of our stores become unattractive as demographic patterns change. In addition, as each of our leases expire, we may fail to negotiate renewals, either on commercially acceptable terms or at all, which could require us to close stores in desirable locations.</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our expansion in new and existing markets may present competitive, merchandising, marketing, human resources, distribution and regulatory challenges that differ from our current challenges, including competition among our stores, diminished novelty of our store design and concept, added strain on our distribution centers, maintaining our levels of customer service, training our store team members, additional information to be processed by our management information systems and diversion of our management’s attention from operations, such as the control of inventory levels in our stores. New stores in new markets, where we are less familiar with the target customer and less well-known by the target customer, may face different or additional risks and increased costs compared to stores operated in existing markets or new stores in existing markets. Expansion into new markets could also bring us into direct competition with retailers with whom we have no past experience as direct competitors. To the extent that we become increasingly reliant on entry into new markets to grow, we may face additional risks and our results of operations could suffer. To the extent that we are not able to meet new challenges, our sales could decrease and our operating costs could increase.</w:t>
      </w:r>
    </w:p>
    <w:p>
      <w:pPr>
        <w:spacing w:after="0" w:line="188"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There also can be no assurance that we will be able to continue our expansion plans successfully or continue to manage our growth effectively, or that our new stores will generate sales levels necessary to achieve store-level profitability or profitability comparable to that of our existing stores. Our continued growth also depends,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large part, upon our ability to open new stores in a timely manner and to operate them profitably. A slower than expected pace of new store openings may negatively impact our net sales growth and operating income. New stores also may face greater competition and have lower anticipated sales volumes relative to previously opened stores during their comparable years of operation. We may not be able to advertise cost-effectively in new or large markets in which we have less store density, which could slow sales growth at such stores. We also cannot guarantee that we will be able to obtain and distribute adequate product supplies to our new stores or maintain adequate warehousing and distribution capability to support our new stores at acceptable costs. Thus, our failure to achieve our expansion plans could materially and adversely affect our business, financial condition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e-commerce activities expose us to various risks that could have a material adverse impact on our overall results of operations.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customers are increasingly using computers, tablets, mobile phones and other devices to shop in our stores and on-line for our products. Our business has become increasingly omnichannel as we strive to deliver a seamless shopping experience to our customers through both online and in-store shopping experiences. We utilize our own e-commerce platform that allows us to control our customer experience without relying on a single third-party provider. Maintaining and continuing to improve our e-commerce platform involves substantial investment of capital and resources, integrating a number of information and management systems from different vendors, increasing supply chain and distribution capabilities, attracting, developing and retaining qualified personnel with relevant subject matter expertise, and effectively managing and improving the customer experience. Our e-commerce operations are subject to numerous risks that could have a material adverse impact on our overall results of operations, including:</w:t>
      </w:r>
    </w:p>
    <w:p>
      <w:pPr>
        <w:spacing w:after="0" w:line="94" w:lineRule="exact"/>
        <w:rPr>
          <w:sz w:val="20"/>
          <w:szCs w:val="20"/>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sales across the United States, thereby, subjecting us to the regulatory and other requirements of the 50 states;</w:t>
      </w:r>
    </w:p>
    <w:p>
      <w:pPr>
        <w:spacing w:after="0" w:line="130"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operating issues, including website availability, system reliability, website operation, Internet connectivity, website errors, computer viruses, telecommunication failures, electronic break-ins or similar disruptions;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keep pace with rapid technological change and maintain investments necessary for our e-commerce operation;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compliance issues related to the online sale of merchandise;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related to the enforcement of patent rights;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personal data security;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against credit card and gift card fraud;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fulfillment, inventory control and shipping issues for e-commerce transactions;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including state sales tax collection for e-commerce transactions;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retention and training of personnel qualified to conduct our e-commerce operation;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procure adequate computer hardware and software and technology services and solutions from third-party providers;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visits to, diversion and/or cannibalization of sales from, existing retail stores.</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e-commerce activities also carry challenges such as identifying our e-commerce customer, marketing our website, establishing a profitable on-line merchandising mix, managing shipping costs to our customers, setting prices to compete against other on-line retailers, maintaining website content, timely and accurately fulfilling orders, integrating our e-commerce business with our store operations, and growing the operation as part of our overall strategic plan. If we do not successfully manage the risks and navigate the challenges associated with our e-commerce activities, it could have a material adverse effect on our results of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Further, governmental regulation of e-commerce continues to evolve in such areas as marketing and advertising, taxation, privacy, data protection and privacy, pricing, content, copyrights, distribution, mobile communications, electronic contracts and other communications, consumer protection, the provision of online payment services, the design and operation of websites and the characteristics and quality of products and services. Unfavorable changes to regulations in these areas could have a material adverse impact on our e-commerce activities.</w:t>
      </w:r>
    </w:p>
    <w:p>
      <w:pPr>
        <w:spacing w:after="0" w:line="284"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owned brand merchandise exposes us to various risks generally encountered by companies that source, manufacture, market and retail exclusive owned brand merchandise.</w:t>
      </w:r>
    </w:p>
    <w:p>
      <w:pPr>
        <w:spacing w:after="0" w:line="5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addition to national brand merchandise, we offer customers owned brand merchandise that is not available in other stores. The sale of owned brand merchandise subjects us to certain risks, including:</w:t>
      </w:r>
    </w:p>
    <w:p>
      <w:pPr>
        <w:spacing w:after="0" w:line="67" w:lineRule="exact"/>
        <w:rPr>
          <w:sz w:val="20"/>
          <w:szCs w:val="20"/>
          <w:color w:val="auto"/>
        </w:rPr>
      </w:pPr>
    </w:p>
    <w:p>
      <w:pPr>
        <w:ind w:left="1080" w:right="2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and profitably conduct sourcing and manufacturing activities internally or with third-party agents, manufacturers and distributors;</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our manufacturers’ failure to comply with federal, state and local regulatory requirements, including product safety, working age and conditions, anti-corruption, import and customs and retail sale restrictions;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mandatory or voluntary product recalls;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lawsuits resulting from injuries associated with the use of our owned brand merchandise;</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protect our intellectual property or other proprietary rights (e.g., defending against counterfeit, knock-offs, grey-market, infringing or otherwise unauthorized goods);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navigate and avoid claims related to the intellectual property or other proprietary rights of third parties;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administer and comply with the obligations under license agreements that we have with the licensors of brands, including in some instances certain sales minimums that if not met could cause us to lose the licensing rights or pay damages;</w:t>
      </w:r>
    </w:p>
    <w:p>
      <w:pPr>
        <w:spacing w:after="0" w:line="67"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and manufacturing outside the United States, including foreign laws and regulations, political unrest, disruptions or delays in cross-border shipments, changes in economic conditions in foreign countries, exchange rate and import duty fluctuations and conducting activities with third-party manufacturers; and</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 of raw materials used in the manufacturing of our owned brand merchandise and other risks generally encountered by entities that source, manufacture, market and retail owned brand merchandise.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failure to adequately address some or all of these risks could have a material adverse effect on our business, results of operations and financial condition.</w:t>
      </w:r>
    </w:p>
    <w:p>
      <w:pPr>
        <w:spacing w:after="0" w:line="266"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disruption in the operation of our distribution centers would affect our ability to deliver merchandise to either our stores or customers, which could adversely impact our revenues and harm our business and financial results.</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operate three distribution centers located in Katy, Texas, Twiggs County, Georgia, and Cookeville, Tennessee. We receive and ship substantially all of our merchandise through our distribution centers. Any natural or man-made disaster in the areas or regions of these facilities (for example, hurricanes, tornadoes, floods, explosions, or fires) could damage a portion of our inventory and any serious disruption to these facilities or their staffs (including due to any widespread health emergencies) could impair our ability to adequately stock our stores, process returns of products to vendors and ship product to our e-commerce customers, thereby adversely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affecting our sales and profitability. In addition, we could incur significantly higher costs and longer lead times associated with distributing our products to our stores and customers during the time it takes for us to reopen or replace these distribution centers.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and comparable sales may fluctuate due to seasonality and other factors outside of our control.</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have historically experienced and expect to continue to experience seasonal fluctuations in our net sales, operating income and net income.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 If we miscalculate the demand for our products generally or for our product mix during certain holiday or sporting seasons, our net sales could decline resulting in lower margins, higher labor costs as a percentage of sales and excess inventory, which would harm our financial performance.</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quarterly results of operations and comparable sales have historically fluctuated, and may continue to fluctuate, as a result of factors outside our control, including:</w:t>
      </w:r>
    </w:p>
    <w:p>
      <w:pPr>
        <w:spacing w:after="0" w:line="67"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regional and national economic conditions;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the economy;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unseasonal or extreme weather conditions, natural or man-made disasters (such as snow storms, hurricanes, tornadoes, and floods);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or tragic events (such as tragedies involving firearms or public health pandemics) in or affecting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the products that we offer in our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new product introduction;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lockouts or strikes involving professional sports teams;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of sports superstars used in marketing various products;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 scandals, including those involving leagues, associations, teams or athletes with ties to us or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closure of existing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college and professional sports teams in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existing or entry of new competitors into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competitors in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 in consumer tastes and fashion trends;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shifts or holiday or seasonal periods;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income tax refunds to customers;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politics or consumer advocacy affecting our business, including sentiment relating to the sale of firearms and ammunition;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tax-free holidays in certain states;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promotions or other actions taken by us or our existing or possible new competitors; and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80"/>
          </w:cols>
          <w:pgMar w:left="320" w:top="455" w:right="49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tenants or landlords or surrounding geographic circumstances in the shopping centers in which we are located.</w:t>
      </w:r>
    </w:p>
    <w:p>
      <w:pPr>
        <w:spacing w:after="0" w:line="225"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Our quarterly operating results and comparable sales may also be affected by the timing of new store openings and the relative proportion of new stores to mature stores, the level of pre-opening expenses associated with new stores and the amount and timing of net sales contributed by new stores. Furthermore, our operating margins may be impacted in periods in which incremental expenses are incurred as a result of upcoming new store openings.</w:t>
      </w:r>
    </w:p>
    <w:p>
      <w:pPr>
        <w:spacing w:after="0" w:line="262"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occurrence of severe weather events, catastrophic health events, natural or man-made disasters, social and political conditions or civil unrest could significantly damage or destroy our retail locations, could prohibit consumers from traveling to our retail locations or could prevent us from resupplying or staffing our stores or distribution centers or fulfilling out e-commerce orders, especially during peak shopping seasons.</w:t>
      </w:r>
    </w:p>
    <w:p>
      <w:pPr>
        <w:spacing w:after="0" w:line="6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Unforeseen events, including public health issues such as contagious viruses, natural disasters such as earthquakes, hurricanes, tornadoes, snow or ice storms, floods and heavy rains, and man-made disasters such as an oil spill closing large areas of hunting or fishing, could disrupt our operations or the operations of our suppliers, as well as the behavior of our consumers. For example, frequent or unusually heavy snowfall, ice storms, rainstorms or other extreme weather conditions over a prolonged period could make it difficult for our customers to travel to our stores and thereby reduce our sales and profitability. In addition, extreme weather conditions could result in disruption or delay of production and delivery of materials and products in our supply chain and cause staffing shortages in our stores. Socio-political factors, such as civil unrest or other economic or political uncertainties that contribute to consumer unease or harm to our store base, may also result in decreased discretionary spending, property damage and/or business interruption losses. For example, we may face losses related to the civil unrest in the United States that began in late May 2020 in response to reported incidents of police violence. To the extent these events result in the closure of one or more of our distribution centers, a significant number of stores, or our corporate headquarters or impact one or more of our key suppliers, our operations and financial performance could be materially adversely affected through an inability to support our business, resupply or staff our stores, distribution centers or corporate headquarters or fulfill our e-commerce orders, especially during peak shopping seasons, and through lost sales. We believe that we take reasonable precautions to prepare particularly for unforeseen catastrophic or weather-related events; however, our precautions may not be adequate to deal with such events in the future. As these events occur in the future, if they should impact areas in which we have our corporate headquarters, a distribution centers or a concentration of retail stores or vendor sources, such events could have a material adverse effect on our business, financial condition and results of operations.</w:t>
      </w:r>
    </w:p>
    <w:p>
      <w:pPr>
        <w:spacing w:after="0" w:line="300"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or avoid the infringement of third-party intellectual property rights could be costly and have a negative impact on our results of operations.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trademarks, service marks, copyrights, patents, processes, trade secrets, domain names and other intellectual property, including our Academy Sports + Outdoors brand, our owned brands, such as Academy Sports + Outdoors, Magellan Outdoors, BCG, O’rageous and Outdoor Gourmet, and our goodwill, designs, names, slogans, images and trade dress associated with these brands, are valuable assets that are critical to our success. The unauthorized use or other misappropriation of our intellectual property could diminish the value of our brands or goodwill and cause a decline in our sales. In addition, any infringement or other intellectual property claim made by or against us, whether or not it has merit, could be time-consuming, result in costly litigation, cause product delays, cause us to discontinue affected products, distract key resources from our core business or require us to enter into royalty or licensing agreements. As a result, any such claim made by or against us or our failure to protect our intellectual property could have an adverse effect on our results of operations.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significantly dependent on our ability to meet our labor needs.</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success of our business depends significantly on our ability to hire and retain quality team members, including store managers, </w:t>
      </w:r>
      <w:r>
        <w:rPr>
          <w:rFonts w:ascii="Times New Roman" w:cs="Times New Roman" w:eastAsia="Times New Roman" w:hAnsi="Times New Roman"/>
          <w:sz w:val="18"/>
          <w:szCs w:val="18"/>
          <w:i w:val="1"/>
          <w:iCs w:val="1"/>
          <w:color w:val="auto"/>
        </w:rPr>
        <w:t>Enthusiasts</w:t>
      </w:r>
      <w:r>
        <w:rPr>
          <w:rFonts w:ascii="Times New Roman" w:cs="Times New Roman" w:eastAsia="Times New Roman" w:hAnsi="Times New Roman"/>
          <w:sz w:val="18"/>
          <w:szCs w:val="18"/>
          <w:color w:val="auto"/>
        </w:rPr>
        <w:t xml:space="preserve"> and other store team members, distribution center team members, and corporate directors, managers and other personnel. We plan to expand our team member base to manage our anticipated growth. Competition for non-entry-level personnel, particularly for team members with retail experience, is highly competitive. Additionally, our ability to maintain consistency in the quality of customer service in our stores is critical to our success. Many of our store team members are in entry-level or part-time positions that historically have high rates of turnover. We are also dependent on the team members who staff our distribution centers, many of whom are skilled. We may be unable to meet our labor needs and control our costs due to external factors such as the availability of a sufficient number of qualified persons in the work force of the markets in which we operate, unemployment levels, demand for certain labor expertise, prevailing wage rates, wage inflation, changing demographics, health and other insurance costs, adoption of new or revised employment and labor laws and regulations, and the impacts of man-made or natural disasters, such as tornadoes, hurricanes, and the COVID-19 pandemic. Recently, various legislative movements have sought to increase the federal minimum wage in the United States, as well as the minimum wage in a number of individual states. As federal or state minimum wage rates increase, we may need to increase not only the wage rates of our minimum wage team members, but also the wages paid to our other hourly team members as well. Further, should we fail to increase our wages competitively in response to increasing wage rates, the quality of our workforce could decline, causing our customer service to suffer. Additionally, the U.S. Department of Labor has proposed rules that may have salary and wage impact for “exempt” team members, which could result in a substantial increase in store payroll expense. Any increase in the cost of our labor could have an adverse effect on our operating costs, financial condition and results of operations. If we are unable to hire and retain store-level team members capable of providing a high level of customer service, skilled distribution center team members or other qualified personnel, our business could be materially adversely affected.</w:t>
      </w:r>
    </w:p>
    <w:p>
      <w:pPr>
        <w:spacing w:after="0" w:line="195"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Although none of our team members are currently covered under collective bargaining agreements, we cannot guarantee that our team members will not elect to be represented by labor unions in the future. If some or our entire workforce were to become unionized and collective bargaining agreement terms were significantly different from our current compensation arrangements or work practice, it could have a material adverse effect on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stores are located primarily in the southern United States which could subject us to regional risks.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Because our stores are located primarily in the southern United States, we are subject to regional risks, such as the regional economy, weather conditions and natural disasters such as floods, droughts, tornadoes and hurricanes. Man-made disasters, such as an oil spill in the Gulf of Mexico, a nuclear power plant crisis or other events, may also impact our regional area. We sell a significant amount of merchandise related to outdoor activities which can be adversely affected by such events that may postpone the start of or shorten sports seasons or inhibit participation in other outdoor activities or otherwise have a significant impact on our operations. Several of our competitors operate stores across the United States and thus are not as vulnerable to the risks of operating in one region. If a region of our stores’ footprint suffers an economic downturn or any other adverse regional event, there could be an adverse impact on our net sales and results of operations and our ability to implement our planned expansion program.</w:t>
      </w:r>
    </w:p>
    <w:p>
      <w:pPr>
        <w:spacing w:after="0" w:line="293"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merchandise costs and availability due to fuel price uncertainty, demand changes, increases in commodity prices, labor shortages and other factors could negatively impact our consolidated and combined results of operations.</w:t>
      </w:r>
    </w:p>
    <w:p>
      <w:pPr>
        <w:spacing w:after="0" w:line="5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cost of our merchandise is affected, in part, by the price of raw materials. A substantial rise in the price of raw materials could dramatically increase the costs associated with manufacturing the merchandise that we purchase from our suppliers, which could cause the price of our merchandise to increase and could have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negative impact on our sales and profitability. In addition, increases in commodity prices could also adversely affect our results of operations. If we increase the price for our products in order to maintain gross margins for our products, such increase may adversely affect demand for, and sales of, our products, which could have a material adverse effect on our financial condition and results of operations.</w:t>
      </w:r>
    </w:p>
    <w:p>
      <w:pPr>
        <w:spacing w:after="0" w:line="176" w:lineRule="exact"/>
        <w:rPr>
          <w:sz w:val="20"/>
          <w:szCs w:val="20"/>
          <w:color w:val="auto"/>
        </w:rPr>
      </w:pPr>
    </w:p>
    <w:p>
      <w:pPr>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We rely upon various means of transportation, including ships and trucks, to deliver products from vendors to our distribution centers and from our distribution centers to our stores. Consequently, our results can vary depending upon numerous factors affecting transportation, including the price of fuel and the availability of trucks and ships. The price of fuel and demand for transportation services has fluctuated significantly over the last few years, and has resulted in increased costs for us and our vendors. In addition, changes in regulations may result in higher fuel costs through taxation, transportation restrictions or other means. Fluctuations in transportation costs and availability could adversely affect our results of operations.</w:t>
      </w:r>
    </w:p>
    <w:p>
      <w:pPr>
        <w:spacing w:after="0" w:line="16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Labor shortages in the transportation industry could negatively affect transportation costs and our ability to supply our stores in a timely manner. In particular, our business is highly dependent on the shipping and trucking industry to deliver products to our distribution centers and our stores. Our results of operations may be adversely affected if we, or our vendors, are unable to secure adequate transportation resources at competitive prices to fulfill our delivery schedules to our distribution centers or our stores.</w:t>
      </w:r>
    </w:p>
    <w:p>
      <w:pPr>
        <w:spacing w:after="0" w:line="180"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Difficulties in moving products manufactured overseas and through the ports of North America, whether due to port congestion, government shutdowns, labor disputes, product regulations and/or inspections or other factors, including natural disasters or health pandemics, could negatively affect our business.</w:t>
      </w:r>
    </w:p>
    <w:p>
      <w:pPr>
        <w:spacing w:after="0" w:line="280"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manage the growth of our business, our revenues may not increase as anticipated, our cost of operations may rise and our results of operations may decline.</w:t>
      </w:r>
    </w:p>
    <w:p>
      <w:pPr>
        <w:spacing w:after="0" w:line="5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As our business grows, we will face many risks associated with growing companies, including the risk that our management, financial controls, staff levels, and information systems will be inadequate to support our expansion in the future. Our growth will require our management to expend significant time and effort and additional resources to ensure the continuing adequacy of our associate staff levels, financial controls, operating procedures, information systems, product purchasing, warehousing and distribution systems and team member training programs. We cannot predict whether we will be able to effectively manage these increased demands or respond on a timely basis to the changing demands that our expansion will impose on our management, financial controls and information systems. If we fail to manage successfully the challenges of growth, do not continue to improve these systems and controls or encounter unexpected difficulties during expansion, our business, financial condition, results of operations or cash flows could be materially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loss of our key executives could have a material adverse effect on our business.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future success depends on the continued services of our senior executive management. Any loss or interruptions of the services of our senior executive management could significantly reduce our ability to effectively manage our operations and implement our key initiatives because we may not be able to timely recruit appropriate replacements for our senior executive management should the need arise. If we were to lose any key senior executive management, our business could be materially adversely affected.</w:t>
      </w:r>
    </w:p>
    <w:p>
      <w:pPr>
        <w:spacing w:after="0" w:line="284" w:lineRule="exact"/>
        <w:rPr>
          <w:sz w:val="20"/>
          <w:szCs w:val="20"/>
          <w:color w:val="auto"/>
        </w:rPr>
      </w:pPr>
    </w:p>
    <w:p>
      <w:pPr>
        <w:ind w:left="12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pursue strategic acquisitions, which could have an adverse impact on our business, as could assimilation of companies following acquisition.</w:t>
      </w:r>
    </w:p>
    <w:p>
      <w:pPr>
        <w:spacing w:after="0" w:line="5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Although we have never done so in the past, we may from time to time acquire companies or businesses in the future. Acquisitions may result in difficulties in assimilating acquired companies, and may result in the diversion of our capital and our management’s attention from other business issues and opportunities. We may not be able to successfully integrate companies or businesses that we acquire, including their personnel, financial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systems, distribution, operations and general store opening procedures. If we fail to successfully integrate acquisitions, our business could suffer. In addition, the integration of any acquired business and their financial results may adversely affect our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our sales to our customers, we accept a variety of payment methods, including credit cards, debit cards, electronic funds transfers and electronic payment systems. Accordingly, we are, and will continue to be, subject to significant and evolving regulations and compliance requirements, including obligations to implement enhanced authentication processes that could result in increased costs and liability, and reduce the ease of use of certain payment methods. For certain payment methods, including credit and debit cards, as well as electronic payment systems, we pay interchange and other fees, which may increase over time. We rely on independent service providers for payment processing, including credit and debit cards. If these independent service providers become unwilling or unable to provide these services to us or if the cost of using these providers increases, our business could be harmed. We are also subject to payment card association operating rules and agreements, including data security rules and agreements,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losses incurred by card issuing banks or customers, subject to fines and higher transaction fees, lose our ability to accept credit or debit card payments from our customers, or process electronic fund transfers or facilitate other types of payments. Any failure to comply could harm our brand, reputation, business and results of operations.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effectiveness of our marketing and advertising programs.</w:t>
      </w:r>
    </w:p>
    <w:p>
      <w:pPr>
        <w:spacing w:after="0" w:line="121"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Brand marketing and advertising significantly affect sales at our locations, as well as e-commerce sales. Our marketing and advertising programs may not be successful, which may prevent us from attracting new customers and retaining existing customers. If sales decline, we will have fewer funds available for marketing and advertising, which could materially and adversely affect our revenues, business and results of operations. As part of our marketing efforts, we rely on print, television and radio advertisements, as well as search engine marketing, web advertisements, social media platforms and other digital marketing to attract and retain customers. These efforts may not be successful, resulting in expenses incurred without the benefit of higher revenues or increased customer or team member engagement. Customers are increasingly using internet sites and social media to inform their purchasing decisions and to compare prices, product assortment, and feedback from other customers about quality, responsiveness and customer service before purchasing our services and products. If we are unable to continue to develop successful marketing and advertising strategies, especially for online and social media platforms, or if our competitors develop more effective strategies, we could lose customers and sales could decline.</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high level of indebtedness requires that we dedicate a substantial portion of our cash flows to debt service payments and reduces the funds that would otherwise be available for other general corporate purposes and other business opportunities, which could adversely affect our operating performance, growth, profitability and financial condition, which in turn could make it more difficult for us to generate cash flow sufficient to satisfy all of our obligations under our indebtedness.</w:t>
      </w:r>
    </w:p>
    <w:p>
      <w:pPr>
        <w:spacing w:after="0" w:line="7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of August 1, 2020, we had approximately $1.4 billion outstanding under the Term Loan Facility. As of August 1, 2020, we had no borrowings outstanding under the ABL Facility, an available borrowing capacity under the ABL Facility of approximately $694.1 million (which is subject to customary borrowing conditions, including a borrowing base), and outstanding letters of credit of $29.7 million, $19.9 million of which were issued under the ABL Facility.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overall level of indebtedness requires that we dedicate a substantial portion of our cash flows to debt service payments. The Term Loan Facility requires quarterly principal and cash interest payments through June 30, 2022. The ABL Facility matures on May 22, 2023, subject to a springing maturity clause which is triggered 91 days before the July 2, 2022 maturity of the Term Loan Facility should it not be paid off or extended at least 91 days beyond the May 22, 2023 maturity date of the ABL Facility.</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substantial indebtedness reduces the funds that would otherwise be available for operations, future business opportunities and payments of our debt obligations and limits our ability to:</w:t>
      </w:r>
    </w:p>
    <w:p>
      <w:pPr>
        <w:spacing w:after="0" w:line="67" w:lineRule="exact"/>
        <w:rPr>
          <w:sz w:val="20"/>
          <w:szCs w:val="20"/>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additional financing, if necessary, for working capital and operations, or such financing may not be available on favorable terms;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needed capital expenditures;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acquisitions or investments or enter into joint ventures;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changes or withstand a future downturn in our business, the industry or the economy in general;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store growth, distribution center expansion, e-commerce growth, budget targets and forecasts of future results;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activities, including future opportunities that may be in our interest;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competitive pressures or compete with competitors with less debt.</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could adversely affect our operating performance, growth, profitability and financial condition, which would make it more difficult for us to generate cash flow sufficient to satisfy our obligations under our indebtedness.</w:t>
      </w:r>
    </w:p>
    <w:p>
      <w:pPr>
        <w:spacing w:after="0" w:line="162"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Our ability to make scheduled payments on our debt obligations also depends on our financial condition, results of operations and capital resources, which are subject to, among other things: the business, financial, economic, industry, competitive, regulatory and other factors discussed in these risk factors, and on other factors, some of which are beyond our control, including: the level of capital expenditures we make, including those for acquisitions, if any; our debt service requirements; fluctuations in our working capital needs; our ability to borrow funds and access capital markets; and restrictions on debt service payments and our ability to make working capital borrowings for debt service payments contained in our debt instruments.</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are unable to generate sufficient cash flow to permit us to make scheduled service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Facility and the ABL Facility could foreclose against the assets securing their borrowings, and we could be forced into bankruptcy or liquidation.</w:t>
      </w:r>
    </w:p>
    <w:p>
      <w:pPr>
        <w:spacing w:after="0" w:line="28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high level of indebtedness, we may still be able to incur substantially more debt, which could further increase the risks to our financial condition described above.</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Despite our high level of indebtedness, we may be able to incur significant additional indebtedness in the future, including off-balance sheet financings, trade credit, contractual obligations and general and commercial liabilities. Although the credit agreements governing the Term Loan Facility and the ABL Facility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indebtedness, and additionally we have further borrowing capacity under the ABL Facility. As of August 1, 2020, we had no borrowings outstanding under the ABL Facility, and an available borrowing capacity under the ABL Facility of approximately $694.1 million (which is subject to customary borrowing conditions, including a borrowing base). We may be able to increase the commitments under the ABL Facility by $250.0 million, subject to certain conditions. We may also be able to increase the capacity under the Term Loan Facility by up to $200.0 million plus an additional amount, subject to certain conditions, which borrowings would be secured indebtedness. The addition of new debt to our current debt levels could further exacerbate the related risks to our financial condition that we now face.</w:t>
      </w:r>
    </w:p>
    <w:p>
      <w:pPr>
        <w:spacing w:after="0" w:line="29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generate sufficient cash to service all of our indebtedness, we may be forced to take other actions to fund the satisfaction of our obligations under our indebtedness, which may not be successful.</w:t>
      </w:r>
    </w:p>
    <w:p>
      <w:pPr>
        <w:spacing w:after="0" w:line="5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If our cash flow is insufficient to fund our debt service obligations, we could face substantial liquidity problems and could be forced to reduce or delay investments and capital expenditures or to dispose of material assets or operations, raise additional debt or equity capital or restructure or refinance our indebtedness. However, we may not be able to implement any such alternative measures on commercially reasonable terms or at all and, even if successful, those alternative actions may not allow us to meet our scheduled debt service obligations. Even if new financing were available, it may be on terms that are less attractive to us than our then existing indebtedness or it may not be on terms that are acceptable to us. In addition, the credit agreements governing the Term Loan Facility and the ABL Facility restrict our ability to dispose of assets and use the proceeds from those dispositions and may also restrict our ability to raise debt or equity capital to be used to repay other indebtedness when it becomes due. Thus, we may not be able to consummate those dispositions or to obtain proceeds in an amount sufficient to meet any debt service obligations then due.</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cannot generate sufficient cash flow to permit us to make scheduled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Facility and the ABL Facility could foreclose against the assets securing their borrowings and we could be forced into bankruptcy or liquidation.</w:t>
      </w:r>
    </w:p>
    <w:p>
      <w:pPr>
        <w:spacing w:after="0" w:line="287"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outstanding indebtedness may restrict our current and future operations, particularly our ability to respond to changes or to take certain actions.</w:t>
      </w:r>
    </w:p>
    <w:p>
      <w:pPr>
        <w:spacing w:after="0" w:line="5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credit agreements governing the Term Loan Facility and the ABL Facility contain restrictive covenants that impose significant operating and financial restrictions on us and may limit our ability to engage in acts that may be in our best interest, including restrictions on our ability to:</w:t>
      </w:r>
    </w:p>
    <w:p>
      <w:pPr>
        <w:spacing w:after="0" w:line="67"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in respect of, or repurchase or redeem, capital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investments and other restricted payments;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businesses we conduct;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all or substantially all of our assets.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Additionally, at certain times, the ABL Facility requires maintenance of a certain minimum adjusted fixed charge coverage ratio. Our ability to comply with the covenants and restrictions contained in our credit agreements may be affected by events beyond our control. If market or other economic conditions deteriorate, our ability to comply with these covenants and restrictions may be impaired.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breach of the covenants under one of these agreements could result in an event of default under the applicable indebtedness, which, if not cured or waived, could have a material adverse effect on our business, results of operations and financial condition. Such a default, if not cured or waived, may allow the creditors to accelerate the related debt principal and/or related interest payments and may result in the acceleration of any other debt to which a cross-acceleration or cross-default provision applies. If our existing indebtedness were to be accelerated, there can be no assurance that we would have, or be able to obtain, sufficient funds to repay such indebtedness in full. In addition, an event of default under the credit agreements governing our Term Loan Facility and ABL Facility would permit the lenders under our ABL Facility to terminate all commitments to extend further credit under that facility. Furthermore, if we were unable to repay the amounts due and payable under our Term Loan Facility and ABL Facility, those lenders could proceed against the collateral granted to them to secure that indebtedness, and we could be forced into bankruptcy or liquidation.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debt service obligations to increase significantly.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Borrowings under the Term Loan Facility and ABL Facility are at variable rates of interest and expose us to interest rate risk. If interest rates increase, our debt service obligations on the variable rate indebtedness will increase even though the amount borrowed will remain the same, and our net income and operating cash flows, including cash available for servicing our indebtedness, will correspondingly decrease. We use interest rate swap agreements to hedge market risks relating to possible adverse changes in interest rates with the intent of reducing volatility in our cash flows due to fluctuations in interest rates. However, we may not maintain interest rate swaps with respect to all of our variable rate indebtedness, and any swaps we enter into may not fully mitigate our interest rate risk, may prove disadvantageous, or may create additional risks. In addition, our hedging activities are subject to the risks that a counterparty may not perform its obligations under the applicable derivative instrument.</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LIBOR and other interest rates that are indices deemed to be “benchmarks” are the subject of recent and ongoing national, international and other regulatory guidance and proposals for reform. Some of these reforms are already effective, while others are still to be implemented. These reforms may cause such benchmarks to perform differently than in the past, or to disappear entirely, or have other consequences that cannot be predicted. Any such consequence could have a material adverse effect on our existing facilities, our interest rate swap agreement or our future debt linked to such a “benchmark” and our ability to service debt that bears interest at floating rates of interest.</w:t>
      </w:r>
    </w:p>
    <w:p>
      <w:pPr>
        <w:spacing w:after="0" w:line="28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financial institutions that are lenders under the ABL Facility fail to extend credit under the facility or reduce the borrowing base, our liquidity and results of operations may be adversely affected.</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One of our sources of liquidity is the ABL Facility. Each financial institution that is a lender under the ABL Facility is responsible on a several but not joint basis for providing a portion of the loans to be made under the facility. If any participant or group of participants with a significant portion of the commitments under the ABL Facility fails to satisfy its or their respective obligations to extend credit under the facility and we are unable to find a replacement for such participant or participants on a timely basis (if at all), our liquidity may be adversely affected. In addition, the lenders under the ABL Facility may reduce the borrowing base under the facility in certain circumstances, which could adversely impact our liquidity and results of operations.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high level of indebtedness may hinder our ability to negotiate favorable terms with our landlords, vendors and suppliers, which could negatively impact our operating performance and, thus, could make it more difficult for us to generate cash flow sufficient to satisfy all of our obligations under our indebtedness.</w:t>
      </w:r>
    </w:p>
    <w:p>
      <w:pPr>
        <w:spacing w:after="0" w:line="6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new store profitability is partially attributable to our ability to negotiate attractive rental rates with our landlords and to secure sale-leaseback financing at attractive cap rates. Our high level of indebtedness may adversely affect our credit profile or rating, which may adversely affect our ability to negotiate favorable rental rates for our new store locations or expiring existing store leases or secure sale-leaseback financing. This could negatively impact the profitability of new and existing stores and potentially limit the number of viable new store locations or replacement store locations for expiring store leases.</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successful retail strategy is partially attributable to our ability to negotiate favorable trade terms with our vendors. Our high level of indebtedness may adversely affect our credit profile or rating, which may adversely affect our ability to negotiate favorable trade terms from our current or future merchandise vendors, including pricing, payment, delivery, inventory, transportation, defective and marketing allowances and other terms, and may increase our need to support merchandise purchases with letters of credit. We may also be unable to negotiate favorable trade terms for our current or future service and non-merchandise vendors, including vendors that assist us in critical aspects of the business such as real estate, transportation and logistics, customs, hazardous material and firearm compliance, warehousing and storage, insurance and risk management, procurement, marketing and advertising, store and online operations and information technology. This could negatively impact the profitability of our business and our ability to effectively compete against other retailers. Thus, our high level of indebtedness could adversely affect the profitability of our business, which could make it more difficult for us to generate cash flow sufficient to satisfy our obligations under our indebtedness.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17"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a “controlled company” within the meaning of the rules of Nasdaq and the rules of the SEC and, as a result, qualify for, and intend to rely on, exemptions from certain corporate governance requirements. You will not have the same protections afforded to stockholders of other companies that are subject to such requirements.</w:t>
      </w:r>
    </w:p>
    <w:p>
      <w:pPr>
        <w:spacing w:after="0" w:line="6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After completion of this offering and the application of net proceeds therefrom, KKR Stockholders will collectively beneficially own approximately 70% of the voting power of common stock (or approximately 68% if the underwriters exercise in full their over-allotment option). As a result, we will be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the requirement that:</w:t>
      </w:r>
    </w:p>
    <w:p>
      <w:pPr>
        <w:spacing w:after="0" w:line="89" w:lineRule="exact"/>
        <w:rPr>
          <w:sz w:val="20"/>
          <w:szCs w:val="20"/>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board of directors consist of “independent directors” as defined under the rules of Nasdaq;</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 nominees be selected, or recommended for our board of directors’ selection by a nominating/governance committee comprised solely of independent directors; and</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our executive officers be determined, or recommended to our board of directors for determination, by a compensation committee comprised solely of independent directors.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Following this offering, we intend to utilize these exemptions. As a result, we may not have a majority of independent directors, our compensation committee and nominating and governance committee may not consist entirely of independent directors. Accordingly, you may not have the same protections afforded to stockholders of companies that are subject to all of the corporate governance requirements of Nasdaq.</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KKR Stockholders control us and their interests may conflict with yours in the future.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Immediately following this offering, KKR Stockholders will collectively beneficially own approximately 70% of the voting power of our common stock (or approximately 68% if the underwriters exercise in full their over-allotment option). KKR Stockholders will be able to control the election and removal of our directors and thereby determine our corporate and management policies, including potential mergers or acquisitions, payment of dividends, asset sales, amendment of our certificate of incorporation or bylaws and other significant corporate transactions for so long as KKR Stockholders and their affiliates retain significant ownership of us. KKR Stockholders and their affiliates may also direct us to make significant changes to our business operations and strategy, including with respect to, among other things, store openings and closings, new product and service offerings, team member headcount levels and initiatives to reduce costs and expenses. This concentration of our ownership may delay or deter possible changes in control of the Company, which may reduce the value of an investment in our common stock. So long as KKR Stockholders continue to own a significant amount of our voting power, even if such amount is less than 50%, KKR Stockholders will continue to be able to strongly influence or effectively control our decisions and, so long as KKR Stockholders and their affiliates collectively own at least 5% of all outstanding shares of our stock entitled to vote generally in the election of directors, KKR Stockholders will be able to appoint individuals to our board of directors under the stockholders agreement that we expect to enter into in connection with this offering. See “Certain Relationships and Related Party Transactions—Stockholders Agreement.” The interests of KKR Stockholders may not coincide with the interests of other holders of our common stock.</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ordinary course of their business activities, KKR Stockholders and their affiliates may engage in activities where their interests conflict with our interests or those of our stockholders. Our certificate of incorporation will provide that any of KKR Stockholders, any of their affiliates or any director who is not employed by us (including any non-employee director who serves as one of our officers in both his or her director and officer capacities) or his or her affiliates will not have any duty to refrain from engaging, directly or indirectly, in the same business activities or similar business activities or lines of business in which we operate. KKR Stockholders and their affiliates also may pursue acquisition opportunities that may be complementary to our business and, as a result, those acquisition opportunities may not be available to us. In addition, KKR Stockholders may have an interest in pursuing acquisitions, divestitures and other transactions that, in their judgment, could enhance their investment, even though such transactions might involve risks to you.</w:t>
      </w:r>
    </w:p>
    <w:p>
      <w:pPr>
        <w:spacing w:after="0" w:line="19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KKR Stockholders and their affiliates will be able to determine the outcome of all matters requiring stockholder approval and will be able to cause or prevent a change of control of the Company or a change in the composition of our board of directors and could preclude any acquisition of the Company. This concentration of voting control could deprive you of an opportunity to receive a premium for your shares of common stock as part of a sale of the Company and ultimately might affect the market price of our common stock.</w:t>
      </w:r>
    </w:p>
    <w:p>
      <w:pPr>
        <w:spacing w:after="0" w:line="284" w:lineRule="exact"/>
        <w:rPr>
          <w:sz w:val="20"/>
          <w:szCs w:val="20"/>
          <w:color w:val="auto"/>
        </w:rPr>
      </w:pPr>
    </w:p>
    <w:p>
      <w:pPr>
        <w:jc w:val="both"/>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w:t>
      </w:r>
    </w:p>
    <w:p>
      <w:pPr>
        <w:spacing w:after="0" w:line="6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As a public company, we will incur significant legal, regulatory, finance, accounting, investor relations, insurance, and other expenses that we have not incurred as a private company, including costs associated with public company reporting requirements and costs of recruiting and retaining non-executive directors. We also have incurred and will incur costs associated with the Sarbanes-Oxley Act, and the Dodd-Frank Wall Street Reform and Consumer Protection Act, or the Dodd-Frank Act, and related rules implemented by the SEC, and Nasdaq.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Our management will need to devote a substantial amount of time to ensure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291"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requirements to design, implement and maintain effective internal controls could have a material adverse effect on our business and stock price.</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a privately-held company, we were not required to evaluate our internal control over financial reporting in a manner that meets the standards of publicly traded companies required by Section 404(a) of the Sarbanes-Oxley Act, or Section 404.</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not be able to conclude on an ongoing basis that we have effective internal control over financial reporting in accordance with</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prior public market for our common stock and there may not develop or continue an active, liquid trading market for shares of our common stock, which may cause shares of our common stock to trade at a discount from the initial offering price and make it difficult to sell the shares of common stock you purchase.</w:t>
      </w:r>
    </w:p>
    <w:p>
      <w:pPr>
        <w:spacing w:after="0" w:line="67"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Prior to this offering, there has not been a public trading market for shares of our common stock. We cannot predict the extent to which investor interest in us will lead to the development of a trading market or how active and liquid that market may become. If an active and liquid trading market does not develop or continue, you may have difficulty selling your shares of our common stock at an attractive price or at all. If you purchase shares of our common stock in this offering, you will pay a price that was not established in a competitive market. Instead, the initial public offering price per share of common stock will be determined by agreement among us and the representative(s) of the underwriters, and may not be indicative of the price at which shares of our common stock will trade in the public market after this offering. The market price of our common stock may decline below the initial offering price and you may not be able to sell your shares of our common stock at or above the price you paid in this offering, or at all. The lack of an active market may impair your ability to sell your shares at the time you wish to sell them or at a price you consider reasonable. The lack of an active market may also reduce the fair market value of your shares. Furthermore, an inactive market may also impair our ability to raise capital by selling shares of our common stock.</w:t>
      </w:r>
    </w:p>
    <w:p>
      <w:pPr>
        <w:spacing w:after="0" w:line="298"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change significantly following this offering, and you may not be able to resell shares of our common stock at or above the price you paid or at all, and you could lose all or part of your investment as a result.</w:t>
      </w:r>
    </w:p>
    <w:p>
      <w:pPr>
        <w:spacing w:after="0" w:line="5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Even if a trading market develops, the market price of our common stock may be highly volatile and could be subject to wide fluctuations. You may not be able to resell your shares at or above the initial public offering price due to a number of factors such as those listed in “—Risks Related to Our Business” and the following:</w:t>
      </w:r>
    </w:p>
    <w:p>
      <w:pPr>
        <w:spacing w:after="0" w:line="81" w:lineRule="exact"/>
        <w:rPr>
          <w:sz w:val="20"/>
          <w:szCs w:val="20"/>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130" w:lineRule="exact"/>
        <w:rPr>
          <w:rFonts w:ascii="Times New Roman" w:cs="Times New Roman" w:eastAsia="Times New Roman" w:hAnsi="Times New Roman"/>
          <w:sz w:val="18"/>
          <w:szCs w:val="18"/>
          <w:color w:val="auto"/>
        </w:rPr>
      </w:pPr>
    </w:p>
    <w:p>
      <w:pPr>
        <w:ind w:left="1080" w:right="68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for companies in our industry;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or earnings and other announcements by, companies in our industry;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 particularly those of sporting goods and outdoor recreation retail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our suppliers of significant contracts, price reductions, new products or technologies, acquisitions, dispositions, joint marketing relationships, joint ventures, other strategic relationships or capital commitments;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preference of our customers and our market share;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the economy as a whole;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or the investment opportunity associated with our common stock relative to other investment alternatives;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55" w:right="4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460" w:hanging="532"/>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way we are perceived in the marketplace, including due to negative publicity or campaigns on social media to boycott certain of our products, our business or our industry;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or regulations or differing interpretations or enforcement thereof affecting our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governmental investigations;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common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informational technology system failures and disruptions, epidemics, pandemics, natural disasters, war, acts of terrorism, civil unrest or responses to these events.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will suffer immediate and substantial dilution.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initial public offering price per share of common stock will be substantially higher than our pro forma net tangible book value (deficit) per share immediately after this offering. As a result, you will pay a price per share of common stock that substantially exceeds the per share book value of our tangible assets after subtracting our liabilities. In addition, you will pay more for your shares of common stock than the amounts paid by our existing owners. Assuming an initial public offering price of $16.00 per share of common stock, which is the midpoint of the estimated price range set forth on the cover page of this prospectus, you will incur immediate and substantial dilution in an amount of $(16.70) per share of common stock. If the underwriters exercise their over-allotment option, you will experience additional dilution. See “Dilution.”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common stock in connection with our incentive plans, acquisitions or otherwise.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After this offering we will have approximately 211,896,905 shares of common stock authorized but unissued (or 209,553,155 shares if the underwriters exercise in full their over-allotment option). Our amended and restated certificate of incorporation to become effective immediately prior to the consummation of this offering will authorize us to issue these shares of common stock, options and other equity awards relating to common stock for the consideration and on the terms and conditions established by our board of directors in its sole discretion, whether in connection with acquisitions or otherwise. We have reserved shares for issuance under our 2011 Equity Plan, our 2020 Equity Plan and ESPP. See “Executive Compensation—Equity Compensation Plans.” Any common stock that we issue, including under our 2011 Equity Plan, 2020 Equity Plan, ESPP or other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equity incentive plans that we may adopt in the future, would dilute the percentage ownership held by the investors who purchase common stock in this offering.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If we issue new debt securities, the debt holders would have rights senior to holders of our common stock to make claims on our assets and the terms of any debt could restrict our operations, including our ability to pay dividends on our common stock. If we issue additional equity securities or securities convertible into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you bear the risk of our future securities offerings reducing the market price of our common stock and diluting their interest.</w:t>
      </w:r>
    </w:p>
    <w:p>
      <w:pPr>
        <w:spacing w:after="0" w:line="292"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See “Dividend Policy.” As a result, you may not receive any return on an investment in our common stock unless you sell our common stock for a price greater than your purchase price.</w:t>
      </w:r>
    </w:p>
    <w:p>
      <w:pPr>
        <w:spacing w:after="0" w:line="291"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Academy Sports and Outdoors, Inc. is a holding company and depends on its subsidiaries for cash to fund its operations and expenses, including future dividend payments, if any.</w:t>
      </w:r>
    </w:p>
    <w:p>
      <w:pPr>
        <w:spacing w:after="0" w:line="15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operations are conducted through our wholly owned subsidiaries and our ability to generate cash to meet our debt service obligations or to make future dividend payments, if any, is highly dependent on the earnings of,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spacing w:after="0" w:line="291"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our existing owners in the public market following this offering could cause the market price for our common stock to decline.</w:t>
      </w:r>
    </w:p>
    <w:p>
      <w:pPr>
        <w:spacing w:after="0" w:line="5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sale of substantial amounts of shares of our common stock in the public market, or the perception that such sales could occur, including sales by our existing owners,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Upon completion of this offering we will have a total of 88,103,095 shares of our common stock outstanding (or 90,446,845 shares if the underwriters exercise in full their over-allotment option). Of the outstanding shares, the 15,625,000 shares sold in this offering (or 17,968,750 shares if the underwriters exercise in full their over-allotment option) will be freely tradable without restriction or further registration under the Securities Act, except that any shares held by our affiliates, as that term is defined under Rule 144 of the Securities Act, or Rule 144, including our directors, executive officers and other affiliates (including our existing owners), may be sold only in compliance with the limitations described in “Shares Eligible for Future Sale.”</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remaining outstanding 72,478,095 shares of common stock held by our existing owners after this offering, representing approximately 82% of the total outstanding shares of our common stock following this offering (or approximately 80% if the underwriters exercise in full their over-allotment option),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our executive officers, directors and certain of our existing owners, will sign lock-up agreements with the underwriters that will, subject to certain customary exceptions, restrict the sale of the shares of our common stock and certain other securities held by them for 180 days following the date of this prospectus. Credit Suisse Securities (USA) LLC and J.P. Morgan Securities LLC may, in their sole discretion and at any time without notice, release all or any portion of the shares or securities subject to any such lock-up agreements. See “Underwriting (Conflicts of Interest)” for a description of these lock-up agreements.</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Upon the expiration of the lock-up agreements described above, all of such shares will be eligible for resale in a public market pursuant to Rule 144, subject to our compliance with the public information requirement and, in the case of shares held by our affiliates, to volume, manner of sale and other limitations under Rule 144. We expect that certain of our existing owners will be considered an affiliate upon the expiration of the lock-up period based on their expected share ownership, as well as their board nomination rights (if applicable). Certain other of our stockholders may also be considered affiliates at that time.</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pursuant to a registration rights agreement, KKR Stockholders and the Gochman Investors will each have the right, subject to certain conditions, to require us to register the sale of their shares of our common stock under the Securities Act. See “Certain Relationships and Related Party Transactions—Registration Rights Agreement.” By exercising their registration rights and selling a large number of shares, KKR Stockholders and/or the Gochman Investors could cause the prevailing market price of our common stock to decline. Certain of our existing owners have “piggyback” registration rights with respect to future registered offerings of our common stock. Following completion of this offering, the shares covered by registration rights would represent approximately 82% of our total common stock outstanding (or approximately 80% if the underwriters exercise in full their over-allotment option). Registration of any of these outstanding shares of common stock would result in such shares becoming freely tradable without compliance with Rule 144 upon effectiveness of the registration statement. See “Shares Eligible for Future Sale.”</w:t>
      </w:r>
    </w:p>
    <w:p>
      <w:pPr>
        <w:spacing w:after="0" w:line="192" w:lineRule="exact"/>
        <w:rPr>
          <w:sz w:val="20"/>
          <w:szCs w:val="20"/>
          <w:color w:val="auto"/>
        </w:rPr>
      </w:pPr>
    </w:p>
    <w:p>
      <w:pPr>
        <w:jc w:val="both"/>
        <w:ind w:left="120" w:right="280" w:firstLine="440"/>
        <w:spacing w:after="0" w:line="272" w:lineRule="auto"/>
        <w:rPr>
          <w:sz w:val="20"/>
          <w:szCs w:val="20"/>
          <w:color w:val="auto"/>
        </w:rPr>
      </w:pPr>
      <w:r>
        <w:rPr>
          <w:rFonts w:ascii="Times New Roman" w:cs="Times New Roman" w:eastAsia="Times New Roman" w:hAnsi="Times New Roman"/>
          <w:sz w:val="17"/>
          <w:szCs w:val="17"/>
          <w:color w:val="auto"/>
        </w:rPr>
        <w:t>We intend to file one or more registration statements on Form S-8 under the Securities Act to register shares of our common stock or securities convertible into or exchangeable for shares of our common stock issued pursuant to our existing 2011 Equity Plan and our 2020 Equity Plan and the ESPP to be adopted in connection with this offering. Any such Form S-8 registration statements will automatically become effective upon filing.</w:t>
      </w:r>
    </w:p>
    <w:p>
      <w:pPr>
        <w:spacing w:after="0" w:line="2"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Accordingly, shares registered under such registration statements will be available for sale in the open market. We expect that the initial registration statement on Form S-8 will cover 15,983,311 shares of our common stock.</w:t>
      </w:r>
    </w:p>
    <w:p>
      <w:pPr>
        <w:spacing w:after="0" w:line="18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restrictions on resale end, or if the existing owners exercise their registration rights,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shares of common stock or other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downgrade our stock or our sector, our stock price and trading volume could decline.</w:t>
      </w:r>
    </w:p>
    <w:p>
      <w:pPr>
        <w:spacing w:after="0" w:line="5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or if our operating results do not meet their expectations, the price of our stock could decline. If one or more of these analysts ceases coverage of the Company or fails to publish reports on us regularly, we could lose visibility in the market, which in turn could cause our stock price or trading volume to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may spend the proceeds of this offering in ways with which you may disagree or that may not be profitable.</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Although we anticipate using the net proceeds from the offering as described under “Use of Proceeds,” we will have broad discretion as to the application of the net proceeds and could use them for purposes other than those contemplated by this offering. You may not agree with the manner in which our management chooses to allocate and spend the net proceeds. Our management may use the proceeds for corporate purposes that may not increase our profitability or otherwise result in the creation of stockholder value. In addition, pending our use of the proceeds, we may invest the proceeds primarily in instruments that do not produce significant income or that may lose value.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or prevent a change of control.</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will provide for, among other things:</w:t>
      </w:r>
    </w:p>
    <w:p>
      <w:pPr>
        <w:spacing w:after="0" w:line="131" w:lineRule="exact"/>
        <w:rPr>
          <w:sz w:val="20"/>
          <w:szCs w:val="20"/>
          <w:color w:val="auto"/>
        </w:rPr>
      </w:pPr>
    </w:p>
    <w:p>
      <w:pPr>
        <w:ind w:left="1080" w:right="38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as a result of which our board of directors will be divided into three classes, with each class serving for staggered three-year terms;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nominations of directors by stockholders and for stockholders to include matters to be considered at our annual meetings;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directors only for cause and only upon the affirmative vote of the holders of at least 66</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of the shares of common stock entitled to vote generally in the election of directors if KKR Stockholders and their affiliates cease to beneficially own at least 40% of shares of common stock entitled to vote generally in the election of directors; and</w:t>
      </w:r>
    </w:p>
    <w:p>
      <w:pPr>
        <w:spacing w:after="0" w:line="81"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provisions may be amended only by the affirmative vote of at least 66</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of shares of common stock entitled to vote generally in the election of directors if KKR Stockholders and their affiliates cease to beneficially own at least 40% of shares of common stock entitled to vote generally in the election of directors.</w:t>
      </w:r>
    </w:p>
    <w:p>
      <w:pPr>
        <w:spacing w:after="0" w:line="176"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will be authorized to issue and designate shares of our preferred stock in additional series without stockholder approval.</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authorize our board of directors, without the approval of our stockholders, to issue 50 million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291"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subject to limited exceptions, that the Court of Chancery of the State of Delaware will be the exclusive forum for substantially all disputes between us and our stockholders and the federal district courts will be the exclusive forum for Securities Act claims, which could limit our stockholders’ ability to bring a suit in a different judicial forum than they may otherwise choose for disputes with us or our directors, officers, team members or stockholders.</w:t>
      </w:r>
    </w:p>
    <w:p>
      <w:pPr>
        <w:spacing w:after="0" w:line="72" w:lineRule="exact"/>
        <w:rPr>
          <w:sz w:val="20"/>
          <w:szCs w:val="20"/>
          <w:color w:val="auto"/>
        </w:rPr>
      </w:pPr>
    </w:p>
    <w:p>
      <w:pPr>
        <w:ind w:left="120" w:right="300" w:firstLine="440"/>
        <w:spacing w:after="0" w:line="276"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subject to limited exceptions, that unless we consent to the selection of an alternative forum, the Court of Chancery of the State of Delaware will, to the fullest extent permitted by law, be the sole and exclusive forum for any</w:t>
      </w:r>
    </w:p>
    <w:p>
      <w:pPr>
        <w:spacing w:after="0" w:line="1" w:lineRule="exact"/>
        <w:rPr>
          <w:sz w:val="20"/>
          <w:szCs w:val="20"/>
          <w:color w:val="auto"/>
        </w:rPr>
      </w:pPr>
    </w:p>
    <w:p>
      <w:pPr>
        <w:ind w:left="120" w:right="40" w:hanging="4"/>
        <w:spacing w:after="0" w:line="251" w:lineRule="auto"/>
        <w:tabs>
          <w:tab w:leader="none" w:pos="3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9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will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team members or stockholders. Alternatively, if a court were to find the choice of forum provision contained in our amended restated certificate of incorporation to be inapplicable or unenforceable in an action, we may incur additional costs associated with resolving such action in other jurisdictions, which could harm our business, results of operations and financial conditions.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55" w:right="4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includes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prospectus.</w:t>
      </w:r>
    </w:p>
    <w:p>
      <w:pPr>
        <w:spacing w:after="0" w:line="192"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and the following:</w:t>
      </w:r>
    </w:p>
    <w:p>
      <w:pPr>
        <w:spacing w:after="0" w:line="78" w:lineRule="exact"/>
        <w:rPr>
          <w:sz w:val="20"/>
          <w:szCs w:val="20"/>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financial results;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w:t>
      </w:r>
    </w:p>
    <w:p>
      <w:pPr>
        <w:spacing w:after="0" w:line="130"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 and the risk that our insurance or indemnities coverage may not be sufficient;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technology systems;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disruptions in our supply chain and losses of merchandise purchasing incentives;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third-party vendors of outsourced business services and solutions;</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continue our store growth plans or manage our growth effectively, or any failure of our new stores to generate sales and/or achieve profitability;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e-commerce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owned brand merchandise;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operation of our distribution centers;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seasonal fluctuations in our operating results;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severe weather events, catastrophic health events, natural or man-made disasters, social and political conditions or civil unrest;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avoid the infringement of third-party intellectual property rights;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ability to meet our labor needs;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merchandise costs and availability;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growth of our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executives;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pursue strategic acquisitions and integrate acquired businesses;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payment-related risks;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advertising programs;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projected in these forward-looking statements.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forward-looking statement made by us in this prospectus speaks only as of the date of this prospectus and are expressly qualified in their entirety by the cautionary statements included in this prospectus.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$225 million (or approximately $260 million, if the underwriters exercise in full their over-allotment option) from the sale of shares of our common stock in this offering, assuming an initial public offering price of $16.00 per share, which is the midpoint of the estimated price range set forth on the cover page of this prospectus, and after deducting the underwriting discounts and commissions and estimated offering expenses payable by us. An increase (decrease) of 1,000,000 shares from the expected number of shares of common stock to be sold by us in this offering, assuming no change in the assumed initial offering price per share, would increase (decrease) our net proceeds from this offering by $14.9 million. A $1.00 increase (decrease) in the assumed initial offering price would increase (decrease) the net proceeds to us from this offering by $14.6 million, assuming the number of shares of common stock offered by us, as set forth on the cover page of this prospectus, remains the same, and after deducting the underwriting discounts and commissions and estimated offering expenses payable by us.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use these proceeds for general corporate purposes, which may include the repayment of certain indebtedness.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currently expect to retain all future earnings for use in the operation and expansion of our business and have no current plans to pay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If we elect to pay such dividends in the future, we may reduce or discontinue entirely the payment of such dividends at any time. Academy Sports and Outdoors, Inc. is a holding company and its operations are conducted through its wholly owned subsidiaries. In the event that we do pay a dividend, we intend to cause our operating subsidiaries to make distributions to us in an amount sufficient to cover such dividend. Our operating subsidiary, Academy, Ltd. and its subsidiaries are currently subject to certain restrictions and covenants under the credit agreements governing the ABL Facility and the Term Loan Facility, including limits on amounts of leverage, interest charges and capital expenditures. These restrictions and covenants may restrict the ability of those entities to make distributions to Academy Sports and Outdoors, Inc. See “Description of Certain Indebtedness.” Any additional financing arrangement we enter into in the future may include restrictive covenants that limit our subsidiaries’ ability to pay dividends to us. In addition, Delaware law may impose requirements that may restrict our ability to pay dividends to holders of our common stock.</w:t>
      </w:r>
    </w:p>
    <w:p>
      <w:pPr>
        <w:spacing w:after="0" w:line="19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August 28, 2020, New Academy Holding Company, LLC paid a $257.0 million one-time special distribution to its unitholders of record as of August 25, 2020, of which $218.3 million was paid to Allstar LLC, an investment entity owned by KKR, $24.9 million was paid to the Gochman Investors and the remaining $4.8 million was paid to other unitholders. $248.0 million of such one-time special distribution was funded through cash on hand, with the remainder distributed through an offset of outstanding loans receivable from certain unitholders as well as state income tax withholdings made on behalf of our unitholders.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cash and cash equivalents and capitalization as of August 1, 2020 of New Academy Holding Company, LLC on an actual basis and of Academy Sports and Outdoors, Inc. on a pro forma basis to reflect:</w:t>
      </w:r>
    </w:p>
    <w:p>
      <w:pPr>
        <w:spacing w:after="0" w:line="67" w:lineRule="exact"/>
        <w:rPr>
          <w:sz w:val="20"/>
          <w:szCs w:val="20"/>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$257.0 million one-time special distribution paid on August 28, 2020 to New Academy Holding Company, LLC’s unitholders;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Reorganization Transactions; and</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15,625,000 shares of our common stock offered by us in this offering at an assumed initial public offering price of $16.00 per share, which is the midpoint of the estimated price range set forth on the cover page of this prospectus, after deducting the underwriting discounts and commissions and estimated offering expenses payable by us, and the application of the net proceeds to us therefrom as described under “Use of Proceeds.”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table in conjunction with the information contained in “Use of Proceeds,” “Selected Historical Consolidated Financial Data,” “Management’s Discussion and Analysis of Financial Condition and Results of Operations” and “Description of Certain Indebtedness” as well as our audited consolidated financial statements and related notes and our unaudited condensed consolidated financial statements and related notes, each included elsewhere in this prospectus.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5"/>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As of August 1, 2020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3"/>
          </w:tcPr>
          <w:p>
            <w:pPr>
              <w:jc w:val="center"/>
              <w:ind w:right="880"/>
              <w:spacing w:after="0" w:line="118" w:lineRule="exact"/>
              <w:rPr>
                <w:sz w:val="20"/>
                <w:szCs w:val="20"/>
                <w:color w:val="auto"/>
              </w:rPr>
            </w:pPr>
            <w:r>
              <w:rPr>
                <w:rFonts w:ascii="Times New Roman" w:cs="Times New Roman" w:eastAsia="Times New Roman" w:hAnsi="Times New Roman"/>
                <w:sz w:val="13"/>
                <w:szCs w:val="13"/>
                <w:b w:val="1"/>
                <w:bCs w:val="1"/>
                <w:color w:val="auto"/>
              </w:rPr>
              <w:t>New Academy</w:t>
            </w:r>
          </w:p>
        </w:tc>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Academy Sports and</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9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Holding Company,</w:t>
            </w:r>
          </w:p>
        </w:tc>
        <w:tc>
          <w:tcPr>
            <w:tcW w:w="15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LLC</w:t>
            </w:r>
          </w:p>
        </w:tc>
        <w:tc>
          <w:tcPr>
            <w:tcW w:w="14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Outdoors, Inc.</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780" w:type="dxa"/>
            <w:vAlign w:val="bottom"/>
            <w:gridSpan w:val="2"/>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7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74"/>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thousands, except par value)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884,029</w:t>
            </w:r>
          </w:p>
        </w:tc>
        <w:tc>
          <w:tcPr>
            <w:tcW w:w="7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861,024</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ABL Facility</w:t>
            </w:r>
            <w:r>
              <w:rPr>
                <w:rFonts w:ascii="Times New Roman" w:cs="Times New Roman" w:eastAsia="Times New Roman" w:hAnsi="Times New Roman"/>
                <w:sz w:val="15"/>
                <w:szCs w:val="15"/>
                <w:color w:val="auto"/>
              </w:rPr>
              <w:t>(2)</w:t>
            </w:r>
          </w:p>
        </w:tc>
        <w:tc>
          <w:tcPr>
            <w:tcW w:w="100" w:type="dxa"/>
            <w:vAlign w:val="bottom"/>
          </w:tcPr>
          <w:p>
            <w:pPr>
              <w:spacing w:after="0"/>
              <w:rPr>
                <w:sz w:val="18"/>
                <w:szCs w:val="18"/>
                <w:color w:val="auto"/>
              </w:rPr>
            </w:pPr>
          </w:p>
        </w:tc>
        <w:tc>
          <w:tcPr>
            <w:tcW w:w="184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Loan Facility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1,433,965</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1,433,965</w:t>
            </w:r>
          </w:p>
        </w:tc>
        <w:tc>
          <w:tcPr>
            <w:tcW w:w="0" w:type="dxa"/>
            <w:vAlign w:val="bottom"/>
          </w:tcPr>
          <w:p>
            <w:pPr>
              <w:spacing w:after="0"/>
              <w:rPr>
                <w:sz w:val="1"/>
                <w:szCs w:val="1"/>
                <w:color w:val="auto"/>
              </w:rPr>
            </w:pPr>
          </w:p>
        </w:tc>
      </w:tr>
      <w:tr>
        <w:trPr>
          <w:trHeight w:val="230"/>
        </w:trPr>
        <w:tc>
          <w:tcPr>
            <w:tcW w:w="49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1,433,965</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1,433,965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Partners’/Stockholders’ equity</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Partners’ equity</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321,376</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9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300,000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authorized, 88,103 shares issued and</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pro forma</w:t>
            </w:r>
          </w:p>
        </w:tc>
        <w:tc>
          <w:tcPr>
            <w:tcW w:w="100" w:type="dxa"/>
            <w:vAlign w:val="bottom"/>
            <w:shd w:val="clear" w:color="auto" w:fill="CCEEFF"/>
          </w:tcPr>
          <w:p>
            <w:pPr>
              <w:spacing w:after="0"/>
              <w:rPr>
                <w:sz w:val="20"/>
                <w:szCs w:val="20"/>
                <w:color w:val="auto"/>
              </w:rPr>
            </w:pPr>
          </w:p>
        </w:tc>
        <w:tc>
          <w:tcPr>
            <w:tcW w:w="184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84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288,495</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and other comprehensive income (loss)</w:t>
            </w:r>
          </w:p>
        </w:tc>
        <w:tc>
          <w:tcPr>
            <w:tcW w:w="1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(8,339)</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(8,339)</w:t>
            </w:r>
          </w:p>
        </w:tc>
        <w:tc>
          <w:tcPr>
            <w:tcW w:w="0" w:type="dxa"/>
            <w:vAlign w:val="bottom"/>
          </w:tcPr>
          <w:p>
            <w:pPr>
              <w:spacing w:after="0"/>
              <w:rPr>
                <w:sz w:val="1"/>
                <w:szCs w:val="1"/>
                <w:color w:val="auto"/>
              </w:rPr>
            </w:pPr>
          </w:p>
        </w:tc>
      </w:tr>
      <w:tr>
        <w:trPr>
          <w:trHeight w:val="223"/>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836,059</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836,059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partners’/stockholders’ equity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1,149,096</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1,117,096</w:t>
            </w:r>
          </w:p>
        </w:tc>
        <w:tc>
          <w:tcPr>
            <w:tcW w:w="0" w:type="dxa"/>
            <w:vAlign w:val="bottom"/>
          </w:tcPr>
          <w:p>
            <w:pPr>
              <w:spacing w:after="0"/>
              <w:rPr>
                <w:sz w:val="1"/>
                <w:szCs w:val="1"/>
                <w:color w:val="auto"/>
              </w:rPr>
            </w:pPr>
          </w:p>
        </w:tc>
      </w:tr>
      <w:tr>
        <w:trPr>
          <w:trHeight w:val="223"/>
        </w:trPr>
        <w:tc>
          <w:tcPr>
            <w:tcW w:w="49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Total capitalization</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2,583,061</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2,551,061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60" w:hanging="424"/>
        <w:spacing w:after="0" w:line="258"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 increase (decrease) in the assumed initial public offering price of $16.00 per share, which is the midpoint of the estimated price range set forth on the cover page of this prospectus, would increase (decrease) the net proceeds that we receive in this offering and each of additional paid-in capital, total stockholders’ equity and total capitalization by approximately $14.6 million, assuming the number of shares offered by us remains the same as set forth on the cover page of this prospectus and after deducting the underwriting discounts and commissions and estimated offering expenses payable by us. An increase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80"/>
          </w:cols>
          <w:pgMar w:left="320" w:top="455" w:right="49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(decrease) of 1,000,000 shares in the expected number of shares to be sold by us in this offering, assuming no change in the assumed initial public offering price, would increase (decrease) our net proceeds from this offering and each of additional paid-in capital, total stockholders’ equity and total capitalization by approximately $14.9 million . The pro forma column reflects the issuance of 72,478,095 shares of common stock of Academy Sports and Outdoors, Inc. in connection with the contribution of New Academy Holding Company, LLC by its unitholders and related reorganization transactions and related cancellation of all outstanding partners’ equity at New Academy Holding Company, LLC in connection with the offering.</w:t>
      </w:r>
    </w:p>
    <w:p>
      <w:pPr>
        <w:spacing w:after="0" w:line="5" w:lineRule="exact"/>
        <w:rPr>
          <w:sz w:val="20"/>
          <w:szCs w:val="20"/>
          <w:color w:val="auto"/>
        </w:rPr>
      </w:pPr>
    </w:p>
    <w:p>
      <w:pPr>
        <w:ind w:left="540" w:right="28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August 1, 2020, there were $29.7 million letters of credit outstanding, $19.9 million of which were issued under the ABL Facility. For a further description of our ABL Facility, see “Description of Certain Indebtedness.”</w:t>
      </w:r>
    </w:p>
    <w:p>
      <w:pPr>
        <w:ind w:left="540" w:right="18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cash and cash equivalents reflects (i) a decrease of $248.0 million in cash, which amount was used to fund the special distribution on August 28, 2020, and (ii) an increase of $225 million from the application of the net proceeds from this offering as cash and cash equivalents pending application as set forth in “Use of Proceeds.”</w:t>
      </w:r>
    </w:p>
    <w:p>
      <w:pPr>
        <w:spacing w:after="0" w:line="1"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additional paid-in capital reflects (i) a decrease of $257 million in partners’ equity at New Academy Holding Company, LLC due to the special distribution to its unitholders and (ii) an increase of $224 million from the sale of shares in this offering at an assumed initial public offering price of $16.00 per share, which is the midpoint of the estimated price range set forth on the cover page of this prospectus, net of $881,000 allocated to pro forma common stock.</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60"/>
          </w:cols>
          <w:pgMar w:left="320" w:top="455" w:right="51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in us will be diluted to the extent of the difference between the initial public offering price per share of our common stock and the pro forma net tangible book (deficit) per share of our common stock after giving effect to this offering. Dilution results from the fact that the per share offering price of the common stock is substantially in excess of the pro forma net tangible book value per share attributable to our existing owners.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pro forma net tangible book (deficit) as of August 1, 2020 was approximately $(287) million, or $(3.96) per share of our common stock. We calculate pro forma net tangible book (deficit) per share by taking the amount of our total tangible assets (including our right-of-use assets related to our leases), reduced by the amount of our total liabilities, and then dividing that amount by the total number of shares of common stock outstanding on a pro forma basis giving effect to the Reorganization Transactions.</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After giving effect to (i) our sale of 15,625,000 shares of common stock in this offering at an assumed initial public offering price of $16.00 per share, which is the midpoint of the estimated price range set forth on the cover page of this prospectus, and (ii) the use of proceeds therefrom, after deducting the underwriting discounts and commissions and estimated offering expenses payable by us, our pro forma net tangible book (deficit) as of August 1, 2020 would have been $(62) million, or $(0.70) per share of our common stock. This amount represents an immediate decrease in pro forma net tangible book (deficit) of $3.26 per share of common stock to our existing owners and an immediate and substantial dilution in pro forma net tangible book value of $(16.70) per share of common stock to new investors purchasing shares in this offering.</w:t>
      </w:r>
    </w:p>
    <w:p>
      <w:pPr>
        <w:spacing w:after="0" w:line="187"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this dilution on a per share of common stock basis assuming the underwriters do not exercise their option to purchase additional shares of common stock:</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 of common stock</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$ 16.00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Pro forma net tangible book (deficit) per share of common stock as of August 1,</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2020 after giving effect to the Reorganization Transactions</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Increase in pro forma net tangible book value per share of common stock</w:t>
            </w: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attributable to investors in this offering</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net tangible book (deficit) per share of common stock after giving effect to</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this offering</w:t>
            </w:r>
          </w:p>
        </w:tc>
        <w:tc>
          <w:tcPr>
            <w:tcW w:w="3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of common stock to investors in this offering</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Dilution is determined by subtracting pro forma net tangible book (deficit) per share of common stock after the offering from the initial public offering price per share of common stock.</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per share of common stock would increase or decrease, as applicable, the pro forma net tangible book value by $0.16 per share and the dilution to new investors in the offering by $(0.84) per share, assuming that the number of shares offered in this offering, as set forth on the cover page of this prospectus, remains the same. The pro forma information discussed above is for illustrative purposes only. Our net tangible book (deficit) following the completion of the offering is subject to adjustment based on the actual offering price of our common stock and other terms of this offering determined at pricing.</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on the same pro forma basis as of August 1, 2020, the total number of shares of common stock purchased from us, the total cash consideration paid to us and the average price per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55" w:right="47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of common stock paid by our existing owners and by new investors purchasing shares of common stock in this offering.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34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5"/>
                <w:szCs w:val="15"/>
                <w:color w:val="auto"/>
              </w:rPr>
            </w:pPr>
          </w:p>
        </w:tc>
        <w:tc>
          <w:tcPr>
            <w:tcW w:w="234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r>
      <w:tr>
        <w:trPr>
          <w:trHeight w:val="142"/>
        </w:trPr>
        <w:tc>
          <w:tcPr>
            <w:tcW w:w="5240" w:type="dxa"/>
            <w:vAlign w:val="bottom"/>
          </w:tcPr>
          <w:p>
            <w:pPr>
              <w:spacing w:after="0"/>
              <w:rPr>
                <w:sz w:val="12"/>
                <w:szCs w:val="12"/>
                <w:color w:val="auto"/>
              </w:rPr>
            </w:pPr>
          </w:p>
        </w:tc>
        <w:tc>
          <w:tcPr>
            <w:tcW w:w="1280" w:type="dxa"/>
            <w:vAlign w:val="bottom"/>
            <w:tcBorders>
              <w:top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5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 Share</w:t>
            </w:r>
          </w:p>
        </w:tc>
      </w:tr>
      <w:tr>
        <w:trPr>
          <w:trHeight w:val="209"/>
        </w:trPr>
        <w:tc>
          <w:tcPr>
            <w:tcW w:w="5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(in thousands)</w:t>
            </w:r>
          </w:p>
        </w:tc>
        <w:tc>
          <w:tcPr>
            <w:tcW w:w="4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owners</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72,478,095</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992,000</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13.69</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 in this offering</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15,625,000</w:t>
            </w:r>
          </w:p>
        </w:tc>
        <w:tc>
          <w:tcPr>
            <w:tcW w:w="4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250,000</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16.00</w:t>
            </w:r>
          </w:p>
        </w:tc>
      </w:tr>
      <w:tr>
        <w:trPr>
          <w:trHeight w:val="27"/>
        </w:trPr>
        <w:tc>
          <w:tcPr>
            <w:tcW w:w="5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88,103,095</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1,242,000</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14.10</w:t>
            </w:r>
          </w:p>
        </w:tc>
      </w:tr>
    </w:tbl>
    <w:p>
      <w:pPr>
        <w:spacing w:after="0" w:line="19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the underwriters were to exercise in full their option to purchase 2,343,750 additional shares of our common stock from us, the percentage of shares of our common stock held by existing owners as of August 1, 2020 would be 80% and the percentage of shares of our common stock held by new investors in this offering would be 20%.</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55" w:right="4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DATA</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Set forth below is our selected historical consolidated financial data as of the dates and for the periods indicated. The selected historical financial data as of February 1, 2020 and February 2, 2019 and for 2019, 2018 and 2017 has been derived from our audited consolidated financial statements included elsewhere in this prospectus. The selected historical financial data as of February 3, 2018, January 28, 2017 and January 30, 2016 and for 2016 and 2015 has been derived from our consolidated financial statements not included in this prospectus. The selected historical financial data as of and for the twenty-six weeks ended August 1, 2020 and August 3, 2019 has been derived from our unaudited condensed consolidated financial statements included elsewhere in this prospectus. The results of operations for any period are not necessarily indicative of the results to be expected for any future period.</w:t>
      </w:r>
    </w:p>
    <w:p>
      <w:pPr>
        <w:spacing w:after="0" w:line="18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selected historical consolidated financial data of Academy Sports and Outdoors, Inc. has not been presented, as Academy Sports and Outdoors, Inc. is a newly incorporated entity, has had no business transactions or activities to date other than in connection with its formation and this offering and had no assets or liabilities during the periods presented in this section.</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Pro forma balance sheet data as of August 1, 2020 presented below gives effect to the $257.0 million one-time special distribution to our unitholders paid on August 28, 2020, $248.0 million of which was paid with cash on hand and the remainder of which was distributed through an offset of outstanding loans receivable from certain unitholders as well as state income tax withholdings made on behalf of our unitholders. Pro forma net income data presented below gives effect to the anticipated conversion of New Academy Holding Company, LLC to a C Corporation. Pro forma net income per share data for 2019 and the twenty-six weeks ended August 1, 2020 presented below gives effect to the Reorganization Transactions and also assumes that 8,559,813 and 3,315,875 additional shares of common stock were outstanding for 2019 and the twenty-six weeks ended August 1, 2020, respectively, and were used to fund the amount of the special distribution in excess of our net income for such period.</w:t>
      </w:r>
    </w:p>
    <w:p>
      <w:pPr>
        <w:spacing w:after="0" w:line="189"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following selected financial data below together with the information under “Management’s Discussion and Analysis of Financial Condition and Results of Operations” and our audited consolidated financial statements and related notes and our unaudited condensed consolidated financial statements and related notes, each included elsewhere in this prospectus.</w:t>
      </w:r>
    </w:p>
    <w:p>
      <w:pPr>
        <w:spacing w:after="0" w:line="6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1080" w:type="dxa"/>
            <w:vAlign w:val="bottom"/>
            <w:tcBorders>
              <w:top w:val="single" w:sz="8" w:color="auto"/>
            </w:tcBorders>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920" w:type="dxa"/>
            <w:vAlign w:val="bottom"/>
            <w:tcBorders>
              <w:top w:val="single" w:sz="8" w:color="auto"/>
            </w:tcBorders>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9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100" w:type="dxa"/>
            <w:vAlign w:val="bottom"/>
          </w:tcPr>
          <w:p>
            <w:pPr>
              <w:spacing w:after="0"/>
              <w:rPr>
                <w:sz w:val="19"/>
                <w:szCs w:val="19"/>
                <w:color w:val="auto"/>
              </w:rPr>
            </w:pPr>
          </w:p>
        </w:tc>
        <w:tc>
          <w:tcPr>
            <w:tcW w:w="7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52 weeks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52 weeks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53 weeks</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52 weeks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52 weeks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rPr>
              <w:t>26 weeks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26 weeks</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15"/>
                <w:szCs w:val="15"/>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4,829,897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4,783,893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4,835,582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4,738,474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4,646,686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2,742,721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2,314,202</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3,398,743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3,415,941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3,436,618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3,419,784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3,299,972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1,948,275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1,616,022</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1,431,154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1,367,952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1,398,964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1,318,690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1,346,714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794,446</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1,251,733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1,239,002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1,241,643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1,171,411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1,094,500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596,636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614,172</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179,421</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128,950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157,321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147,279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252,214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197,810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101,307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108,652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104,857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96,610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114,821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48,088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52,586</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early retirement of debt, net</w:t>
            </w:r>
            <w:r>
              <w:rPr>
                <w:rFonts w:ascii="Times New Roman" w:cs="Times New Roman" w:eastAsia="Times New Roman" w:hAnsi="Times New Roman"/>
                <w:sz w:val="15"/>
                <w:szCs w:val="15"/>
                <w:color w:val="auto"/>
              </w:rPr>
              <w:t>(2)</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(42,265)</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(6,294)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55,498</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(7,831)</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122,860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159,174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75,161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157,656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63</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5"/>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5"/>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320" w:type="dxa"/>
            <w:vAlign w:val="bottom"/>
          </w:tcPr>
          <w:p>
            <w:pPr>
              <w:spacing w:after="0"/>
              <w:rPr>
                <w:sz w:val="10"/>
                <w:szCs w:val="10"/>
                <w:color w:val="auto"/>
              </w:rPr>
            </w:pPr>
          </w:p>
        </w:tc>
        <w:tc>
          <w:tcPr>
            <w:tcW w:w="800" w:type="dxa"/>
            <w:vAlign w:val="bottom"/>
            <w:gridSpan w:val="5"/>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320" w:type="dxa"/>
            <w:vAlign w:val="bottom"/>
          </w:tcPr>
          <w:p>
            <w:pPr>
              <w:spacing w:after="0"/>
              <w:rPr>
                <w:sz w:val="10"/>
                <w:szCs w:val="10"/>
                <w:color w:val="auto"/>
              </w:rPr>
            </w:pPr>
          </w:p>
        </w:tc>
        <w:tc>
          <w:tcPr>
            <w:tcW w:w="112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100" w:type="dxa"/>
            <w:vAlign w:val="bottom"/>
            <w:gridSpan w:val="6"/>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20" w:type="dxa"/>
            <w:vAlign w:val="bottom"/>
          </w:tcPr>
          <w:p>
            <w:pPr>
              <w:spacing w:after="0"/>
              <w:rPr>
                <w:sz w:val="10"/>
                <w:szCs w:val="10"/>
                <w:color w:val="auto"/>
              </w:rPr>
            </w:pPr>
          </w:p>
        </w:tc>
        <w:tc>
          <w:tcPr>
            <w:tcW w:w="7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80" w:type="dxa"/>
            <w:vAlign w:val="bottom"/>
          </w:tcPr>
          <w:p>
            <w:pPr>
              <w:spacing w:after="0"/>
              <w:rPr>
                <w:sz w:val="10"/>
                <w:szCs w:val="10"/>
                <w:color w:val="auto"/>
              </w:rPr>
            </w:pPr>
          </w:p>
        </w:tc>
        <w:tc>
          <w:tcPr>
            <w:tcW w:w="66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gridSpan w:val="5"/>
          </w:tcPr>
          <w:p>
            <w:pPr>
              <w:jc w:val="center"/>
              <w:ind w:left="34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5"/>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Borders>
              <w:top w:val="single" w:sz="8" w:color="auto"/>
            </w:tcBorders>
            <w:gridSpan w:val="4"/>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52 weeks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Borders>
              <w:top w:val="single" w:sz="8" w:color="auto"/>
            </w:tcBorders>
            <w:gridSpan w:val="4"/>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52 weeks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Borders>
              <w:top w:val="single" w:sz="8" w:color="auto"/>
            </w:tcBorders>
            <w:gridSpan w:val="3"/>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53 weeks</w:t>
            </w:r>
          </w:p>
        </w:tc>
        <w:tc>
          <w:tcPr>
            <w:tcW w:w="4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3"/>
          </w:tcPr>
          <w:p>
            <w:pPr>
              <w:jc w:val="right"/>
              <w:spacing w:after="0" w:line="174" w:lineRule="exact"/>
              <w:rPr>
                <w:sz w:val="20"/>
                <w:szCs w:val="20"/>
                <w:color w:val="auto"/>
              </w:rPr>
            </w:pPr>
            <w:r>
              <w:rPr>
                <w:rFonts w:ascii="Times New Roman" w:cs="Times New Roman" w:eastAsia="Times New Roman" w:hAnsi="Times New Roman"/>
                <w:sz w:val="16"/>
                <w:szCs w:val="16"/>
                <w:color w:val="auto"/>
                <w:w w:val="96"/>
              </w:rPr>
              <w:t>52 weeks</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tcBorders>
            <w:gridSpan w:val="3"/>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52 weeks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ind w:left="20"/>
              <w:spacing w:after="0" w:line="174" w:lineRule="exact"/>
              <w:rPr>
                <w:sz w:val="20"/>
                <w:szCs w:val="20"/>
                <w:color w:val="auto"/>
              </w:rPr>
            </w:pPr>
            <w:r>
              <w:rPr>
                <w:rFonts w:ascii="Times New Roman" w:cs="Times New Roman" w:eastAsia="Times New Roman" w:hAnsi="Times New Roman"/>
                <w:sz w:val="16"/>
                <w:szCs w:val="16"/>
                <w:color w:val="auto"/>
              </w:rPr>
              <w:t>26 weeks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top w:val="single" w:sz="8" w:color="auto"/>
            </w:tcBorders>
            <w:gridSpan w:val="3"/>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26 weeks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 thousands, except share and per share</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amounts and store data)</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Per Share Data (unaudited):</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
        </w:trPr>
        <w:tc>
          <w:tcPr>
            <w:tcW w:w="2480" w:type="dxa"/>
            <w:vAlign w:val="bottom"/>
          </w:tcPr>
          <w:p>
            <w:pPr>
              <w:spacing w:after="0" w:line="6" w:lineRule="exact"/>
              <w:rPr>
                <w:sz w:val="20"/>
                <w:szCs w:val="20"/>
                <w:color w:val="auto"/>
              </w:rPr>
            </w:pPr>
            <w:r>
              <w:rPr>
                <w:rFonts w:ascii="Times New Roman" w:cs="Times New Roman" w:eastAsia="Times New Roman" w:hAnsi="Times New Roman"/>
                <w:sz w:val="1"/>
                <w:szCs w:val="1"/>
                <w:color w:val="auto"/>
              </w:rPr>
              <w:t>Pro forma net income</w:t>
            </w:r>
          </w:p>
        </w:tc>
        <w:tc>
          <w:tcPr>
            <w:tcW w:w="460" w:type="dxa"/>
            <w:vAlign w:val="bottom"/>
          </w:tcPr>
          <w:p>
            <w:pPr>
              <w:spacing w:after="0" w:line="20" w:lineRule="exact"/>
              <w:rPr>
                <w:sz w:val="1"/>
                <w:szCs w:val="1"/>
                <w:color w:val="auto"/>
              </w:rPr>
            </w:pPr>
          </w:p>
        </w:tc>
        <w:tc>
          <w:tcPr>
            <w:tcW w:w="1220" w:type="dxa"/>
            <w:vAlign w:val="bottom"/>
            <w:gridSpan w:val="7"/>
          </w:tcPr>
          <w:p>
            <w:pPr>
              <w:jc w:val="right"/>
              <w:ind w:right="80"/>
              <w:spacing w:after="0" w:line="6" w:lineRule="exact"/>
              <w:rPr>
                <w:sz w:val="20"/>
                <w:szCs w:val="20"/>
                <w:color w:val="auto"/>
              </w:rPr>
            </w:pPr>
            <w:r>
              <w:rPr>
                <w:rFonts w:ascii="Times New Roman" w:cs="Times New Roman" w:eastAsia="Times New Roman" w:hAnsi="Times New Roman"/>
                <w:sz w:val="1"/>
                <w:szCs w:val="1"/>
                <w:color w:val="auto"/>
              </w:rPr>
              <w:t>89,942</w:t>
            </w: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jc w:val="right"/>
              <w:ind w:right="160"/>
              <w:spacing w:after="0" w:line="6" w:lineRule="exact"/>
              <w:rPr>
                <w:sz w:val="20"/>
                <w:szCs w:val="20"/>
                <w:color w:val="auto"/>
              </w:rPr>
            </w:pPr>
            <w:r>
              <w:rPr>
                <w:rFonts w:ascii="Times New Roman" w:cs="Times New Roman" w:eastAsia="Times New Roman" w:hAnsi="Times New Roman"/>
                <w:sz w:val="1"/>
                <w:szCs w:val="1"/>
                <w:color w:val="auto"/>
              </w:rPr>
              <w:t>118,658</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480" w:type="dxa"/>
            <w:vAlign w:val="bottom"/>
          </w:tcPr>
          <w:p>
            <w:pPr>
              <w:ind w:left="1480"/>
              <w:spacing w:after="0"/>
              <w:rPr>
                <w:sz w:val="20"/>
                <w:szCs w:val="20"/>
                <w:color w:val="auto"/>
              </w:rPr>
            </w:pPr>
            <w:r>
              <w:rPr>
                <w:rFonts w:ascii="Times New Roman" w:cs="Times New Roman" w:eastAsia="Times New Roman" w:hAnsi="Times New Roman"/>
                <w:sz w:val="15"/>
                <w:szCs w:val="15"/>
                <w:color w:val="auto"/>
              </w:rPr>
              <w:t>(3)</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
        </w:trPr>
        <w:tc>
          <w:tcPr>
            <w:tcW w:w="2480" w:type="dxa"/>
            <w:vAlign w:val="bottom"/>
            <w:shd w:val="clear" w:color="auto" w:fill="CCEEFF"/>
          </w:tcPr>
          <w:p>
            <w:pPr>
              <w:spacing w:after="0" w:line="10" w:lineRule="exact"/>
              <w:rPr>
                <w:sz w:val="20"/>
                <w:szCs w:val="20"/>
                <w:color w:val="auto"/>
              </w:rPr>
            </w:pPr>
            <w:r>
              <w:rPr>
                <w:rFonts w:ascii="Times New Roman" w:cs="Times New Roman" w:eastAsia="Times New Roman" w:hAnsi="Times New Roman"/>
                <w:sz w:val="1"/>
                <w:szCs w:val="1"/>
                <w:color w:val="auto"/>
              </w:rPr>
              <w:t>Pro forma net income per share</w:t>
            </w:r>
          </w:p>
        </w:tc>
        <w:tc>
          <w:tcPr>
            <w:tcW w:w="460" w:type="dxa"/>
            <w:vAlign w:val="bottom"/>
            <w:shd w:val="clear" w:color="auto" w:fill="CCEEFF"/>
          </w:tcPr>
          <w:p>
            <w:pPr>
              <w:jc w:val="right"/>
              <w:ind w:right="395"/>
              <w:spacing w:after="0" w:line="10" w:lineRule="exact"/>
              <w:rPr>
                <w:sz w:val="20"/>
                <w:szCs w:val="20"/>
                <w:color w:val="auto"/>
              </w:rPr>
            </w:pPr>
            <w:r>
              <w:rPr>
                <w:rFonts w:ascii="Times New Roman" w:cs="Times New Roman" w:eastAsia="Times New Roman" w:hAnsi="Times New Roman"/>
                <w:sz w:val="1"/>
                <w:szCs w:val="1"/>
                <w:color w:val="auto"/>
              </w:rPr>
              <w:t>:</w:t>
            </w: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8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5"/>
                <w:szCs w:val="15"/>
                <w:color w:val="auto"/>
                <w:w w:val="91"/>
              </w:rPr>
              <w:t>(3)(4)</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460" w:type="dxa"/>
            <w:vAlign w:val="bottom"/>
          </w:tcPr>
          <w:p>
            <w:pPr>
              <w:spacing w:after="0"/>
              <w:rPr>
                <w:sz w:val="17"/>
                <w:szCs w:val="17"/>
                <w:color w:val="auto"/>
              </w:rPr>
            </w:pPr>
          </w:p>
        </w:tc>
        <w:tc>
          <w:tcPr>
            <w:tcW w:w="800" w:type="dxa"/>
            <w:vAlign w:val="bottom"/>
            <w:gridSpan w:val="3"/>
          </w:tcPr>
          <w:p>
            <w:pPr>
              <w:jc w:val="right"/>
              <w:ind w:right="36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1.11</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4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36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4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w w:val="99"/>
              </w:rPr>
              <w:t>Weighted average shares of common stock</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480" w:type="dxa"/>
            <w:vAlign w:val="bottom"/>
          </w:tcPr>
          <w:p>
            <w:pPr>
              <w:ind w:left="160"/>
              <w:spacing w:after="0" w:line="28" w:lineRule="exact"/>
              <w:rPr>
                <w:sz w:val="20"/>
                <w:szCs w:val="20"/>
                <w:color w:val="auto"/>
              </w:rPr>
            </w:pPr>
            <w:r>
              <w:rPr>
                <w:rFonts w:ascii="Times New Roman" w:cs="Times New Roman" w:eastAsia="Times New Roman" w:hAnsi="Times New Roman"/>
                <w:sz w:val="3"/>
                <w:szCs w:val="3"/>
                <w:color w:val="auto"/>
              </w:rPr>
              <w:t>outstanding  :</w:t>
            </w: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48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(4)</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460" w:type="dxa"/>
            <w:vAlign w:val="bottom"/>
            <w:shd w:val="clear" w:color="auto" w:fill="CCEEFF"/>
          </w:tcPr>
          <w:p>
            <w:pPr>
              <w:spacing w:after="0"/>
              <w:rPr>
                <w:sz w:val="17"/>
                <w:szCs w:val="17"/>
                <w:color w:val="auto"/>
              </w:rPr>
            </w:pPr>
          </w:p>
        </w:tc>
        <w:tc>
          <w:tcPr>
            <w:tcW w:w="122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81,037,194</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75,792,106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460" w:type="dxa"/>
            <w:vAlign w:val="bottom"/>
          </w:tcPr>
          <w:p>
            <w:pPr>
              <w:spacing w:after="0"/>
              <w:rPr>
                <w:sz w:val="19"/>
                <w:szCs w:val="19"/>
                <w:color w:val="auto"/>
              </w:rPr>
            </w:pPr>
          </w:p>
        </w:tc>
        <w:tc>
          <w:tcPr>
            <w:tcW w:w="1220" w:type="dxa"/>
            <w:vAlign w:val="bottom"/>
            <w:gridSpan w:val="7"/>
          </w:tcPr>
          <w:p>
            <w:pPr>
              <w:jc w:val="right"/>
              <w:ind w:right="80"/>
              <w:spacing w:after="0"/>
              <w:rPr>
                <w:sz w:val="20"/>
                <w:szCs w:val="20"/>
                <w:color w:val="auto"/>
              </w:rPr>
            </w:pPr>
            <w:r>
              <w:rPr>
                <w:rFonts w:ascii="Times New Roman" w:cs="Times New Roman" w:eastAsia="Times New Roman" w:hAnsi="Times New Roman"/>
                <w:sz w:val="17"/>
                <w:szCs w:val="17"/>
                <w:color w:val="auto"/>
              </w:rPr>
              <w:t>83,356,358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77,803,352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 Data:</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220" w:type="dxa"/>
            <w:vAlign w:val="bottom"/>
            <w:gridSpan w:val="7"/>
          </w:tcPr>
          <w:p>
            <w:pPr>
              <w:jc w:val="right"/>
              <w:ind w:right="80"/>
              <w:spacing w:after="0"/>
              <w:rPr>
                <w:sz w:val="20"/>
                <w:szCs w:val="20"/>
                <w:color w:val="auto"/>
              </w:rPr>
            </w:pPr>
            <w:r>
              <w:rPr>
                <w:rFonts w:ascii="Times New Roman" w:cs="Times New Roman" w:eastAsia="Times New Roman" w:hAnsi="Times New Roman"/>
                <w:sz w:val="17"/>
                <w:szCs w:val="17"/>
                <w:color w:val="auto"/>
              </w:rPr>
              <w:t>$   263,669</w:t>
            </w:r>
          </w:p>
        </w:tc>
        <w:tc>
          <w:tcPr>
            <w:tcW w:w="1120" w:type="dxa"/>
            <w:vAlign w:val="bottom"/>
            <w:gridSpan w:val="6"/>
          </w:tcPr>
          <w:p>
            <w:pPr>
              <w:jc w:val="right"/>
              <w:ind w:right="80"/>
              <w:spacing w:after="0"/>
              <w:rPr>
                <w:sz w:val="20"/>
                <w:szCs w:val="20"/>
                <w:color w:val="auto"/>
              </w:rPr>
            </w:pPr>
            <w:r>
              <w:rPr>
                <w:rFonts w:ascii="Times New Roman" w:cs="Times New Roman" w:eastAsia="Times New Roman" w:hAnsi="Times New Roman"/>
                <w:sz w:val="17"/>
                <w:szCs w:val="17"/>
                <w:color w:val="auto"/>
              </w:rPr>
              <w:t>$ 198,481</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83,355</w:t>
            </w:r>
          </w:p>
        </w:tc>
        <w:tc>
          <w:tcPr>
            <w:tcW w:w="1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164,555</w:t>
            </w:r>
          </w:p>
        </w:tc>
        <w:tc>
          <w:tcPr>
            <w:tcW w:w="40" w:type="dxa"/>
            <w:vAlign w:val="bottom"/>
          </w:tcPr>
          <w:p>
            <w:pPr>
              <w:spacing w:after="0"/>
              <w:rPr>
                <w:sz w:val="17"/>
                <w:szCs w:val="17"/>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249,376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773,621</w:t>
            </w:r>
          </w:p>
        </w:tc>
        <w:tc>
          <w:tcPr>
            <w:tcW w:w="80" w:type="dxa"/>
            <w:vAlign w:val="bottom"/>
          </w:tcPr>
          <w:p>
            <w:pPr>
              <w:spacing w:after="0"/>
              <w:rPr>
                <w:sz w:val="17"/>
                <w:szCs w:val="17"/>
                <w:color w:val="auto"/>
              </w:rPr>
            </w:pPr>
          </w:p>
        </w:tc>
        <w:tc>
          <w:tcPr>
            <w:tcW w:w="940" w:type="dxa"/>
            <w:vAlign w:val="bottom"/>
            <w:gridSpan w:val="5"/>
          </w:tcPr>
          <w:p>
            <w:pPr>
              <w:jc w:val="right"/>
              <w:ind w:right="200"/>
              <w:spacing w:after="0"/>
              <w:rPr>
                <w:sz w:val="20"/>
                <w:szCs w:val="20"/>
                <w:color w:val="auto"/>
              </w:rPr>
            </w:pPr>
            <w:r>
              <w:rPr>
                <w:rFonts w:ascii="Times New Roman" w:cs="Times New Roman" w:eastAsia="Times New Roman" w:hAnsi="Times New Roman"/>
                <w:sz w:val="17"/>
                <w:szCs w:val="17"/>
                <w:color w:val="auto"/>
              </w:rPr>
              <w:t>$103,961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460" w:type="dxa"/>
            <w:vAlign w:val="bottom"/>
            <w:shd w:val="clear" w:color="auto" w:fill="CCEEFF"/>
          </w:tcPr>
          <w:p>
            <w:pPr>
              <w:spacing w:after="0"/>
              <w:rPr>
                <w:sz w:val="17"/>
                <w:szCs w:val="17"/>
                <w:color w:val="auto"/>
              </w:rPr>
            </w:pPr>
          </w:p>
        </w:tc>
        <w:tc>
          <w:tcPr>
            <w:tcW w:w="122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(66,783)</w:t>
            </w:r>
          </w:p>
        </w:tc>
        <w:tc>
          <w:tcPr>
            <w:tcW w:w="112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(99,027)</w:t>
            </w:r>
          </w:p>
        </w:tc>
        <w:tc>
          <w:tcPr>
            <w:tcW w:w="144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(115,901)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w w:val="99"/>
              </w:rPr>
              <w:t>(153,215)</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99"/>
              </w:rPr>
              <w:t>(118,096)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(13,580)</w:t>
            </w:r>
          </w:p>
        </w:tc>
        <w:tc>
          <w:tcPr>
            <w:tcW w:w="80" w:type="dxa"/>
            <w:vAlign w:val="bottom"/>
            <w:shd w:val="clear" w:color="auto" w:fill="CCEEFF"/>
          </w:tcPr>
          <w:p>
            <w:pPr>
              <w:spacing w:after="0"/>
              <w:rPr>
                <w:sz w:val="17"/>
                <w:szCs w:val="17"/>
                <w:color w:val="auto"/>
              </w:rPr>
            </w:pPr>
          </w:p>
        </w:tc>
        <w:tc>
          <w:tcPr>
            <w:tcW w:w="9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(31,767)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4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Net cash provided by (used in) financing</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activities</w:t>
            </w:r>
          </w:p>
        </w:tc>
        <w:tc>
          <w:tcPr>
            <w:tcW w:w="460" w:type="dxa"/>
            <w:vAlign w:val="bottom"/>
          </w:tcPr>
          <w:p>
            <w:pPr>
              <w:spacing w:after="0"/>
              <w:rPr>
                <w:sz w:val="19"/>
                <w:szCs w:val="19"/>
                <w:color w:val="auto"/>
              </w:rPr>
            </w:pPr>
          </w:p>
        </w:tc>
        <w:tc>
          <w:tcPr>
            <w:tcW w:w="1220" w:type="dxa"/>
            <w:vAlign w:val="bottom"/>
            <w:gridSpan w:val="7"/>
          </w:tcPr>
          <w:p>
            <w:pPr>
              <w:jc w:val="right"/>
              <w:ind w:right="20"/>
              <w:spacing w:after="0"/>
              <w:rPr>
                <w:sz w:val="20"/>
                <w:szCs w:val="20"/>
                <w:color w:val="auto"/>
              </w:rPr>
            </w:pPr>
            <w:r>
              <w:rPr>
                <w:rFonts w:ascii="Times New Roman" w:cs="Times New Roman" w:eastAsia="Times New Roman" w:hAnsi="Times New Roman"/>
                <w:sz w:val="17"/>
                <w:szCs w:val="17"/>
                <w:color w:val="auto"/>
              </w:rPr>
              <w:t>(123,192)</w:t>
            </w: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color w:val="auto"/>
              </w:rPr>
              <w:t>(54,808)</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8,514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(8,392)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w w:val="99"/>
              </w:rPr>
              <w:t>(287,052)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(25,127)</w:t>
            </w:r>
          </w:p>
        </w:tc>
        <w:tc>
          <w:tcPr>
            <w:tcW w:w="80" w:type="dxa"/>
            <w:vAlign w:val="bottom"/>
          </w:tcPr>
          <w:p>
            <w:pPr>
              <w:spacing w:after="0"/>
              <w:rPr>
                <w:sz w:val="19"/>
                <w:szCs w:val="19"/>
                <w:color w:val="auto"/>
              </w:rPr>
            </w:pPr>
          </w:p>
        </w:tc>
        <w:tc>
          <w:tcPr>
            <w:tcW w:w="940" w:type="dxa"/>
            <w:vAlign w:val="bottom"/>
            <w:gridSpan w:val="5"/>
          </w:tcPr>
          <w:p>
            <w:pPr>
              <w:jc w:val="right"/>
              <w:ind w:right="140"/>
              <w:spacing w:after="0"/>
              <w:rPr>
                <w:sz w:val="20"/>
                <w:szCs w:val="20"/>
                <w:color w:val="auto"/>
              </w:rPr>
            </w:pPr>
            <w:r>
              <w:rPr>
                <w:rFonts w:ascii="Times New Roman" w:cs="Times New Roman" w:eastAsia="Times New Roman" w:hAnsi="Times New Roman"/>
                <w:sz w:val="17"/>
                <w:szCs w:val="17"/>
                <w:color w:val="auto"/>
              </w:rPr>
              <w:t>(95,795)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460" w:type="dxa"/>
            <w:vAlign w:val="bottom"/>
            <w:shd w:val="clear" w:color="auto" w:fill="CCEEFF"/>
          </w:tcPr>
          <w:p>
            <w:pPr>
              <w:spacing w:after="0"/>
              <w:rPr>
                <w:sz w:val="17"/>
                <w:szCs w:val="17"/>
                <w:color w:val="auto"/>
              </w:rPr>
            </w:pPr>
          </w:p>
        </w:tc>
        <w:tc>
          <w:tcPr>
            <w:tcW w:w="122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62,818</w:t>
            </w:r>
          </w:p>
        </w:tc>
        <w:tc>
          <w:tcPr>
            <w:tcW w:w="112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107,905</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w w:val="97"/>
              </w:rPr>
              <w:t>132,126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177,628</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197,710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13,850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27,802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Store Data (Unaudited):</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Comparable sales increase (decrease)</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(0.7)%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(2.5)%</w:t>
            </w: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(3.4)%</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Number of stores at end of period</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259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253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244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228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259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4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w w:val="98"/>
              </w:rPr>
              <w:t>Total square feet at end of period (in</w:t>
            </w: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millions)</w:t>
            </w: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18.3</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17.9</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17.3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16.3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Net sales per square foot</w:t>
            </w:r>
            <w:r>
              <w:rPr>
                <w:rFonts w:ascii="Times New Roman" w:cs="Times New Roman" w:eastAsia="Times New Roman" w:hAnsi="Times New Roman"/>
                <w:sz w:val="14"/>
                <w:szCs w:val="14"/>
                <w:color w:val="auto"/>
              </w:rPr>
              <w:t>(5)</w:t>
            </w:r>
          </w:p>
        </w:tc>
        <w:tc>
          <w:tcPr>
            <w:tcW w:w="460" w:type="dxa"/>
            <w:vAlign w:val="bottom"/>
          </w:tcPr>
          <w:p>
            <w:pPr>
              <w:spacing w:after="0"/>
              <w:rPr>
                <w:sz w:val="19"/>
                <w:szCs w:val="19"/>
                <w:color w:val="auto"/>
              </w:rPr>
            </w:pPr>
          </w:p>
        </w:tc>
        <w:tc>
          <w:tcPr>
            <w:tcW w:w="800" w:type="dxa"/>
            <w:vAlign w:val="bottom"/>
            <w:gridSpan w:val="3"/>
          </w:tcPr>
          <w:p>
            <w:pPr>
              <w:jc w:val="right"/>
              <w:ind w:right="36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264</w:t>
            </w:r>
          </w:p>
        </w:tc>
        <w:tc>
          <w:tcPr>
            <w:tcW w:w="580" w:type="dxa"/>
            <w:vAlign w:val="bottom"/>
            <w:gridSpan w:val="2"/>
          </w:tcPr>
          <w:p>
            <w:pPr>
              <w:jc w:val="right"/>
              <w:ind w:right="106"/>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267</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291</w:t>
            </w:r>
          </w:p>
        </w:tc>
        <w:tc>
          <w:tcPr>
            <w:tcW w:w="4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309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Pr>
          <w:p>
            <w:pPr>
              <w:spacing w:after="0"/>
              <w:rPr>
                <w:sz w:val="19"/>
                <w:szCs w:val="19"/>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00" w:type="dxa"/>
            <w:vAlign w:val="bottom"/>
          </w:tcPr>
          <w:p>
            <w:pPr>
              <w:spacing w:after="0"/>
              <w:rPr>
                <w:sz w:val="10"/>
                <w:szCs w:val="10"/>
                <w:color w:val="auto"/>
              </w:rPr>
            </w:pPr>
          </w:p>
        </w:tc>
        <w:tc>
          <w:tcPr>
            <w:tcW w:w="86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160" w:type="dxa"/>
            <w:vAlign w:val="bottom"/>
          </w:tcPr>
          <w:p>
            <w:pPr>
              <w:spacing w:after="0"/>
              <w:rPr>
                <w:sz w:val="10"/>
                <w:szCs w:val="10"/>
                <w:color w:val="auto"/>
              </w:rPr>
            </w:pPr>
          </w:p>
        </w:tc>
        <w:tc>
          <w:tcPr>
            <w:tcW w:w="7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20" w:type="dxa"/>
            <w:vAlign w:val="bottom"/>
          </w:tcPr>
          <w:p>
            <w:pPr>
              <w:spacing w:after="0"/>
              <w:rPr>
                <w:sz w:val="10"/>
                <w:szCs w:val="10"/>
                <w:color w:val="auto"/>
              </w:rPr>
            </w:pPr>
          </w:p>
        </w:tc>
        <w:tc>
          <w:tcPr>
            <w:tcW w:w="8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180" w:type="dxa"/>
            <w:vAlign w:val="bottom"/>
          </w:tcPr>
          <w:p>
            <w:pPr>
              <w:spacing w:after="0"/>
              <w:rPr>
                <w:sz w:val="10"/>
                <w:szCs w:val="10"/>
                <w:color w:val="auto"/>
              </w:rPr>
            </w:pPr>
          </w:p>
        </w:tc>
        <w:tc>
          <w:tcPr>
            <w:tcW w:w="8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left="236"/>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60" w:type="dxa"/>
            <w:vAlign w:val="bottom"/>
          </w:tcPr>
          <w:p>
            <w:pPr>
              <w:spacing w:after="0"/>
              <w:rPr>
                <w:sz w:val="15"/>
                <w:szCs w:val="15"/>
                <w:color w:val="auto"/>
              </w:rPr>
            </w:pPr>
          </w:p>
        </w:tc>
        <w:tc>
          <w:tcPr>
            <w:tcW w:w="800" w:type="dxa"/>
            <w:vAlign w:val="bottom"/>
            <w:gridSpan w:val="3"/>
          </w:tcPr>
          <w:p>
            <w:pPr>
              <w:jc w:val="right"/>
              <w:ind w:right="18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0" w:type="dxa"/>
            <w:vAlign w:val="bottom"/>
          </w:tcPr>
          <w:p>
            <w:pPr>
              <w:spacing w:after="0"/>
              <w:rPr>
                <w:sz w:val="15"/>
                <w:szCs w:val="15"/>
                <w:color w:val="auto"/>
              </w:rPr>
            </w:pP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2"/>
                <w:szCs w:val="12"/>
                <w:b w:val="1"/>
                <w:bCs w:val="1"/>
                <w:color w:val="auto"/>
              </w:rPr>
              <w:t>(6)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Sheet Data:</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6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  149,385</w:t>
            </w:r>
          </w:p>
        </w:tc>
        <w:tc>
          <w:tcPr>
            <w:tcW w:w="1060" w:type="dxa"/>
            <w:vAlign w:val="bottom"/>
            <w:gridSpan w:val="6"/>
          </w:tcPr>
          <w:p>
            <w:pPr>
              <w:jc w:val="right"/>
              <w:ind w:right="80"/>
              <w:spacing w:after="0"/>
              <w:rPr>
                <w:sz w:val="20"/>
                <w:szCs w:val="20"/>
                <w:color w:val="auto"/>
              </w:rPr>
            </w:pPr>
            <w:r>
              <w:rPr>
                <w:rFonts w:ascii="Times New Roman" w:cs="Times New Roman" w:eastAsia="Times New Roman" w:hAnsi="Times New Roman"/>
                <w:sz w:val="17"/>
                <w:szCs w:val="17"/>
                <w:color w:val="auto"/>
              </w:rPr>
              <w:t>$   75,691</w:t>
            </w: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8"/>
              </w:rPr>
              <w:t>31,045</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55,077</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   52,129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  884,029</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636,024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52,090</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Merchandise inventories, net</w:t>
            </w:r>
          </w:p>
        </w:tc>
        <w:tc>
          <w:tcPr>
            <w:tcW w:w="4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1,099,749</w:t>
            </w:r>
          </w:p>
        </w:tc>
        <w:tc>
          <w:tcPr>
            <w:tcW w:w="10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1,134,156</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1,223,486</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1,090,899</w:t>
            </w:r>
          </w:p>
        </w:tc>
        <w:tc>
          <w:tcPr>
            <w:tcW w:w="1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1,028,032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899,086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899,086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9"/>
              </w:rPr>
              <w:t>1,203,806</w:t>
            </w:r>
          </w:p>
        </w:tc>
        <w:tc>
          <w:tcPr>
            <w:tcW w:w="0" w:type="dxa"/>
            <w:vAlign w:val="bottom"/>
          </w:tcPr>
          <w:p>
            <w:pPr>
              <w:spacing w:after="0"/>
              <w:rPr>
                <w:sz w:val="1"/>
                <w:szCs w:val="1"/>
                <w:color w:val="auto"/>
              </w:rPr>
            </w:pPr>
          </w:p>
        </w:tc>
      </w:tr>
      <w:tr>
        <w:trPr>
          <w:trHeight w:val="135"/>
        </w:trPr>
        <w:tc>
          <w:tcPr>
            <w:tcW w:w="2480" w:type="dxa"/>
            <w:vAlign w:val="bottom"/>
          </w:tcPr>
          <w:p>
            <w:pPr>
              <w:ind w:left="1080"/>
              <w:spacing w:after="0" w:line="135" w:lineRule="exact"/>
              <w:rPr>
                <w:sz w:val="20"/>
                <w:szCs w:val="20"/>
                <w:color w:val="auto"/>
              </w:rPr>
            </w:pPr>
            <w:r>
              <w:rPr>
                <w:rFonts w:ascii="Times New Roman" w:cs="Times New Roman" w:eastAsia="Times New Roman" w:hAnsi="Times New Roman"/>
                <w:sz w:val="15"/>
                <w:szCs w:val="15"/>
                <w:color w:val="auto"/>
              </w:rPr>
              <w:t>(7)</w:t>
            </w:r>
          </w:p>
        </w:tc>
        <w:tc>
          <w:tcPr>
            <w:tcW w:w="460" w:type="dxa"/>
            <w:vAlign w:val="bottom"/>
          </w:tcPr>
          <w:p>
            <w:pPr>
              <w:spacing w:after="0"/>
              <w:rPr>
                <w:sz w:val="11"/>
                <w:szCs w:val="11"/>
                <w:color w:val="auto"/>
              </w:rPr>
            </w:pPr>
          </w:p>
        </w:tc>
        <w:tc>
          <w:tcPr>
            <w:tcW w:w="8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538,795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7"/>
                <w:szCs w:val="17"/>
                <w:color w:val="auto"/>
              </w:rPr>
              <w:t>582,789</w:t>
            </w:r>
          </w:p>
        </w:tc>
        <w:tc>
          <w:tcPr>
            <w:tcW w:w="9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7"/>
                <w:szCs w:val="17"/>
                <w:color w:val="auto"/>
              </w:rPr>
              <w:t>605,083</w:t>
            </w:r>
          </w:p>
        </w:tc>
        <w:tc>
          <w:tcPr>
            <w:tcW w:w="10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7"/>
                <w:szCs w:val="17"/>
                <w:color w:val="auto"/>
              </w:rPr>
              <w:t>491,126</w:t>
            </w:r>
          </w:p>
        </w:tc>
        <w:tc>
          <w:tcPr>
            <w:tcW w:w="100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344,511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758,081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7"/>
                <w:szCs w:val="17"/>
                <w:color w:val="auto"/>
              </w:rPr>
              <w:t>749,086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495,572</w:t>
            </w:r>
          </w:p>
        </w:tc>
        <w:tc>
          <w:tcPr>
            <w:tcW w:w="0" w:type="dxa"/>
            <w:vAlign w:val="bottom"/>
          </w:tcPr>
          <w:p>
            <w:pPr>
              <w:spacing w:after="0"/>
              <w:rPr>
                <w:sz w:val="1"/>
                <w:szCs w:val="1"/>
                <w:color w:val="auto"/>
              </w:rPr>
            </w:pPr>
          </w:p>
        </w:tc>
      </w:tr>
      <w:tr>
        <w:trPr>
          <w:trHeight w:val="81"/>
        </w:trPr>
        <w:tc>
          <w:tcPr>
            <w:tcW w:w="248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Working capital</w:t>
            </w:r>
          </w:p>
        </w:tc>
        <w:tc>
          <w:tcPr>
            <w:tcW w:w="46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940" w:type="dxa"/>
            <w:vAlign w:val="bottom"/>
            <w:gridSpan w:val="5"/>
            <w:vMerge w:val="continue"/>
          </w:tcPr>
          <w:p>
            <w:pPr>
              <w:spacing w:after="0"/>
              <w:rPr>
                <w:sz w:val="7"/>
                <w:szCs w:val="7"/>
                <w:color w:val="auto"/>
              </w:rPr>
            </w:pPr>
          </w:p>
        </w:tc>
        <w:tc>
          <w:tcPr>
            <w:tcW w:w="1060" w:type="dxa"/>
            <w:vAlign w:val="bottom"/>
            <w:gridSpan w:val="5"/>
            <w:vMerge w:val="continue"/>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r>
              <w:rPr>
                <w:rFonts w:ascii="Times New Roman" w:cs="Times New Roman" w:eastAsia="Times New Roman" w:hAnsi="Times New Roman"/>
                <w:sz w:val="14"/>
                <w:szCs w:val="14"/>
                <w:color w:val="auto"/>
              </w:rPr>
              <w:t>(7)</w:t>
            </w:r>
          </w:p>
        </w:tc>
        <w:tc>
          <w:tcPr>
            <w:tcW w:w="4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4,331,321</w:t>
            </w:r>
          </w:p>
        </w:tc>
        <w:tc>
          <w:tcPr>
            <w:tcW w:w="10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3,238,957</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3,323,046</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3,258,354</w:t>
            </w:r>
          </w:p>
        </w:tc>
        <w:tc>
          <w:tcPr>
            <w:tcW w:w="1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3,257,275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4,842,848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4,585,848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9"/>
              </w:rPr>
              <w:t>4,366,629</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debt, net of deferred loan costs</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1,462,658</w:t>
            </w:r>
          </w:p>
        </w:tc>
        <w:tc>
          <w:tcPr>
            <w:tcW w:w="1060" w:type="dxa"/>
            <w:vAlign w:val="bottom"/>
            <w:gridSpan w:val="6"/>
          </w:tcPr>
          <w:p>
            <w:pPr>
              <w:jc w:val="right"/>
              <w:ind w:right="80"/>
              <w:spacing w:after="0"/>
              <w:rPr>
                <w:sz w:val="20"/>
                <w:szCs w:val="20"/>
                <w:color w:val="auto"/>
              </w:rPr>
            </w:pPr>
            <w:r>
              <w:rPr>
                <w:rFonts w:ascii="Times New Roman" w:cs="Times New Roman" w:eastAsia="Times New Roman" w:hAnsi="Times New Roman"/>
                <w:sz w:val="17"/>
                <w:szCs w:val="17"/>
                <w:color w:val="auto"/>
              </w:rPr>
              <w:t>1,625,060</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1,675,356</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1,681,264</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1,699,360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1,431,050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1,431,050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w w:val="99"/>
              </w:rPr>
              <w:t>1,488,358</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equity</w:t>
            </w:r>
          </w:p>
        </w:tc>
        <w:tc>
          <w:tcPr>
            <w:tcW w:w="4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988,219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857,039</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832,687</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756,262</w:t>
            </w:r>
          </w:p>
        </w:tc>
        <w:tc>
          <w:tcPr>
            <w:tcW w:w="1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689,106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1,149,096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892,096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925,302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53rd week to 2017 net sales was $60.6 million.</w:t>
      </w:r>
    </w:p>
    <w:p>
      <w:pPr>
        <w:spacing w:after="0" w:line="27" w:lineRule="exact"/>
        <w:rPr>
          <w:rFonts w:ascii="Times New Roman" w:cs="Times New Roman" w:eastAsia="Times New Roman" w:hAnsi="Times New Roman"/>
          <w:sz w:val="18"/>
          <w:szCs w:val="18"/>
          <w:color w:val="auto"/>
        </w:rPr>
      </w:pPr>
    </w:p>
    <w:p>
      <w:pPr>
        <w:ind w:left="540" w:right="20" w:hanging="424"/>
        <w:spacing w:after="0" w:line="252"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first half 2020, 2019 and 2017, we repurchased principal on our Term Loan Facility, which was trading at a discount, and recognized as a gain, net of the write-off of related deferred loan costs. In first half 2020, we repurchased a total of $23.9 million of principal in open market transactions for an aggregate purchase price of $16.0 million and recognized a related net gain of $7.8 million. In 2019, we repurchased a total of $147.7 million of principal in open market transactions for an aggregate purchase price of $104.6 million and recognized a related net gain of $42.3 million. In 2017, we repurchased $26.2 million of principal in open market transactions for an aggregate purchase price of $19.7 million and recognized a related net gain</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180"/>
        <w:spacing w:after="0" w:line="257" w:lineRule="auto"/>
        <w:rPr>
          <w:sz w:val="20"/>
          <w:szCs w:val="20"/>
          <w:color w:val="auto"/>
        </w:rPr>
      </w:pPr>
      <w:r>
        <w:rPr>
          <w:rFonts w:ascii="Times New Roman" w:cs="Times New Roman" w:eastAsia="Times New Roman" w:hAnsi="Times New Roman"/>
          <w:sz w:val="18"/>
          <w:szCs w:val="18"/>
          <w:color w:val="auto"/>
        </w:rPr>
        <w:t>of $6.3 million. In 2015, we entered into the Term Loan Facility and 2015 ABL Facility and used the proceeds to pay off our previous term loan facility and notes. We had a related loss on early retirement of debt of $55.5 million from the write-off of deferred loan costs and the payment of prepayment and professional fees.</w:t>
      </w:r>
    </w:p>
    <w:p>
      <w:pPr>
        <w:spacing w:after="0" w:line="1" w:lineRule="exact"/>
        <w:rPr>
          <w:sz w:val="20"/>
          <w:szCs w:val="20"/>
          <w:color w:val="auto"/>
        </w:rPr>
      </w:pPr>
    </w:p>
    <w:p>
      <w:pPr>
        <w:ind w:left="540" w:hanging="424"/>
        <w:spacing w:after="0" w:line="250"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net income data gives effect to the anticipated conversion of New Academy Holding Company, LLC to a C corporation. We are currently treated as a flow through entity for U.S. federal income tax purposes, and thus no federal income tax expense has been recorded in our consolidated statements of income (loss). After consummation of this offering, we will become subject to U.S. federal income taxes and additional state income taxes and be taxed at the prevailing corporate rates. The pro forma tax expense assumed in the pro forma net income data is estimated to be 24.5% plus certain state taxes we currently include in income tax expense as a flow through entity. Our actual income tax rate, and our actual income tax liability, after this offering may be different from our assumed rate, and such difference may be material.</w:t>
      </w:r>
    </w:p>
    <w:p>
      <w:pPr>
        <w:spacing w:after="0" w:line="2" w:lineRule="exact"/>
        <w:rPr>
          <w:rFonts w:ascii="Times New Roman" w:cs="Times New Roman" w:eastAsia="Times New Roman" w:hAnsi="Times New Roman"/>
          <w:sz w:val="18"/>
          <w:szCs w:val="18"/>
          <w:color w:val="auto"/>
        </w:rPr>
      </w:pPr>
    </w:p>
    <w:p>
      <w:pPr>
        <w:ind w:left="540" w:right="40" w:hanging="424"/>
        <w:spacing w:after="0" w:line="251"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pro forma net income per share data for 2019 and for the twenty-six weeks ended August 1, 2020 also assumes that $137.0 million and $53.1 million, respectively, of the proceeds of the proposed offering were used to fund the one-time special distribution to our unitholders paid on August 28, 2020. The number of shares of common stock that we would have been required to issue to fund the distribution was calculated by dividing the $137.0 million and $53.1 million, respectively, (representing the amount by which the $257.0 million gross amount of the special distribution exceeds historical net income during 2019 or the previous twelve months ended August 1, 2020, as applicable) by an assumed initial public offering price of $16.00 per share, which is the midpoint of the estimated price range set forth on the cover page of this prospectus. The number of shares used for purposes of pro forma per share data represents the total number of shares that would have been outstanding for 2019 or for the twenty-six weeks ended August 1, 2020, as applicable, after giving effect to such number of shares of common stock, the proceeds of which is assumed to be used to fund the distribution, but not the other shares to be issued and sold in the offering. As such, the number of shares being added to the denominator for purposes of pro forma per share data will not exceed the total number of shares to be issued in the offering.</w:t>
      </w:r>
    </w:p>
    <w:p>
      <w:pPr>
        <w:spacing w:after="0" w:line="84" w:lineRule="exact"/>
        <w:rPr>
          <w:rFonts w:ascii="Times New Roman" w:cs="Times New Roman" w:eastAsia="Times New Roman" w:hAnsi="Times New Roman"/>
          <w:sz w:val="18"/>
          <w:szCs w:val="18"/>
          <w:color w:val="auto"/>
        </w:rPr>
      </w:pPr>
    </w:p>
    <w:p>
      <w:pPr>
        <w:ind w:left="5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sets forth the computation of our unaudited basic and diluted pro forma net income per share for 2019 and the twenty-six weeks ended August 1, 2020:</w:t>
      </w:r>
    </w:p>
    <w:p>
      <w:pPr>
        <w:spacing w:after="0" w:line="4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00" w:type="dxa"/>
            <w:vAlign w:val="bottom"/>
            <w:gridSpan w:val="5"/>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80" w:type="dxa"/>
            <w:vAlign w:val="bottom"/>
          </w:tcPr>
          <w:p>
            <w:pPr>
              <w:spacing w:after="0"/>
              <w:rPr>
                <w:sz w:val="13"/>
                <w:szCs w:val="13"/>
                <w:color w:val="auto"/>
              </w:rPr>
            </w:pPr>
          </w:p>
        </w:tc>
        <w:tc>
          <w:tcPr>
            <w:tcW w:w="224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7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share and per share data)</w:t>
            </w:r>
          </w:p>
        </w:tc>
        <w:tc>
          <w:tcPr>
            <w:tcW w:w="80" w:type="dxa"/>
            <w:vAlign w:val="bottom"/>
          </w:tcPr>
          <w:p>
            <w:pPr>
              <w:spacing w:after="0"/>
              <w:rPr>
                <w:sz w:val="15"/>
                <w:szCs w:val="15"/>
                <w:color w:val="auto"/>
              </w:rPr>
            </w:pPr>
          </w:p>
        </w:tc>
        <w:tc>
          <w:tcPr>
            <w:tcW w:w="2900" w:type="dxa"/>
            <w:vAlign w:val="bottom"/>
            <w:gridSpan w:val="5"/>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80" w:type="dxa"/>
            <w:vAlign w:val="bottom"/>
          </w:tcPr>
          <w:p>
            <w:pPr>
              <w:spacing w:after="0"/>
              <w:rPr>
                <w:sz w:val="15"/>
                <w:szCs w:val="15"/>
                <w:color w:val="auto"/>
              </w:rPr>
            </w:pPr>
          </w:p>
        </w:tc>
        <w:tc>
          <w:tcPr>
            <w:tcW w:w="224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Basic</w:t>
            </w: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Diluted</w:t>
            </w:r>
          </w:p>
        </w:tc>
        <w:tc>
          <w:tcPr>
            <w:tcW w:w="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920"/>
              <w:spacing w:after="0" w:line="142" w:lineRule="exact"/>
              <w:rPr>
                <w:sz w:val="20"/>
                <w:szCs w:val="20"/>
                <w:color w:val="auto"/>
              </w:rPr>
            </w:pPr>
            <w:r>
              <w:rPr>
                <w:rFonts w:ascii="Times New Roman" w:cs="Times New Roman" w:eastAsia="Times New Roman" w:hAnsi="Times New Roman"/>
                <w:sz w:val="14"/>
                <w:szCs w:val="14"/>
                <w:b w:val="1"/>
                <w:bCs w:val="1"/>
                <w:color w:val="auto"/>
              </w:rPr>
              <w:t>Basic</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Diluted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89,942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89,942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118,658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118,658</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of common stock outstanding after</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giving effect to the Reorganization Transactions</w:t>
            </w:r>
          </w:p>
        </w:tc>
        <w:tc>
          <w:tcPr>
            <w:tcW w:w="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w w:val="99"/>
              </w:rPr>
              <w:t>72,477,381</w:t>
            </w:r>
          </w:p>
        </w:tc>
        <w:tc>
          <w:tcPr>
            <w:tcW w:w="8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w w:val="99"/>
              </w:rPr>
              <w:t>74,796,545</w:t>
            </w:r>
          </w:p>
        </w:tc>
        <w:tc>
          <w:tcPr>
            <w:tcW w:w="8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w w:val="97"/>
              </w:rPr>
              <w:t>72,476,231</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7"/>
              </w:rPr>
              <w:t>74,487,477</w:t>
            </w:r>
          </w:p>
        </w:tc>
        <w:tc>
          <w:tcPr>
            <w:tcW w:w="0" w:type="dxa"/>
            <w:vAlign w:val="bottom"/>
          </w:tcPr>
          <w:p>
            <w:pPr>
              <w:spacing w:after="0"/>
              <w:rPr>
                <w:sz w:val="1"/>
                <w:szCs w:val="1"/>
                <w:color w:val="auto"/>
              </w:rPr>
            </w:pPr>
          </w:p>
        </w:tc>
      </w:tr>
      <w:tr>
        <w:trPr>
          <w:trHeight w:val="195"/>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 to weighted average shares of common stock</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related to the distribution</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8,559,813</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8,559,813</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3,315,875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3,315,875</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Pro forma weighted average shares of common stock</w:t>
            </w: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w:t>
            </w:r>
          </w:p>
        </w:tc>
        <w:tc>
          <w:tcPr>
            <w:tcW w:w="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w w:val="99"/>
              </w:rPr>
              <w:t>81,037,194</w:t>
            </w:r>
          </w:p>
        </w:tc>
        <w:tc>
          <w:tcPr>
            <w:tcW w:w="8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w w:val="99"/>
              </w:rPr>
              <w:t>83,356,358</w:t>
            </w:r>
          </w:p>
        </w:tc>
        <w:tc>
          <w:tcPr>
            <w:tcW w:w="8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w w:val="97"/>
              </w:rPr>
              <w:t>75,792,106</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7"/>
              </w:rPr>
              <w:t>77,803,352</w:t>
            </w:r>
          </w:p>
        </w:tc>
        <w:tc>
          <w:tcPr>
            <w:tcW w:w="0" w:type="dxa"/>
            <w:vAlign w:val="bottom"/>
          </w:tcPr>
          <w:p>
            <w:pPr>
              <w:spacing w:after="0"/>
              <w:rPr>
                <w:sz w:val="1"/>
                <w:szCs w:val="1"/>
                <w:color w:val="auto"/>
              </w:rPr>
            </w:pPr>
          </w:p>
        </w:tc>
      </w:tr>
      <w:tr>
        <w:trPr>
          <w:trHeight w:val="20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net income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260" w:hanging="424"/>
        <w:spacing w:after="0" w:line="261"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using net sales and square footage of all stores open at the end of the respective period. Square footage includes the in-store storage, receiving and office space that generally occupies approximately 15% of total store space in our stores.</w:t>
      </w:r>
    </w:p>
    <w:p>
      <w:pPr>
        <w:ind w:left="540" w:right="60" w:hanging="424"/>
        <w:spacing w:after="0" w:line="250"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balance sheet data as of August 1, 2020 gives effect to the use of $248.0 million of cash on hand to fund the special distribution and the related $257.0 million decrease to the partners’ equity.</w:t>
      </w:r>
    </w:p>
    <w:p>
      <w:pPr>
        <w:ind w:left="540" w:right="20" w:hanging="424"/>
        <w:spacing w:after="0" w:line="253"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 $1.2 billion between current lease liabilities and long-term lease liabilities included on the balance sheet as of February 3, 2019. See Note 2 and Note 14 to our audited consolidated financial statements included elsewhere in this prospectus for further details regarding the adoption of this standard.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analyzes the financial condition and results of operations of New Academy Holding Company, LLC and its subsidiaries and should be read in conjunction with our consolidated financial statements and related notes included elsewhere in this prospectus. The historical consolidated financial data of Academy Sports and Outdoors, Inc. is not discussed below, as Academy Sports and Outdoors, Inc. is a newly incorporated entity, has had no business transactions or activities to date other than in connection with its formation and this offering and had no assets or liabilities during the periods presented in this section. Prior to the consummation of this offering, New Academy Holding Company, LLC, the current holding company for the business described in this prospectus, will be contributed to Academy Sports and Outdoors, Inc., by its unitholders and become a wholly owned subsidiary of Academy Sports and Outdoors, Inc. and Academy Sports and Outdoors, Inc. will be the holding company of the business described in this prospectus. This discussion contains forward-looking statements that involve risks and uncertainties. See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“Risk Factors.” Factors that could cause or contribute to such difference are not limited to those identified in “Risk Factors.” All statements in this discussion and analysis concerning our current and planned operations are modified by reference to our discussion of recent developments related to the COVID-19 pandemic, and our ability to carry out our current and planned operations are dependent on further developments associated with the COVID-19 pandemic.</w:t>
      </w:r>
    </w:p>
    <w:p>
      <w:pPr>
        <w:spacing w:after="0" w:line="196"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Our fiscal year represents the 52- or 53- week period ending on the Saturday closest to January 31. All references in this discussion and analysis to “2019”, “2018” and “2017” or like terms relate to our fiscal years as follows:</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rPr>
              <w:t>Fiscal</w:t>
            </w:r>
          </w:p>
        </w:tc>
        <w:tc>
          <w:tcPr>
            <w:tcW w:w="3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Ended</w:t>
            </w: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Weeks</w:t>
            </w:r>
          </w:p>
        </w:tc>
        <w:tc>
          <w:tcPr>
            <w:tcW w:w="0" w:type="dxa"/>
            <w:vAlign w:val="bottom"/>
          </w:tcPr>
          <w:p>
            <w:pPr>
              <w:spacing w:after="0"/>
              <w:rPr>
                <w:sz w:val="1"/>
                <w:szCs w:val="1"/>
                <w:color w:val="auto"/>
              </w:rPr>
            </w:pPr>
          </w:p>
        </w:tc>
      </w:tr>
      <w:tr>
        <w:trPr>
          <w:trHeight w:val="189"/>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5"/>
              </w:rPr>
              <w:t>Year</w:t>
            </w:r>
          </w:p>
        </w:tc>
        <w:tc>
          <w:tcPr>
            <w:tcW w:w="3620" w:type="dxa"/>
            <w:vAlign w:val="bottom"/>
            <w:gridSpan w:val="2"/>
            <w:vMerge w:val="continue"/>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2019</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rPr>
              <w:t>February 1, 2020</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52</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2018</w:t>
            </w:r>
          </w:p>
        </w:tc>
        <w:tc>
          <w:tcPr>
            <w:tcW w:w="120" w:type="dxa"/>
            <w:vAlign w:val="bottom"/>
          </w:tcPr>
          <w:p>
            <w:pPr>
              <w:spacing w:after="0"/>
              <w:rPr>
                <w:sz w:val="18"/>
                <w:szCs w:val="18"/>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February 2, 2019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52</w:t>
            </w:r>
          </w:p>
        </w:tc>
        <w:tc>
          <w:tcPr>
            <w:tcW w:w="0" w:type="dxa"/>
            <w:vAlign w:val="bottom"/>
          </w:tcPr>
          <w:p>
            <w:pPr>
              <w:spacing w:after="0"/>
              <w:rPr>
                <w:sz w:val="1"/>
                <w:szCs w:val="1"/>
                <w:color w:val="auto"/>
              </w:rPr>
            </w:pPr>
          </w:p>
        </w:tc>
      </w:tr>
      <w:tr>
        <w:trPr>
          <w:trHeight w:val="23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2017</w:t>
            </w:r>
          </w:p>
        </w:tc>
        <w:tc>
          <w:tcPr>
            <w:tcW w:w="120" w:type="dxa"/>
            <w:vAlign w:val="bottom"/>
          </w:tcPr>
          <w:p>
            <w:pPr>
              <w:spacing w:after="0"/>
              <w:rPr>
                <w:sz w:val="20"/>
                <w:szCs w:val="20"/>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February 3, 2018</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53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Any reference in this discussion and analysis to the “first half 2020” or similar reference refers to the twenty-six week period ended August 1, 2020, any reference to “first half 2019” or similar reference refers to the twenty-six week period ended August 3, 2019, and any reference to “first quarter 2020” or similar reference refers to the thirteen week period ended May 2, 2020, and any reference to “first quarter 2019” or similar reference refers to the thirteen week period ended May 4, 2019.</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are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55" w:right="4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Our merchandising creates a balanced sales mix throughout the year with no single season accounting for more than 28% of our annual sales.</w:t>
      </w:r>
    </w:p>
    <w:p>
      <w:pPr>
        <w:spacing w:after="0" w:line="188"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As of August 1, 2020, we operated 259 stores that range in size from approximately 40,000 to 130,000 gross square feet, with an average size of approximately 70,000 gross square feet, throughout 16 contiguous states located primarily in the southern United States. Our stores are supported by over 20,000 team members, three distribution centers, and our rapidly growing e-commerce platform, www.academy.com. We are deepening our customer relationships, further integrating our e-commerce platform with our stores and driving operating efficiencies by developing our omnichannel capabilities, such as our BOPIS program, which we launched in 2019.</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Trends and Other Factors Affecting Our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Various trends and other factors affect or have affected our operating results, including:</w:t>
      </w:r>
    </w:p>
    <w:p>
      <w:pPr>
        <w:spacing w:after="0" w:line="2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Overall Economic Trends</w:t>
      </w:r>
      <w:r>
        <w:rPr>
          <w:rFonts w:ascii="Times New Roman" w:cs="Times New Roman" w:eastAsia="Times New Roman" w:hAnsi="Times New Roman"/>
          <w:sz w:val="18"/>
          <w:szCs w:val="18"/>
          <w:color w:val="auto"/>
        </w:rPr>
        <w:t>. All of our sales are generated within the United States, making our results of operations highly dependent on the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economy and U.S. consumer discretionary spending. Macroeconomic factors that may affect customer spending patterns, and thereby our results of operations, include, but are not limited to: health of the economy; consumer confidence in the economy; financial market volatility; wages, jobs and unemployment trends; the housing market, including real estate prices and mortgage rates; consumer credit availability; consumer debt levels; gasoline and fuel prices; interest rates and inflation; tax rates and tax policy; immigration policy; import and customs duties/tariffs and policy; impact of natural or man-made disasters; legislation and regulations; international unrest, trade disputes, labor shortages, and other disruptions to the supply chain; changes to raw material and commodity prices; national and international security and safety concerns; and impact any of public health pandemics. Factors that impact consumer discretionary spending, which remains volatile globally, continue to create a complex and challenging retail environment for us. See “—Impact of COVID-19 on Our Business.”</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Consumer Preferences and Demands. </w:t>
      </w:r>
      <w:r>
        <w:rPr>
          <w:rFonts w:ascii="Times New Roman" w:cs="Times New Roman" w:eastAsia="Times New Roman" w:hAnsi="Times New Roman"/>
          <w:sz w:val="18"/>
          <w:szCs w:val="18"/>
          <w:color w:val="auto"/>
        </w:rPr>
        <w:t>The level of success we achieve is dependent on, among other factors, how accurately and timely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predict consumer tastes and preferences regarding sporting goods and outdoor recreation merchandise, the level of consumer demand, the availability of merchandise, and the competitive environment. Our products must appeal to a broad range of customers whose preferences cannot be predicted with certainty and are subject to change. We must identify, obtain supplies of, and offer to our customers, attractive and high-quality merchandise on a continuous basis. It is difficult to predict consistently and successfully the products and services our customers will demand as we often purchase products from our vendors several months in advance of the proposed delivery. If we misjudge the market for our products, we may be faced with excess inventories for some products. We utilize a variety of measures to help us identify products that are relevant to our customer base and to better understand changing customer trends, such as social media analysis, internet search analytics, internal customer insights and vendor intelligence.</w:t>
      </w:r>
    </w:p>
    <w:p>
      <w:pPr>
        <w:spacing w:after="0" w:line="18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Strategic Inventory Management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must maintain sufficient inventory levels of merchandise that our customers desire to successfully operate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business. A shortage of popular merchandise could reduce our net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55" w:right="4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Much of our margin expansion from 2017 through 2019 can be attributed to our improvements in inventory management. We have deployed several new tools over recent years to improve inventory handling and vendor management, including third party programs to analyze our inventory stock and execute a disciplined markdown strategy throughout the year at every location. This implementation has allowed us to improve our inventory management in stores, increasing our average inventory turns from 2.68x in 2017 to 2.84x in 2019 and 3.36x for the twelve months ended August 1, 2020, and has helped us to identify and exit certain product categories, such as luggage and toys. We have coupled these tools with the data we have been able to collect from our Academy Credit Card program and targeted customer surveys, so that we can better estimate future inventory requirements. It is imperative that we continue to find innovative ways to strengthen our inventory management if we are to remain competitive and expand our margins on a go-forward basis. During the first half 2020, we experienced significant inventory reductions from high sell-through during the period. We expect to use cash to replenish such inventory throughout the rest of the current fiscal year, which we expect will impact our net cash provided by operating activities for the second half 2020.</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Value Strategy</w:t>
      </w:r>
      <w:r>
        <w:rPr>
          <w:rFonts w:ascii="Times New Roman" w:cs="Times New Roman" w:eastAsia="Times New Roman" w:hAnsi="Times New Roman"/>
          <w:sz w:val="18"/>
          <w:szCs w:val="18"/>
          <w:color w:val="auto"/>
        </w:rPr>
        <w:t>. We offer a broad assortment of products at competitive prices that offer extraordinary value. Our in-store experience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value-added customer service delivered by our highly trained and passionate staff, such as free assembly of certain products (such as bicycles, grills, and bows), fitness equipment demonstrations, issuances and renewals of hunting and fishing licenses, fishing line spooling and assisting customers with carrying bulk items to the car, among others. Our goal is to consistently offer better value than our peer retailers. Our value-based pricing gives us an advantage over the specialty retailers and other large format retailers, who typically offer their more limited assortment at premium prices. Our broad assortment gives us an advantage over mass general merchants who typically do not carry the leading national brands sold at Academy. We have also continued to add owned brand products to our assortment of products, which we generally price lower than the national brand products of comparable quality that we also offer. A shift in our sales mix in which we sell more units of our owned brand products and fewer units of the national brand products would generally have a positive impact on our gross margin but an adverse impact on our total net sales.</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E-commerce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BOPIS. </w:t>
      </w:r>
      <w:r>
        <w:rPr>
          <w:rFonts w:ascii="Times New Roman" w:cs="Times New Roman" w:eastAsia="Times New Roman" w:hAnsi="Times New Roman"/>
          <w:sz w:val="18"/>
          <w:szCs w:val="18"/>
          <w:color w:val="auto"/>
        </w:rPr>
        <w:t>We expect that the expansion and enhancement of our omnichannel capabilities will be a key driver of growth in our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and gross margin. We continue to invest in initiatives that will increase traffic to our e-commerce website, which reached over 217 million visits in 2019, and drive increased online sales conversion. Our improved website also supports our stores with digital marketing and our BOPIS program. Since we launched our BOPIS program in 2019, we have seen significant penetration in e-commerce that generates high average order value and incremental in-store purchases. In 2019 and the twenty-six weeks ended August 1, 2020, BOPIS accounted for 24% and 50%, respectively, of our e-commerce sales and 1% and 5.4%, respectively, of total net sales for such periods. Our website also has allowed us to reach customers outside of our current store footprint and is also introducing new customers to the Academy brand, with approximately 25% of our first half 2020 e-commerce sales coming from new households. Our website is also a platform for marketing and product education, allowing us to connect further with our customers. We believe it is important that we continue to grow our omnichannel capabilities, especially in light of changing consumer preferences as a result of the COVID-19 pandemic, which, together with recent enhancements made to our website and omnichannel capabilities, contributed to the substantial increase in e-commerce sales during the first half 2020. It is, however, difficult to ascertain with precision what portion of our increased e-commerce sales during the first half 2020 is attributable to the COVID-19 pandemic as compared to such recent enhancements. Since 2011, we have made a $225 million investment in our omnichannel and information technology capabilities. We expect that expanding and enhancing these capabilities, including BOPIS, will continue to require significant investments by us.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00"/>
          </w:cols>
          <w:pgMar w:left="320" w:top="455" w:right="4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Competition</w:t>
      </w:r>
      <w:r>
        <w:rPr>
          <w:rFonts w:ascii="Times New Roman" w:cs="Times New Roman" w:eastAsia="Times New Roman" w:hAnsi="Times New Roman"/>
          <w:sz w:val="18"/>
          <w:szCs w:val="18"/>
          <w:color w:val="auto"/>
        </w:rPr>
        <w:t>. The U.S. sporting goods and outdoor recreation retail industries are highly competitive and fragmented. We compete with specialty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 outdoor retailers, traditional sporting goods stores, large format sporting goods stores, mass general merchants and catalogue and internet retailers. This competition takes place both in physical retail locations and online. Some of our competitors may be significantly larger and have substantially greater resources than us. 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We may require significant capital in the future to sustain or grow our business, including our store and e-commerce activities, due to increased competition.</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Sourcing and Supply Chain Management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business to be successful, our suppliers must provide us with quality products in substantial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quantities, in compliance with regulatory requirements, at acceptable costs and on a timely basis. Competition for resources throughout the supply chain, such as production and transportation capacities, has increased. Trends affecting the supply chain include the impact of fluctuating prices of labor and raw materials on our suppliers, as well as the impact of the COVID-19 pandemic. We depend on approximately 1,300 suppliers to supply us in a timely and efficient manner with the merchandise we purchase for resale. In 2019, purchases from our largest vendor represented approximately 14% of our total inventory purchases.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Changes in our relationships with our suppliers (which can occur for various reasons in or out of our control) also have the potential to increase our expenses and adversely affect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 In addition, the announcement or imposition of any new or increased tariffs, duties or taxes as a result of trade or political tensions between the United States and other countries or otherwise could adversely affect our supply chain. In recent years, the Trump administration imposed multiple rounds of tariffs on exports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net sales and/or gross margin. On January 15, 2020, President Trump signed Phase I of a new trade agreement with China, signaling potential resolution between the two countries to the ongoing trade war in 2020. However, no significant modifications have been enacted to date, relative to the escalated tariffs which impact our business.</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New Store Openings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expect that new stores will be a key driver of growth in our net sales and gross margin in the future. Our results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have been and will continue to be materially affected by the timing and number of new store openings. We are continually assessing the number of locations available that could accommodate our preferred size of stores in markets we would consider and we expect to open eight to 10 new stores per year, starting in 2022, similar to our growth rates from 2018 through 2019. The performance of new stores may vary depending on various factors such as the store opening date, the time of year of a particular opening, the amount of store opening costs, the amount of store occupancy costs and the location of the new store, including whether it is located in a new or existing market. For example, we typically incur higher than normal team member costs at the time of a new store opening associated with set-up and other opening costs. Most of our stores achieve profitability within the first twelve months of opening a store. We have significant whitespace in both our core markets and green field markets. We believe our real estate strategy has positioned us well for further expansion. However, our planned store expansion will place increased demands on our operational, managerial, administrative and other resources. New stores in new markets, where we are less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familiar with the target customer and less well-known by the target customer, may face different or additional risks and increased costs compared to new stores in existing markets. We may have to broaden our assortment to merchandise more locally as we grow into newer markets. Managing our growth effectively will require us to continue to enhance our store management systems, financial and management controls and information systems. We will also be required to hire, train and retain store management and store personnel, which, together with increased marketing costs, affects our operating income and net income.</w:t>
      </w:r>
    </w:p>
    <w:p>
      <w:pPr>
        <w:spacing w:after="0" w:line="179"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Interim Results and Seasonality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business is subject to seasonal fluctuations. A significant portion of our net sales and profits is driven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17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53rd Week</w:t>
      </w:r>
      <w:r>
        <w:rPr>
          <w:rFonts w:ascii="Times New Roman" w:cs="Times New Roman" w:eastAsia="Times New Roman" w:hAnsi="Times New Roman"/>
          <w:sz w:val="18"/>
          <w:szCs w:val="18"/>
          <w:color w:val="auto"/>
        </w:rPr>
        <w:t>. We operate on the retail industry’s 4-5-4 calendar. The 4-5-4 calendar is a guide for retailers that ensures sales comparability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by dividing the year into months based on a 4 weeks – 5 weeks – 4 weeks format. Every five to six years a week is added to the 4-5-4 fiscal calendar. This anomaly has most recently occurred in 2017, which consisted of 53 weeks. 2018 and 2019 each consisted of 52 weeks. The additional week of 2017 contributed approximately $60.6 million of incremental net sales.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on Our Business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outbreak of COVID-19, which has been declared a global pandemic by the World Health Organization, has affected our business, as well as our customers, team members and suppliers, and resulted in federal, state and local governmental authority safety recommendations and requirements aimed at mitigating the spread of the virus, such as stay-at-home orders, prohibitions of large group gatherings, travel restrictions and closures of certain businesses.</w:t>
      </w:r>
    </w:p>
    <w:p>
      <w:pPr>
        <w:spacing w:after="0" w:line="180"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response to these restrictions, and in order to serve our customers while also providing for the safety of our customers, team members and service providers, we have taken many actions, including cleaning each store professionally on a regular basis, equipping each store with hand sanitizer stations and signage illustrating how to socially distance within the store, wearing face coverings, limiting the number of customers admitted at one time, and having protective shields installed at cash registers and other countertops. We have incurred increased costs related to the implementation of these measures. We also incurred temporary wage premiums and additional sick time for our active store and distribution center team members. To mitigate the cost of these measures, during the thirteen weeks ended May 2, 2020, we temporarily furloughed a significant number of corporate, store and distribution center team members and enforced temporary pay cuts for executives and remaining active team members as well as other strategic actions to significantly reduce operating expenses during the period. We also drew down $500 million on our ABL Facility as a precautionary measure to ensure financial flexibility and maximize liquidity. We shortened the operating hours of our stores and fully closed six stores at some point during the thirteen weeks ended May 2, 2020, only one of which was closed for more than a week. We have also reduced, deferred or cancelled planned capital expenditures, primarily related to store remodels, and have worked with our business partners to modify vendor and landlord payments and terms. Our temporary furlough period ended by June 8, 2020 for all of our store, distribution center and corporate team members, and on June 25, 2020, we completed repaying the $500 million draw on the ABL Facility. All three of our distribution centers remained open during the thirteen weeks ended May 2, 2020 and as of May 2, 2020, 257 of our 259 stores were fully operational. We continue to monitor the rapidly evolving situation and expect to continue to adapt our operations to address federal, state, and local requirements as well as to implement standards or processes that we determine to be in the best interest of our team members, customers, and communities.</w:t>
      </w:r>
    </w:p>
    <w:p>
      <w:pPr>
        <w:spacing w:after="0" w:line="195"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impact of the pandemic and actions taken in response to it had varying effects on our results of operations and our business was extremely unpredictable during the thirteen weeks ended May 2, 2020. However, as an essential retailer, we have been able to serve our customers as their needs evolved during the pandemic. In early March 2020, we saw the acceleration of sales in specific categories, such as outdoor cooking,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55" w:right="47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camping, shooting sports and hunting. Later in the first quarter, customers realized they needed to find ways to entertain their families and stay fit while schools and gyms closed, so they turned to us for isolated recreation, outdoor and leisure activities that we support, and as a result, we saw increased sales of weights, yoga mats, treadmills, indoor bicycles, fishing, hunting and camping gear, backyard and driveway games, trampolines, patio seating and grills. We anticipate that the increased popularity of isolated recreation, outdoor and leisure activity products will continue for the duration of the pandemic and will result in a long-term increase to our customer base. At the same time, we experienced decreased sales of certain of our offerings, primarily for apparel and footwear, and have had to cancel certain of our purchase orders for these products.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that our consumers feel comfortable visiting our stores due to the fact that we have big-box stores and curbside pick-up availability for online orders, making it easier to socially distance, and that we are not in, or tethered to, malls, as customers seek to avoid crowded spaces. We have also seen a significant increase in customers purchasing our products through omnichannel platforms, specifically as customers increasingly take advantage of our curbside pickup service, which we launched during the thirteen weeks ended May 2, 2020.</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extent to which our operations and business trends will be impacted by, and any unforeseen costs will result from, the pandemic will depend largely on future developments, which are highly uncertain and cannot be accurately predicted. These developments include, among other things, new information that may emerge concerning the severity of the outbreak and health implications, actions by government authorities to contain the outbreak or treat its impact, and changes in consumer behavior resulting from the outbreak and such government actions. See “Risk Factors—Risks Related to Our Business—The impact of COVID-19 may adversely affect our business and financial results.”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We Assess the Performance of Our Business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Comparable Sales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define comparable sales as the percentage of period-over-period net sales increase or decrease, in the aggregate, for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open after thirteen full fiscal months, as well as for all e-commerce sales.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are allocated to e-commerce sales for the purpose of measuring comparable sales, regardless of how those sales are fulfilled, whether shipped to home or picked up in-store or curbside through BOPIS. For example, all BOPIS transactions, which are originated by our website, are allocated to e-commerce sales for the purpose of comparable sales, despite the fact that our customers pick-up these purchases from a specific store. Increases or decreases in e-commerce between periods being compared directly impact the comparable sales results. We calculate adjusted comparable sales by excluding from comparable sales additional sales associated with Houston Astros World Series appearances, additional sales of a product driven by free shipping promotion and sales from certain product categories, such as toys, luggage and electronics, that we exited in 2018. See “—Non-GAAP Measures” below for a reconciliation of adjusted comparable sales to comparable sales.</w:t>
      </w:r>
    </w:p>
    <w:p>
      <w:pPr>
        <w:spacing w:after="0" w:line="186"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Adjusted comparable sales is a non-GAAP financial measure. We use adjusted comparable sales as the basis for key operating decisions, such as allocation of receipts and inventory to particular categories. We believe that adjusted comparable sales assists investors and analysts in comparing our operating performance across reporting periods on a consistent basis by excluding items that we do not believe are indicative of our ongoing operating performance.</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Various factors affect comparable sales and adjusted comparable sales, including consumer preferences, buying trends and overall economic trends; our ability to identify and respond effectively to customer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w:t>
      </w:r>
    </w:p>
    <w:p>
      <w:pPr>
        <w:spacing w:after="0" w:line="179"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Adjusted EBITDA, Adjusted Net Income (Loss), Pro Forma Adjusted Net Income (Loss) and Adjusted Free Cash Flow</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EBITDA, Adjusted Net Income (Loss), Pro Forma Adjusted Net Income (Loss) and Adjusted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 See “—Non-GAAP Measures” below.</w:t>
      </w:r>
    </w:p>
    <w:p>
      <w:pPr>
        <w:spacing w:after="0" w:line="179"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E-commerce Penetration. </w:t>
      </w:r>
      <w:r>
        <w:rPr>
          <w:rFonts w:ascii="Times New Roman" w:cs="Times New Roman" w:eastAsia="Times New Roman" w:hAnsi="Times New Roman"/>
          <w:sz w:val="18"/>
          <w:szCs w:val="18"/>
          <w:color w:val="auto"/>
        </w:rPr>
        <w:t>E-commerce penetration is defined as total e-commerce merchandise sales (which includes BOPIS) divided by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merchandise sales.</w:t>
      </w:r>
    </w:p>
    <w:p>
      <w:pPr>
        <w:spacing w:after="0" w:line="159"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key financial and operating metrics (with nearest GAAP measures where applicable) for the periods indicated:</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06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3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80" w:type="dxa"/>
            <w:vAlign w:val="bottom"/>
          </w:tcPr>
          <w:p>
            <w:pPr>
              <w:spacing w:after="0"/>
              <w:rPr>
                <w:sz w:val="10"/>
                <w:szCs w:val="10"/>
                <w:color w:val="auto"/>
              </w:rPr>
            </w:pPr>
          </w:p>
        </w:tc>
        <w:tc>
          <w:tcPr>
            <w:tcW w:w="1280" w:type="dxa"/>
            <w:vAlign w:val="bottom"/>
            <w:tcBorders>
              <w:top w:val="single" w:sz="8" w:color="auto"/>
            </w:tcBorders>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7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tcBorders>
              <w:bottom w:val="single" w:sz="8" w:color="CCEEFF"/>
            </w:tcBorders>
            <w:vMerge w:val="continue"/>
          </w:tcPr>
          <w:p>
            <w:pPr>
              <w:spacing w:after="0"/>
              <w:rPr>
                <w:sz w:val="15"/>
                <w:szCs w:val="15"/>
                <w:color w:val="auto"/>
              </w:rPr>
            </w:pPr>
          </w:p>
        </w:tc>
        <w:tc>
          <w:tcPr>
            <w:tcW w:w="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sales</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comparable sales</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(6.1)%</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$ 120,043</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21,442</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58,501</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7"/>
              </w:rPr>
              <w:t>$157,656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73,753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322,814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300,259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9"/>
              </w:rPr>
              <w:t>315,420</w:t>
            </w: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282,902</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156,837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101,469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55,405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72,078</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179,106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43,800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Adjusted Net Income</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75,927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41,338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53,732</w:t>
            </w: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134,844</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32,737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263,669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198,481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83,355</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773,621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103,961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$ 196,886</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99,454</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(32,546)</w:t>
            </w: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7"/>
              </w:rPr>
              <w:t>$759,771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72,194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E-commerce penetration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Components of Our Results of Operations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profitability is primarily influenced by fluctuations in net sales, gross margin and our ability to leverage selling, general and administrative expenses.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sales are derived from in-store and e-commerce merchandise sales, net of sales tax and an allowance for merchandise returns.</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Net sales fluctuations can be driven by new store openings, comparable sales increases or decreases, e-commerce sales, our ability to adjust inventory based on sales fluctuations, manage vendor relations and meet customer demand, allowances and logistics, seasonality, unseasonal or extreme weather, changes in consumer shopping preferences, consumer discretionary spending, and market and sales promotions.</w:t>
      </w:r>
    </w:p>
    <w:p>
      <w:pPr>
        <w:spacing w:after="0" w:line="172" w:lineRule="exact"/>
        <w:rPr>
          <w:sz w:val="20"/>
          <w:szCs w:val="20"/>
          <w:color w:val="auto"/>
        </w:rPr>
      </w:pPr>
    </w:p>
    <w:p>
      <w:pPr>
        <w:ind w:left="120"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is our net sales less cost of goods sold. Our cost of goods sold includes the direct cost of merchandise and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procurement, warehousing and distribution. These costs consist primarily of payroll and benefits, occupancy costs and freight and are generally variable in nature relative to our sales volume.</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55" w:right="4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gross margin depends on a number of factors, such as net sales increases or decreases, our promotional activities, product mix including owned brand merchandise sales, and our ability to control cost of goods sold, such as inventory and logistics cost management. Our gross margin is also impacted by variables including commodity costs, freight costs, shrinkage and inventory processing costs and e-commerce shipping costs. We track and measure gross margin as a percentage of net sales in order to evaluate our performance against profitability targets.</w:t>
      </w:r>
    </w:p>
    <w:p>
      <w:pPr>
        <w:spacing w:after="0" w:line="176" w:lineRule="exact"/>
        <w:rPr>
          <w:sz w:val="20"/>
          <w:szCs w:val="20"/>
          <w:color w:val="auto"/>
        </w:rPr>
      </w:pPr>
    </w:p>
    <w:p>
      <w:pPr>
        <w:ind w:left="120" w:right="6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Selling, General and Administrative Expenses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Selling, general and administrative, or SG&amp;A, expenses include store and corporate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administrative payroll and payroll benefits, store and corporate headquarters occupancy costs, advertising, credit card processing, information technology, pre-opening costs and other store and administrative expenses. These expenses are both variable and fixed in nature. We track and measure operating expenses as a percentage of net sales in order to evaluate our performance against profitability targets. Management of SG&amp;A expenses depends on our ability to balance a control of operating costs, such as store, distribution center, and corporate headcount, information technology infrastructure and marketing and advertising expenses, with efficiently and effectively servicing our customers. In connection with this offering, we expect to incur approximately $15.0 million of stock compensation expense associated with the vesting of certain of the outstanding restricted stock units as a result of the liquidity condition being achieved due to this offering. We expect that our SG&amp;A expenses will increase in future periods due to our continuing growth and in part to additional legal, accounting, insurance and other expenses we expect to incur as a result of being a public company.</w:t>
      </w:r>
    </w:p>
    <w:p>
      <w:pPr>
        <w:spacing w:after="0" w:line="173"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Income Tax Expense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Academy Holding Company, LLC is currently treated as a flow through entity for U.S. federal income tax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thus no federal income tax expense has been recorded in our consolidated statements of income. Our tax rate is almost entirely the result of state income taxes. After consummation of this offering, Academy Sports and Outdoors, Inc. will become subject to U.S. federal income taxes and we will be taxed at the prevailing corporate tax rates. We will be treated as a U.S. corporation for U.S. federal, state, and local income tax purposes after this offering and accordingly, a provision for income taxes will be recorded for the anticipated tax consequences of our reported results of operations for federal, state and local income taxes.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Twenty-Six Weeks Ended August 1, 2020 Compared to Twenty-Six Weeks Ended August 3, 2019</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61"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4"/>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40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5"/>
          </w:tcPr>
          <w:p>
            <w:pPr>
              <w:jc w:val="right"/>
              <w:ind w:right="59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2,742,721</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2,314,202</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428,519</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1,948,275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1,616,002</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69.8 %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332,273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29.0 </w:t>
            </w: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698,200</w:t>
            </w: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30.2 %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96,246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614,172</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26.5 %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(17,536)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84,028</w:t>
            </w: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113,782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135.4 %</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48,088</w:t>
            </w:r>
          </w:p>
        </w:tc>
        <w:tc>
          <w:tcPr>
            <w:tcW w:w="9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52,586</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(7,831)</w:t>
            </w:r>
          </w:p>
        </w:tc>
        <w:tc>
          <w:tcPr>
            <w:tcW w:w="9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w:t>
            </w: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(42,265)</w:t>
            </w:r>
          </w:p>
        </w:tc>
        <w:tc>
          <w:tcPr>
            <w:tcW w:w="8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34,434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(1,621)</w:t>
            </w:r>
          </w:p>
        </w:tc>
        <w:tc>
          <w:tcPr>
            <w:tcW w:w="9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(0.1)</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(1,454)</w:t>
            </w: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75,161</w:t>
            </w: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84,013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111.8 %</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0.1 </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1,408</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73,753</w:t>
            </w: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83,903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Percentages in table may not sum properly due to rounding.</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23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6060" w:type="dxa"/>
            <w:vAlign w:val="bottom"/>
          </w:tcPr>
          <w:p>
            <w:pPr>
              <w:spacing w:after="0"/>
              <w:rPr>
                <w:sz w:val="10"/>
                <w:szCs w:val="10"/>
                <w:color w:val="auto"/>
              </w:rPr>
            </w:pPr>
          </w:p>
        </w:tc>
        <w:tc>
          <w:tcPr>
            <w:tcW w:w="148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7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stores</w:t>
            </w: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259</w:t>
            </w: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Q1 new stores</w:t>
            </w: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Q2 new stores</w:t>
            </w:r>
          </w:p>
        </w:tc>
        <w:tc>
          <w:tcPr>
            <w:tcW w:w="14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Closed</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stores</w:t>
            </w:r>
          </w:p>
        </w:tc>
        <w:tc>
          <w:tcPr>
            <w:tcW w:w="14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259</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Relocated stores</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Renovated stores</w:t>
            </w:r>
          </w:p>
        </w:tc>
        <w:tc>
          <w:tcPr>
            <w:tcW w:w="14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increased $428.5 million, or 18.5%, for the first half 2020 compared to the first half 2019 as a result of additional net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generated by new locations, as well as increased comparable sales of 15.9%. As of the end of first half 2020, we operated a net five additional stores as compared to the end of first half 2019 and we had a full benefit of three stores opened during the prior year-to-date. Collectively, these five additional stores accounted for a net $53.2 million increase in net sales for the first half 2020.</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15.9% increase in comparable sales resulted from a 47.3% increase in the outdoors merchandise division and a 22.6% increase in the sports and recreation merchandise divisions, partially offset by declines of 6.5% and 3.3% in the footwear and apparel divisions, respectively. The effects of the COVID-19 pandemic during this period have caused significant increases in popularity of isolated recreation, outdoor and leisure activities that we believe have driven the increases in our outdoors and sports and recreation merchandise divisions. Likewise, we believe that the decreases in our apparel and footwear merchandise divisions were predominately driven by a temporary but significant shift in customer behavior at the substantial beginning of the COVID-19 pandemic, which saw customers focus on purchasing primarily isolated recreation, outdoor and leisure activity products in addition to “essential items.” The outdoors division increase was driven primarily by strong sales in firearms, ammunition and fishing products. The sports and recreation division sales increased as a result of various products such as fitness equipment and accessories, bikes, patio and watersports, barbecues and grills, trampolines, outdoor games and play sets. These increases were partially offset by declining sales in the team sports category. The footwear division sales decreased due to declines in the team sports category and the work, casual and youth category. The apparel division decreased as a result of declines in the outdoor and seasonal apparel and licensed apparel products, partially offset by increases in the athletic apparel products. We believe that the substantial increase in e-commerce sales described below and ongoing improvements to our business, such as enhancements to our merchandising planning and allocation capabilities that began in February 2019 and the launch of the Academy Credit Card in May 2019, together with our big-box store format and the implementation of a number of safety measures within our stores in response to COVID-19 that helped facilitate our customers’ ability to obtain the products they sought in a safe manner, contributed to the increase in comparable sales during this period.</w:t>
      </w:r>
    </w:p>
    <w:p>
      <w:pPr>
        <w:spacing w:after="0" w:line="19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E-commerce net sales increased $220.6 million, or 283.5%, for the first half 2020 compared to the first half 2019 and represented 10.9% of merchandise sales for the first half 2020 compared to 3.4% in the first half 2019. This increase was driven by a change in consumer shopping preferences and sales restrictions resulting from the COVID-19 pandemic. Additionally, enhancements to our website and omnichannel capabilities, such as the introduction of BOPIS at the end of the second quarter 2019 and rapid development of curbside fulfillment to further support BOPIS in the first half 2020, have positioned us well to benefit from such changing consumer preferences and contributed to the increase in e-commerce sales.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increased $96.2 million, or 13.8%, to $794.4 million for the first half 2020 from $698.2 million for the first half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As a percentage of net sales, gross margin decreased 1.2% from 30.2% for the first half 2019 to 29.0% in the first half 2020. The decrease of 120 basis points in gross margin is primarily attributable to:</w:t>
      </w:r>
    </w:p>
    <w:p>
      <w:pPr>
        <w:spacing w:after="0" w:line="80"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basis points of unfavorability related to import freight as a result of increased duties on products sold;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basis points of unfavorability as a result of decreased vendor allowances including new store allowances;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basis points of unfavorability related to increased inventory shrinkage;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basis points of unfavorability in merchandise margins from higher first half 2020 sales of lower margin goods.</w:t>
      </w:r>
    </w:p>
    <w:p>
      <w:pPr>
        <w:spacing w:after="0" w:line="221" w:lineRule="exact"/>
        <w:rPr>
          <w:sz w:val="20"/>
          <w:szCs w:val="20"/>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decreased $17.5 million, or 2.9%, to $596.6 million in the first half 2020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$614.2 million in the first half 2019. As a percentage of net sales, SG&amp;A expenses were down 4.7% to 21.8% in the first half 2020 compared to 26.5% in the first half 2019. The decrease of 470 basis points in SG&amp;A is primarily attributable to:</w:t>
      </w:r>
    </w:p>
    <w:p>
      <w:pPr>
        <w:spacing w:after="0" w:line="80" w:lineRule="exact"/>
        <w:rPr>
          <w:sz w:val="20"/>
          <w:szCs w:val="20"/>
          <w:color w:val="auto"/>
        </w:rPr>
      </w:pPr>
    </w:p>
    <w:p>
      <w:pPr>
        <w:ind w:left="1080" w:right="80" w:hanging="424"/>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 basis point decrease in employee costs as a result of leverage and a reduction of costs that are primarily wage related from temporary salary cuts, reduction of hours and furloughs and permanent headcount reductions, partially offset by increased incentive compensation during the first half 2020;</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basis point decrease in advertising due to leverage and reduced marketing and promotional activities;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declines as a result of leveraging SG&amp;A costs on increased sales.</w:t>
      </w:r>
    </w:p>
    <w:p>
      <w:pPr>
        <w:spacing w:after="0" w:line="221" w:lineRule="exact"/>
        <w:rPr>
          <w:sz w:val="20"/>
          <w:szCs w:val="20"/>
          <w:color w:val="auto"/>
        </w:rPr>
      </w:pPr>
    </w:p>
    <w:p>
      <w:pPr>
        <w:ind w:left="120" w:right="6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Expense. </w:t>
      </w:r>
      <w:r>
        <w:rPr>
          <w:rFonts w:ascii="Times New Roman" w:cs="Times New Roman" w:eastAsia="Times New Roman" w:hAnsi="Times New Roman"/>
          <w:sz w:val="17"/>
          <w:szCs w:val="17"/>
          <w:color w:val="auto"/>
        </w:rPr>
        <w:t>Interest expense decreased $4.5 million, or 8.6%, in the first half 2020 when compared to the first half 2019, primarily as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result of a lower outstanding principal balance and interest rates on our 2015 Term Loan Facility from prior year and current year principal repurchases of $147.7 million and $23.9 million, respectively, partially offset by higher interest on our ABL Facility due to a higher average outstanding balance.</w:t>
      </w:r>
    </w:p>
    <w:p>
      <w:pPr>
        <w:spacing w:after="0" w:line="153"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early retirement of debt, net. </w:t>
      </w:r>
      <w:r>
        <w:rPr>
          <w:rFonts w:ascii="Times New Roman" w:cs="Times New Roman" w:eastAsia="Times New Roman" w:hAnsi="Times New Roman"/>
          <w:sz w:val="18"/>
          <w:szCs w:val="18"/>
          <w:color w:val="auto"/>
        </w:rPr>
        <w:t>Gain on early retirement of debt, net decreased $34.4 million, or 81.5%, to $7.8 million from $42.3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first half 2019. During the first half 2020, we repurchased $23.9 million in principal on the 2015 Term Loan Facility, which was trading at a discount, in open market transactions for $16.0 million and recognized a net gain of $7.8 million. During the first half 2019, we repurchased $147.7 million in principal on the 2015 Term Loan Facility, which was trading at a discount, in open market transactions for $104.6 million and recognized a net gain of $42.3 million.</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60"/>
          </w:cols>
          <w:pgMar w:left="320" w:top="455" w:right="51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2019 (52 weeks) Compared to 2018 (52 weeks)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consolidated statements of income for the periods indicated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tcBorders>
              <w:bottom w:val="single" w:sz="8" w:color="CCEEFF"/>
            </w:tcBorders>
            <w:gridSpan w:val="4"/>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6"/>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00" w:type="dxa"/>
            <w:vAlign w:val="bottom"/>
            <w:tcBorders>
              <w:bottom w:val="single" w:sz="8" w:color="CCEEFF"/>
            </w:tcBorders>
            <w:gridSpan w:val="2"/>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4,829,897</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4,783,893</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$ 46,004</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3,398,743</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7"/>
              </w:rPr>
              <w:t>3,415,941</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71.4%</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(17,198)</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1,431,154</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1,367,952</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28.6%</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63,202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1,251,733</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7"/>
              </w:rPr>
              <w:t>1,239,002</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25.9%</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12,731</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179,421</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128,950</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50,471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101,307</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108,652</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(7,345)</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(42,265)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(42,265)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(3,095)</w:t>
            </w: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122,860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23,393</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99,467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425.2%</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1,951</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866</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120,043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21,442</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$ 98,601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Percentages in table may not sum properly due to rounding.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NM - Not meaningful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20" w:type="dxa"/>
            <w:vAlign w:val="bottom"/>
            <w:tcBorders>
              <w:top w:val="single" w:sz="8" w:color="auto"/>
            </w:tcBorders>
            <w:gridSpan w:val="6"/>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stores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Q1 new stores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Q2 new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Q3 new stores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Q4 new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96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color w:val="auto"/>
              </w:rPr>
              <w:t>Relocated stores</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49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Renovated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increased $46.0 million, or 1.0%, in 2019 over the prior year. The 1.0% increase was driven primarily by additional net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generated by new locations, partially offset by a decline in comparable sales of 0.7%. As of the end of 2019, we operated a net six additional stores compared to the end of 2018, and we had the full benefit of nine stores opened during the prior year. These stores generated sales of $84.8 million, or 1.8% of net sales.</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0.7% comparable sales decline was driven by a 6.3% decrease in comparable sales from the sports and recreation merchandise division and a 3.1% decrease in the outdoors merchandise division. Declines in each category within the sports and recreation merchandise division, which includes team sports/fitness and recreation, were partially driven by planned exits in product types (such as certain outdoor games and electronics) that did not fit within our future assortment strategies during 2019. The outdoors merchandise division decreased as a result of declines from camping and cooking sales during 2019, as well as lower demand for firearms and ammunition during the first and second quarter 2019. These decreases were largely offset by a</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40"/>
          </w:cols>
          <w:pgMar w:left="320" w:top="455" w:right="4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comparable sales increase of 4.7% in apparel and 1.0% in footwear. The apparel merchandise division increased as a result of positive comparable sales across all categories, particularly in licensed apparel, outdoor and seasonal apparel, and athletic apparel. The increase in licensed apparel was largely attributable to sales from Major League Baseball, or MLB, which was driven by regional team playoff success. The footwear merchandise division comparable sales increased, which was the result of an increase in the work and casual footwear category, partially offset by a decrease in athletic footwear. Although we had an overall decrease in comparable sales in 2019, we had positive comparable sales in the back half of 2019. We believe that improvements to our business in the back half of 2019, such as improvements to our website and omnichannel capabilities, including the introduction of BOPIS in July 2019, continued enhancements to our merchandise planning and allocation capabilities, and the launch of the Academy Credit Card in May 2019 were key factors that saw the increase of comparable sales in the back half of 2019.</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E-commerce sales increased $17.8 million, or 7.8%, in 2019 when compared to the prior year, and e-commerce sales represented 5.1% and 4.9% of merchandise sales for 2019 and 2018, respectively. This increase was driven by enhancements to our e-commerce platform, including the introduction of BOPIS at the end of the second quarter 2019, as well as changes in consumer shopping preferences.</w:t>
      </w:r>
    </w:p>
    <w:p>
      <w:pPr>
        <w:spacing w:after="0" w:line="172"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for 2019 increased $63.2 million, or 4.6%, when compared to 2018. Our gross margin, as a percentage of net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29.6% in 2019 compared to 28.6% in 2018, an increase of 100 basis points. This increase is primarily due to:</w:t>
      </w:r>
    </w:p>
    <w:p>
      <w:pPr>
        <w:spacing w:after="0" w:line="64"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basis points of favorability on merchandise margins from favorability in inventory valuation adjustments relative to the prior year;</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basis points of favorability in e-commerce shipping due to reduced shipping rates and an overall reduction in shipping costs resulting from to the 2019 deployment of BOPIS; partially offset by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basis points of unfavorability related to import freight as a result of increased duties during 2019.</w:t>
      </w:r>
    </w:p>
    <w:p>
      <w:pPr>
        <w:spacing w:after="0" w:line="221" w:lineRule="exact"/>
        <w:rPr>
          <w:sz w:val="20"/>
          <w:szCs w:val="20"/>
          <w:color w:val="auto"/>
        </w:rPr>
      </w:pPr>
    </w:p>
    <w:p>
      <w:pPr>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SG&amp;A expenses increased $12.7 million, or 1.0%, to $1,251.7 million in 2019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$1,239.0 million in 2018. As a percentage of net sales, SG&amp;A remained flat at 25.9% in 2019 compared to 2018. The notable changes within SG&amp;A were as follows:</w:t>
      </w:r>
    </w:p>
    <w:p>
      <w:pPr>
        <w:spacing w:after="0" w:line="80" w:lineRule="exact"/>
        <w:rPr>
          <w:sz w:val="20"/>
          <w:szCs w:val="20"/>
          <w:color w:val="auto"/>
        </w:rPr>
      </w:pPr>
    </w:p>
    <w:p>
      <w:pPr>
        <w:ind w:left="1080" w:right="20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basis point increase in employee costs that are primarily driven by performance-based compensation and a net six new store openings since the end of the fourth quarter 2018; partially offset by a</w:t>
      </w:r>
    </w:p>
    <w:p>
      <w:pPr>
        <w:spacing w:after="0" w:line="6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basis point decrease in property and facility expense primarily as a result of prior year implementation expenditures from our profitability and growth initiatives related to energy savings.</w:t>
      </w:r>
    </w:p>
    <w:p>
      <w:pPr>
        <w:spacing w:after="0" w:line="158"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Interest Expense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expense decreased $7.3 million, or 6.8%, to $101.3 million in 2019 from $108.7 million in 2018, resulting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 lower outstanding balance on our Term Loan Facility due to the principal repurchases of $147.7 million during 2019.</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2018 (52 weeks) Compared to 2017 (53 weeks)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When a 52-week fiscal year follows a 53-week fiscal year, the comparable sales calculation is based on the prior fiscal year’s sales shifted forward one week, as we believe this best approximates current trends in our business.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Fiscal Period</w:t>
            </w:r>
          </w:p>
        </w:tc>
        <w:tc>
          <w:tcPr>
            <w:tcW w:w="1160" w:type="dxa"/>
            <w:vAlign w:val="bottom"/>
          </w:tcPr>
          <w:p>
            <w:pPr>
              <w:spacing w:after="0"/>
              <w:rPr>
                <w:sz w:val="13"/>
                <w:szCs w:val="13"/>
                <w:color w:val="auto"/>
              </w:rPr>
            </w:pPr>
          </w:p>
        </w:tc>
        <w:tc>
          <w:tcPr>
            <w:tcW w:w="208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4"/>
                <w:szCs w:val="14"/>
                <w:color w:val="auto"/>
                <w:w w:val="98"/>
              </w:rPr>
              <w:t>Basis</w:t>
            </w:r>
          </w:p>
        </w:tc>
        <w:tc>
          <w:tcPr>
            <w:tcW w:w="306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color w:val="auto"/>
              </w:rPr>
              <w:t>Current Year</w:t>
            </w:r>
          </w:p>
        </w:tc>
        <w:tc>
          <w:tcPr>
            <w:tcW w:w="30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rPr>
              <w:t>Prior Year Comparable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Comparable</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116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3060" w:type="dxa"/>
            <w:vAlign w:val="bottom"/>
            <w:gridSpan w:val="2"/>
          </w:tcPr>
          <w:p>
            <w:pPr>
              <w:jc w:val="center"/>
              <w:ind w:right="980"/>
              <w:spacing w:after="0" w:line="158" w:lineRule="exact"/>
              <w:rPr>
                <w:sz w:val="20"/>
                <w:szCs w:val="20"/>
                <w:color w:val="auto"/>
              </w:rPr>
            </w:pPr>
            <w:r>
              <w:rPr>
                <w:rFonts w:ascii="Times New Roman" w:cs="Times New Roman" w:eastAsia="Times New Roman" w:hAnsi="Times New Roman"/>
                <w:sz w:val="14"/>
                <w:szCs w:val="14"/>
                <w:color w:val="auto"/>
              </w:rPr>
              <w:t>Comparable Period</w:t>
            </w:r>
          </w:p>
        </w:tc>
        <w:tc>
          <w:tcPr>
            <w:tcW w:w="3040" w:type="dxa"/>
            <w:vAlign w:val="bottom"/>
            <w:gridSpan w:val="2"/>
          </w:tcPr>
          <w:p>
            <w:pPr>
              <w:jc w:val="center"/>
              <w:ind w:right="980"/>
              <w:spacing w:after="0" w:line="158" w:lineRule="exact"/>
              <w:rPr>
                <w:sz w:val="20"/>
                <w:szCs w:val="20"/>
                <w:color w:val="auto"/>
              </w:rPr>
            </w:pPr>
            <w:r>
              <w:rPr>
                <w:rFonts w:ascii="Times New Roman" w:cs="Times New Roman" w:eastAsia="Times New Roman" w:hAnsi="Times New Roman"/>
                <w:sz w:val="14"/>
                <w:szCs w:val="14"/>
                <w:color w:val="auto"/>
              </w:rPr>
              <w:t>Period</w:t>
            </w:r>
          </w:p>
        </w:tc>
        <w:tc>
          <w:tcPr>
            <w:tcW w:w="9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Sales</w:t>
            </w:r>
          </w:p>
        </w:tc>
        <w:tc>
          <w:tcPr>
            <w:tcW w:w="0" w:type="dxa"/>
            <w:vAlign w:val="bottom"/>
          </w:tcPr>
          <w:p>
            <w:pPr>
              <w:spacing w:after="0"/>
              <w:rPr>
                <w:sz w:val="1"/>
                <w:szCs w:val="1"/>
                <w:color w:val="auto"/>
              </w:rPr>
            </w:pPr>
          </w:p>
        </w:tc>
      </w:tr>
      <w:tr>
        <w:trPr>
          <w:trHeight w:val="185"/>
        </w:trPr>
        <w:tc>
          <w:tcPr>
            <w:tcW w:w="76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2018</w:t>
            </w:r>
          </w:p>
        </w:tc>
        <w:tc>
          <w:tcPr>
            <w:tcW w:w="11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Comparable</w:t>
            </w:r>
          </w:p>
        </w:tc>
        <w:tc>
          <w:tcPr>
            <w:tcW w:w="98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Fifty-two weeks ended</w:t>
            </w:r>
          </w:p>
        </w:tc>
        <w:tc>
          <w:tcPr>
            <w:tcW w:w="98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rPr>
              <w:t>Fifty-two weeks ended</w:t>
            </w:r>
          </w:p>
        </w:tc>
        <w:tc>
          <w:tcPr>
            <w:tcW w:w="9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8"/>
                <w:szCs w:val="18"/>
                <w:color w:val="auto"/>
                <w:w w:val="97"/>
              </w:rPr>
              <w:t>sales</w:t>
            </w:r>
          </w:p>
        </w:tc>
        <w:tc>
          <w:tcPr>
            <w:tcW w:w="306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8"/>
                <w:szCs w:val="18"/>
                <w:color w:val="auto"/>
              </w:rPr>
              <w:t>February 2, 2019</w:t>
            </w:r>
          </w:p>
        </w:tc>
        <w:tc>
          <w:tcPr>
            <w:tcW w:w="304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8"/>
                <w:szCs w:val="18"/>
                <w:color w:val="auto"/>
                <w:w w:val="98"/>
              </w:rPr>
              <w:t>February 3, 2018</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198"/>
        </w:trPr>
        <w:tc>
          <w:tcPr>
            <w:tcW w:w="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2017</w:t>
            </w:r>
          </w:p>
        </w:tc>
        <w:tc>
          <w:tcPr>
            <w:tcW w:w="1160" w:type="dxa"/>
            <w:vAlign w:val="bottom"/>
          </w:tcPr>
          <w:p>
            <w:pPr>
              <w:spacing w:after="0"/>
              <w:rPr>
                <w:sz w:val="17"/>
                <w:szCs w:val="17"/>
                <w:color w:val="auto"/>
              </w:rPr>
            </w:pPr>
          </w:p>
        </w:tc>
        <w:tc>
          <w:tcPr>
            <w:tcW w:w="2080" w:type="dxa"/>
            <w:vAlign w:val="bottom"/>
            <w:gridSpan w:val="2"/>
          </w:tcPr>
          <w:p>
            <w:pPr>
              <w:jc w:val="center"/>
              <w:ind w:right="1000"/>
              <w:spacing w:after="0" w:line="198" w:lineRule="exact"/>
              <w:rPr>
                <w:sz w:val="20"/>
                <w:szCs w:val="20"/>
                <w:color w:val="auto"/>
              </w:rPr>
            </w:pPr>
            <w:r>
              <w:rPr>
                <w:rFonts w:ascii="Times New Roman" w:cs="Times New Roman" w:eastAsia="Times New Roman" w:hAnsi="Times New Roman"/>
                <w:sz w:val="18"/>
                <w:szCs w:val="18"/>
                <w:color w:val="auto"/>
                <w:w w:val="99"/>
              </w:rPr>
              <w:t>Comparable</w:t>
            </w:r>
          </w:p>
        </w:tc>
        <w:tc>
          <w:tcPr>
            <w:tcW w:w="3060" w:type="dxa"/>
            <w:vAlign w:val="bottom"/>
            <w:gridSpan w:val="2"/>
          </w:tcPr>
          <w:p>
            <w:pPr>
              <w:jc w:val="center"/>
              <w:ind w:right="980"/>
              <w:spacing w:after="0" w:line="198" w:lineRule="exact"/>
              <w:rPr>
                <w:sz w:val="20"/>
                <w:szCs w:val="20"/>
                <w:color w:val="auto"/>
              </w:rPr>
            </w:pPr>
            <w:r>
              <w:rPr>
                <w:rFonts w:ascii="Times New Roman" w:cs="Times New Roman" w:eastAsia="Times New Roman" w:hAnsi="Times New Roman"/>
                <w:sz w:val="18"/>
                <w:szCs w:val="18"/>
                <w:color w:val="auto"/>
                <w:w w:val="99"/>
              </w:rPr>
              <w:t>Fifty-two weeks ended</w:t>
            </w:r>
          </w:p>
        </w:tc>
        <w:tc>
          <w:tcPr>
            <w:tcW w:w="3040" w:type="dxa"/>
            <w:vAlign w:val="bottom"/>
            <w:gridSpan w:val="2"/>
          </w:tcPr>
          <w:p>
            <w:pPr>
              <w:jc w:val="center"/>
              <w:ind w:right="980"/>
              <w:spacing w:after="0" w:line="198" w:lineRule="exact"/>
              <w:rPr>
                <w:sz w:val="20"/>
                <w:szCs w:val="20"/>
                <w:color w:val="auto"/>
              </w:rPr>
            </w:pPr>
            <w:r>
              <w:rPr>
                <w:rFonts w:ascii="Times New Roman" w:cs="Times New Roman" w:eastAsia="Times New Roman" w:hAnsi="Times New Roman"/>
                <w:sz w:val="18"/>
                <w:szCs w:val="18"/>
                <w:color w:val="auto"/>
              </w:rPr>
              <w:t>Fifty-two weeks ended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sales</w:t>
            </w:r>
          </w:p>
        </w:tc>
        <w:tc>
          <w:tcPr>
            <w:tcW w:w="30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January 27, 2018</w:t>
            </w:r>
          </w:p>
        </w:tc>
        <w:tc>
          <w:tcPr>
            <w:tcW w:w="304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January 28, 2017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(5.2)%</w:t>
            </w: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8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77</w:t>
            </w:r>
          </w:p>
        </w:tc>
        <w:tc>
          <w:tcPr>
            <w:tcW w:w="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consolidated statements of income for the periods indicated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6"/>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00" w:type="dxa"/>
            <w:vAlign w:val="bottom"/>
            <w:tcBorders>
              <w:bottom w:val="single" w:sz="8" w:color="CCEEFF"/>
            </w:tcBorders>
            <w:gridSpan w:val="2"/>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4,783,893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4,835,582</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$(51,689)</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3,415,941</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3,436,618</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71.1%</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(20,677)</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1,367,952</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1,398,964</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28.9%</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(31,012)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1,239,002</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1,241,643</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25.7%</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(2,641)</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128,950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157,321</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(28,371)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108,652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104,857</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3,795</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(6,294)</w:t>
            </w:r>
          </w:p>
        </w:tc>
        <w:tc>
          <w:tcPr>
            <w:tcW w:w="9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(3,095)</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(2,524)</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61,282</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(37,889)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2,781</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(830)</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21,442</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58,501</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(37,059)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Percentages in table may not sum properly due to rounding.</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NM - Not meaningful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140" w:type="dxa"/>
            <w:vAlign w:val="bottom"/>
            <w:gridSpan w:val="7"/>
          </w:tcPr>
          <w:p>
            <w:pPr>
              <w:jc w:val="right"/>
              <w:ind w:right="82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80" w:type="dxa"/>
            <w:vAlign w:val="bottom"/>
            <w:tcBorders>
              <w:top w:val="single" w:sz="8" w:color="auto"/>
            </w:tcBorders>
            <w:gridSpan w:val="6"/>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stores</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Q1 new stores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Q2 new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Q3 new stores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Q4 new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Closed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7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color w:val="auto"/>
              </w:rPr>
              <w:t>Relocated stores</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47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Renovated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3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decreased $51.7 million, or 1.1%, in 2018 over the prior year. The 1.1% decrease was driven primarily by a decline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sales of 2.5% and higher sales in 2017 from the 53rd week of $60.6 million. As of the end of 2018, we operated nine additional stores compared to the end of 2017 and we had the full benefit of 16 stores opened during the prior year. These stores generated sales of $134.9 million, or 2.8% of net sales.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disclosure has been updated to reflect the new merchandise division category and product reclassification completed in 2019. See “Business.”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2.5% comparable sales decline in 2018 was driven by a comparable sales decrease of 5.4% in the sports and recreation merchandise division and a 4.1% decrease in the outdoors merchandise division. The outdoors merchandise division experienced a decline in 2018 from the market saturation of specialized drinkware and related coolers, as well as market softness in firearms and ammunition. Also contributing to the decline in the outdoors merchandise division in 2018 was our planned assortment reduction in the camping category. The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40"/>
          </w:cols>
          <w:pgMar w:left="320" w:top="455" w:right="4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decline in the sports and recreation merchandise division in 2018 was caused by declines in both the team sports/fitness and recreation categories. Both the apparel and footwear merchandise divisions comparable sales were relatively flat compared to the prior year with a decrease of 0.4% and an increase of 0.1%, respectively. Within the apparel merchandise division, licensed apparel decreased as we benefited in the prior year on MLB licensed apparel due to team playoff success within our footprint that was partially offset by an increase in outdoor and seasonal apparel. Within the footwear merchandise division, the increase was driven by an increase in work and casual footwear, partially offset by a decrease in athletic footwear.</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E-commerce sales increased $40.5 million, or 21.2%, in 2018 when compared to the prior year, and e-commerce sales represented 4.9% and 4.0% of merchandise sales for 2018 and 2017, respectively. This increase was driven by changes in consumer shopping preferences, investments in digital advertising and increased promotional activity.</w:t>
      </w:r>
    </w:p>
    <w:p>
      <w:pPr>
        <w:spacing w:after="0" w:line="172"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for 2018 decreased $31.0 million, or 2.2%, when compared to 2017. Our gross margin, as a percentage of net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28.6% in 2018 compared to 28.9% in 2017, a decrease of 30 basis points. This decrease is primarily due to:</w:t>
      </w:r>
    </w:p>
    <w:p>
      <w:pPr>
        <w:spacing w:after="0" w:line="64" w:lineRule="exact"/>
        <w:rPr>
          <w:sz w:val="20"/>
          <w:szCs w:val="20"/>
          <w:color w:val="auto"/>
        </w:rPr>
      </w:pPr>
    </w:p>
    <w:p>
      <w:pPr>
        <w:ind w:left="1080" w:right="20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basis points of unfavorability related to higher inventory overhead expense due to the prior year benefiting from substantial inventory purchases that lowered the inventory turnover rate and resultant overhead expensed;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basis points of unfavorability on freight due to increased domestic and international freight pricing and duties;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basis points of unfavorability on merchandise margins due to increased clearance and promotional activities, coupled with the growth of e-commerce sales; and partially offset by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basis points of favorability due to decreased inventory shrinkage.</w:t>
      </w:r>
    </w:p>
    <w:p>
      <w:pPr>
        <w:spacing w:after="0" w:line="221" w:lineRule="exact"/>
        <w:rPr>
          <w:sz w:val="20"/>
          <w:szCs w:val="20"/>
          <w:color w:val="auto"/>
        </w:rPr>
      </w:pPr>
    </w:p>
    <w:p>
      <w:pPr>
        <w:ind w:left="120" w:right="4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SG&amp;A expenses decreased $2.6 million, or 0.2%, to $1,239.0 million in 2018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$1,241.6 million in 2017. As a percentage of net sales, SG&amp;A was 25.9% in 2018 compared to 25.7% in 2017. SG&amp;A as a percentage of net sales increased 20 basis points primarily driven by:</w:t>
      </w:r>
    </w:p>
    <w:p>
      <w:pPr>
        <w:spacing w:after="0" w:line="80" w:lineRule="exact"/>
        <w:rPr>
          <w:sz w:val="20"/>
          <w:szCs w:val="20"/>
          <w:color w:val="auto"/>
        </w:rPr>
      </w:pPr>
    </w:p>
    <w:p>
      <w:pPr>
        <w:ind w:left="1080" w:right="10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basis point increase in property and facility expense due to operating nine additional stores since the end of 2017 and the full impact of 16 stores opened during 2017; and partially offset by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basis point decrease in professional fees related to our 2017 profitability and growth initiatives.</w:t>
      </w:r>
    </w:p>
    <w:p>
      <w:pPr>
        <w:spacing w:after="0" w:line="221" w:lineRule="exact"/>
        <w:rPr>
          <w:sz w:val="20"/>
          <w:szCs w:val="20"/>
          <w:color w:val="auto"/>
        </w:rPr>
      </w:pPr>
    </w:p>
    <w:p>
      <w:pPr>
        <w:ind w:left="120" w:right="20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Interest Expense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Interest expense increased $3.8 million, or 3.6%, to $108.7 million in 2018 from $104.9 million in 2017, resulting primarily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rising interest rates on our Term Loan Facility, which was partially offset by more favorable positions on our interest rate swaps relative to 2017.</w:t>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Adjusted comparable sales</w:t>
      </w:r>
    </w:p>
    <w:p>
      <w:pPr>
        <w:spacing w:after="0" w:line="119"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We calculate adjusted comparable sales by excluding from comparable sales additional sales associated with Houston Astros World Series appearances, additional sales of a product driven by free shipping promotion and sales from certain product categories, such as toys, luggage and electronics, that we exited in 2018.</w:t>
      </w:r>
    </w:p>
    <w:p>
      <w:pPr>
        <w:spacing w:after="0" w:line="176"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Adjusted comparable sales is a non-GAAP financial measure. We use adjusted comparable sales as the basis for key operating decisions, such as allocation of receipts and inventory to particular categories. We believe that adjusted comparable sales assists investors and analysts in comparing our operating performance across reporting periods on a consistent basis by excluding items that we do not believe are indicative of our ongoing operating performance.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reconciliation of our comparable sales to our adjusted comparable sales for the periods presented: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2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14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4460" w:type="dxa"/>
            <w:vAlign w:val="bottom"/>
          </w:tcPr>
          <w:p>
            <w:pPr>
              <w:spacing w:after="0"/>
              <w:rPr>
                <w:sz w:val="10"/>
                <w:szCs w:val="10"/>
                <w:color w:val="auto"/>
              </w:rPr>
            </w:pPr>
          </w:p>
        </w:tc>
        <w:tc>
          <w:tcPr>
            <w:tcW w:w="112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36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7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740" w:type="dxa"/>
            <w:vAlign w:val="bottom"/>
          </w:tcPr>
          <w:p>
            <w:pPr>
              <w:spacing w:after="0"/>
              <w:rPr>
                <w:sz w:val="10"/>
                <w:szCs w:val="10"/>
                <w:color w:val="auto"/>
              </w:rPr>
            </w:pPr>
          </w:p>
        </w:tc>
        <w:tc>
          <w:tcPr>
            <w:tcW w:w="1280" w:type="dxa"/>
            <w:vAlign w:val="bottom"/>
            <w:tcBorders>
              <w:top w:val="single" w:sz="8" w:color="auto"/>
            </w:tcBorders>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6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7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7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sales</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(2.5)%</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(5.2)%</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8"/>
        </w:trPr>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Additional sales associated with Houston Astros</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World Series appearances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8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0.7%</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(0.8)%</w:t>
            </w: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Additional sales of a product driven by free shipping</w:t>
            </w: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promotion</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0.1%</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(0.1)%</w:t>
            </w: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Sales from the exited product categories</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comparable sales</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w:t>
            </w:r>
          </w:p>
        </w:tc>
        <w:tc>
          <w:tcPr>
            <w:tcW w:w="18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(6.1)%</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Adjusted EBITDA, Adjusted Net Income (Loss), Pro Forma Adjusted Net Income (Loss) and Adjusted Free Cash Flow</w:t>
      </w:r>
    </w:p>
    <w:p>
      <w:pPr>
        <w:spacing w:after="0" w:line="119"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We define Adjusted EBITDA as net income (loss)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 income (loss) to Adjusted EBITDA in the applicable table below. We define Adjusted Net Income (Loss) as net income (loss),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define Pro Forma Adjusted Net Income (Loss) as Adjusted Net Income (Loss) plus the estimated federal tax liability based on our proposed C-Corporation structure after this offering. We describe these adjustments reconciling net income (loss) to Adjusted Net Income (Loss) and Pro Forma Adjusted Net Income (Loss) in the applicable table below. We define Adjusted Free Cash Flow as net cash provided by (used in) operating activities less net cash used in investing activities. We describe these adjustments reconciling net cash provided by operating activities to Adjusted Free Cash Flow in the applicable table below.</w:t>
      </w:r>
    </w:p>
    <w:p>
      <w:pPr>
        <w:spacing w:after="0" w:line="182" w:lineRule="exact"/>
        <w:rPr>
          <w:sz w:val="20"/>
          <w:szCs w:val="20"/>
          <w:color w:val="auto"/>
        </w:rPr>
      </w:pPr>
    </w:p>
    <w:p>
      <w:pPr>
        <w:ind w:left="120" w:right="140" w:firstLine="440"/>
        <w:spacing w:after="0" w:line="269" w:lineRule="auto"/>
        <w:rPr>
          <w:sz w:val="20"/>
          <w:szCs w:val="20"/>
          <w:color w:val="auto"/>
        </w:rPr>
      </w:pPr>
      <w:r>
        <w:rPr>
          <w:rFonts w:ascii="Times New Roman" w:cs="Times New Roman" w:eastAsia="Times New Roman" w:hAnsi="Times New Roman"/>
          <w:sz w:val="17"/>
          <w:szCs w:val="17"/>
          <w:color w:val="auto"/>
        </w:rPr>
        <w:t>Adjusted EBITDA, Adjusted Net Income (Loss), Pro Forma Adjusted Net Income (Loss) and Adjusted Free Cash Flow have been presented in this prospectus as supplemental measures of financial performance that are not required by, or presented in accordance with, GAAP. We believe Adjusted EBITDA, Adjusted Net Income (Loss) and Pro Forma Adjusted Net Income (Loss) assist investors and analysts in comparing our operating performance across reporting periods on a consistent basis by excluding items that we do not believe are indicative of our core operating performance. Management believes Adjusted EBITDA, Adjusted Net Income (Loss) and Pro Forma Adjusted Net Income (Loss)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(Loss), Pro Forma Adjusted Net Income (Loss) and Adjusted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w:t>
      </w:r>
    </w:p>
    <w:p>
      <w:pPr>
        <w:spacing w:after="0" w:line="18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55" w:right="4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Adjusted Net Income (Loss), Pro Forma Adjusted Net Income (Loss)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(Loss) and Pro Forma Adjusted Net Income (Loss) should not be construed to imply that our future results will be unaffected by unusual or non-recurring items. In evaluating Adjusted EBITDA, Adjusted Net Income (Loss), Pro Forma Adjusted Net Income (Loss) and Adjusted Free Cash Flow, you should be aware that in the future we may incur expenses that are the same as or similar to some of the adjustments in this presentation. Our presentation of Adjusted EBITDA, Adjusted Net Income (Loss), Pro Forma Adjusted Net Income (Loss) and Adjusted Free Cash Flow should not be construed to imply that our future results will be unaffected by any such adjustments. Management compensates for these limitations by primarily relying on our GAAP results in addition to using Adjusted EBITDA, Adjusted Net Income (Loss), Pro Forma Adjusted Net Income (Loss) and Adjusted Free Cash Flow supplementally.</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Adjusted EBITDA, Adjusted Net Income (Loss), Pro Forma Adjusted Net Income (Loss) and Adjusted Free Cash Flow measures have limitations as analytical tools, and you should not consider them in isolation, or as a substitute for analysis of our results as reported under GAAP. Some of these limitations are:</w:t>
      </w:r>
    </w:p>
    <w:p>
      <w:pPr>
        <w:spacing w:after="0" w:line="81" w:lineRule="exact"/>
        <w:rPr>
          <w:sz w:val="20"/>
          <w:szCs w:val="20"/>
          <w:color w:val="auto"/>
        </w:rPr>
      </w:pPr>
    </w:p>
    <w:p>
      <w:pPr>
        <w:ind w:left="10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costs or cash outlays for capital expenditures or contractual commitments;</w:t>
      </w:r>
    </w:p>
    <w:p>
      <w:pPr>
        <w:spacing w:after="0" w:line="67" w:lineRule="exact"/>
        <w:rPr>
          <w:rFonts w:ascii="Times New Roman" w:cs="Times New Roman" w:eastAsia="Times New Roman" w:hAnsi="Times New Roman"/>
          <w:sz w:val="18"/>
          <w:szCs w:val="18"/>
          <w:color w:val="auto"/>
        </w:rPr>
      </w:pPr>
    </w:p>
    <w:p>
      <w:pPr>
        <w:ind w:left="1080" w:right="90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changes in, or cash requirements for, our working capital needs;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period to period changes in taxes, income tax expense or the cash necessary to pay income taxes;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the impact of earnings or charges resulting from matters we consider not to be indicative of our ongoing operations;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11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Adjusted Net Income (Loss), Pro Forma Adjusted Net Income (Loss) and Adjusted Free Cash Flow should not be considered as measures of discretionary cash available to invest in business growth or to reduce indebtedness.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55" w:right="47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provide reconciliations of net income (loss) to Adjusted EBITDA, Adjusted Net Income (Loss) and Pro Forma Adjusted Net Income (Loss) for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Borders>
              <w:top w:val="single" w:sz="8" w:color="auto"/>
            </w:tcBorders>
            <w:gridSpan w:val="4"/>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top w:val="single" w:sz="8" w:color="auto"/>
            </w:tcBorders>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116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6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Borders>
              <w:top w:val="single" w:sz="8" w:color="auto"/>
            </w:tcBorders>
            <w:gridSpan w:val="3"/>
          </w:tcPr>
          <w:p>
            <w:pPr>
              <w:jc w:val="right"/>
              <w:ind w:right="12"/>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ind w:right="10"/>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53 weeks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gridSpan w:val="2"/>
          </w:tcPr>
          <w:p>
            <w:pPr>
              <w:ind w:left="60"/>
              <w:spacing w:after="0" w:line="119" w:lineRule="exact"/>
              <w:rPr>
                <w:sz w:val="20"/>
                <w:szCs w:val="20"/>
                <w:color w:val="auto"/>
              </w:rPr>
            </w:pPr>
            <w:r>
              <w:rPr>
                <w:rFonts w:ascii="Times New Roman" w:cs="Times New Roman" w:eastAsia="Times New Roman" w:hAnsi="Times New Roman"/>
                <w:sz w:val="13"/>
                <w:szCs w:val="13"/>
                <w:b w:val="1"/>
                <w:bCs w:val="1"/>
                <w:color w:val="auto"/>
              </w:rPr>
              <w:t>26 weeks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26 weeks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40" w:type="dxa"/>
            <w:vAlign w:val="bottom"/>
            <w:gridSpan w:val="5"/>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$ 120,043</w:t>
            </w:r>
          </w:p>
        </w:tc>
        <w:tc>
          <w:tcPr>
            <w:tcW w:w="34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21,442</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58,501</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$157,656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73,753</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40" w:type="dxa"/>
            <w:vAlign w:val="bottom"/>
            <w:gridSpan w:val="5"/>
          </w:tcPr>
          <w:p>
            <w:pPr>
              <w:jc w:val="right"/>
              <w:ind w:right="13"/>
              <w:spacing w:after="0"/>
              <w:rPr>
                <w:sz w:val="20"/>
                <w:szCs w:val="20"/>
                <w:color w:val="auto"/>
              </w:rPr>
            </w:pPr>
            <w:r>
              <w:rPr>
                <w:rFonts w:ascii="Times New Roman" w:cs="Times New Roman" w:eastAsia="Times New Roman" w:hAnsi="Times New Roman"/>
                <w:sz w:val="18"/>
                <w:szCs w:val="18"/>
                <w:color w:val="auto"/>
              </w:rPr>
              <w:t>101,307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108,652</w:t>
            </w:r>
          </w:p>
        </w:tc>
        <w:tc>
          <w:tcPr>
            <w:tcW w:w="8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104,857</w:t>
            </w: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48,088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52,586</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2,817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1,951</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2,781</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1,518</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240" w:type="dxa"/>
            <w:vAlign w:val="bottom"/>
            <w:gridSpan w:val="5"/>
          </w:tcPr>
          <w:p>
            <w:pPr>
              <w:jc w:val="right"/>
              <w:ind w:right="13"/>
              <w:spacing w:after="0"/>
              <w:rPr>
                <w:sz w:val="20"/>
                <w:szCs w:val="20"/>
                <w:color w:val="auto"/>
              </w:rPr>
            </w:pPr>
            <w:r>
              <w:rPr>
                <w:rFonts w:ascii="Times New Roman" w:cs="Times New Roman" w:eastAsia="Times New Roman" w:hAnsi="Times New Roman"/>
                <w:sz w:val="18"/>
                <w:szCs w:val="18"/>
                <w:color w:val="auto"/>
              </w:rPr>
              <w:t>117,254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134,190</w:t>
            </w:r>
          </w:p>
        </w:tc>
        <w:tc>
          <w:tcPr>
            <w:tcW w:w="8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135,680</w:t>
            </w: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54,151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59,097</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3,601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10,263</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w w:val="98"/>
              </w:rPr>
              <w:t>3,636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3,522</w:t>
            </w:r>
          </w:p>
        </w:tc>
        <w:tc>
          <w:tcPr>
            <w:tcW w:w="8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3,387</w:t>
            </w: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1,840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7,881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4,633</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4,580</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3,690</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4,467</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(42,265)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(6,294)</w:t>
            </w:r>
          </w:p>
        </w:tc>
        <w:tc>
          <w:tcPr>
            <w:tcW w:w="10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(7,831)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1,429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4,350</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7,409</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4,137</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17,632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Inventory write-down adjustments associated with strategic merchandising</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initiative (f)</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18,225</w:t>
            </w:r>
          </w:p>
        </w:tc>
        <w:tc>
          <w:tcPr>
            <w:tcW w:w="8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(g)</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w w:val="98"/>
              </w:rPr>
              <w:t>7,111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2,345</w:t>
            </w:r>
          </w:p>
        </w:tc>
        <w:tc>
          <w:tcPr>
            <w:tcW w:w="8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(10,144)</w:t>
            </w: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1,929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40" w:type="dxa"/>
            <w:vAlign w:val="bottom"/>
            <w:gridSpan w:val="5"/>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$ 322,814</w:t>
            </w:r>
          </w:p>
        </w:tc>
        <w:tc>
          <w:tcPr>
            <w:tcW w:w="34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300,259</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$ 315,420</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282,902</w:t>
            </w:r>
          </w:p>
        </w:tc>
        <w:tc>
          <w:tcPr>
            <w:tcW w:w="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$ 156,837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740" w:type="dxa"/>
            <w:vAlign w:val="bottom"/>
            <w:tcBorders>
              <w:top w:val="single" w:sz="8" w:color="auto"/>
            </w:tcBorders>
            <w:gridSpan w:val="3"/>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4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6"/>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72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3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Borders>
              <w:top w:val="single" w:sz="8" w:color="auto"/>
            </w:tcBorders>
            <w:gridSpan w:val="4"/>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72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640" w:type="dxa"/>
            <w:vAlign w:val="bottom"/>
            <w:gridSpan w:val="2"/>
            <w:vMerge w:val="continue"/>
          </w:tcPr>
          <w:p>
            <w:pPr>
              <w:spacing w:after="0"/>
              <w:rPr>
                <w:sz w:val="10"/>
                <w:szCs w:val="10"/>
                <w:color w:val="auto"/>
              </w:rPr>
            </w:pPr>
          </w:p>
        </w:tc>
        <w:tc>
          <w:tcPr>
            <w:tcW w:w="720" w:type="dxa"/>
            <w:vAlign w:val="bottom"/>
            <w:tcBorders>
              <w:top w:val="single" w:sz="8" w:color="auto"/>
            </w:tcBorders>
            <w:gridSpan w:val="2"/>
          </w:tcPr>
          <w:p>
            <w:pPr>
              <w:jc w:val="right"/>
              <w:ind w:right="2"/>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3"/>
          </w:tcPr>
          <w:p>
            <w:pPr>
              <w:jc w:val="center"/>
              <w:ind w:right="12"/>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420" w:type="dxa"/>
            <w:vAlign w:val="bottom"/>
            <w:gridSpan w:val="2"/>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ind w:right="2"/>
              <w:spacing w:after="0" w:line="119" w:lineRule="exact"/>
              <w:rPr>
                <w:sz w:val="20"/>
                <w:szCs w:val="20"/>
                <w:color w:val="auto"/>
              </w:rPr>
            </w:pPr>
            <w:r>
              <w:rPr>
                <w:rFonts w:ascii="Times New Roman" w:cs="Times New Roman" w:eastAsia="Times New Roman" w:hAnsi="Times New Roman"/>
                <w:sz w:val="13"/>
                <w:szCs w:val="13"/>
                <w:b w:val="1"/>
                <w:bCs w:val="1"/>
                <w:color w:val="auto"/>
              </w:rPr>
              <w:t>53 weeks</w:t>
            </w:r>
          </w:p>
        </w:tc>
        <w:tc>
          <w:tcPr>
            <w:tcW w:w="3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26 weeks</w:t>
            </w:r>
          </w:p>
        </w:tc>
        <w:tc>
          <w:tcPr>
            <w:tcW w:w="28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26 weeks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$ 120,043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21,442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58,501</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$ 157,656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73,753</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3,601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10,263</w:t>
            </w:r>
          </w:p>
        </w:tc>
        <w:tc>
          <w:tcPr>
            <w:tcW w:w="140" w:type="dxa"/>
            <w:vAlign w:val="bottom"/>
          </w:tcPr>
          <w:p>
            <w:pPr>
              <w:spacing w:after="0"/>
              <w:rPr>
                <w:sz w:val="18"/>
                <w:szCs w:val="18"/>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3,280</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3,636</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3,387</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1,840</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7,881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4,633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4,580</w:t>
            </w:r>
          </w:p>
        </w:tc>
        <w:tc>
          <w:tcPr>
            <w:tcW w:w="140" w:type="dxa"/>
            <w:vAlign w:val="bottom"/>
          </w:tcPr>
          <w:p>
            <w:pPr>
              <w:spacing w:after="0"/>
              <w:rPr>
                <w:sz w:val="18"/>
                <w:szCs w:val="18"/>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3,690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4,467</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1160" w:type="dxa"/>
            <w:vAlign w:val="bottom"/>
            <w:tcBorders>
              <w:right w:val="single" w:sz="8" w:color="CCEEFF"/>
            </w:tcBorders>
            <w:gridSpan w:val="4"/>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(42,265)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(6,294)</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(7,831)</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1,429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4,350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7,409</w:t>
            </w:r>
          </w:p>
        </w:tc>
        <w:tc>
          <w:tcPr>
            <w:tcW w:w="140" w:type="dxa"/>
            <w:vAlign w:val="bottom"/>
          </w:tcPr>
          <w:p>
            <w:pPr>
              <w:spacing w:after="0"/>
              <w:rPr>
                <w:sz w:val="18"/>
                <w:szCs w:val="18"/>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4,137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17,632</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Inventory write-down adjustments associated with strategic</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merchandising initiative (f)</w:t>
            </w:r>
          </w:p>
        </w:tc>
        <w:tc>
          <w:tcPr>
            <w:tcW w:w="4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18,225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4,400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7,111</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(10,144)</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1,929</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effects of these adjustments (h)</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$ 101,469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55,405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72,078</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$ 179,106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43,800</w:t>
            </w: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tax effect of change to C-Corporation status (i)</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(25,542)</w:t>
            </w:r>
          </w:p>
        </w:tc>
        <w:tc>
          <w:tcPr>
            <w:tcW w:w="440" w:type="dxa"/>
            <w:vAlign w:val="bottom"/>
            <w:gridSpan w:val="2"/>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(14,067)</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(18,346)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(44,262)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(11,063)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 Forma Adjusted Net Income</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75,927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41,338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53,732</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$ 134,844</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32,737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outside consulting fees associated with our strategic cost savings and business optimization initiatives.</w:t>
      </w:r>
    </w:p>
    <w:p>
      <w:pPr>
        <w:spacing w:after="0" w:line="27" w:lineRule="exact"/>
        <w:rPr>
          <w:rFonts w:ascii="Times New Roman" w:cs="Times New Roman" w:eastAsia="Times New Roman" w:hAnsi="Times New Roman"/>
          <w:sz w:val="18"/>
          <w:szCs w:val="18"/>
          <w:color w:val="auto"/>
        </w:rPr>
      </w:pPr>
    </w:p>
    <w:p>
      <w:pPr>
        <w:ind w:left="540" w:right="900" w:hanging="424"/>
        <w:spacing w:after="0" w:line="25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contractual payments under our Monitoring Agreement with the Adviser. See “Certain Relationships and Related Party Transactions—Monitoring Agreement.”</w:t>
      </w:r>
    </w:p>
    <w:p>
      <w:pPr>
        <w:ind w:left="540" w:right="280" w:hanging="424"/>
        <w:spacing w:after="0" w:line="26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charges related to the 2011 Equity Plan, which vary from period to period depending on certain factors such as timing and valuation of awards, achievement of performance targets and equity award forfeitures.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costs associated with executive leadership changes and enterprise-wide organizational changes.</w:t>
      </w:r>
    </w:p>
    <w:p>
      <w:pPr>
        <w:spacing w:after="0" w:line="27"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inventory write-down adjustments in connection with our new merchandising strategy adopted as part of our strategic transformation, including exiting certain categories of products.</w:t>
      </w:r>
    </w:p>
    <w:p>
      <w:pPr>
        <w:ind w:left="540" w:right="100" w:hanging="424"/>
        <w:spacing w:after="0" w:line="25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include (representing deductions or additions to Adjusted EBITDA and Adjusted Net Income (Loss), as applicable) amounts that management believes are not representative of our operating performance, including investment income, net losses associated with Hurricane Harvey, additional profits associated with the 53rd week in fiscal year 2017, additional profits associated with Houston Astros World Series appearances, installation costs for energy savings associated with our profitability initiatives, store exit costs and other costs associated with strategic cost savings and business optimization initiatives.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the total adjustments made to arrive at Adjusted Net Income (Loss) at our historical tax rate.</w:t>
      </w:r>
    </w:p>
    <w:p>
      <w:pPr>
        <w:spacing w:after="0" w:line="9"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Adjusted Net Income (Loss) at our estimated effective tax rate of 24.5%. We are currently treated as a flow through entity for U.S. federal and state income tax purposes, and thus no federal income tax expense has been recorded in our consolidated statements of income. After consummation of this offering, we will become subject to U.S. federal and state income taxes and be taxed at the prevailing corporate rates. Our actual federal tax rate, and our actual income tax liability, after this offering may be different from our assumed rate, and such difference may be material.</w:t>
      </w:r>
    </w:p>
    <w:p>
      <w:pPr>
        <w:spacing w:after="0" w:line="18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Ended</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20" w:type="dxa"/>
            <w:vAlign w:val="bottom"/>
          </w:tcPr>
          <w:p>
            <w:pPr>
              <w:spacing w:after="0"/>
              <w:rPr>
                <w:sz w:val="10"/>
                <w:szCs w:val="10"/>
                <w:color w:val="auto"/>
              </w:rPr>
            </w:pPr>
          </w:p>
        </w:tc>
        <w:tc>
          <w:tcPr>
            <w:tcW w:w="100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60" w:type="dxa"/>
            <w:vAlign w:val="bottom"/>
          </w:tcPr>
          <w:p>
            <w:pPr>
              <w:spacing w:after="0"/>
              <w:rPr>
                <w:sz w:val="10"/>
                <w:szCs w:val="10"/>
                <w:color w:val="auto"/>
              </w:rPr>
            </w:pPr>
          </w:p>
        </w:tc>
        <w:tc>
          <w:tcPr>
            <w:tcW w:w="7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320" w:type="dxa"/>
            <w:vAlign w:val="bottom"/>
          </w:tcPr>
          <w:p>
            <w:pPr>
              <w:spacing w:after="0"/>
              <w:rPr>
                <w:sz w:val="10"/>
                <w:szCs w:val="10"/>
                <w:color w:val="auto"/>
              </w:rPr>
            </w:pPr>
          </w:p>
        </w:tc>
        <w:tc>
          <w:tcPr>
            <w:tcW w:w="88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40" w:type="dxa"/>
            <w:vAlign w:val="bottom"/>
          </w:tcPr>
          <w:p>
            <w:pPr>
              <w:spacing w:after="0"/>
              <w:rPr>
                <w:sz w:val="10"/>
                <w:szCs w:val="10"/>
                <w:color w:val="auto"/>
              </w:rPr>
            </w:pPr>
          </w:p>
        </w:tc>
        <w:tc>
          <w:tcPr>
            <w:tcW w:w="6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2140" w:type="dxa"/>
            <w:vAlign w:val="bottom"/>
            <w:gridSpan w:val="2"/>
          </w:tcPr>
          <w:p>
            <w:pPr>
              <w:jc w:val="center"/>
              <w:ind w:left="133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62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18"/>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8"/>
              <w:spacing w:after="0" w:line="119" w:lineRule="exact"/>
              <w:rPr>
                <w:sz w:val="20"/>
                <w:szCs w:val="20"/>
                <w:color w:val="auto"/>
              </w:rPr>
            </w:pPr>
            <w:r>
              <w:rPr>
                <w:rFonts w:ascii="Times New Roman" w:cs="Times New Roman" w:eastAsia="Times New Roman" w:hAnsi="Times New Roman"/>
                <w:sz w:val="13"/>
                <w:szCs w:val="13"/>
                <w:b w:val="1"/>
                <w:bCs w:val="1"/>
                <w:color w:val="auto"/>
              </w:rPr>
              <w:t>53 weeks</w:t>
            </w:r>
          </w:p>
        </w:tc>
        <w:tc>
          <w:tcPr>
            <w:tcW w:w="320" w:type="dxa"/>
            <w:vAlign w:val="bottom"/>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13 weeks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13 weeks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$ 263,669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198,481</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83,355</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$773,621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103,961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(99,027)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(115,901)</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(31,767)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2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$ 196,886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99,454</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(32,546)</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759,771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72,194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20" w:type="dxa"/>
            <w:vAlign w:val="bottom"/>
            <w:vMerge w:val="restart"/>
          </w:tcPr>
          <w:p>
            <w:pPr>
              <w:jc w:val="right"/>
              <w:ind w:right="355"/>
              <w:spacing w:after="0"/>
              <w:rPr>
                <w:sz w:val="20"/>
                <w:szCs w:val="20"/>
                <w:color w:val="auto"/>
              </w:rPr>
            </w:pPr>
            <w:r>
              <w:rPr>
                <w:rFonts w:ascii="Times New Roman" w:cs="Times New Roman" w:eastAsia="Times New Roman" w:hAnsi="Times New Roman"/>
                <w:sz w:val="18"/>
                <w:szCs w:val="18"/>
                <w:color w:val="auto"/>
              </w:rPr>
              <w:t>83</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historical quarterly results of operations as well as certain key metrics for each of our most recent nine fiscal quarters. This information should be read in conjunction with the audited consolidated financial statements and related notes thereto and unaudited condensed consolidated financial statements and related notes thereto, each included elsewhere in this prospectus.</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 thousands)</w:t>
      </w:r>
    </w:p>
    <w:p>
      <w:pPr>
        <w:spacing w:after="0" w:line="14" w:lineRule="exact"/>
        <w:rPr>
          <w:sz w:val="20"/>
          <w:szCs w:val="20"/>
          <w:color w:val="auto"/>
        </w:rPr>
      </w:pPr>
    </w:p>
    <w:p>
      <w:pPr>
        <w:ind w:left="120" w:right="500"/>
        <w:spacing w:after="0" w:line="257" w:lineRule="auto"/>
        <w:rPr>
          <w:sz w:val="20"/>
          <w:szCs w:val="20"/>
          <w:color w:val="auto"/>
        </w:rPr>
      </w:pPr>
      <w:r>
        <w:rPr>
          <w:rFonts w:ascii="Times New Roman" w:cs="Times New Roman" w:eastAsia="Times New Roman" w:hAnsi="Times New Roman"/>
          <w:sz w:val="16"/>
          <w:szCs w:val="16"/>
          <w:color w:val="auto"/>
        </w:rPr>
        <w:t>Net sales Gross margin</w:t>
      </w:r>
    </w:p>
    <w:p>
      <w:pPr>
        <w:spacing w:after="0" w:line="1" w:lineRule="exact"/>
        <w:rPr>
          <w:sz w:val="20"/>
          <w:szCs w:val="20"/>
          <w:color w:val="auto"/>
        </w:rPr>
      </w:pPr>
    </w:p>
    <w:p>
      <w:pPr>
        <w:ind w:left="280" w:right="100" w:hanging="161"/>
        <w:spacing w:after="0" w:line="264" w:lineRule="auto"/>
        <w:rPr>
          <w:sz w:val="20"/>
          <w:szCs w:val="20"/>
          <w:color w:val="auto"/>
        </w:rPr>
      </w:pPr>
      <w:r>
        <w:rPr>
          <w:rFonts w:ascii="Times New Roman" w:cs="Times New Roman" w:eastAsia="Times New Roman" w:hAnsi="Times New Roman"/>
          <w:sz w:val="16"/>
          <w:szCs w:val="16"/>
          <w:color w:val="auto"/>
        </w:rPr>
        <w:t>Selling, general and administrative expenses</w:t>
      </w:r>
    </w:p>
    <w:p>
      <w:pPr>
        <w:ind w:left="120" w:right="60"/>
        <w:spacing w:after="0" w:line="264" w:lineRule="auto"/>
        <w:rPr>
          <w:sz w:val="20"/>
          <w:szCs w:val="20"/>
          <w:color w:val="auto"/>
        </w:rPr>
      </w:pPr>
      <w:r>
        <w:rPr>
          <w:rFonts w:ascii="Times New Roman" w:cs="Times New Roman" w:eastAsia="Times New Roman" w:hAnsi="Times New Roman"/>
          <w:sz w:val="16"/>
          <w:szCs w:val="16"/>
          <w:color w:val="auto"/>
        </w:rPr>
        <w:t>Operating income Interest expense, net</w:t>
      </w:r>
    </w:p>
    <w:p>
      <w:pPr>
        <w:ind w:left="280" w:right="20" w:hanging="161"/>
        <w:spacing w:after="0" w:line="264" w:lineRule="auto"/>
        <w:rPr>
          <w:sz w:val="20"/>
          <w:szCs w:val="20"/>
          <w:color w:val="auto"/>
        </w:rPr>
      </w:pPr>
      <w:r>
        <w:rPr>
          <w:rFonts w:ascii="Times New Roman" w:cs="Times New Roman" w:eastAsia="Times New Roman" w:hAnsi="Times New Roman"/>
          <w:sz w:val="16"/>
          <w:szCs w:val="16"/>
          <w:color w:val="auto"/>
        </w:rPr>
        <w:t>Gain on early retirement of debt, net</w:t>
      </w:r>
    </w:p>
    <w:p>
      <w:pPr>
        <w:ind w:left="120"/>
        <w:spacing w:after="0"/>
        <w:rPr>
          <w:sz w:val="20"/>
          <w:szCs w:val="20"/>
          <w:color w:val="auto"/>
        </w:rPr>
      </w:pPr>
      <w:r>
        <w:rPr>
          <w:rFonts w:ascii="Times New Roman" w:cs="Times New Roman" w:eastAsia="Times New Roman" w:hAnsi="Times New Roman"/>
          <w:sz w:val="16"/>
          <w:szCs w:val="16"/>
          <w:color w:val="auto"/>
        </w:rPr>
        <w:t>Net income (loss)</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Comparable sales</w:t>
      </w:r>
    </w:p>
    <w:p>
      <w:pPr>
        <w:spacing w:after="0" w:line="19" w:lineRule="exact"/>
        <w:rPr>
          <w:sz w:val="20"/>
          <w:szCs w:val="20"/>
          <w:color w:val="auto"/>
        </w:rPr>
      </w:pPr>
    </w:p>
    <w:p>
      <w:pPr>
        <w:ind w:left="280" w:hanging="161"/>
        <w:spacing w:after="0" w:line="264" w:lineRule="auto"/>
        <w:rPr>
          <w:sz w:val="20"/>
          <w:szCs w:val="20"/>
          <w:color w:val="auto"/>
        </w:rPr>
      </w:pPr>
      <w:r>
        <w:rPr>
          <w:rFonts w:ascii="Times New Roman" w:cs="Times New Roman" w:eastAsia="Times New Roman" w:hAnsi="Times New Roman"/>
          <w:sz w:val="16"/>
          <w:szCs w:val="16"/>
          <w:color w:val="auto"/>
        </w:rPr>
        <w:t>Adjusted comparable sales</w:t>
      </w:r>
    </w:p>
    <w:p>
      <w:pPr>
        <w:ind w:left="120"/>
        <w:spacing w:after="0"/>
        <w:rPr>
          <w:sz w:val="20"/>
          <w:szCs w:val="20"/>
          <w:color w:val="auto"/>
        </w:rPr>
      </w:pPr>
      <w:r>
        <w:rPr>
          <w:rFonts w:ascii="Times New Roman" w:cs="Times New Roman" w:eastAsia="Times New Roman" w:hAnsi="Times New Roman"/>
          <w:sz w:val="16"/>
          <w:szCs w:val="16"/>
          <w:color w:val="auto"/>
        </w:rPr>
        <w:t>Adjusted EBITDA</w:t>
      </w:r>
    </w:p>
    <w:p>
      <w:pPr>
        <w:spacing w:after="0" w:line="19" w:lineRule="exact"/>
        <w:rPr>
          <w:sz w:val="20"/>
          <w:szCs w:val="20"/>
          <w:color w:val="auto"/>
        </w:rPr>
      </w:pPr>
    </w:p>
    <w:p>
      <w:pPr>
        <w:ind w:left="280" w:hanging="161"/>
        <w:spacing w:after="0" w:line="264" w:lineRule="auto"/>
        <w:rPr>
          <w:sz w:val="20"/>
          <w:szCs w:val="20"/>
          <w:color w:val="auto"/>
        </w:rPr>
      </w:pPr>
      <w:r>
        <w:rPr>
          <w:rFonts w:ascii="Times New Roman" w:cs="Times New Roman" w:eastAsia="Times New Roman" w:hAnsi="Times New Roman"/>
          <w:sz w:val="16"/>
          <w:szCs w:val="16"/>
          <w:color w:val="auto"/>
        </w:rPr>
        <w:t>Adjusted Net Income (Loss)</w:t>
      </w:r>
    </w:p>
    <w:p>
      <w:pPr>
        <w:ind w:left="120"/>
        <w:spacing w:after="0"/>
        <w:rPr>
          <w:sz w:val="20"/>
          <w:szCs w:val="20"/>
          <w:color w:val="auto"/>
        </w:rPr>
      </w:pPr>
      <w:r>
        <w:rPr>
          <w:rFonts w:ascii="Times New Roman" w:cs="Times New Roman" w:eastAsia="Times New Roman" w:hAnsi="Times New Roman"/>
          <w:sz w:val="16"/>
          <w:szCs w:val="16"/>
          <w:color w:val="auto"/>
        </w:rPr>
        <w:t>Pro Forma Adjusted</w:t>
      </w:r>
    </w:p>
    <w:p>
      <w:pPr>
        <w:spacing w:after="0" w:line="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Net</w:t>
      </w:r>
    </w:p>
    <w:p>
      <w:pPr>
        <w:spacing w:after="0" w:line="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Income (Loss)</w:t>
      </w:r>
    </w:p>
    <w:p>
      <w:pPr>
        <w:spacing w:after="0" w:line="19" w:lineRule="exact"/>
        <w:rPr>
          <w:sz w:val="20"/>
          <w:szCs w:val="20"/>
          <w:color w:val="auto"/>
        </w:rPr>
      </w:pPr>
    </w:p>
    <w:p>
      <w:pPr>
        <w:ind w:left="280" w:right="100" w:hanging="161"/>
        <w:spacing w:after="0" w:line="288" w:lineRule="auto"/>
        <w:rPr>
          <w:sz w:val="20"/>
          <w:szCs w:val="20"/>
          <w:color w:val="auto"/>
        </w:rPr>
      </w:pPr>
      <w:r>
        <w:rPr>
          <w:rFonts w:ascii="Times New Roman" w:cs="Times New Roman" w:eastAsia="Times New Roman" w:hAnsi="Times New Roman"/>
          <w:sz w:val="16"/>
          <w:szCs w:val="16"/>
          <w:color w:val="auto"/>
        </w:rPr>
        <w:t>Adjusted Free Cash Flow</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Thirteen Weeks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60" w:type="dxa"/>
            <w:vAlign w:val="bottom"/>
            <w:tcBorders>
              <w:top w:val="single" w:sz="8" w:color="auto"/>
            </w:tcBorders>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0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160" w:type="dxa"/>
            <w:vAlign w:val="bottom"/>
          </w:tcPr>
          <w:p>
            <w:pPr>
              <w:spacing w:after="0"/>
              <w:rPr>
                <w:sz w:val="10"/>
                <w:szCs w:val="10"/>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r>
      <w:tr>
        <w:trPr>
          <w:trHeight w:val="200"/>
        </w:trPr>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9"/>
              </w:rPr>
              <w:t>1,606,420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1,136,301</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1,370,492</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1,145,203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9"/>
              </w:rPr>
              <w:t>1,237,410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9"/>
              </w:rPr>
              <w:t>1,076,792</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1,342,018</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1,060,188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1,262,207</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1,119,480</w:t>
            </w:r>
          </w:p>
        </w:tc>
      </w:tr>
      <w:tr>
        <w:trPr>
          <w:trHeight w:val="203"/>
        </w:trPr>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496,501</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297,945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370,532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362,422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385,204</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312,996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332,133</w:t>
            </w: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328,833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387,130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320,356</w:t>
            </w:r>
          </w:p>
        </w:tc>
      </w:tr>
      <w:tr>
        <w:trPr>
          <w:trHeight w:val="608"/>
        </w:trPr>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312,713</w:t>
            </w:r>
          </w:p>
        </w:tc>
        <w:tc>
          <w:tcPr>
            <w:tcW w:w="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283,923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328,315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309,246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312,570</w:t>
            </w: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301,602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326,365</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300,195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317,164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295,278</w:t>
            </w:r>
          </w:p>
        </w:tc>
      </w:tr>
      <w:tr>
        <w:trPr>
          <w:trHeight w:val="203"/>
        </w:trPr>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183,788</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14,022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42,217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53,176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72,634</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11,394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5,768</w:t>
            </w: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28,138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69,966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25,078</w:t>
            </w:r>
          </w:p>
        </w:tc>
      </w:tr>
      <w:tr>
        <w:trPr>
          <w:trHeight w:val="203"/>
        </w:trPr>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23,566</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24,522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24,136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24,585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25,549</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27,037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27,608</w:t>
            </w: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27,076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27,173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26,795</w:t>
            </w:r>
          </w:p>
        </w:tc>
      </w:tr>
      <w:tr>
        <w:trPr>
          <w:trHeight w:val="608"/>
        </w:trPr>
        <w:tc>
          <w:tcPr>
            <w:tcW w:w="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(7,831)</w:t>
            </w:r>
          </w:p>
        </w:tc>
        <w:tc>
          <w:tcPr>
            <w:tcW w:w="8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(1,127)</w:t>
            </w:r>
          </w:p>
        </w:tc>
        <w:tc>
          <w:tcPr>
            <w:tcW w:w="8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(41,138)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167,676</w:t>
            </w: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(10,020)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17,738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28,552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48,347</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25,406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(21,458)</w:t>
            </w: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1,773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42,103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(976)</w:t>
            </w:r>
          </w:p>
        </w:tc>
      </w:tr>
      <w:tr>
        <w:trPr>
          <w:trHeight w:val="203"/>
        </w:trPr>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405"/>
        </w:trPr>
        <w:tc>
          <w:tcPr>
            <w:tcW w:w="8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203"/>
        </w:trPr>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229,645</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53,257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77,218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88,759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107,249</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49,588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62,172</w:t>
            </w: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64,567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109,087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64,433</w:t>
            </w:r>
          </w:p>
        </w:tc>
      </w:tr>
      <w:tr>
        <w:trPr>
          <w:trHeight w:val="405"/>
        </w:trPr>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178,351</w:t>
            </w:r>
          </w:p>
        </w:tc>
        <w:tc>
          <w:tcPr>
            <w:tcW w:w="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756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23,607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34,062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51,503</w:t>
            </w:r>
          </w:p>
        </w:tc>
        <w:tc>
          <w:tcPr>
            <w:tcW w:w="8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(7,703)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(724)</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4,845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46,472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4,812</w:t>
            </w:r>
          </w:p>
        </w:tc>
      </w:tr>
      <w:tr>
        <w:trPr>
          <w:trHeight w:val="608"/>
        </w:trPr>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134,404</w:t>
            </w:r>
          </w:p>
        </w:tc>
        <w:tc>
          <w:tcPr>
            <w:tcW w:w="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440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17,599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25,590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38,668</w:t>
            </w:r>
          </w:p>
        </w:tc>
        <w:tc>
          <w:tcPr>
            <w:tcW w:w="8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(5,931)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(721)</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3,663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34,760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3,635</w:t>
            </w:r>
          </w:p>
        </w:tc>
      </w:tr>
      <w:tr>
        <w:trPr>
          <w:trHeight w:val="405"/>
        </w:trPr>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678,941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80,830</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154,709</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(30,017)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122,680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(50,486)</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139,551</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(108,232)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45,878</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22,257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-992505</wp:posOffset>
            </wp:positionH>
            <wp:positionV relativeFrom="paragraph">
              <wp:posOffset>-2839085</wp:posOffset>
            </wp:positionV>
            <wp:extent cx="6995160"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-2581910</wp:posOffset>
            </wp:positionV>
            <wp:extent cx="6995160" cy="3860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386080"/>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-2067560</wp:posOffset>
            </wp:positionV>
            <wp:extent cx="6995160"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-1553210</wp:posOffset>
            </wp:positionV>
            <wp:extent cx="6995160"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-1296035</wp:posOffset>
            </wp:positionV>
            <wp:extent cx="6995160" cy="2571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-910590</wp:posOffset>
            </wp:positionV>
            <wp:extent cx="6995160" cy="2571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-267335</wp:posOffset>
            </wp:positionV>
            <wp:extent cx="6995160" cy="2571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1500" w:space="180"/>
            <w:col w:w="9400"/>
          </w:cols>
          <w:pgMar w:left="320" w:top="455"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80"/>
          </w:cols>
          <w:pgMar w:left="320" w:top="455" w:right="499" w:bottom="1440" w:gutter="0" w:footer="0" w:header="0"/>
          <w:type w:val="continuous"/>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The following table provides reconciliation of comparable sales to adjusted comparable sales for the periods presented:</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17"/>
        </w:trPr>
        <w:tc>
          <w:tcPr>
            <w:tcW w:w="1820" w:type="dxa"/>
            <w:vAlign w:val="bottom"/>
          </w:tcPr>
          <w:p>
            <w:pPr>
              <w:spacing w:after="0"/>
              <w:rPr>
                <w:sz w:val="10"/>
                <w:szCs w:val="10"/>
                <w:color w:val="auto"/>
              </w:rPr>
            </w:pPr>
          </w:p>
        </w:tc>
        <w:tc>
          <w:tcPr>
            <w:tcW w:w="88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72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00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12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92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78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6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12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94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4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240" w:type="dxa"/>
            <w:vAlign w:val="bottom"/>
          </w:tcPr>
          <w:p>
            <w:pPr>
              <w:spacing w:after="0"/>
              <w:rPr>
                <w:sz w:val="10"/>
                <w:szCs w:val="10"/>
                <w:color w:val="auto"/>
              </w:rPr>
            </w:pPr>
          </w:p>
        </w:tc>
      </w:tr>
      <w:tr>
        <w:trPr>
          <w:trHeight w:val="173"/>
        </w:trPr>
        <w:tc>
          <w:tcPr>
            <w:tcW w:w="18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CEEFF"/>
            </w:tcBorders>
          </w:tcPr>
          <w:p>
            <w:pPr>
              <w:spacing w:after="0"/>
              <w:rPr>
                <w:sz w:val="15"/>
                <w:szCs w:val="15"/>
                <w:color w:val="auto"/>
              </w:rPr>
            </w:pPr>
          </w:p>
        </w:tc>
      </w:tr>
      <w:tr>
        <w:trPr>
          <w:trHeight w:val="183"/>
        </w:trPr>
        <w:tc>
          <w:tcPr>
            <w:tcW w:w="18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Comparable sales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27.0%</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3.1%</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(5.6)%</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(2.8)%</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(6.0)%</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(0.9)%</w:t>
            </w: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Additional sales</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3"/>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associated</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with Houston Astros</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World</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Series appearances</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sales of a</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3"/>
        </w:trPr>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product</w:t>
            </w: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driven by free shipping</w:t>
            </w: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6"/>
        </w:trPr>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promotion</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Sales from the exited</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3"/>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product</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23"/>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categories</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0.4%</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0.4%</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comparable</w:t>
            </w: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6"/>
        </w:trPr>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sales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27.0%</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3.1%</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4.9%</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(2.9)%</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(5.2)%</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(0.6)%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(0.9)%</w:t>
            </w:r>
          </w:p>
        </w:tc>
      </w:tr>
      <w:tr>
        <w:trPr>
          <w:trHeight w:val="20"/>
        </w:trPr>
        <w:tc>
          <w:tcPr>
            <w:tcW w:w="1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provide reconciliation of net income (loss) to Adjusted EBITDA, Adjusted Net Income (Loss) and Pro Forma Adjusted Net Income (Loss) for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0"/>
                <w:szCs w:val="10"/>
                <w:color w:val="auto"/>
              </w:rPr>
            </w:pPr>
          </w:p>
        </w:tc>
        <w:tc>
          <w:tcPr>
            <w:tcW w:w="700" w:type="dxa"/>
            <w:vAlign w:val="bottom"/>
            <w:gridSpan w:val="2"/>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80" w:type="dxa"/>
            <w:vAlign w:val="bottom"/>
          </w:tcPr>
          <w:p>
            <w:pPr>
              <w:spacing w:after="0"/>
              <w:rPr>
                <w:sz w:val="10"/>
                <w:szCs w:val="10"/>
                <w:color w:val="auto"/>
              </w:rPr>
            </w:pPr>
          </w:p>
        </w:tc>
        <w:tc>
          <w:tcPr>
            <w:tcW w:w="72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8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8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00" w:type="dxa"/>
            <w:vAlign w:val="bottom"/>
          </w:tcPr>
          <w:p>
            <w:pPr>
              <w:spacing w:after="0"/>
              <w:rPr>
                <w:sz w:val="10"/>
                <w:szCs w:val="10"/>
                <w:color w:val="auto"/>
              </w:rPr>
            </w:pPr>
          </w:p>
        </w:tc>
        <w:tc>
          <w:tcPr>
            <w:tcW w:w="7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64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80" w:type="dxa"/>
            <w:vAlign w:val="bottom"/>
          </w:tcPr>
          <w:p>
            <w:pPr>
              <w:spacing w:after="0"/>
              <w:rPr>
                <w:sz w:val="10"/>
                <w:szCs w:val="10"/>
                <w:color w:val="auto"/>
              </w:rPr>
            </w:pPr>
          </w:p>
        </w:tc>
        <w:tc>
          <w:tcPr>
            <w:tcW w:w="840" w:type="dxa"/>
            <w:vAlign w:val="bottom"/>
            <w:gridSpan w:val="3"/>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80" w:type="dxa"/>
            <w:vAlign w:val="bottom"/>
          </w:tcPr>
          <w:p>
            <w:pPr>
              <w:spacing w:after="0"/>
              <w:rPr>
                <w:sz w:val="10"/>
                <w:szCs w:val="10"/>
                <w:color w:val="auto"/>
              </w:rPr>
            </w:pPr>
          </w:p>
        </w:tc>
        <w:tc>
          <w:tcPr>
            <w:tcW w:w="900" w:type="dxa"/>
            <w:vAlign w:val="bottom"/>
            <w:gridSpan w:val="3"/>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60" w:type="dxa"/>
            <w:vAlign w:val="bottom"/>
          </w:tcPr>
          <w:p>
            <w:pPr>
              <w:spacing w:after="0"/>
              <w:rPr>
                <w:sz w:val="10"/>
                <w:szCs w:val="10"/>
                <w:color w:val="auto"/>
              </w:rPr>
            </w:pPr>
          </w:p>
        </w:tc>
        <w:tc>
          <w:tcPr>
            <w:tcW w:w="6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80" w:type="dxa"/>
            <w:vAlign w:val="bottom"/>
          </w:tcPr>
          <w:p>
            <w:pPr>
              <w:spacing w:after="0"/>
              <w:rPr>
                <w:sz w:val="10"/>
                <w:szCs w:val="10"/>
                <w:color w:val="auto"/>
              </w:rPr>
            </w:pPr>
          </w:p>
        </w:tc>
        <w:tc>
          <w:tcPr>
            <w:tcW w:w="4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60" w:type="dxa"/>
            <w:vAlign w:val="bottom"/>
            <w:vMerge w:val="continue"/>
          </w:tcPr>
          <w:p>
            <w:pPr>
              <w:spacing w:after="0"/>
              <w:rPr>
                <w:sz w:val="15"/>
                <w:szCs w:val="15"/>
                <w:color w:val="auto"/>
              </w:rPr>
            </w:pPr>
          </w:p>
        </w:tc>
        <w:tc>
          <w:tcPr>
            <w:tcW w:w="66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6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$ 167,676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$(10,020)</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17,738</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28,552</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48,347</w:t>
            </w:r>
          </w:p>
        </w:tc>
        <w:tc>
          <w:tcPr>
            <w:tcW w:w="2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$ 25,406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(21,458)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1,773</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42,103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23,566</w:t>
            </w:r>
          </w:p>
        </w:tc>
        <w:tc>
          <w:tcPr>
            <w:tcW w:w="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24,522</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24,136</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24,585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25,549</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27,037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27,608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27,076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27,173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8"/>
              </w:rPr>
              <w:t>26,795</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1,005</w:t>
            </w:r>
          </w:p>
        </w:tc>
        <w:tc>
          <w:tcPr>
            <w:tcW w:w="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513</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903</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878</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amortization and impairment</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26,704</w:t>
            </w:r>
          </w:p>
        </w:tc>
        <w:tc>
          <w:tcPr>
            <w:tcW w:w="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27,447</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28,561</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29,596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29,313</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29,784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34,576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32,667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34,112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8"/>
              </w:rPr>
              <w:t>32,835</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Consulting fees</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2,952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Adviser monitoring fee</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939</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937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1,243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876</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on early extinguishment of debt, net</w:t>
            </w: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(7,831)</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(1,127)</w:t>
            </w: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(41,138)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Severance and executive transition costs</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3,909</w:t>
            </w:r>
          </w:p>
        </w:tc>
        <w:tc>
          <w:tcPr>
            <w:tcW w:w="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3,239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Costs related to the COVID-19 pandemic</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10,987</w:t>
            </w:r>
          </w:p>
        </w:tc>
        <w:tc>
          <w:tcPr>
            <w:tcW w:w="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6,645</w:t>
            </w:r>
          </w:p>
        </w:tc>
        <w:tc>
          <w:tcPr>
            <w:tcW w:w="14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Inventory write-down adjustments associated with</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18,225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strategic merchandising initiative</w:t>
            </w: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1,092</w:t>
            </w:r>
          </w:p>
        </w:tc>
        <w:tc>
          <w:tcPr>
            <w:tcW w:w="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837</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2,656</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2,112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(1,910)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613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2,866</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Adjusted EBITDA</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$ 229,645</w:t>
            </w:r>
          </w:p>
        </w:tc>
        <w:tc>
          <w:tcPr>
            <w:tcW w:w="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$ 53,257</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77,218</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88,759</w:t>
            </w:r>
          </w:p>
        </w:tc>
        <w:tc>
          <w:tcPr>
            <w:tcW w:w="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107,249</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$ 49,588</w:t>
            </w:r>
          </w:p>
        </w:tc>
        <w:tc>
          <w:tcPr>
            <w:tcW w:w="220" w:type="dxa"/>
            <w:vAlign w:val="bottom"/>
            <w:gridSpan w:val="2"/>
            <w:shd w:val="clear" w:color="auto" w:fill="CCEEFF"/>
          </w:tcPr>
          <w:p>
            <w:pPr>
              <w:jc w:val="right"/>
              <w:ind w:right="1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62,172</w:t>
            </w:r>
          </w:p>
        </w:tc>
        <w:tc>
          <w:tcPr>
            <w:tcW w:w="240" w:type="dxa"/>
            <w:vAlign w:val="bottom"/>
            <w:gridSpan w:val="2"/>
            <w:shd w:val="clear" w:color="auto" w:fill="CCEEFF"/>
          </w:tcPr>
          <w:p>
            <w:pPr>
              <w:jc w:val="right"/>
              <w:ind w:right="3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64,567</w:t>
            </w:r>
          </w:p>
        </w:tc>
        <w:tc>
          <w:tcPr>
            <w:tcW w:w="16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109,087</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8"/>
              </w:rPr>
              <w:t>64,433</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40"/>
          </w:cols>
          <w:pgMar w:left="320" w:top="455" w:right="4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0"/>
                <w:szCs w:val="10"/>
                <w:color w:val="auto"/>
              </w:rPr>
            </w:pPr>
          </w:p>
        </w:tc>
        <w:tc>
          <w:tcPr>
            <w:tcW w:w="74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80" w:type="dxa"/>
            <w:vAlign w:val="bottom"/>
          </w:tcPr>
          <w:p>
            <w:pPr>
              <w:spacing w:after="0"/>
              <w:rPr>
                <w:sz w:val="10"/>
                <w:szCs w:val="10"/>
                <w:color w:val="auto"/>
              </w:rPr>
            </w:pPr>
          </w:p>
        </w:tc>
        <w:tc>
          <w:tcPr>
            <w:tcW w:w="780" w:type="dxa"/>
            <w:vAlign w:val="bottom"/>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9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20" w:type="dxa"/>
            <w:vAlign w:val="bottom"/>
          </w:tcPr>
          <w:p>
            <w:pPr>
              <w:spacing w:after="0"/>
              <w:rPr>
                <w:sz w:val="10"/>
                <w:szCs w:val="10"/>
                <w:color w:val="auto"/>
              </w:rPr>
            </w:pPr>
          </w:p>
        </w:tc>
        <w:tc>
          <w:tcPr>
            <w:tcW w:w="8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660" w:type="dxa"/>
            <w:vAlign w:val="bottom"/>
            <w:gridSpan w:val="3"/>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0" w:type="dxa"/>
            <w:vAlign w:val="bottom"/>
          </w:tcPr>
          <w:p>
            <w:pPr>
              <w:spacing w:after="0"/>
              <w:rPr>
                <w:sz w:val="10"/>
                <w:szCs w:val="10"/>
                <w:color w:val="auto"/>
              </w:rPr>
            </w:pPr>
          </w:p>
        </w:tc>
        <w:tc>
          <w:tcPr>
            <w:tcW w:w="8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00" w:type="dxa"/>
            <w:vAlign w:val="bottom"/>
          </w:tcPr>
          <w:p>
            <w:pPr>
              <w:spacing w:after="0"/>
              <w:rPr>
                <w:sz w:val="10"/>
                <w:szCs w:val="10"/>
                <w:color w:val="auto"/>
              </w:rPr>
            </w:pP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100" w:type="dxa"/>
            <w:vAlign w:val="bottom"/>
          </w:tcPr>
          <w:p>
            <w:pPr>
              <w:spacing w:after="0"/>
              <w:rPr>
                <w:sz w:val="10"/>
                <w:szCs w:val="10"/>
                <w:color w:val="auto"/>
              </w:rPr>
            </w:pPr>
          </w:p>
        </w:tc>
        <w:tc>
          <w:tcPr>
            <w:tcW w:w="7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100" w:type="dxa"/>
            <w:vAlign w:val="bottom"/>
          </w:tcPr>
          <w:p>
            <w:pPr>
              <w:spacing w:after="0"/>
              <w:rPr>
                <w:sz w:val="10"/>
                <w:szCs w:val="10"/>
                <w:color w:val="auto"/>
              </w:rPr>
            </w:pPr>
          </w:p>
        </w:tc>
        <w:tc>
          <w:tcPr>
            <w:tcW w:w="4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00" w:type="dxa"/>
            <w:vAlign w:val="bottom"/>
            <w:vMerge w:val="continue"/>
          </w:tcPr>
          <w:p>
            <w:pPr>
              <w:spacing w:after="0"/>
              <w:rPr>
                <w:sz w:val="15"/>
                <w:szCs w:val="15"/>
                <w:color w:val="auto"/>
              </w:rPr>
            </w:pPr>
          </w:p>
        </w:tc>
        <w:tc>
          <w:tcPr>
            <w:tcW w:w="70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$ 167,676</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(10,020)</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17,738</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28,552</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48,347</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25,406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(21,458)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42,103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Consulting fees</w:t>
            </w:r>
          </w:p>
        </w:tc>
        <w:tc>
          <w:tcPr>
            <w:tcW w:w="8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2,952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Adviser monitoring fee</w:t>
            </w:r>
          </w:p>
        </w:tc>
        <w:tc>
          <w:tcPr>
            <w:tcW w:w="8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939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937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861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8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1,243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876</w:t>
            </w: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Gain on early extinguishment of debt,</w:t>
            </w: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(7,831)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(1,127)</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6"/>
              </w:rPr>
              <w:t>(41,138)</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w:t>
            </w:r>
          </w:p>
        </w:tc>
        <w:tc>
          <w:tcPr>
            <w:tcW w:w="8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Severance and executive transition</w:t>
            </w: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3,909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228</w:t>
            </w:r>
          </w:p>
        </w:tc>
        <w:tc>
          <w:tcPr>
            <w:tcW w:w="140" w:type="dxa"/>
            <w:vAlign w:val="bottom"/>
          </w:tcPr>
          <w:p>
            <w:pPr>
              <w:spacing w:after="0"/>
              <w:rPr>
                <w:sz w:val="10"/>
                <w:szCs w:val="10"/>
                <w:color w:val="auto"/>
              </w:rPr>
            </w:pP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192</w:t>
            </w:r>
          </w:p>
        </w:tc>
        <w:tc>
          <w:tcPr>
            <w:tcW w:w="16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1,237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3,239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costs</w:t>
            </w:r>
          </w:p>
        </w:tc>
        <w:tc>
          <w:tcPr>
            <w:tcW w:w="8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Costs related to the COVID-19</w:t>
            </w: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10,987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6,645</w:t>
            </w: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pandemic</w:t>
            </w:r>
          </w:p>
        </w:tc>
        <w:tc>
          <w:tcPr>
            <w:tcW w:w="8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Inventory write-down adjustments</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associated with strategic</w:t>
            </w:r>
          </w:p>
        </w:tc>
        <w:tc>
          <w:tcPr>
            <w:tcW w:w="120" w:type="dxa"/>
            <w:vAlign w:val="bottom"/>
          </w:tcPr>
          <w:p>
            <w:pPr>
              <w:spacing w:after="0"/>
              <w:rPr>
                <w:sz w:val="12"/>
                <w:szCs w:val="12"/>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18,225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merchandising initiative</w:t>
            </w: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837</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2,656</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1,704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2,112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775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2,866</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effects of these adjustments</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Adjusted Net Income (Loss)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178,351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23,607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34,062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51,503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(7,703)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46,472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4,812</w:t>
            </w: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Estimated tax effect of change to</w:t>
            </w:r>
          </w:p>
        </w:tc>
        <w:tc>
          <w:tcPr>
            <w:tcW w:w="120" w:type="dxa"/>
            <w:vAlign w:val="bottom"/>
            <w:vMerge w:val="restart"/>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(43,947)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(316)</w:t>
            </w:r>
          </w:p>
        </w:tc>
        <w:tc>
          <w:tcPr>
            <w:tcW w:w="14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(6,008)</w:t>
            </w:r>
          </w:p>
        </w:tc>
        <w:tc>
          <w:tcPr>
            <w:tcW w:w="16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(8,472)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(12,835)</w:t>
            </w:r>
          </w:p>
        </w:tc>
        <w:tc>
          <w:tcPr>
            <w:tcW w:w="80" w:type="dxa"/>
            <w:vAlign w:val="bottom"/>
          </w:tcPr>
          <w:p>
            <w:pPr>
              <w:spacing w:after="0"/>
              <w:rPr>
                <w:sz w:val="10"/>
                <w:szCs w:val="10"/>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1,772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(11,712)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7"/>
              </w:rPr>
              <w:t>(1,177)</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C-Corporation status</w:t>
            </w:r>
          </w:p>
        </w:tc>
        <w:tc>
          <w:tcPr>
            <w:tcW w:w="1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 Forma Adjusted Net Income</w:t>
            </w: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$ 134,404</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440</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17,599</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25,590</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38,668</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(5,931)</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(721)</w:t>
            </w:r>
          </w:p>
        </w:tc>
        <w:tc>
          <w:tcPr>
            <w:tcW w:w="2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3,663</w:t>
            </w:r>
          </w:p>
        </w:tc>
        <w:tc>
          <w:tcPr>
            <w:tcW w:w="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34,760</w:t>
            </w:r>
          </w:p>
        </w:tc>
        <w:tc>
          <w:tcPr>
            <w:tcW w:w="1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3,635</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860" w:type="dxa"/>
            <w:vAlign w:val="bottom"/>
            <w:gridSpan w:val="3"/>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0"/>
                <w:szCs w:val="10"/>
                <w:color w:val="auto"/>
              </w:rPr>
            </w:pPr>
          </w:p>
        </w:tc>
        <w:tc>
          <w:tcPr>
            <w:tcW w:w="74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80" w:type="dxa"/>
            <w:vAlign w:val="bottom"/>
          </w:tcPr>
          <w:p>
            <w:pPr>
              <w:spacing w:after="0"/>
              <w:rPr>
                <w:sz w:val="10"/>
                <w:szCs w:val="10"/>
                <w:color w:val="auto"/>
              </w:rPr>
            </w:pP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80" w:type="dxa"/>
            <w:vAlign w:val="bottom"/>
          </w:tcPr>
          <w:p>
            <w:pPr>
              <w:spacing w:after="0"/>
              <w:rPr>
                <w:sz w:val="10"/>
                <w:szCs w:val="10"/>
                <w:color w:val="auto"/>
              </w:rPr>
            </w:pPr>
          </w:p>
        </w:tc>
        <w:tc>
          <w:tcPr>
            <w:tcW w:w="7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80" w:type="dxa"/>
            <w:vAlign w:val="bottom"/>
          </w:tcPr>
          <w:p>
            <w:pPr>
              <w:spacing w:after="0"/>
              <w:rPr>
                <w:sz w:val="10"/>
                <w:szCs w:val="10"/>
                <w:color w:val="auto"/>
              </w:rPr>
            </w:pPr>
          </w:p>
        </w:tc>
        <w:tc>
          <w:tcPr>
            <w:tcW w:w="7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80" w:type="dxa"/>
            <w:vAlign w:val="bottom"/>
          </w:tcPr>
          <w:p>
            <w:pPr>
              <w:spacing w:after="0"/>
              <w:rPr>
                <w:sz w:val="10"/>
                <w:szCs w:val="10"/>
                <w:color w:val="auto"/>
              </w:rPr>
            </w:pP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9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80" w:type="dxa"/>
            <w:vAlign w:val="bottom"/>
          </w:tcPr>
          <w:p>
            <w:pPr>
              <w:spacing w:after="0"/>
              <w:rPr>
                <w:sz w:val="10"/>
                <w:szCs w:val="10"/>
                <w:color w:val="auto"/>
              </w:rPr>
            </w:pPr>
          </w:p>
        </w:tc>
        <w:tc>
          <w:tcPr>
            <w:tcW w:w="80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580" w:type="dxa"/>
            <w:vAlign w:val="bottom"/>
          </w:tcPr>
          <w:p>
            <w:pPr>
              <w:jc w:val="right"/>
              <w:ind w:right="4"/>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40" w:type="dxa"/>
            <w:vAlign w:val="bottom"/>
            <w:vMerge w:val="continue"/>
          </w:tcPr>
          <w:p>
            <w:pPr>
              <w:spacing w:after="0"/>
              <w:rPr>
                <w:sz w:val="15"/>
                <w:szCs w:val="15"/>
                <w:color w:val="auto"/>
              </w:rPr>
            </w:pPr>
          </w:p>
        </w:tc>
        <w:tc>
          <w:tcPr>
            <w:tcW w:w="740" w:type="dxa"/>
            <w:vAlign w:val="bottom"/>
            <w:gridSpan w:val="2"/>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60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68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660" w:type="dxa"/>
            <w:vAlign w:val="bottom"/>
            <w:gridSpan w:val="2"/>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68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58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4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cash provided by (used in)</w:t>
            </w:r>
          </w:p>
        </w:tc>
        <w:tc>
          <w:tcPr>
            <w:tcW w:w="1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activities</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$682,865</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$90,756</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(9,205)</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$138,564</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$(34,603)</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(83,563)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$ 73,127</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$ 41,329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(3,924)</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(9,926)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(14,204)</w:t>
            </w: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(20,812)</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(15,884)</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(15,883)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(28,037)</w:t>
            </w:r>
          </w:p>
        </w:tc>
        <w:tc>
          <w:tcPr>
            <w:tcW w:w="1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(24,669)</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(27,249)</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(19,072)</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Free Cash Flow</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678,941</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80,830</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154,709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(30,017)</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122,680</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(50,486)</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139,551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(108,232)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$ 45,878</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$ 22,257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55" w:right="4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Historically, our principal sources of cash have included cash generated from operating activities and borrowings under our Term Loan Facility and ABL Facility. Our historical uses of cash have been primarily to fund operating activities, such as the purchase and growth of inventory, expansion of our sales and marketing activities and other working capital needs; for capital improvements and support of expansion plans, as well as various investments in store renovations, store fixtures and on-going infrastructure improvements; to pay our debt obligations and related interest expense; and associated with fluctuations in working capital due to timing differences of cash receipts and cash disbursements.</w:t>
      </w:r>
    </w:p>
    <w:p>
      <w:pPr>
        <w:spacing w:after="0" w:line="183"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We are focused on navigating the challenges presented by COVID-19 through the preservation of our liquidity and management of cash flow through preemptive actions to enhance our ability to meet our short-term liquidity needs. We have taken various cost cutting measures to maximize operational cash flows. Such actions include, but are not limited to, reduction of discretionary spending, deferring or cancelling our planned expenses, revisiting and reprioritizing our strategic investments, and reducing our payroll costs, including temporary team member furloughs and pay cuts.</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of August 1, 2020, our cash and cash equivalents totaled $884.0 million. On August 28, 2020, we paid a $257.0 million one-time special distribution to our unitholders of record as of August 25, 2020, $248.0 million of which was paid with cash on hand and the remainder of which was distributed through an offset of outstanding loans receivable from certain unitholders as well as state income tax withholdings made on behalf of our unitholders. We expect to use existing cash balances, internally generated cash flows and available borrowings under our ABL Facility to fund anticipated capital expenditures, working capital needs and scheduled debt service costs and maturities over at least the next twelve months. The ABL Facility provides for these financing needs and other general corporate purposes, as well as to support certain letters of credit requirements. We may continue to use the ABL Facility to repay debt under the Term Loan Facility. Availability under the ABL Facility is subject to customary asset-backed loan borrowing base and availability provisions. Amounts outstanding under the ABL Facility may fluctuate materially during each quarter mainly due to cash flow from operations, normal changes in working capital, capital expenditures and debt service costs. Our availability under the ABL Facility during the peak borrowing days of 2019 and first quarter 2020 was ample to support our operations and service our requirements.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Liquidity information related to our ABL Facility is as follows as of and for the periods shown (in thousands, except days):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4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40" w:type="dxa"/>
            <w:vAlign w:val="bottom"/>
          </w:tcPr>
          <w:p>
            <w:pPr>
              <w:spacing w:after="0"/>
              <w:rPr>
                <w:sz w:val="10"/>
                <w:szCs w:val="10"/>
                <w:color w:val="auto"/>
              </w:rPr>
            </w:pPr>
          </w:p>
        </w:tc>
      </w:tr>
      <w:tr>
        <w:trPr>
          <w:trHeight w:val="173"/>
        </w:trPr>
        <w:tc>
          <w:tcPr>
            <w:tcW w:w="6440" w:type="dxa"/>
            <w:vAlign w:val="bottom"/>
          </w:tcPr>
          <w:p>
            <w:pPr>
              <w:spacing w:after="0"/>
              <w:rPr>
                <w:sz w:val="15"/>
                <w:szCs w:val="15"/>
                <w:color w:val="auto"/>
              </w:rPr>
            </w:pPr>
          </w:p>
        </w:tc>
        <w:tc>
          <w:tcPr>
            <w:tcW w:w="680" w:type="dxa"/>
            <w:vAlign w:val="bottom"/>
            <w:gridSpan w:val="2"/>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5"/>
                <w:szCs w:val="15"/>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funds drawn</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$253,297</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Number of days with outstanding balance</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daily amount outstanding</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$500,000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147,100</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Minimum available borrowing capacity</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161,089</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796,550</w:t>
            </w:r>
          </w:p>
        </w:tc>
      </w:tr>
      <w:tr>
        <w:trPr>
          <w:trHeight w:val="20"/>
        </w:trPr>
        <w:tc>
          <w:tcPr>
            <w:tcW w:w="6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6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40" w:type="dxa"/>
            <w:vAlign w:val="bottom"/>
            <w:gridSpan w:val="3"/>
          </w:tcPr>
          <w:p>
            <w:pPr>
              <w:ind w:left="5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520" w:type="dxa"/>
            <w:vAlign w:val="bottom"/>
          </w:tcPr>
          <w:p>
            <w:pPr>
              <w:spacing w:after="0"/>
              <w:rPr>
                <w:sz w:val="10"/>
                <w:szCs w:val="10"/>
                <w:color w:val="auto"/>
              </w:rPr>
            </w:pPr>
          </w:p>
        </w:tc>
        <w:tc>
          <w:tcPr>
            <w:tcW w:w="6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20" w:type="dxa"/>
            <w:vAlign w:val="bottom"/>
            <w:tcBorders>
              <w:bottom w:val="single" w:sz="8" w:color="CCEEFF"/>
            </w:tcBorders>
          </w:tcPr>
          <w:p>
            <w:pPr>
              <w:spacing w:after="0"/>
              <w:rPr>
                <w:sz w:val="15"/>
                <w:szCs w:val="15"/>
                <w:color w:val="auto"/>
              </w:rPr>
            </w:pPr>
          </w:p>
        </w:tc>
        <w:tc>
          <w:tcPr>
            <w:tcW w:w="27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borrowings</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Issued letters of credit</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19,927</w:t>
            </w: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borrowing capacity</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694,110</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827,404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923,956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76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5" w:right="59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expect capital expenditures for 2020 to be approximately $50.0 million. Approximately 65% of our planned cash outflow relate to investments in our corporate, e-commerce and information technology programs. Investments in existing stores and distribution centers is expected to account for approximately 30% of the planned cash outflow and the remaining 5% is expected to be utilized through investments in store remodels. We review forecasted capital expenditures throughout the year and will adjust or modify projects based on business conditions at that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Twenty-Six Weeks Ended August 1, 2020 and August 3, 2019</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unaudited statements of cash flows for the periods shown are summarized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6"/>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6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top w:val="single" w:sz="8" w:color="auto"/>
            </w:tcBorders>
            <w:gridSpan w:val="3"/>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r>
      <w:tr>
        <w:trPr>
          <w:trHeight w:val="173"/>
        </w:trPr>
        <w:tc>
          <w:tcPr>
            <w:tcW w:w="636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$773,621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$103,961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(13,850)</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(31,767)</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(25,127)</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(95,795)</w:t>
            </w:r>
          </w:p>
        </w:tc>
      </w:tr>
      <w:tr>
        <w:trPr>
          <w:trHeight w:val="223"/>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734,644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(23,601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Operating Activities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cash provided by operating activities consists primarily of net income adjusted for non-cash items,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depreciation and amortization, non-cash lease expense, stock based compensation, amortization of deferred loan and other costs, non-cash gain on early retirement of debt, net, and changes in assets and liabilities. Cash flows from operating activities are seasonal in our business. Typically, cash flows from operations are used to build inventory in advance of peak selling seasons, with the fourth quarter pre-holiday season inventory increase being the most significant.</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in the first half 2020 increased $669.7 million, compared to the first half 2019. This increase in cash is attributable to a $544.3 million net increase in cash flows provided by operating assets and liabilities, $83.9 million increase in net income and a $41.5 million increase in non-cash charges. The increase in cash flows from operating assets and liabilities for the first half 2020 compared to the first half 2019 was primarily attributable to a $270.3 million decrease in merchandise inventories, net, due to inventory reductions from high sell-through in the first half 2020, coupled with an increase in inventory during the first half 2019, $259.6 million increase in accounts payable related to an increased inventory receipts during the first half 2020 and extensions of vendor payment terms and a $12.3 million increase in other long-term liabilities related to deferred payroll tax accruals. The increase from non-cash charges was primarily caused by a $34.4 million decrease in non-cash gains on the early retirement of debt, net resulting from lower first half 2020 principal repurchases of portions of our Term Loan Facility and a $12.6 million increase in non-cash lease expense due to timing of August rent payments and 40 lease extensions executed during the first half 2020.</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Investing Activities. </w:t>
      </w:r>
      <w:r>
        <w:rPr>
          <w:rFonts w:ascii="Times New Roman" w:cs="Times New Roman" w:eastAsia="Times New Roman" w:hAnsi="Times New Roman"/>
          <w:sz w:val="18"/>
          <w:szCs w:val="18"/>
          <w:color w:val="auto"/>
        </w:rPr>
        <w:t>The following table shows the amounts of capital expenditures for each period indicated (in thousands):</w:t>
      </w:r>
    </w:p>
    <w:p>
      <w:pPr>
        <w:spacing w:after="0" w:line="250"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Twenty-Six Weeks</w:t>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Ended</w:t>
      </w:r>
    </w:p>
    <w:tbl>
      <w:tblPr>
        <w:tblLayout w:type="fixed"/>
        <w:tblInd w:w="1440" w:type="dxa"/>
        <w:tblCellMar>
          <w:top w:w="0" w:type="dxa"/>
          <w:left w:w="0" w:type="dxa"/>
          <w:bottom w:w="0" w:type="dxa"/>
          <w:right w:w="0" w:type="dxa"/>
        </w:tblCellMar>
      </w:tblPr>
      <w:tr>
        <w:trPr>
          <w:trHeight w:val="117"/>
        </w:trPr>
        <w:tc>
          <w:tcPr>
            <w:tcW w:w="40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220"/>
              <w:spacing w:after="0" w:line="117"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60" w:type="dxa"/>
            <w:vAlign w:val="bottom"/>
          </w:tcPr>
          <w:p>
            <w:pPr>
              <w:spacing w:after="0"/>
              <w:rPr>
                <w:sz w:val="10"/>
                <w:szCs w:val="10"/>
                <w:color w:val="auto"/>
              </w:rPr>
            </w:pPr>
          </w:p>
        </w:tc>
      </w:tr>
      <w:tr>
        <w:trPr>
          <w:trHeight w:val="173"/>
        </w:trPr>
        <w:tc>
          <w:tcPr>
            <w:tcW w:w="4040" w:type="dxa"/>
            <w:vAlign w:val="bottom"/>
          </w:tcPr>
          <w:p>
            <w:pPr>
              <w:spacing w:after="0"/>
              <w:rPr>
                <w:sz w:val="15"/>
                <w:szCs w:val="15"/>
                <w:color w:val="auto"/>
              </w:rPr>
            </w:pPr>
          </w:p>
        </w:tc>
        <w:tc>
          <w:tcPr>
            <w:tcW w:w="3160" w:type="dxa"/>
            <w:vAlign w:val="bottom"/>
            <w:gridSpan w:val="2"/>
          </w:tcPr>
          <w:p>
            <w:pPr>
              <w:jc w:val="center"/>
              <w:ind w:left="248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Pr>
          <w:p>
            <w:pPr>
              <w:spacing w:after="0"/>
              <w:rPr>
                <w:sz w:val="15"/>
                <w:szCs w:val="15"/>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13,850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$ 27,802</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decreased $17.9 million in the first half 2020 compared to the first half 2019. The decrease in cash used in investing activities is primarily due to an issuance of a $4.0 million note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receivable to a member in the first half 2019 and $14.0 million less capital expenditures due to a planned overall reduction in the first half 2020 led by a reduction in new stores and store remodeling.</w:t>
      </w:r>
    </w:p>
    <w:p>
      <w:pPr>
        <w:spacing w:after="0" w:line="158"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Financing Activities. </w:t>
      </w:r>
      <w:r>
        <w:rPr>
          <w:rFonts w:ascii="Times New Roman" w:cs="Times New Roman" w:eastAsia="Times New Roman" w:hAnsi="Times New Roman"/>
          <w:sz w:val="18"/>
          <w:szCs w:val="18"/>
          <w:color w:val="auto"/>
        </w:rPr>
        <w:t>Cash used in financing activities increased $70.7 million in the first half 2020, compared to the first half 2019. The primary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drivers of the decrease were a $88.6 million decrease in cash outflows related to lower current first half 2020 principal repurchases of portions of our Term Loan Facility and $17.9 million decreased net proceeds from our ABL Facility.</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2019, 2018 and 2017:</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consolidated statements of cash flows for the periods shown are summarized as follows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440" w:type="dxa"/>
            <w:vAlign w:val="bottom"/>
            <w:gridSpan w:val="4"/>
          </w:tcPr>
          <w:p>
            <w:pPr>
              <w:ind w:left="3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80" w:type="dxa"/>
            <w:vAlign w:val="bottom"/>
          </w:tcPr>
          <w:p>
            <w:pPr>
              <w:spacing w:after="0"/>
              <w:rPr>
                <w:sz w:val="10"/>
                <w:szCs w:val="10"/>
                <w:color w:val="auto"/>
              </w:rPr>
            </w:pPr>
          </w:p>
        </w:tc>
        <w:tc>
          <w:tcPr>
            <w:tcW w:w="7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20" w:type="dxa"/>
            <w:vAlign w:val="bottom"/>
          </w:tcPr>
          <w:p>
            <w:pPr>
              <w:spacing w:after="0"/>
              <w:rPr>
                <w:sz w:val="10"/>
                <w:szCs w:val="10"/>
                <w:color w:val="auto"/>
              </w:rPr>
            </w:pPr>
          </w:p>
        </w:tc>
      </w:tr>
      <w:tr>
        <w:trPr>
          <w:trHeight w:val="173"/>
        </w:trPr>
        <w:tc>
          <w:tcPr>
            <w:tcW w:w="5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263,669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198,481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83,355</w:t>
            </w: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(66,783)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(99,027)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(115,901)</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(123,192)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(54,808)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20" w:type="dxa"/>
            <w:vAlign w:val="bottom"/>
            <w:shd w:val="clear" w:color="auto" w:fill="CCEEFF"/>
          </w:tcPr>
          <w:p>
            <w:pPr>
              <w:spacing w:after="0"/>
              <w:rPr>
                <w:sz w:val="18"/>
                <w:szCs w:val="18"/>
                <w:color w:val="auto"/>
              </w:rPr>
            </w:pPr>
          </w:p>
        </w:tc>
      </w:tr>
      <w:tr>
        <w:trPr>
          <w:trHeight w:val="223"/>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Operating Activities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provided by operating activities for 2019 increased $65.2 million compared to 2018. This increase is attributable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$98.6 million increase in net income and a $16.9 million net increase in cash flows provided by operating assets and liabilities, partially offset by a $50.3 million net decrease in non-cash charges. The increase in cash flows from operating assets and liabilities for 2019 compared to 2018 was primarily attributable to a $67.1 million increase in cash flows provided by accounts payable related to timing of purchases from our prior year efforts to increase in-stock positions for early 2018, partially offset by a related $54.9 million decrease in cash flows provided by merchandise inventories. The decrease from non-cash charges was primarily caused by a $42.3 million net gain on the early retirement of debt from the repurchase of a portion of the Term Loan Facility in 2019.</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in 2018 increased $115.1 million compared to 2017. This increase is attributable to a $148.7 million increase in cash flows provided by operating assets and liabilities and a $3.5 million increase in non-cash charges, partially offset by a $37.1 million decrease in net income. The increase in cash flows from operating assets and liabilities for 2018 compared to 2017 was primarily attributable to a $221.9 million decrease in merchandise inventories related to our prior year efforts to increase in-stock positions and investments in certain product categories, coupled with fewer new store openings in 2018 compared to 2017, partially offset by a $77.0 million related decrease in accounts payable.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Investing Activities. </w:t>
      </w:r>
      <w:r>
        <w:rPr>
          <w:rFonts w:ascii="Times New Roman" w:cs="Times New Roman" w:eastAsia="Times New Roman" w:hAnsi="Times New Roman"/>
          <w:sz w:val="18"/>
          <w:szCs w:val="18"/>
          <w:color w:val="auto"/>
        </w:rPr>
        <w:t>The following table shows the amounts of capital expenditures for each period indicated (in thousands):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36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74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700" w:type="dxa"/>
            <w:vAlign w:val="bottom"/>
            <w:gridSpan w:val="3"/>
          </w:tcPr>
          <w:p>
            <w:pPr>
              <w:jc w:val="center"/>
              <w:ind w:left="11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940" w:type="dxa"/>
            <w:vAlign w:val="bottom"/>
            <w:gridSpan w:val="2"/>
          </w:tcPr>
          <w:p>
            <w:pPr>
              <w:jc w:val="center"/>
              <w:ind w:left="131"/>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0" w:type="dxa"/>
            <w:vAlign w:val="bottom"/>
          </w:tcPr>
          <w:p>
            <w:pPr>
              <w:spacing w:after="0"/>
              <w:rPr>
                <w:sz w:val="10"/>
                <w:szCs w:val="10"/>
                <w:color w:val="auto"/>
              </w:rPr>
            </w:pPr>
          </w:p>
        </w:tc>
      </w:tr>
      <w:tr>
        <w:trPr>
          <w:trHeight w:val="173"/>
        </w:trPr>
        <w:tc>
          <w:tcPr>
            <w:tcW w:w="3660" w:type="dxa"/>
            <w:vAlign w:val="bottom"/>
          </w:tcPr>
          <w:p>
            <w:pPr>
              <w:spacing w:after="0"/>
              <w:rPr>
                <w:sz w:val="15"/>
                <w:szCs w:val="15"/>
                <w:color w:val="auto"/>
              </w:rPr>
            </w:pPr>
          </w:p>
        </w:tc>
        <w:tc>
          <w:tcPr>
            <w:tcW w:w="2900" w:type="dxa"/>
            <w:vAlign w:val="bottom"/>
            <w:gridSpan w:val="2"/>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5"/>
                <w:szCs w:val="15"/>
                <w:color w:val="auto"/>
              </w:rPr>
            </w:pPr>
          </w:p>
        </w:tc>
        <w:tc>
          <w:tcPr>
            <w:tcW w:w="940" w:type="dxa"/>
            <w:vAlign w:val="bottom"/>
            <w:gridSpan w:val="2"/>
          </w:tcPr>
          <w:p>
            <w:pPr>
              <w:jc w:val="center"/>
              <w:ind w:left="1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62,818</w:t>
            </w:r>
          </w:p>
        </w:tc>
        <w:tc>
          <w:tcPr>
            <w:tcW w:w="5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$ 107,905</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$ 132,126</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decreased $32.2 million in 2019 compared to 2018. The decrease in cash used in investing activities is primarily related to a $45.1 million decrease in capital expenditures related to decreasing store renovation expenditures, resulting from a combination of fewer renovations and reduced costs, fewer distribution center projects, lower costs associated with e-commerce enhancements related to BOPIS implementation and other website design costs, and fewer new store openings in 2019, partially offset by a $10.4 million decrease in proceeds received from sales of property and equipment in 2019.</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decreased $16.9 million in 2018 compared to 2017. The decrease in cash used in investing activities is primarily related to a $24.2 million decrease in capital expenditures primarily related to fewer new store openings and store renovations in 2018, partially offset by a $5.6 million decrease in proceeds received from the sale of property and equipment due to a decrease in reverse build-to-suit transactions in 2018 and an issuance of a $4.1 million note receivable to a member during the first quarter 2018.</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Financing Activities. </w:t>
      </w:r>
      <w:r>
        <w:rPr>
          <w:rFonts w:ascii="Times New Roman" w:cs="Times New Roman" w:eastAsia="Times New Roman" w:hAnsi="Times New Roman"/>
          <w:sz w:val="18"/>
          <w:szCs w:val="18"/>
          <w:color w:val="auto"/>
        </w:rPr>
        <w:t>Cash used in financing activities increased $68.4 million in 2019 compared to 2018 primarily due to a $104.6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cash outflow related to the early retirement of a portion of the Term Loan Facility in 2019, partially offset by a $35.0 million increase in net cash inflow related to the ABL Facility from higher net repayments in 2018. Cash provided by financing activities decreased $63.3 million in 2018 compared to 2017 primarily due to a $70.0 million decrease in net proceeds from the ABL Facility resulting from fewer inventory purchases, a</w:t>
      </w:r>
    </w:p>
    <w:p>
      <w:pPr>
        <w:spacing w:after="0" w:line="3"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$10.4 million decrease in construction allowance receipts related to reverse build-to-suit transactions for new stores completed in 2017 and $2.8 million in debt issuance fees related to the ABL Facility in 2017, partially offset by a $19.7 million decrease due to the early retirement on a small portion of our Term Loan Facility of $19.7 million in 2017.</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Management evaluated the development and selection of our critical accounting policies and estimates and believes that the following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most significant estimates and assumptions that materially affect the financial statements involve difficult, subjective or complex judgments by management. Given the global economic climate and additional unforeseen effects from the COVID-19 pandemic, these estimates are becoming more challenging, and actual results could differ materially from our estimates. More information on all of our significant accounting policies can be found in Note 2,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to our audited consolidated financial statements included elsewhere in this prospectus.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Merchandise Inventories, net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Merchandise inventories are valued at the lower of weighted average cost or net realizable value using the last-in first-out, or LIFO, method. Merchandise inventories include the direct cost of merchandise and capitalized costs related to procurement, warehousing and distribution and are reflected net of shrinkage, vendor allowances and other valuation accounts. We regularly review inventories and record a valuation adjustment when necessary such as for inventory that has a carrying value in excess of the net realizable value or for slow moving or obsolete inventory. As of February 1, 2020 and February 2, 2019, merchandise inventories valued at LIFO, including necessary valuation adjustments, approximated the cost of such inventories using the weighted average inventory method. The application of the LIFO inventory method did not result in any LIFO charges or credits affecting cost of sales in 2019, 2018 or 2017.</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We review the carrying value of long-lived assets, including property and equipment and finite-lived intangible assets, for indicators of impairment whenever events and circumstances indicate that the carrying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value of an asset may not be recoverable. Recoverability of long-lived assets is measured by a comparison of the carrying amount of the assets to the estimated undiscounted future cash flows expected to be generated by the use of the assets. If such assets are impaired, the impairment loss recognized is the amount by which the carrying amount of the assets exceeds its estimated fair value, which is typically calculated using discounted expected future cash flows. As a result of our assessment, we did not record an impairment of long-lived store assets in 2019. In 2018 and 2017, we impaired</w:t>
      </w:r>
    </w:p>
    <w:p>
      <w:pPr>
        <w:spacing w:after="0" w:line="3"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$1.4 million and $2.5 million, respectively, of long-lived store assets. These charges are included in SG&amp;A expenses on the consolidated statements of income. See Note 6</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xml:space="preserve"> to our audited consolidated financial statements included elsewhere in this prospectus.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business over the amounts assigned to assets acquired and liabilities assumed in a business combination. Goodwill is tested for impairment annually at the last day of our eleventh fiscal month, or more frequently if events or circumstances indicate that the carrying value of goodwill may not be recoverable. We test for goodwill at the reporting unit level, which is the operating segment level. We operate in one segment with one reporting unit.</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future income, and the market value approach is based on earnings multiples for a comparable set of public companies.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These approaches use key input assumptions such as our projected future operating results, the discount rate, the weighting for each valuation approach and the comparable set of companies. A history of declining trends in our operating results such as comparable sales, gross margin, net income and cash flow from operations could impact these assumptions and serve as indicators of future impairment. There is significant judgment used in determining these assumptions and variability in the assumptions could cause us to reach a different conclusion on impairment.</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2019, 2018 and 2017, we performed a quantitative assessment for the determination of impairment. Based on the results of these quantitative assessments, no impairment of goodwill existed for 2019, 2018 or 2017. As of February 1, 2020, we did not have a significant risk for goodwill impairment.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Intangible assets consist of the trade name of “Academy Sports + Outdoors”, or the Trade Name, and our favorable leases. The favorable leases are accounted for as finite-lived assets and are amortized over their estimated useful economic lives. With the adoption of ASU 2016-02, “Leases (Topic 842)” and a series of related Accounting Standards Updates that followed, or collectively, the New Lease Standard, on February 3, 2019, the balance of the favorable lease rights, net was netted into the right-of-use assets on the balance sheet. See Note 14,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our audited consolidated financial statements included elsewhere in this prospectus. The Trade Name is expected to generate cash flows indefinitely and, therefore, is accounted for as an indefinite-lived asset not subject to amortization.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Trade Name is tested for impairment annually at the last day of our eleventh fiscal month, or whenever events or circumstances indicate that the carrying amount of the Trade Name may not be recoverable. 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revenues over the expected remaining life of the intangible assets to estimate the royalty savings. This approach is dependent on a number of factors, including estimates of future growth and trends, royalty rates, discount rates and other variables. The results of the 2019, 2018 and 2017 annual impairment tests indicated that the fair value of the Trade Name was in excess of its carrying value and no impairments existed. As of February 1, 2020, we did not have a significant risk for intangible asset impairment.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and disclose key information about leasing arrangements.</w:t>
      </w:r>
    </w:p>
    <w:p>
      <w:pPr>
        <w:spacing w:after="0" w:line="16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elected the practical expedient available to us under ASU 2018-11, “</w:t>
      </w:r>
      <w:r>
        <w:rPr>
          <w:rFonts w:ascii="Times New Roman" w:cs="Times New Roman" w:eastAsia="Times New Roman" w:hAnsi="Times New Roman"/>
          <w:sz w:val="18"/>
          <w:szCs w:val="18"/>
          <w:i w:val="1"/>
          <w:iCs w:val="1"/>
          <w:color w:val="auto"/>
        </w:rPr>
        <w:t>Leases: Targeted Improvements”</w:t>
      </w:r>
      <w:r>
        <w:rPr>
          <w:rFonts w:ascii="Times New Roman" w:cs="Times New Roman" w:eastAsia="Times New Roman" w:hAnsi="Times New Roman"/>
          <w:sz w:val="18"/>
          <w:szCs w:val="18"/>
          <w:color w:val="auto"/>
        </w:rPr>
        <w:t xml:space="preserve">, which allows us to apply the transition provision for the New Lease Standard at our adoption date instead of at the earliest comparative period presented in our financial statements. Adoption of the New Lease Standard resulted in approximately $1.2 billion of additional lease obligations and approximately $1.2 billion of right-of-use assets, which are reflected in the short-term and long-term liabilities and long-term assets sections of the balance sheet, respectively, as well as an cumulative-effect adjustment increase to the opening balance of retained earnings of approximately $5.1 million. See Note 14,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our audited consolidated financial statements included elsewhere in this prospectus. Adoption of the New Lease Standard did not impact our debt-covenant compliance or liquidity under our current agreements.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left="120" w:right="780" w:firstLine="440"/>
        <w:spacing w:after="0" w:line="266" w:lineRule="auto"/>
        <w:rPr>
          <w:sz w:val="20"/>
          <w:szCs w:val="20"/>
          <w:color w:val="auto"/>
        </w:rPr>
      </w:pPr>
      <w:r>
        <w:rPr>
          <w:rFonts w:ascii="Times New Roman" w:cs="Times New Roman" w:eastAsia="Times New Roman" w:hAnsi="Times New Roman"/>
          <w:sz w:val="18"/>
          <w:szCs w:val="18"/>
          <w:color w:val="auto"/>
        </w:rPr>
        <w:t>As of August 1, 2020, our off-balance sheet contractual obligations and commercial commitments relate to future minimum guaranteed contractual payments and letters of credit. As a result of the adoption of the New Lease Standard on February 3, 2019, we have recognized the right-of-use assets and related lease liabilities on the balance sheet and no longer consider these to be off-balance sheet arrangements.</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enter into letters of credit in the ordinary course of operating and financing activities. As of August 1, 2020, we had outstanding letters of credit of $29.7 million, of which $19.9 million were issued under our ABL Facility, primarily for insurance and foreign product purchases.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details our letters of credit commitments as of August 1, 2020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0" w:type="dxa"/>
            <w:vAlign w:val="bottom"/>
            <w:gridSpan w:val="10"/>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 of Commitment Expiration</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 Period</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700" w:type="dxa"/>
            <w:vAlign w:val="bottom"/>
          </w:tcPr>
          <w:p>
            <w:pPr>
              <w:spacing w:after="0"/>
              <w:rPr>
                <w:sz w:val="9"/>
                <w:szCs w:val="9"/>
                <w:color w:val="auto"/>
              </w:rPr>
            </w:pPr>
          </w:p>
        </w:tc>
        <w:tc>
          <w:tcPr>
            <w:tcW w:w="33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6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1 - 3</w:t>
            </w:r>
          </w:p>
        </w:tc>
        <w:tc>
          <w:tcPr>
            <w:tcW w:w="26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3 - 5</w:t>
            </w:r>
          </w:p>
        </w:tc>
        <w:tc>
          <w:tcPr>
            <w:tcW w:w="280" w:type="dxa"/>
            <w:vAlign w:val="bottom"/>
          </w:tcPr>
          <w:p>
            <w:pPr>
              <w:spacing w:after="0"/>
              <w:rPr>
                <w:sz w:val="9"/>
                <w:szCs w:val="9"/>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Amounts</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12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14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Commercial Commitments:</w:t>
            </w:r>
          </w:p>
        </w:tc>
        <w:tc>
          <w:tcPr>
            <w:tcW w:w="33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Letters of credit</w:t>
            </w:r>
          </w:p>
        </w:tc>
        <w:tc>
          <w:tcPr>
            <w:tcW w:w="4200" w:type="dxa"/>
            <w:vAlign w:val="bottom"/>
            <w:gridSpan w:val="3"/>
          </w:tcPr>
          <w:p>
            <w:pPr>
              <w:jc w:val="center"/>
              <w:ind w:left="3130"/>
              <w:spacing w:after="0"/>
              <w:rPr>
                <w:sz w:val="20"/>
                <w:szCs w:val="20"/>
                <w:color w:val="auto"/>
              </w:rPr>
            </w:pPr>
            <w:r>
              <w:rPr>
                <w:rFonts w:ascii="Times New Roman" w:cs="Times New Roman" w:eastAsia="Times New Roman" w:hAnsi="Times New Roman"/>
                <w:sz w:val="18"/>
                <w:szCs w:val="18"/>
                <w:color w:val="auto"/>
              </w:rPr>
              <w:t>$ 29,683</w:t>
            </w: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$24,886</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$4,797</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3700" w:type="dxa"/>
            <w:vAlign w:val="bottom"/>
          </w:tcPr>
          <w:p>
            <w:pPr>
              <w:spacing w:after="0"/>
              <w:rPr>
                <w:sz w:val="24"/>
                <w:szCs w:val="24"/>
                <w:color w:val="auto"/>
              </w:rPr>
            </w:pPr>
          </w:p>
        </w:tc>
        <w:tc>
          <w:tcPr>
            <w:tcW w:w="33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92</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significant contractual obligations and commercial commitments as of February 1, 2020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0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0"/>
                <w:szCs w:val="10"/>
                <w:color w:val="auto"/>
              </w:rPr>
            </w:pPr>
          </w:p>
        </w:tc>
        <w:tc>
          <w:tcPr>
            <w:tcW w:w="100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0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7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1160" w:type="dxa"/>
            <w:vAlign w:val="bottom"/>
            <w:gridSpan w:val="2"/>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r>
              <w:rPr>
                <w:rFonts w:ascii="Times New Roman" w:cs="Times New Roman" w:eastAsia="Times New Roman" w:hAnsi="Times New Roman"/>
                <w:sz w:val="15"/>
                <w:szCs w:val="15"/>
                <w:color w:val="auto"/>
              </w:rPr>
              <w:t>(1)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$ 1,468,993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$ 1,434,877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Facility interest</w:t>
            </w:r>
            <w:r>
              <w:rPr>
                <w:rFonts w:ascii="Times New Roman" w:cs="Times New Roman" w:eastAsia="Times New Roman" w:hAnsi="Times New Roman"/>
                <w:sz w:val="15"/>
                <w:szCs w:val="15"/>
                <w:color w:val="auto"/>
              </w:rPr>
              <w:t>(2)</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187,829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78,855</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108,974</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6,130</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ABL Facility</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15"/>
                <w:szCs w:val="15"/>
                <w:color w:val="auto"/>
              </w:rPr>
              <w:t>(3)</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1,933,954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196,088</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385,932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353,219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998,715</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related commitments and other</w:t>
            </w:r>
            <w:r>
              <w:rPr>
                <w:rFonts w:ascii="Times New Roman" w:cs="Times New Roman" w:eastAsia="Times New Roman" w:hAnsi="Times New Roman"/>
                <w:sz w:val="15"/>
                <w:szCs w:val="15"/>
                <w:color w:val="auto"/>
              </w:rPr>
              <w:t>(4)</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20,593</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9,217</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Monitoring agreement</w:t>
            </w:r>
            <w:r>
              <w:rPr>
                <w:rFonts w:ascii="Times New Roman" w:cs="Times New Roman" w:eastAsia="Times New Roman" w:hAnsi="Times New Roman"/>
                <w:sz w:val="15"/>
                <w:szCs w:val="15"/>
                <w:color w:val="auto"/>
              </w:rPr>
              <w:t>(5)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4,115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8,149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2,138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Sponsorship agreement and intellectual property commitments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4,156</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2,010</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$ 3,650,779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344,053</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$ 1,951,135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356,277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999,314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amount excluding discount and debt issuance costs.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shown are approximated based on projected interest rates and do not give effect to interest rate swaps.</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leases are operating leases. We lease store locations, distribution centers, office space and certain equipment under operating leases expiring between fiscal years 2020 and 2038. Operating lease obligations include future minimum lease payments under all of our non-cancelable operating leases at February 1, 2020.</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technology related contractual commitments and other commitments such as construction commitments. The amounts included in the table are for executed contracts less amounts paid.</w:t>
      </w:r>
    </w:p>
    <w:p>
      <w:pPr>
        <w:ind w:left="540" w:right="320" w:hanging="424"/>
        <w:spacing w:after="0" w:line="260"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our contractual payments under our Monitoring Agreement with the Adviser. See “Certain Relationships and Related Party Transactions—Monitoring Agreement.”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exposure to changes in interest rates primarily results from our ABL Facility and Term Loan Facility, as these borrowings have variable interest rates. The detrimental effect of a hypothetical 100 basis point increase in interest rates on current borrowings under the ABL Facility and Term Loan Facility would be to reduce income before income taxes by approximately $5.0 million, net of fixed rate interest rate swaps, for 2019.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Inflationary factors such as increases in the costs of our products and overhead costs may adversely affect our operating results. Although we do not believe that inflation has had a material impact on our financial position or results of operations to date, a high rate of inflation in the future may have an adverse effect on our ability to maintain current levels of gross margin and selling, general and administrative expenses as a percentage of net sales if the selling prices of our products do not increase with these increased costs.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Academy Sports + Outdoors is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 following key attributes differentiate us from our competitors:</w:t>
      </w:r>
    </w:p>
    <w:p>
      <w:pPr>
        <w:spacing w:after="0" w:line="131"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Value-based assortment that enables our customers to participate and have fun, no matter their budget.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assortment that extends beyond sporting goods and apparel to outdoor recreation.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rapidly growing and profitable omnichannel strategy that leverages our strong BOPIS and shipping fulfillment capabilities.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customer loyalty, with opportunities to increase penetration in existing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focus in the southern United States with a strong and growing presence in six of the top 10 fastest-growing MSAs.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customers comprising active families that we support with one-stop shop convenience.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whitespace opportunity for both in-fill and adjacent geographies and new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financial profile with accelerating performance and attractive cash flow generation.</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Originally founded in 1938 as a family business in Texas, we have grown to 259 stores across 16 contiguous states, primarily in the southern United States. Our mission is to provide “Fun for All” and fulfill this mission with a localized merchandising strategy and value proposition that deeply connect with a broad range of consumers. Our product assortment focuses on key categories of outdoor, apparel, footwear and sports &amp; recreation (representing 32%, 29%, 21% and 18% of our 2019 net sales, respectively) through both leading national brands and a portfolio of 17 owned brands, which go well beyond traditional sporting goods and apparel offerings.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20,000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 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twelve months of opening a store. We are continually assessing the number of locations available that could accommodate our preferred size of stores in markets we would consider and we expect to open eight to 10 new stores per year, starting in 2022, which is similar to our growth rates from 2018 to 2019.</w:t>
      </w:r>
    </w:p>
    <w:p>
      <w:pPr>
        <w:spacing w:after="0" w:line="194"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are active members of the communities in which we operate. We have a strong and growing presence in four of the top five, and six of the top 10, fastest-growing MSAs, in the United States, including Dallas, Houston, Atlanta, Austin, Charlotte and San Antonio. Our long-time customers have grown up with the Academy brand over time and pass their passion for us on to the next generation, enabling us to benefit from strong customer loyalty and shopping frequency in our embedded regional markets.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400" w:firstLine="360"/>
        <w:spacing w:after="0" w:line="253" w:lineRule="auto"/>
        <w:rPr>
          <w:sz w:val="20"/>
          <w:szCs w:val="20"/>
          <w:color w:val="auto"/>
        </w:rPr>
      </w:pPr>
      <w:r>
        <w:rPr>
          <w:rFonts w:ascii="Times New Roman" w:cs="Times New Roman" w:eastAsia="Times New Roman" w:hAnsi="Times New Roman"/>
          <w:sz w:val="18"/>
          <w:szCs w:val="18"/>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221" w:lineRule="exact"/>
        <w:rPr>
          <w:sz w:val="20"/>
          <w:szCs w:val="20"/>
          <w:color w:val="auto"/>
        </w:rPr>
      </w:pPr>
    </w:p>
    <w:p>
      <w:pPr>
        <w:ind w:left="120" w:right="4560" w:firstLine="360"/>
        <w:spacing w:after="0" w:line="254"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w:t>
      </w:r>
    </w:p>
    <w:p>
      <w:pPr>
        <w:spacing w:after="0" w:line="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and approximately 60% of our customers purchased an owned brand item from us in 2019. Our merchandising creates a balanced sales mix throughout the year with no single season accounting for more than 28% of our annual sales.</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stores deliver industry-leading unit sales and profitability, including 2019 net sales per store of $18.7 million, average sales per square foot of $264, and average EBITDA per store of $1.3 million. Our customers love the Academy store shopping experience because they are able to easily find, learn about, feel, try on and walk out with their favorite items. Our one-stop, convenient store layout, together with our highly trained team members offering value-added customer services, drive strong and consistent store foot traffic and transaction volume, with our average customers visiting our stores two to four times per year and our best customers visiting our stores nine times per year. The majority of our stores are located in high-traffic shopping centers, while none of the stores are located in, or anchored to, malls.</w:t>
      </w:r>
    </w:p>
    <w:p>
      <w:pPr>
        <w:spacing w:after="0" w:line="187"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Our emerging, profitable e-commerce platform that leverages our strong BOPIS and shipping fulfillment capabilities has achieved year-over-year sales growth of 8% and 284% during 2019 and the first half 2020, respectively. Our e-commerce sales represented 5% and 11% of our merchandise sales in 2019 and the first half 2020, respectively. We are deepening our customer relationships, further integrating our e-commerce platform with our stores and driving operating efficiencies by developing our omnichannel capabilities. Our BOPIS program, launched in 2019, accounted for approximately</w:t>
      </w:r>
    </w:p>
    <w:p>
      <w:pPr>
        <w:spacing w:after="0" w:line="3"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24% and 50% of our e-commerce sales during 2019 and the first half 2020, respectively, and allows customers to place an order on our website and pick up their product at a desired location, either in-store or curbside. Our website also serves as a platform for marketing and product education, enhancing our customer experience and driving traffic to our stores. For example, our website includes an “Expert Advice” page, which provides articles, tips, advice and links to video demonstrations on how to best select, use and get the most out of our products. Our website is introducing new customers to the Academy brand, with approximately 25% of our e-commerce sales during first half 2020 coming from new households.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serve our communities by supporting events, programs and organizations that help make a positive impact, including the sponsorship of over</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 For example, during Hurricane Harvey, we provided first responders with boats, paddles, ponchos, sleeping bags, air beds, backpacks and fresh clothes, as well as a safe, dry place to camp on our corporate campus. During the ongoing COVID-19 pandemic, we have donated emergency ponchos and footwear for health care workers to use as personal protective equipment. By providing our communities with the right gear and knowledge, promoting safety and responsibility and being there in times of need, we help to solidify our role as a trusted partner where we operate and to better enable our customers to improve their quality of life.</w:t>
      </w:r>
    </w:p>
    <w:p>
      <w:pPr>
        <w:spacing w:after="0" w:line="19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finished the twelve months ended August 1, 2020 with approximately $5.3 billion in sales, $204 million of net income and $449 million in Adjusted EBITDA. Although comparable sales have been negative for the past three fiscal years, we have seen four consecutive quarters of positive comparable sales as of second quarter 2020. In addition, second quarter 2020 reflected our fourth consecutive quarter of Adjusted EBITDA growth and our fifth consecutive quarter of Adjusted Free Cash Flow growth. We earned net income of $21 million, $120 million and $204 million and Pro Forma Adjusted Net Income of $41 million, $76 million and $178 million in 2018, 2019 and the twelve months ended August 1, 2020, respectively, which included $158 million of net income and $135 million of Pro Forma Adjusted Net Income for first half 2020. See “Summary—Summary Historical Consolidated Financial and Other Data” for definitions of Adjusted EBITDA, Pro Forma Adjusted Net Income and Adjusted Free Cash Flow and reconciliations of Adjusted EBITDA and Pro Forma Adjusted Net Income to net income and Adjusted Free Cash Flow to net cash provided by operating activities.</w:t>
      </w:r>
    </w:p>
    <w:p>
      <w:pPr>
        <w:spacing w:after="0" w:line="211" w:lineRule="exact"/>
        <w:rPr>
          <w:sz w:val="20"/>
          <w:szCs w:val="20"/>
          <w:color w:val="auto"/>
        </w:rPr>
      </w:pPr>
    </w:p>
    <w:p>
      <w:pPr>
        <w:ind w:left="1240"/>
        <w:spacing w:after="0"/>
        <w:tabs>
          <w:tab w:leader="none" w:pos="5100" w:val="left"/>
          <w:tab w:leader="none" w:pos="8620" w:val="left"/>
        </w:tabs>
        <w:rPr>
          <w:sz w:val="20"/>
          <w:szCs w:val="20"/>
          <w:color w:val="auto"/>
        </w:rPr>
      </w:pPr>
      <w:r>
        <w:rPr>
          <w:rFonts w:ascii="Times New Roman" w:cs="Times New Roman" w:eastAsia="Times New Roman" w:hAnsi="Times New Roman"/>
          <w:sz w:val="14"/>
          <w:szCs w:val="14"/>
          <w:color w:val="auto"/>
        </w:rPr>
        <w:t>Net Sales ($ in millions)</w:t>
      </w:r>
      <w:r>
        <w:rPr>
          <w:sz w:val="20"/>
          <w:szCs w:val="20"/>
          <w:color w:val="auto"/>
        </w:rPr>
        <w:tab/>
      </w:r>
      <w:r>
        <w:rPr>
          <w:rFonts w:ascii="Times New Roman" w:cs="Times New Roman" w:eastAsia="Times New Roman" w:hAnsi="Times New Roman"/>
          <w:sz w:val="14"/>
          <w:szCs w:val="14"/>
          <w:color w:val="auto"/>
        </w:rPr>
        <w:t>Adj. EBITDA ($ in millions)</w:t>
      </w:r>
      <w:r>
        <w:rPr>
          <w:sz w:val="20"/>
          <w:szCs w:val="20"/>
          <w:color w:val="auto"/>
        </w:rPr>
        <w:tab/>
      </w:r>
      <w:r>
        <w:rPr>
          <w:rFonts w:ascii="Times New Roman" w:cs="Times New Roman" w:eastAsia="Times New Roman" w:hAnsi="Times New Roman"/>
          <w:sz w:val="14"/>
          <w:szCs w:val="14"/>
          <w:color w:val="auto"/>
        </w:rPr>
        <w:t>Cum. Adjusted FCF ($ in millions)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Performance Improvement Initiatives</w:t>
      </w:r>
    </w:p>
    <w:p>
      <w:pPr>
        <w:spacing w:after="0" w:line="121"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We have made significant progress on several key performance improvement initiatives that drove positive comparable sales and Adjusted EBITDA growth in the last four consecutive quarters ended August 1, 2020, and created a foundation for our future growth. These key initiatives include:</w:t>
      </w:r>
    </w:p>
    <w:p>
      <w:pPr>
        <w:spacing w:after="0" w:line="79" w:lineRule="exact"/>
        <w:rPr>
          <w:sz w:val="20"/>
          <w:szCs w:val="20"/>
          <w:color w:val="auto"/>
        </w:rPr>
      </w:pPr>
    </w:p>
    <w:p>
      <w:pPr>
        <w:ind w:left="1080" w:right="80" w:hanging="424"/>
        <w:spacing w:after="0" w:line="257"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Strengthened leadership team </w:t>
      </w:r>
      <w:r>
        <w:rPr>
          <w:rFonts w:ascii="Times New Roman" w:cs="Times New Roman" w:eastAsia="Times New Roman" w:hAnsi="Times New Roman"/>
          <w:sz w:val="18"/>
          <w:szCs w:val="18"/>
          <w:color w:val="auto"/>
        </w:rPr>
        <w:t>– Our leadership team comprises nine highly experienced and proven individuals, six of whom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Academy from 2017 to 2018, led by our Chief Executive Officer and including our Chief Financial Officer, Chief Merchandising Officer, EVP of Retail Operations,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8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Build omnichannel </w:t>
      </w:r>
      <w:r>
        <w:rPr>
          <w:rFonts w:ascii="Times New Roman" w:cs="Times New Roman" w:eastAsia="Times New Roman" w:hAnsi="Times New Roman"/>
          <w:sz w:val="18"/>
          <w:szCs w:val="18"/>
          <w:color w:val="auto"/>
        </w:rPr>
        <w:t>– After investing approximately $50 million over the last three years in our omnichannel capabilities, we launched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new omnichannel initiatives in 2019, including our BOPIS program and new website design, content and functionality. While still early in our omnichannel strategy, we have built a profitable omnichannel business that is poised for continued growth and improvement of capabilities.</w:t>
      </w:r>
    </w:p>
    <w:p>
      <w:pPr>
        <w:spacing w:after="0" w:line="85" w:lineRule="exact"/>
        <w:rPr>
          <w:rFonts w:ascii="Times New Roman" w:cs="Times New Roman" w:eastAsia="Times New Roman" w:hAnsi="Times New Roman"/>
          <w:sz w:val="18"/>
          <w:szCs w:val="18"/>
          <w:color w:val="auto"/>
        </w:rPr>
      </w:pPr>
    </w:p>
    <w:p>
      <w:pPr>
        <w:ind w:left="1080" w:right="60" w:hanging="424"/>
        <w:spacing w:after="0" w:line="267"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Localized merchandising </w:t>
      </w:r>
      <w:r>
        <w:rPr>
          <w:rFonts w:ascii="Times New Roman" w:cs="Times New Roman" w:eastAsia="Times New Roman" w:hAnsi="Times New Roman"/>
          <w:sz w:val="18"/>
          <w:szCs w:val="18"/>
          <w:color w:val="auto"/>
        </w:rPr>
        <w:t>– Since 2018, we improved the localization of our assortment across selected inventory offerings. For example,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crawfish boiler sells well in Louisiana, but not in North Carolina, and our fishing assortment sells better in stores with closer proximity to fishing venues. This initiative resulted in an improved customer shopping experience and increased sales.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080" w:right="340" w:hanging="424"/>
        <w:spacing w:after="0" w:line="267"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Category focus </w:t>
      </w:r>
      <w:r>
        <w:rPr>
          <w:rFonts w:ascii="Times New Roman" w:cs="Times New Roman" w:eastAsia="Times New Roman" w:hAnsi="Times New Roman"/>
          <w:sz w:val="18"/>
          <w:szCs w:val="18"/>
          <w:color w:val="auto"/>
        </w:rPr>
        <w:t>– In 2019, we improved and focused our assortments in priority product categories, such as team sports, fishing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outdoors, while exiting certain other product categories, such as luggage, electronics and toys, that were less profitable or unprofitable, slower moving, and not core to our sporting goods and outdoor offering.</w:t>
      </w:r>
    </w:p>
    <w:p>
      <w:pPr>
        <w:spacing w:after="0" w:line="78" w:lineRule="exact"/>
        <w:rPr>
          <w:rFonts w:ascii="Times New Roman" w:cs="Times New Roman" w:eastAsia="Times New Roman" w:hAnsi="Times New Roman"/>
          <w:sz w:val="18"/>
          <w:szCs w:val="18"/>
          <w:color w:val="auto"/>
        </w:rPr>
      </w:pPr>
    </w:p>
    <w:p>
      <w:pPr>
        <w:ind w:left="1080" w:right="280" w:hanging="424"/>
        <w:spacing w:after="0" w:line="284"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 store optimization </w:t>
      </w:r>
      <w:r>
        <w:rPr>
          <w:rFonts w:ascii="Times New Roman" w:cs="Times New Roman" w:eastAsia="Times New Roman" w:hAnsi="Times New Roman"/>
          <w:sz w:val="18"/>
          <w:szCs w:val="18"/>
          <w:color w:val="auto"/>
        </w:rPr>
        <w:t>– We leverage technology to enable our store team members to better manage, prioritize and reduce tasks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 them more time to engage in customer service, thereby increasing our productivity and sales conversion.</w:t>
      </w:r>
    </w:p>
    <w:p>
      <w:pPr>
        <w:spacing w:after="0" w:line="63" w:lineRule="exact"/>
        <w:rPr>
          <w:rFonts w:ascii="Times New Roman" w:cs="Times New Roman" w:eastAsia="Times New Roman" w:hAnsi="Times New Roman"/>
          <w:sz w:val="18"/>
          <w:szCs w:val="18"/>
          <w:color w:val="auto"/>
        </w:rPr>
      </w:pPr>
    </w:p>
    <w:p>
      <w:pPr>
        <w:ind w:left="1080" w:right="240" w:hanging="424"/>
        <w:spacing w:after="0" w:line="267"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marketing program </w:t>
      </w:r>
      <w:r>
        <w:rPr>
          <w:rFonts w:ascii="Times New Roman" w:cs="Times New Roman" w:eastAsia="Times New Roman" w:hAnsi="Times New Roman"/>
          <w:sz w:val="18"/>
          <w:szCs w:val="18"/>
          <w:color w:val="auto"/>
        </w:rPr>
        <w:t>– During the last two years, we shifted our primary marketing focus from print to digital marketing.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website also supports our stores with digital marketing and our BOPIS program. Each of these initiatives has given us a closer connection with our customers.</w:t>
      </w:r>
    </w:p>
    <w:p>
      <w:pPr>
        <w:spacing w:after="0" w:line="78" w:lineRule="exact"/>
        <w:rPr>
          <w:rFonts w:ascii="Times New Roman" w:cs="Times New Roman" w:eastAsia="Times New Roman" w:hAnsi="Times New Roman"/>
          <w:sz w:val="18"/>
          <w:szCs w:val="18"/>
          <w:color w:val="auto"/>
        </w:rPr>
      </w:pPr>
    </w:p>
    <w:p>
      <w:pPr>
        <w:ind w:left="1080" w:right="200" w:hanging="424"/>
        <w:spacing w:after="0" w:line="267"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 loyalty program </w:t>
      </w:r>
      <w:r>
        <w:rPr>
          <w:rFonts w:ascii="Times New Roman" w:cs="Times New Roman" w:eastAsia="Times New Roman" w:hAnsi="Times New Roman"/>
          <w:sz w:val="18"/>
          <w:szCs w:val="18"/>
          <w:color w:val="auto"/>
        </w:rPr>
        <w:t>– We launched the Academy Credit Card program in May 2019, which constituted approximately 4% of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half 2020 net sales. Academy Credit Card represents a significant opportunity to build customer loyalty, as our Academy Credit Card customers both spend more per trip and visit our stores more often.</w:t>
      </w:r>
    </w:p>
    <w:p>
      <w:pPr>
        <w:spacing w:after="0" w:line="78"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Programmatic inventory management </w:t>
      </w:r>
      <w:r>
        <w:rPr>
          <w:rFonts w:ascii="Times New Roman" w:cs="Times New Roman" w:eastAsia="Times New Roman" w:hAnsi="Times New Roman"/>
          <w:sz w:val="18"/>
          <w:szCs w:val="18"/>
          <w:color w:val="auto"/>
        </w:rPr>
        <w:t>– We implemented a new disciplined price markdown strategy that has improved our margins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2.68x in 2017 to 3.36x for the twelve months ended August 1, 2020.</w:t>
      </w:r>
    </w:p>
    <w:p>
      <w:pPr>
        <w:spacing w:after="0" w:line="85"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 small box format </w:t>
      </w:r>
      <w:r>
        <w:rPr>
          <w:rFonts w:ascii="Times New Roman" w:cs="Times New Roman" w:eastAsia="Times New Roman" w:hAnsi="Times New Roman"/>
          <w:sz w:val="18"/>
          <w:szCs w:val="18"/>
          <w:color w:val="auto"/>
        </w:rPr>
        <w:t>– We opened our first small format store (approximately 40,000 square feet) in Dallas, Texas in 2019.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this new smaller format store allows us to open new stores in urban and less dense areas. During first half 2020, this smaller format store experienced approximately 25% higher sales per square foot and 13% higher inventory turns than the average of all Academy stores, the latter of which had $150 sales per square foot and 2.44x inventory turns. We evaluate performance inclusive of store sales, as well as BOPIS sales and other fulfilled sales from the location.</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43% of Americans expect to be doing more outdoor recreational activities in the future in order to facilitate social distancing. We expect that this will continue throughout the duration of the pandemic and will result in a long-term increase to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We have invested in and built our operating platforms over the last several years and, coupled with our product offering and accessible stores, have laid the foundation for our future growth and success in this environment. It is difficult to ascertain with precision what portion of our increased comparable sales during the first half of 2020 is attributable to the increase in e-commerce sales due to the COVID-19 pandemic as compared to the impact of the business improvements described above.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compete in a $70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retail business is highly competitive based on many variables including price, product assortment, customer service, omnichannel experience and store locations.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retail sporting goods and outdoor recreation retail industry comprises six principal categories of retailers:</w:t>
      </w:r>
    </w:p>
    <w:p>
      <w:pPr>
        <w:spacing w:after="0" w:line="129" w:lineRule="exact"/>
        <w:rPr>
          <w:sz w:val="20"/>
          <w:szCs w:val="20"/>
          <w:color w:val="auto"/>
        </w:rPr>
      </w:pPr>
    </w:p>
    <w:p>
      <w:pPr>
        <w:ind w:left="1080" w:right="60" w:hanging="424"/>
        <w:spacing w:after="0" w:line="267"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general merchants </w:t>
      </w:r>
      <w:r>
        <w:rPr>
          <w:rFonts w:ascii="Times New Roman" w:cs="Times New Roman" w:eastAsia="Times New Roman" w:hAnsi="Times New Roman"/>
          <w:sz w:val="18"/>
          <w:szCs w:val="18"/>
          <w:color w:val="auto"/>
        </w:rPr>
        <w:t>(examples: Walmart, Kohl’s and Target) generally range in size from 50,000 to over 200,000 square feet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located in shopping centers, free-standing sites or regional malls. Sporting goods merchandise and apparel and outdoor recreation products may represent a small portion of the total merchandise in these stores.</w:t>
      </w:r>
    </w:p>
    <w:p>
      <w:pPr>
        <w:spacing w:after="0" w:line="78"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Large format sporting goods stores </w:t>
      </w:r>
      <w:r>
        <w:rPr>
          <w:rFonts w:ascii="Times New Roman" w:cs="Times New Roman" w:eastAsia="Times New Roman" w:hAnsi="Times New Roman"/>
          <w:sz w:val="18"/>
          <w:szCs w:val="18"/>
          <w:color w:val="auto"/>
        </w:rPr>
        <w:t>(examples: Dick’s Sporting Goods and Scheels) generally range in size from 20,000 to over 100,000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square feet and offer a broad selection of sporting goods and outdoor recreation merchandise.</w:t>
      </w:r>
    </w:p>
    <w:p>
      <w:pPr>
        <w:spacing w:after="0" w:line="63" w:lineRule="exact"/>
        <w:rPr>
          <w:rFonts w:ascii="Times New Roman" w:cs="Times New Roman" w:eastAsia="Times New Roman" w:hAnsi="Times New Roman"/>
          <w:sz w:val="18"/>
          <w:szCs w:val="18"/>
          <w:color w:val="auto"/>
        </w:rPr>
      </w:pPr>
    </w:p>
    <w:p>
      <w:pPr>
        <w:ind w:left="1080" w:right="140" w:hanging="424"/>
        <w:spacing w:after="0" w:line="267"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Traditional sporting goods stores </w:t>
      </w:r>
      <w:r>
        <w:rPr>
          <w:rFonts w:ascii="Times New Roman" w:cs="Times New Roman" w:eastAsia="Times New Roman" w:hAnsi="Times New Roman"/>
          <w:sz w:val="18"/>
          <w:szCs w:val="18"/>
          <w:color w:val="auto"/>
        </w:rPr>
        <w:t>(examples: Hibbett Sports and Big 5 Sporting Goods) generally range in size from 5,000 to 20,000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square feet and are frequently located in regional malls and shopping centers and typically carry a varied assortment of primarily sporting goods merchandise.</w:t>
      </w:r>
    </w:p>
    <w:p>
      <w:pPr>
        <w:spacing w:after="0" w:line="78" w:lineRule="exact"/>
        <w:rPr>
          <w:rFonts w:ascii="Times New Roman" w:cs="Times New Roman" w:eastAsia="Times New Roman" w:hAnsi="Times New Roman"/>
          <w:sz w:val="18"/>
          <w:szCs w:val="18"/>
          <w:color w:val="auto"/>
        </w:rPr>
      </w:pPr>
    </w:p>
    <w:p>
      <w:pPr>
        <w:ind w:left="1080" w:right="320" w:hanging="424"/>
        <w:spacing w:after="0" w:line="284"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Specialty outdoor retailers </w:t>
      </w:r>
      <w:r>
        <w:rPr>
          <w:rFonts w:ascii="Times New Roman" w:cs="Times New Roman" w:eastAsia="Times New Roman" w:hAnsi="Times New Roman"/>
          <w:sz w:val="18"/>
          <w:szCs w:val="18"/>
          <w:color w:val="auto"/>
        </w:rPr>
        <w:t>(examples: Bass Pro Shop/Cabela’s and Sportsman’s Warehouse) generally range in size from 7,500 to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100,000 square feet and typically focus on specific categories such as outdoor recreation.</w:t>
      </w:r>
    </w:p>
    <w:p>
      <w:pPr>
        <w:spacing w:after="0" w:line="63" w:lineRule="exact"/>
        <w:rPr>
          <w:rFonts w:ascii="Times New Roman" w:cs="Times New Roman" w:eastAsia="Times New Roman" w:hAnsi="Times New Roman"/>
          <w:sz w:val="18"/>
          <w:szCs w:val="18"/>
          <w:color w:val="auto"/>
        </w:rPr>
      </w:pPr>
    </w:p>
    <w:p>
      <w:pPr>
        <w:ind w:left="1080" w:right="160" w:hanging="424"/>
        <w:spacing w:after="0" w:line="284"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Specialty footwear retailers </w:t>
      </w:r>
      <w:r>
        <w:rPr>
          <w:rFonts w:ascii="Times New Roman" w:cs="Times New Roman" w:eastAsia="Times New Roman" w:hAnsi="Times New Roman"/>
          <w:sz w:val="18"/>
          <w:szCs w:val="18"/>
          <w:color w:val="auto"/>
        </w:rPr>
        <w:t>(examples: Foot Locker, Boot Barn and The Finish Line) generally range in size from 2,000 to 20,000 square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feet and typically focus on specific categories such as athletic footwear.</w:t>
      </w:r>
    </w:p>
    <w:p>
      <w:pPr>
        <w:spacing w:after="0" w:line="63" w:lineRule="exact"/>
        <w:rPr>
          <w:rFonts w:ascii="Times New Roman" w:cs="Times New Roman" w:eastAsia="Times New Roman" w:hAnsi="Times New Roman"/>
          <w:sz w:val="18"/>
          <w:szCs w:val="18"/>
          <w:color w:val="auto"/>
        </w:rPr>
      </w:pPr>
    </w:p>
    <w:p>
      <w:pPr>
        <w:ind w:left="1080" w:right="420" w:hanging="424"/>
        <w:spacing w:after="0" w:line="267"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Catalogue &amp; Internet retailers </w:t>
      </w:r>
      <w:r>
        <w:rPr>
          <w:rFonts w:ascii="Times New Roman" w:cs="Times New Roman" w:eastAsia="Times New Roman" w:hAnsi="Times New Roman"/>
          <w:sz w:val="18"/>
          <w:szCs w:val="18"/>
          <w:color w:val="auto"/>
        </w:rPr>
        <w:t>(examples: Amazon and eBay) do not typically operate brick and mortar stores and primarily rely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goods. Sporting goods merchandise and apparel and outdoor recreation products may represent a small portion of the total merchandise on their websites.</w:t>
      </w:r>
    </w:p>
    <w:p>
      <w:pPr>
        <w:spacing w:after="0" w:line="17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primary competitors are large format sporting goods stores and mass general merchants that offer sporting goods, outdoor recreation products and other lifestyle and recreational merchandise.</w:t>
      </w:r>
    </w:p>
    <w:p>
      <w:pPr>
        <w:spacing w:after="0" w:line="16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While our average store size of approximately 70,000 square feet positions us as a large format store, our extensive and diverse assortment and everyday value proposition differentiate us from our competitors and enable us to take market share from each of these categories. For instance, our broad selection gives us a competitive advantage over value-based mass general merchants, which typically only carry a narrow selection of lower-end sporting goods and lack our access to national brands, and small traditional sporting goods stores, which do not carry our broad assortment or category depth. Additionally, our broader assortment and value-based pricing give us an advantage over the specialty retailers, which typically offer their more limited assortment at premium prices.</w:t>
      </w:r>
    </w:p>
    <w:p>
      <w:pPr>
        <w:spacing w:after="0" w:line="187"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overall U.S. sporting goods and outdoors recreation industry is constantly evolving and demand for certain sports and outdoors recreation goods may increase or decrease depending upon the economics, 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and, we expect that this will</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56" w:lineRule="auto"/>
        <w:rPr>
          <w:sz w:val="20"/>
          <w:szCs w:val="20"/>
          <w:color w:val="auto"/>
        </w:rPr>
      </w:pPr>
      <w:r>
        <w:rPr>
          <w:rFonts w:ascii="Times New Roman" w:cs="Times New Roman" w:eastAsia="Times New Roman" w:hAnsi="Times New Roman"/>
          <w:sz w:val="18"/>
          <w:szCs w:val="18"/>
          <w:color w:val="auto"/>
        </w:rPr>
        <w:t>continue throughout the duration of the pandemic and will result in a long-term increase in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The rising popularity in loyalty to premium brands, and importance of experience for customers also serve as constructive tailwinds to our business.</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believe we are well positioned to capture an increasing portion of the wallets of important growing demographics, such as female and Hispanic customers. Female customers constitute a large and growing portion of our business (49% of our customers in 2019, up from 47% in 2018), with our targeted and diverse merchandise that consciously supports women’s active interests. In addition, mothers who shop with us are not only buying for themselves, but for their family as well. We believe our footprint and localized offerings also position us well to serve the significant growth of the Hispanic population (15% of our customers in 2019, up from 14% in 2018), the nation’s fastest-growing demographic. Currently, we have stores in four of the top eight fastest growing Hispanic MSAs in the United States, including Houston, Dallas, Orlando, and San Antonio.</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attribute our success to the following competitive strengths: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Regional leader in growing industry</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are the second largest full-line sporting goods and outdoor recreation retailer in the United States, with 2019 net sales of $4.8 billion. We believe our stores are well positioned geographically, with a strong and growing presence in six of the top 10 fastest-growing MSAs, including Dallas, Houston, Atlanta, Austin, Charlotte and San Antonio. As of August 1, 2020, 29% of our stores are in four of the top five fastest-growing MSAs. This deep penetration of our established markets results in high customer awareness of, and loyalty to, the Academy name and frequent visits to our conveniently located stores.</w:t>
      </w:r>
    </w:p>
    <w:p>
      <w:pPr>
        <w:spacing w:after="0" w:line="183"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size of the sporting goods and outdoor recreation industry was estimated at $70 billion in the United States in 2018, and it is growing. According to Allied Market Research, sales growth from 2019 through 2027 in categories we participate, such as outdoor, team sports, apparel and footwear, is expected to grow approximately 6% per annum.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Broad assortment and compelling value proposition across the spectrum</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00"/>
          </w:cols>
          <w:pgMar w:left="320" w:top="455" w:right="47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leading value-oriented position by offering customers extensive choices of “good, better and best” merchandise 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Diversified mix of industry-leading national brands and owned brands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2019 merchandise sales was comprised of national brand products, with the remainder coming from exclusive products in our portfolio of 17 owned brands. We have minimal product overlap with direct-to-consumer brands and competitors. No single brand we carry accounted for more than 12% of our 2019 sales.</w:t>
      </w:r>
    </w:p>
    <w:p>
      <w:pPr>
        <w:spacing w:after="0" w:line="183"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have premium access to hundreds of well-recognized national brands, such as Nike, Carhartt, adidas, Under Armour, Columbia Sportswear, North Face and Winchester, which are critical to our market penetration. These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owned brand portfolio consists of 17 brands, including Magellan Outdoors, BCG, Academy Sports + Outdoors and Outdoor Gourmet. Our owned brand strategy focuses on in-filling categories and price points that 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7.6% and 3.9% in 2019, respectively. Additionally, our owned brands generate strong brand equity and drive significant customer loyalty, as several of our exclusive products, such as the Academy-logo folding chair and folding wagon, are top-selling items. Approximately 60% of our customers purchased an owned brand item from us in 2019. Whether it is seeing a row of Academy-branded chairs at a softball game, or individuals wearing Magellan Outdoors shirts around town, our owned brands are worn and used throughout our footprint.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in-store experience</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considerable expertise in identifying, stocking and selling a relevant assortment to meet the local needs and demands.</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Times New Roman" w:cs="Times New Roman" w:eastAsia="Times New Roman" w:hAnsi="Times New Roman"/>
          <w:sz w:val="18"/>
          <w:szCs w:val="18"/>
          <w:i w:val="1"/>
          <w:iCs w:val="1"/>
          <w:color w:val="auto"/>
        </w:rPr>
        <w:t xml:space="preserve">Enthusiasts </w:t>
      </w:r>
      <w:r>
        <w:rPr>
          <w:rFonts w:ascii="Times New Roman" w:cs="Times New Roman" w:eastAsia="Times New Roman" w:hAnsi="Times New Roman"/>
          <w:sz w:val="18"/>
          <w:szCs w:val="18"/>
          <w:color w:val="auto"/>
        </w:rPr>
        <w:t>–passionate local experts who are specially recruited and trained for category-specific positions. Our</w:t>
      </w:r>
      <w:r>
        <w:rPr>
          <w:rFonts w:ascii="Times New Roman" w:cs="Times New Roman" w:eastAsia="Times New Roman" w:hAnsi="Times New Roman"/>
          <w:sz w:val="18"/>
          <w:szCs w:val="18"/>
          <w:i w:val="1"/>
          <w:iCs w:val="1"/>
          <w:color w:val="auto"/>
        </w:rPr>
        <w:t xml:space="preserve"> Enthusiasts </w:t>
      </w:r>
      <w:r>
        <w:rPr>
          <w:rFonts w:ascii="Times New Roman" w:cs="Times New Roman" w:eastAsia="Times New Roman" w:hAnsi="Times New Roman"/>
          <w:sz w:val="18"/>
          <w:szCs w:val="18"/>
          <w:color w:val="auto"/>
        </w:rPr>
        <w:t>use the products they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Times New Roman" w:cs="Times New Roman" w:eastAsia="Times New Roman" w:hAnsi="Times New Roman"/>
          <w:sz w:val="18"/>
          <w:szCs w:val="18"/>
          <w:i w:val="1"/>
          <w:iCs w:val="1"/>
          <w:color w:val="auto"/>
        </w:rPr>
        <w:t>Enthusiasts</w:t>
      </w:r>
      <w:r>
        <w:rPr>
          <w:rFonts w:ascii="Times New Roman" w:cs="Times New Roman" w:eastAsia="Times New Roman" w:hAnsi="Times New Roman"/>
          <w:sz w:val="18"/>
          <w:szCs w:val="18"/>
          <w:color w:val="auto"/>
        </w:rPr>
        <w:t xml:space="preserve"> to share experiences and obtain further advice and assistance.</w:t>
      </w:r>
    </w:p>
    <w:p>
      <w:pPr>
        <w:spacing w:after="0" w:line="29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Our friendly and knowledgeable team members are a large reason our customers love shopping with us.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Large and loyal customer base</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endeavor to offer products for customers of all ages, incomes and aspirations across sporting and outdoor recreation activities, seasons and experience levels. As such, we have a balanced, year-round business and a large customer base. In 2019, we estimate we served 30 million unique customers and we completed approximately 80 million transactions, resulting in strong household penetration in our core markets.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customers love shopping at Academy. Our average customer visits our stores anywhere from two to four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that are large format sporting goods stores and specialty outdoor retailers and their customers. As of August 1, 2020, we estimate we have gained approximately two million new customers this year.</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183"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Fans and spectators also constitute a large part of our customer base. Academy-branded folding chairs and wagons are frequently spotted at any local sporting or spectator event. We are active members in our communities, sponsoring events for the NCAA Southeastern Conference, local events, such as the Bassmaster</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80"/>
          </w:cols>
          <w:pgMar w:left="320" w:top="455" w:right="49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Highly experienced and passionate senior management team with a proven track record</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company is led by a highly-accomplished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24 years of retail experience. Six out of the nine members of our senior management team, including our Chairman, President and Chief Executive Officer, Ken C. Hicks, were hired beginning early 2017 to lead the development and execution of our strategic growth and initiatives in merchandising, e-commerce and omnichannel, stores, information technology and finance. Together, our senior management has delivered strong results, with four consecutive quarters of positive comparable sales as of second quarter 2020, Adjusted EBITDA growth to $323 million in 2019, or 8%, compared to 2018, and Adjusted Free Cash Flow growth of $99 million in 2018 to $197 million in 2019.</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Strong and adaptive financial performance through economic cycles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 market share during all economic cycles, including during April and May 2020. We attribute this to customers knowing we offer a broad assortment of the items they want during a down cycle at everyday value.</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consistently demonstrated steady revenue growth, expanded profit margins and disciplined capital expenditures. We generated</w:t>
      </w:r>
    </w:p>
    <w:p>
      <w:pPr>
        <w:spacing w:after="0" w:line="2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$4.8 billion in net sales, $120 million in net income and $323 million in Adjusted EBITDA in 2019. In 2019, we also generated $264 million of net cash provided by operating activities and $197 million in Adjusted Free Cash Flow, while limiting net capital expenditures to $63 million. We have reduced our net leverage ratio to 1.2x as of end of second quarter 2020 compared to 5.2x as of end of both 2017 and 2018 and 4.1x as of end of 2019.</w:t>
      </w:r>
    </w:p>
    <w:p>
      <w:pPr>
        <w:spacing w:after="0" w:line="186"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have a proven store model that has generated strong Adjusted Free Cash Flow, store-level profitability and return on invested capital. All of our 211 mature stores (stores opened longer than four years) were profitable on a four-wall basis for the twelve months ended August 1, 2020 and our new stores have average payback periods of four to five years.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focused on the following four growth drivers: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Leverage technology and content to drive our omnichannel strategy</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e-commerce sales represented 5% and 11% of our merchandise sales for 2019 and for the first half 2020, respectively. E-commerce sales increased 406% from the prior quarter in first quarter 2020 and 210% from the prior quarter in second quarter 2020. Our goal is to increase our omnichannel penetration quickly and significantly. To meet this goal, since 2011, we have invested $225 million in omnichannel and information 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Omnichannel offerings are becoming increasingly important, as our customers want options when they shop. During the first half 2020, our omnichannel customers spent 43% more than our store-only customers and 197% more than our online only customers. Since we launched our BOPIS program in 2019, we have seen significant e-commerce penetration that generates higher average order value and incremental in-store purchases. BOPIS orders accounted for 50% of all e-commerce sales during first half 2020.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expect to launch our ship-to-store capabilities in third quarter 2020, which will continue to give our customers more options on how to shop Academy.</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For the twelve months ended August 1, 2020, we reached approximately 6.7 million unique households, across 200 cities, in 44 states through ship-to-home orders made through our website. In 2019, 11%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Enhance customer engagement and increase retention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believe we have a significant opportunity to continue to expand our customer base. Better understanding our customers’ buying trends allows us to better target and cater to our customers. Our robust customer database has 38 million unique customers, and we continue to grow this through increased penetration of e-commerce sales and through the success of our Academy Credit Card program.</w:t>
      </w:r>
    </w:p>
    <w:p>
      <w:pPr>
        <w:spacing w:after="0" w:line="17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38 million customers in our database, there is ample opportunity to increase our communication directly with our customers via one-on-one marketing. We are also leveraging the information from our approximately 80 million annual transactions to make more informed, localized decisions on promotion, marketing and inventory.</w:t>
      </w:r>
    </w:p>
    <w:p>
      <w:pPr>
        <w:spacing w:after="0" w:line="18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 of first half 2020 net sales.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believe we possess a significant amount of high quality customer data, which we can leverage to enhance customer engagement and retention and drive purchase conversion.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Enhance operational excellence</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Much of our margin expansion from 2017 to 2019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 party programs to analyze our inventory stock throughout the year at every location. This implementation has allowed us to improve our inventory management in stores, increasing the average inventory turns from 2.68x in 2017 to 3.36x for the twelve months ended August 1, 2020, and has helped us to identify and exit certain product categories, such as luggage and toys.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 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2020 as a result of a shift in consumer preferences due to the COVID-19 pandemic and the related increased popularity in our isolated recreation, outdoor and leisure activity products, which are generally lower margin goods.</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Capitalize on substantial whitespace and in-fill opportunities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twelve months of opening a store. As of the end of first half 2020, we had 211 mature stores, and all were profitable on a four-wall basis for the twelve months ended August 1, 2020. We expect to open eight to 10 new stores per year starting in 2022, which is similar to our growth rates from 2018 to 2019.</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In-fill market opportunity</w:t>
      </w:r>
    </w:p>
    <w:p>
      <w:pPr>
        <w:spacing w:after="0" w:line="11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currently includes approximately 120 locations that could accommodate our preferred size of stores in markets we would consider.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Adjacent market opportunity</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preferred size of stores in markets we would consider.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00"/>
          </w:cols>
          <w:pgMar w:left="320" w:top="455" w:right="47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Greenfield opportunity</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preferred size of stores in markets we would consider.</w:t>
      </w:r>
    </w:p>
    <w:p>
      <w:pPr>
        <w:spacing w:after="0" w:line="17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Significant growth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173990</wp:posOffset>
            </wp:positionV>
            <wp:extent cx="4114800" cy="33515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114800"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demonstrated our ability to perform during periods of economic hardship, and the COVID-19 pandemic is no exception. Our diverse and essential offerings permitted our stores to remain open, which allowed us to safely serve both our existing customers and gain new customers during an uncertain time. With the ongoing pandemic, our customers’ focus on health and wellness and outdoor recreation has amplified. Our customers are purchasing weights, yoga mats, treadmills and indoor cycles now more than ever to stay at home while maintaining their wellness. Families are buying backyard and driveway games, trampolines, patio seating and grills to spend more safe, quality time together at home. Outdoor enthusiasts and first-timers alike are buying fishing, hunting and camping gear to recreate outside at a safe distance.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60"/>
          </w:cols>
          <w:pgMar w:left="320" w:top="455" w:right="51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stores range in size from approximately 40,000 to over 130,000 gross square feet, with an average size of approximately 70,000 gross square feet, which, together with our sophisticated social distancing and hygiene measures and curbside fulfillment of online orders, enable our customers to have a safe shopping experience. We have also benefitted from all of our locations not being tethered to malls. Mall traffic has continuously decreased over time, which has been exacerbated during the COVID-19 pandemic. Our stores are a single destination for shoppers to feel safe when visiting our stores. We believe our lack of reliance on malls has bolstered our performance, allows for much easier curbside pickup processes and increases traffic into our stores.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consumers continue to spend less on travel and entertainment, our broad assortment of health and wellness-centered items at competitive prices position us well to continue taking share in this regard, and we believe our business can continue to benefit from the consistent growth in sports and outdoor goods spending.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Merchandising</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merchandise consists of national brand products that we purchase and license from various vendors, owned brand products that we brand with our internal brands and exclusive license products that we purchase and license from vendors and carry exclusively. We have long-standing relationships with many of our suppliers and have partnered with them to grow our business over time. We have no history of material supply chain interruptions. In 2019, we purchased merchandise from approximately 1,300 vendors. For 2019, 2018 and 2017 no vendor represented more than 14%, 13% and 14% of our total purchases, respectively.</w:t>
      </w:r>
    </w:p>
    <w:p>
      <w:pPr>
        <w:spacing w:after="0" w:line="183"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carry a wide variety of national brand products such as Nike, Carhartt, adidas, Columbia Sportswear, North Face, Winchester, Brooks, Rawlings, Remington, Skechers, Under Armour and many more.</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offer a variety of products through our owned brand and exclusive license products such as apparel, footwear, barbecue equipment and outdoor equipment. Our owned brand products include brands such as Academy Sports + Outdoors, Magellan Outdoors, BCG, O’rageous and Outdoor Gourmet.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February 1, 2020, we generally organized our merchandise in four divisions made up of eleven categories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1080" w:type="dxa"/>
            <w:vAlign w:val="bottom"/>
          </w:tcPr>
          <w:p>
            <w:pPr>
              <w:spacing w:after="0"/>
              <w:rPr>
                <w:sz w:val="16"/>
                <w:szCs w:val="16"/>
                <w:color w:val="auto"/>
              </w:rPr>
            </w:pPr>
          </w:p>
        </w:tc>
        <w:tc>
          <w:tcPr>
            <w:tcW w:w="16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 xml:space="preserve">Category </w:t>
            </w:r>
            <w:r>
              <w:rPr>
                <w:rFonts w:ascii="Times New Roman" w:cs="Times New Roman" w:eastAsia="Times New Roman" w:hAnsi="Times New Roman"/>
                <w:sz w:val="12"/>
                <w:szCs w:val="12"/>
                <w:b w:val="1"/>
                <w:bCs w:val="1"/>
                <w:color w:val="auto"/>
              </w:rPr>
              <w:t>(1)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8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 xml:space="preserve">Primary product types </w:t>
            </w:r>
            <w:r>
              <w:rPr>
                <w:rFonts w:ascii="Times New Roman" w:cs="Times New Roman" w:eastAsia="Times New Roman" w:hAnsi="Times New Roman"/>
                <w:sz w:val="12"/>
                <w:szCs w:val="12"/>
                <w:b w:val="1"/>
                <w:bCs w:val="1"/>
                <w:color w:val="auto"/>
              </w:rPr>
              <w:t>(1)</w:t>
            </w:r>
          </w:p>
        </w:tc>
      </w:tr>
      <w:tr>
        <w:trPr>
          <w:trHeight w:val="185"/>
        </w:trPr>
        <w:tc>
          <w:tcPr>
            <w:tcW w:w="5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1"/>
              </w:rPr>
              <w:t>Outdoors</w:t>
            </w:r>
          </w:p>
        </w:tc>
        <w:tc>
          <w:tcPr>
            <w:tcW w:w="2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9"/>
              </w:rPr>
              <w:t>Camping and cooking</w:t>
            </w: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Outdoor cooking, coolers and drinkware, camping accessories,</w:t>
            </w:r>
          </w:p>
        </w:tc>
      </w:tr>
      <w:tr>
        <w:trPr>
          <w:trHeight w:val="234"/>
        </w:trPr>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camping equipment, sunglasses, backpacks and sports bags</w:t>
            </w:r>
          </w:p>
        </w:tc>
      </w:tr>
      <w:tr>
        <w:trPr>
          <w:trHeight w:val="283"/>
        </w:trPr>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Fishing</w:t>
            </w:r>
          </w:p>
        </w:tc>
        <w:tc>
          <w:tcPr>
            <w:tcW w:w="500" w:type="dxa"/>
            <w:vAlign w:val="bottom"/>
          </w:tcPr>
          <w:p>
            <w:pPr>
              <w:spacing w:after="0"/>
              <w:rPr>
                <w:sz w:val="24"/>
                <w:szCs w:val="24"/>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Marine equipment and fishing rods, reels, baits and equipment</w:t>
            </w:r>
          </w:p>
        </w:tc>
      </w:tr>
      <w:tr>
        <w:trPr>
          <w:trHeight w:val="265"/>
        </w:trPr>
        <w:tc>
          <w:tcPr>
            <w:tcW w:w="5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Shooting sports</w:t>
            </w:r>
          </w:p>
        </w:tc>
        <w:tc>
          <w:tcPr>
            <w:tcW w:w="500" w:type="dxa"/>
            <w:vAlign w:val="bottom"/>
          </w:tcPr>
          <w:p>
            <w:pPr>
              <w:spacing w:after="0"/>
              <w:rPr>
                <w:sz w:val="23"/>
                <w:szCs w:val="23"/>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Firearms, ammunition, archery and archery equipment, shooting</w:t>
            </w:r>
          </w:p>
        </w:tc>
      </w:tr>
      <w:tr>
        <w:trPr>
          <w:trHeight w:val="234"/>
        </w:trPr>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accessories, optics, airguns and hunting equipment</w:t>
            </w:r>
          </w:p>
        </w:tc>
      </w:tr>
      <w:tr>
        <w:trPr>
          <w:trHeight w:val="265"/>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Sports and Recreation</w:t>
            </w:r>
          </w:p>
        </w:tc>
        <w:tc>
          <w:tcPr>
            <w:tcW w:w="2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Team sports/fitness</w:t>
            </w:r>
          </w:p>
        </w:tc>
        <w:tc>
          <w:tcPr>
            <w:tcW w:w="500" w:type="dxa"/>
            <w:vAlign w:val="bottom"/>
          </w:tcPr>
          <w:p>
            <w:pPr>
              <w:spacing w:after="0"/>
              <w:rPr>
                <w:sz w:val="23"/>
                <w:szCs w:val="23"/>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Baseball, football, basketball, soccer, golf, racket sports, volleyball,</w:t>
            </w:r>
          </w:p>
        </w:tc>
      </w:tr>
      <w:tr>
        <w:trPr>
          <w:trHeight w:val="234"/>
        </w:trPr>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fitness equipment, fitness accessories and nutrition</w:t>
            </w:r>
          </w:p>
        </w:tc>
      </w:tr>
      <w:tr>
        <w:trPr>
          <w:trHeight w:val="265"/>
        </w:trPr>
        <w:tc>
          <w:tcPr>
            <w:tcW w:w="5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Recreation</w:t>
            </w:r>
          </w:p>
        </w:tc>
        <w:tc>
          <w:tcPr>
            <w:tcW w:w="500" w:type="dxa"/>
            <w:vAlign w:val="bottom"/>
          </w:tcPr>
          <w:p>
            <w:pPr>
              <w:spacing w:after="0"/>
              <w:rPr>
                <w:sz w:val="23"/>
                <w:szCs w:val="23"/>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Patio equipment, wheeled goods (bicycles, skateboards and other</w:t>
            </w:r>
          </w:p>
        </w:tc>
      </w:tr>
      <w:tr>
        <w:trPr>
          <w:trHeight w:val="216"/>
        </w:trPr>
        <w:tc>
          <w:tcPr>
            <w:tcW w:w="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ride-on toys), watersports, pet equipment, electronics and watches,</w:t>
            </w:r>
          </w:p>
        </w:tc>
      </w:tr>
      <w:tr>
        <w:trPr>
          <w:trHeight w:val="234"/>
        </w:trPr>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front-end (consumables, batteries, etc.)</w:t>
            </w:r>
          </w:p>
        </w:tc>
      </w:tr>
      <w:tr>
        <w:trPr>
          <w:trHeight w:val="364"/>
        </w:trPr>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4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Category </w:t>
            </w:r>
            <w:r>
              <w:rPr>
                <w:rFonts w:ascii="Times New Roman" w:cs="Times New Roman" w:eastAsia="Times New Roman" w:hAnsi="Times New Roman"/>
                <w:sz w:val="12"/>
                <w:szCs w:val="12"/>
                <w:b w:val="1"/>
                <w:bCs w:val="1"/>
                <w:color w:val="auto"/>
              </w:rPr>
              <w:t>(1)</w:t>
            </w:r>
          </w:p>
        </w:tc>
        <w:tc>
          <w:tcPr>
            <w:tcW w:w="780" w:type="dxa"/>
            <w:vAlign w:val="bottom"/>
          </w:tcPr>
          <w:p>
            <w:pPr>
              <w:spacing w:after="0"/>
              <w:rPr>
                <w:sz w:val="15"/>
                <w:szCs w:val="15"/>
                <w:color w:val="auto"/>
              </w:rPr>
            </w:pPr>
          </w:p>
        </w:tc>
        <w:tc>
          <w:tcPr>
            <w:tcW w:w="496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 xml:space="preserve">Primary product types </w:t>
            </w:r>
            <w:r>
              <w:rPr>
                <w:rFonts w:ascii="Times New Roman" w:cs="Times New Roman" w:eastAsia="Times New Roman" w:hAnsi="Times New Roman"/>
                <w:sz w:val="12"/>
                <w:szCs w:val="12"/>
                <w:b w:val="1"/>
                <w:bCs w:val="1"/>
                <w:color w:val="auto"/>
              </w:rPr>
              <w:t>(1)</w:t>
            </w:r>
          </w:p>
        </w:tc>
      </w:tr>
      <w:tr>
        <w:trPr>
          <w:trHeight w:val="25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Apparel</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Outdoor</w:t>
            </w:r>
          </w:p>
        </w:tc>
        <w:tc>
          <w:tcPr>
            <w:tcW w:w="780" w:type="dxa"/>
            <w:vAlign w:val="bottom"/>
          </w:tcPr>
          <w:p>
            <w:pPr>
              <w:spacing w:after="0"/>
              <w:rPr>
                <w:sz w:val="21"/>
                <w:szCs w:val="21"/>
                <w:color w:val="auto"/>
              </w:rPr>
            </w:pPr>
          </w:p>
        </w:tc>
        <w:tc>
          <w:tcPr>
            <w:tcW w:w="4960" w:type="dxa"/>
            <w:vAlign w:val="bottom"/>
          </w:tcPr>
          <w:p>
            <w:pPr>
              <w:spacing w:after="0"/>
              <w:rPr>
                <w:sz w:val="21"/>
                <w:szCs w:val="21"/>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78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seasonal</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9"/>
              </w:rPr>
              <w:t>Outdoor apparel, seasonal apparel, denim, work apparel, camouflage</w:t>
            </w:r>
          </w:p>
        </w:tc>
      </w:tr>
      <w:tr>
        <w:trPr>
          <w:trHeight w:val="234"/>
        </w:trPr>
        <w:tc>
          <w:tcPr>
            <w:tcW w:w="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apparel</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apparel, waders, graphic t-shirts and accessories</w:t>
            </w:r>
          </w:p>
        </w:tc>
      </w:tr>
      <w:tr>
        <w:trPr>
          <w:trHeight w:val="265"/>
        </w:trPr>
        <w:tc>
          <w:tcPr>
            <w:tcW w:w="5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Youth</w:t>
            </w:r>
          </w:p>
        </w:tc>
        <w:tc>
          <w:tcPr>
            <w:tcW w:w="780" w:type="dxa"/>
            <w:vAlign w:val="bottom"/>
          </w:tcPr>
          <w:p>
            <w:pPr>
              <w:spacing w:after="0"/>
              <w:rPr>
                <w:sz w:val="23"/>
                <w:szCs w:val="23"/>
                <w:color w:val="auto"/>
              </w:rPr>
            </w:pPr>
          </w:p>
        </w:tc>
        <w:tc>
          <w:tcPr>
            <w:tcW w:w="4960" w:type="dxa"/>
            <w:vAlign w:val="bottom"/>
          </w:tcPr>
          <w:p>
            <w:pPr>
              <w:spacing w:after="0"/>
              <w:rPr>
                <w:sz w:val="23"/>
                <w:szCs w:val="23"/>
                <w:color w:val="auto"/>
              </w:rPr>
            </w:pPr>
          </w:p>
        </w:tc>
      </w:tr>
      <w:tr>
        <w:trPr>
          <w:trHeight w:val="234"/>
        </w:trPr>
        <w:tc>
          <w:tcPr>
            <w:tcW w:w="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apparel</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Boys and girls outdoor and athletic apparel</w:t>
            </w:r>
          </w:p>
        </w:tc>
      </w:tr>
      <w:tr>
        <w:trPr>
          <w:trHeight w:val="265"/>
        </w:trPr>
        <w:tc>
          <w:tcPr>
            <w:tcW w:w="5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Athletic</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Sporting apparel, apparel for fitness and exercise and other</w:t>
            </w:r>
          </w:p>
        </w:tc>
      </w:tr>
      <w:tr>
        <w:trPr>
          <w:trHeight w:val="234"/>
        </w:trPr>
        <w:tc>
          <w:tcPr>
            <w:tcW w:w="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apparel</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accessories</w:t>
            </w:r>
          </w:p>
        </w:tc>
      </w:tr>
      <w:tr>
        <w:trPr>
          <w:trHeight w:val="265"/>
        </w:trPr>
        <w:tc>
          <w:tcPr>
            <w:tcW w:w="5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Licensed</w:t>
            </w:r>
          </w:p>
        </w:tc>
        <w:tc>
          <w:tcPr>
            <w:tcW w:w="780" w:type="dxa"/>
            <w:vAlign w:val="bottom"/>
          </w:tcPr>
          <w:p>
            <w:pPr>
              <w:spacing w:after="0"/>
              <w:rPr>
                <w:sz w:val="23"/>
                <w:szCs w:val="23"/>
                <w:color w:val="auto"/>
              </w:rPr>
            </w:pPr>
          </w:p>
        </w:tc>
        <w:tc>
          <w:tcPr>
            <w:tcW w:w="4960" w:type="dxa"/>
            <w:vAlign w:val="bottom"/>
          </w:tcPr>
          <w:p>
            <w:pPr>
              <w:spacing w:after="0"/>
              <w:rPr>
                <w:sz w:val="23"/>
                <w:szCs w:val="23"/>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apparel</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Professional and collegiate team licensed apparel and accessories</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Footwear</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Work,</w:t>
            </w:r>
          </w:p>
        </w:tc>
        <w:tc>
          <w:tcPr>
            <w:tcW w:w="78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casual and</w:t>
            </w:r>
          </w:p>
        </w:tc>
        <w:tc>
          <w:tcPr>
            <w:tcW w:w="78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youth</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Casual shoes and slippers, work and western boots, youth footwear,</w:t>
            </w:r>
          </w:p>
        </w:tc>
      </w:tr>
      <w:tr>
        <w:trPr>
          <w:trHeight w:val="234"/>
        </w:trPr>
        <w:tc>
          <w:tcPr>
            <w:tcW w:w="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footwear</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socks and hunting footwear</w:t>
            </w:r>
          </w:p>
        </w:tc>
      </w:tr>
      <w:tr>
        <w:trPr>
          <w:trHeight w:val="265"/>
        </w:trPr>
        <w:tc>
          <w:tcPr>
            <w:tcW w:w="5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Athletic</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Running shoes, athletic shoes, sport specific shoes and training</w:t>
            </w:r>
          </w:p>
        </w:tc>
      </w:tr>
      <w:tr>
        <w:trPr>
          <w:trHeight w:val="234"/>
        </w:trPr>
        <w:tc>
          <w:tcPr>
            <w:tcW w:w="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footwear</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shoes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140" w:hanging="424"/>
        <w:spacing w:after="0" w:line="266"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products and categories were reclassified among categories and divisions during 2019 as compared to prior years in order to better align with our current merchandising strategy and view of the business. Changes in management’s merchandise strategy and viewpoints could result in future reclassifications.</w:t>
      </w:r>
    </w:p>
    <w:p>
      <w:pPr>
        <w:spacing w:after="0" w:line="17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2140" w:type="dxa"/>
            <w:vAlign w:val="bottom"/>
            <w:gridSpan w:val="4"/>
          </w:tcPr>
          <w:p>
            <w:pPr>
              <w:jc w:val="center"/>
              <w:ind w:left="262"/>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00" w:type="dxa"/>
            <w:vAlign w:val="bottom"/>
            <w:gridSpan w:val="3"/>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60" w:type="dxa"/>
            <w:vAlign w:val="bottom"/>
          </w:tcPr>
          <w:p>
            <w:pPr>
              <w:spacing w:after="0"/>
              <w:rPr>
                <w:sz w:val="12"/>
                <w:szCs w:val="12"/>
                <w:color w:val="auto"/>
              </w:rPr>
            </w:pPr>
          </w:p>
        </w:tc>
      </w:tr>
      <w:tr>
        <w:trPr>
          <w:trHeight w:val="196"/>
        </w:trPr>
        <w:tc>
          <w:tcPr>
            <w:tcW w:w="880" w:type="dxa"/>
            <w:vAlign w:val="bottom"/>
          </w:tcPr>
          <w:p>
            <w:pPr>
              <w:spacing w:after="0"/>
              <w:rPr>
                <w:sz w:val="17"/>
                <w:szCs w:val="17"/>
                <w:color w:val="auto"/>
              </w:rPr>
            </w:pPr>
          </w:p>
        </w:tc>
        <w:tc>
          <w:tcPr>
            <w:tcW w:w="46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Merchandise division sales</w:t>
            </w:r>
            <w:r>
              <w:rPr>
                <w:rFonts w:ascii="Times New Roman" w:cs="Times New Roman" w:eastAsia="Times New Roman" w:hAnsi="Times New Roman"/>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Outdoors</w:t>
            </w:r>
          </w:p>
        </w:tc>
        <w:tc>
          <w:tcPr>
            <w:tcW w:w="2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1,522,985</w:t>
            </w:r>
          </w:p>
        </w:tc>
        <w:tc>
          <w:tcPr>
            <w:tcW w:w="9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1,544,021</w:t>
            </w:r>
          </w:p>
        </w:tc>
        <w:tc>
          <w:tcPr>
            <w:tcW w:w="36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1,583,183</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Sports and recreation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859,868</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900,347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939,464</w:t>
            </w:r>
          </w:p>
        </w:tc>
        <w:tc>
          <w:tcPr>
            <w:tcW w:w="6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1,405,258</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1,321,035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1,311,054</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Footwear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1,021,603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997,692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986,887</w:t>
            </w:r>
          </w:p>
        </w:tc>
        <w:tc>
          <w:tcPr>
            <w:tcW w:w="6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merchandise sales</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4,809,714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4,763,095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4,820,588</w:t>
            </w:r>
          </w:p>
        </w:tc>
        <w:tc>
          <w:tcPr>
            <w:tcW w:w="6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sales</w:t>
            </w:r>
            <w:r>
              <w:rPr>
                <w:rFonts w:ascii="Times New Roman" w:cs="Times New Roman" w:eastAsia="Times New Roman" w:hAnsi="Times New Roman"/>
                <w:sz w:val="15"/>
                <w:szCs w:val="15"/>
                <w:color w:val="auto"/>
              </w:rPr>
              <w:t>(3)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6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4,829,897</w:t>
            </w:r>
          </w:p>
        </w:tc>
        <w:tc>
          <w:tcPr>
            <w:tcW w:w="72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4,783,893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4,835,582</w:t>
            </w:r>
          </w:p>
        </w:tc>
        <w:tc>
          <w:tcPr>
            <w:tcW w:w="6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2" w:lineRule="exact"/>
        <w:rPr>
          <w:sz w:val="20"/>
          <w:szCs w:val="20"/>
          <w:color w:val="auto"/>
        </w:rPr>
      </w:pPr>
    </w:p>
    <w:p>
      <w:pPr>
        <w:ind w:left="540" w:right="300" w:hanging="424"/>
        <w:spacing w:after="0" w:line="257"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products and categories were re-categorized among categories and divisions during 2019 in order to better align with our current merchandising strategy and view of the business. As a result, we have reclassified sales between divisions for 2018 and 2017 for comparability purposes.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sales consist of 5.1%, 4.9% and 4.0% of merchandise sales for 2019, 2018 and 2017, respectively.</w:t>
      </w:r>
    </w:p>
    <w:p>
      <w:pPr>
        <w:spacing w:after="0" w:line="9" w:lineRule="exact"/>
        <w:rPr>
          <w:rFonts w:ascii="Times New Roman" w:cs="Times New Roman" w:eastAsia="Times New Roman" w:hAnsi="Times New Roman"/>
          <w:sz w:val="18"/>
          <w:szCs w:val="18"/>
          <w:color w:val="auto"/>
        </w:rPr>
      </w:pPr>
    </w:p>
    <w:p>
      <w:pPr>
        <w:ind w:left="540" w:right="320" w:hanging="424"/>
        <w:spacing w:after="0" w:line="26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sales consists primarily of the sales return allowance, gift card breakage income, credit card bounties and royalties, shipping income, net hunting and fishing license income and other items.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Stores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stores are designed to provide our customers with an easy-in, easy-out shopping experience. The interior of our stores are built around a central “racetrack” aisle that allows customers to efficiently navigate our selling floor. Additionally, our stores generally have consistent store layouts providing our customers familiarity across our entire store base. We seek to offer our customers strong merchandise assortment and a localized customer experience, which is facilitated by various types of merchandise fixtures and our large selling floor. Our central “racetrack” aisle and adjacent end-cap merchandising space allows us to adjust our inventory presentations throughout our various selling seasons.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40"/>
          </w:cols>
          <w:pgMar w:left="320" w:top="455" w:right="4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store locations are typically positioned adjacent to major highways or thoroughfares, allowing customers to easily locate our stores. We seek to position our stores in areas with certain population densities, demographics and other characteristics to maximize sales. These markets consist of metropolitan, suburban and smaller cities. Additionally, our stores are typically placed in retail centers adjacent to co-tenants who drive significant traffic, with no store tethered to crowded mall spaces. We seek to lease all of our stores in long-term lease agreements with third-party landlords, which typically range from 15 to 20 years. Other than stores that we may temporarily own, and for which we are in the process of executing sale-leaseback transactions, we do not own our retail locations.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February 1, 2020, the number of stores that we operated by state was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602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Number of Stores</w:t>
            </w: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Texas</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106</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Louisiana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Georgia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Alabama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Tennessee</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Oklahoma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Missouri</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Arkansas</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Mississippi</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Kansas</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Kentucky</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Indiana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3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2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r>
      <w:tr>
        <w:trPr>
          <w:trHeight w:val="20"/>
        </w:trPr>
        <w:tc>
          <w:tcPr>
            <w:tcW w:w="3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new stores average approximately 70,000 gross square feet, of which approximately 85% is dedicated to selling space. This allows us to merchandise and provide certain value-added services for the specialized nature of the merchandise we carry. These features include fishing and firearm service counters, free assembly of bicycles, grills and other products, hunting and fishing license certification, and in-store training for the use of certain of our products.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marketing strategy is designed to reinforce our broad selection of merchandise and value prices. We rely on various media to communicate with our customers including printed advertisements, television commercials and digital marketing campaigns, among others. Our print advertisements are primarily comprised of newspaper and direct mail circulars. These print advertisements consist of a broad assortment of merchandise tailored to the season of the distribution. Our television and radio advertisements are typically themed to represent the current selling season and often feature certain merchandise related to that selling season. Our digital engagement includes communicating with our customers through paid search results, various social media platforms and email.</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often create events at our stores to drive customer traffic. These events include large Grand Opening celebrations to commemorate new store openings that offer various activities, food and games and often feature local celebrities. We also create championship events when professional or collegiate sports teams in our markets win league titles. At these events we extend our store hours and offer certain commemorative merchandise. We are active members in the communities we serve, participating in 36 National Night Out events in 2019, sponsoring over 1,500 local sports teams, hosting donation events for first responders and sponsoring events for the NCAA Southeastern Conference.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80"/>
          </w:cols>
          <w:pgMar w:left="320" w:top="455" w:right="49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We periodically enter into sponsorship agreements generally with professional sports teams, associations, events, networks or individual professional players and collegiate athletic programs in exchange for marketing and advertising promotions.</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utilize data obtained from our CRM tools, which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We also utilize customer demographic data that we capture to know when our customers buy from us and what items they purchase. With 38 million customers in our database, there is ample opportunity to increase our communication directly with our customers via one-on-one marketing.</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addition to our CRM tools, our Academy Credit Card program also provides data to track our customers’ purchases across all channels, giving us the ability to better serve and target those customers.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 Centers</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operate three distribution centers in Katy, Texas, Twiggs County, Georgia and Cookeville, Tennessee. The distribution centers receive and store products from vendors and use sophisticated sorting and logistical equipment to fill the product needs of the retail store locations they serve, as well as to fulfill e-commerce orders. Our distribution centers are leased under long-term agreements. Third-party trucking companies are used to disburse inventory from the distribution centers to and from our stores. These distribution centers are strategically located throughout our footprint to efficiently serve our retail locations, and have an ability to service up to an average of 110 locations each.</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information technology systems are critical to our day-to-day operations as well as to our long-term growth strategies. Our technology is integrated across multiple functions throughout the organization, providing the data analysis, automation and solutions necessary to support our communications, inventory and supply chain management, store operations, distribution, point-of-sale, e-commerce, financial reporting and accounting functions. Our technology is the foundation of our merchandising and marketing functions; it processes our customers’ orders and integrates our e-commerce sales with stores. We are leveraging our data to make more informed decisions around inventory, marketing, and store-level operations. We have agreements with third parties to provide hosting services and administrative support for portions of our infrastructure, and utilize cloud-based systems in addition to those hosted on premises.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Team Members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February 1, 2020, we employed over 21,000 team members. Of those team members, approximately 52% were full-time and 48% were part-time. Our employment levels fluctuate over the course of the year mainly due to the seasonality of our business. None of our team members are covered by collective bargaining agreements, and we believe we have good relationships with our team members. As a result of the COVID-19 pandemic, from mid-April 2020 to early June 2020, we temporarily furloughed a significant number of our corporate, store and distribution center team members and closed our corporate headquarters, thereby causing the majority of our active corporate team members to work remotely. As of August 1, 2020, we employed approximately 21,000 team members.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are headquartered at 1800 North Mason Road, Katy, Texas, 77449, just outside of Houston. The following table sets forth the location, use and size of our corporate and distribution center facilities as of February 1, 2020: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2420" w:type="dxa"/>
            <w:vAlign w:val="bottom"/>
            <w:vMerge w:val="restart"/>
          </w:tcPr>
          <w:p>
            <w:pPr>
              <w:spacing w:after="0"/>
              <w:rPr>
                <w:sz w:val="13"/>
                <w:szCs w:val="13"/>
                <w:color w:val="auto"/>
              </w:rPr>
            </w:pPr>
          </w:p>
        </w:tc>
        <w:tc>
          <w:tcPr>
            <w:tcW w:w="12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Use</w:t>
            </w:r>
          </w:p>
        </w:tc>
        <w:tc>
          <w:tcPr>
            <w:tcW w:w="1300" w:type="dxa"/>
            <w:vAlign w:val="bottom"/>
            <w:gridSpan w:val="2"/>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80"/>
        </w:trPr>
        <w:tc>
          <w:tcPr>
            <w:tcW w:w="540" w:type="dxa"/>
            <w:vAlign w:val="bottom"/>
            <w:tcBorders>
              <w:bottom w:val="single" w:sz="8" w:color="auto"/>
            </w:tcBorders>
            <w:vMerge w:val="continue"/>
          </w:tcPr>
          <w:p>
            <w:pPr>
              <w:spacing w:after="0"/>
              <w:rPr>
                <w:sz w:val="15"/>
                <w:szCs w:val="15"/>
                <w:color w:val="auto"/>
              </w:rPr>
            </w:pPr>
          </w:p>
        </w:tc>
        <w:tc>
          <w:tcPr>
            <w:tcW w:w="242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160" w:type="dxa"/>
            <w:vAlign w:val="bottom"/>
            <w:gridSpan w:val="2"/>
            <w:vMerge w:val="continue"/>
          </w:tcPr>
          <w:p>
            <w:pPr>
              <w:spacing w:after="0"/>
              <w:rPr>
                <w:sz w:val="15"/>
                <w:szCs w:val="15"/>
                <w:color w:val="auto"/>
              </w:rPr>
            </w:pPr>
          </w:p>
        </w:tc>
        <w:tc>
          <w:tcPr>
            <w:tcW w:w="1300" w:type="dxa"/>
            <w:vAlign w:val="bottom"/>
            <w:gridSpan w:val="2"/>
          </w:tcPr>
          <w:p>
            <w:pPr>
              <w:jc w:val="right"/>
              <w:ind w:right="184"/>
              <w:spacing w:after="0" w:line="160" w:lineRule="exact"/>
              <w:rPr>
                <w:sz w:val="20"/>
                <w:szCs w:val="20"/>
                <w:color w:val="auto"/>
              </w:rPr>
            </w:pPr>
            <w:r>
              <w:rPr>
                <w:rFonts w:ascii="Times New Roman" w:cs="Times New Roman" w:eastAsia="Times New Roman" w:hAnsi="Times New Roman"/>
                <w:sz w:val="14"/>
                <w:szCs w:val="14"/>
                <w:b w:val="1"/>
                <w:bCs w:val="1"/>
                <w:color w:val="auto"/>
              </w:rPr>
              <w:t>Square Footage</w:t>
            </w:r>
          </w:p>
        </w:tc>
        <w:tc>
          <w:tcPr>
            <w:tcW w:w="0" w:type="dxa"/>
            <w:vAlign w:val="bottom"/>
          </w:tcPr>
          <w:p>
            <w:pPr>
              <w:spacing w:after="0"/>
              <w:rPr>
                <w:sz w:val="1"/>
                <w:szCs w:val="1"/>
                <w:color w:val="auto"/>
              </w:rPr>
            </w:pPr>
          </w:p>
        </w:tc>
      </w:tr>
      <w:tr>
        <w:trPr>
          <w:trHeight w:val="185"/>
        </w:trPr>
        <w:tc>
          <w:tcPr>
            <w:tcW w:w="29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Katy, Texas</w:t>
            </w:r>
          </w:p>
        </w:tc>
        <w:tc>
          <w:tcPr>
            <w:tcW w:w="1200" w:type="dxa"/>
            <w:vAlign w:val="bottom"/>
          </w:tcPr>
          <w:p>
            <w:pPr>
              <w:spacing w:after="0"/>
              <w:rPr>
                <w:sz w:val="16"/>
                <w:szCs w:val="16"/>
                <w:color w:val="auto"/>
              </w:rPr>
            </w:pPr>
          </w:p>
        </w:tc>
        <w:tc>
          <w:tcPr>
            <w:tcW w:w="22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Corporate Office Building 1</w:t>
            </w:r>
          </w:p>
        </w:tc>
        <w:tc>
          <w:tcPr>
            <w:tcW w:w="28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400,000</w:t>
            </w:r>
          </w:p>
        </w:tc>
        <w:tc>
          <w:tcPr>
            <w:tcW w:w="18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w w:val="91"/>
              </w:rPr>
              <w:t>(1)</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Katy, Texas</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Corporate Office Building 2</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Katy, Texas</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Bulk Warehouse</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Katy, Texas</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Distribution Center</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1,400,000</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Twiggs County, Georgia</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Distribution Center</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1,600,000</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Cookeville, Tennessee</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Distribution Center</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1,600,000</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Kowloon, Hong Kong</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Global Sourcing Office</w:t>
            </w:r>
          </w:p>
        </w:tc>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2007.</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2015.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2012.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2016.</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Three-year lease entered in 2017.</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lease all of our stores. Our initial store lease terms are typically 15 to 20 years with various renewal options and lease escalation structures. We believe that all of our leases are entered into at the then-prevailing market lease rates. As of February 1, 2020, our total leased store square footage was approximately 18.3 million square feet.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Our trademarks, service marks, copyrights, patents, processes, trade secrets, domain names and other intellectual property, including our Academy Sports + Outdoors brand, our owned brands, such as Academy Sports + Outdoors, Magellan Outdoors, BCG, O’rageous and Outdoor Gourmet, and our goodwill, designs, names, slogans, images and trade dress associated with these brands, are valuable assets that are critical to our success.</w:t>
      </w:r>
    </w:p>
    <w:p>
      <w:pPr>
        <w:spacing w:after="0" w:line="15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IRS, and Environmental Protection Agency and comparable state and local agencies.</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67" w:lineRule="exact"/>
        <w:rPr>
          <w:sz w:val="20"/>
          <w:szCs w:val="20"/>
          <w:color w:val="auto"/>
        </w:rPr>
      </w:pPr>
    </w:p>
    <w:p>
      <w:pPr>
        <w:ind w:left="5500" w:right="4900" w:hanging="4844"/>
        <w:spacing w:after="0" w:line="454" w:lineRule="auto"/>
        <w:tabs>
          <w:tab w:leader="none" w:pos="109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product safety, product liability or consumer protection laws; 110</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3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related to advertising, marketing, pricing and selling our products, including but not limited to firearms, ammunition, and related accessories;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laws, including wage and hour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laws or interpretations thereof, including collection of state sales tax on e-commerce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 and privacy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material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or import and export laws and regulations, including collection of tariffs on product imports;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and competition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and anti-money laundering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 and similar state and local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design and content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FCPA, UKBA and other anti-corruption laws;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exchange laws and regulations.</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sell firearms, ammunition, and related accessories. Firearms represented less than 6% of our net sales in 2019.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the future, there may be increased federal, state or local regulation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 As a result, we devote significant resources to compliance with applicable laws and regulations governing our business and the products we sell.</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18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Included in the matters discussed above are nine lawsuits filed against us between December 2017 and November 2019 in Texas state judicial courts located in Bexar County, Texas, by 79 plaintiffs on behalf of certain victims of a November 2017 shooting in Sutherland Springs, Texas. These cases, which present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substantially similar issues of law and fact, relate to the April 2016 sale by one of our stores of a firearm and magazine that were alleged to have been used in the Sutherland Springs incident. The plaintiffs seek monetary relief ranging from $1 million to over $150 million and, in some cases, injunctive relief to prohibit us from selling certain firearms in Texas to residents of states where such a sale would violate their home state’s applicable firearm laws. The Supreme Court of Texas is scheduled in October 2020 to hear oral arguments relating to our motions for summary judgement to dismiss certain of these cases, with the remainder of these cases stayed pending the Supreme Court of Texas’ decision. We believe that these cases are without merit and intend to contest them vigorously, particularly given that the sale and transfer of the firearm and the magazine complied with all applicable laws and that the purchaser passed a criminal background check at time of purchase. The ultimate outcome of these cases, however, cannot be determined at this time.</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00"/>
          </w:cols>
          <w:pgMar w:left="320" w:top="455" w:right="57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Below is a list of our executive officers, directors and director nominees, their respective ages as of September 23, 2020 and a brief account of the business experience of each of them.</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Age</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Ken</w:t>
            </w:r>
          </w:p>
        </w:tc>
        <w:tc>
          <w:tcPr>
            <w:tcW w:w="33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C. Hicks</w:t>
            </w:r>
          </w:p>
        </w:tc>
        <w:tc>
          <w:tcPr>
            <w:tcW w:w="5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 Mullican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P. Lawrence</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Merchandising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Samuel J. Johnson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Retail Operations</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D. Attaway</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S. Ennis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Chief Human Resources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Manish Maini</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Chief Information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Jamey Traywick Rutherford</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Omnichannel</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 G. Casares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T. Marley</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Vishal V. Patel</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Allen I. Questrom</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S. Simon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Nathaniel H. Taylor</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C. Tweedy</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Aileen X. Yan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To be elected to the board upon or before the consummation of this offering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Ken C. Hicks </w:t>
      </w:r>
      <w:r>
        <w:rPr>
          <w:rFonts w:ascii="Times New Roman" w:cs="Times New Roman" w:eastAsia="Times New Roman" w:hAnsi="Times New Roman"/>
          <w:sz w:val="17"/>
          <w:szCs w:val="17"/>
          <w:color w:val="auto"/>
        </w:rPr>
        <w:t>has served as the Chairman and our President and Chief Executive Officer since May 2018. Mr. Hicks has served as a member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board of managers of New Academy Holding Company, LLC since May 2017 and as a member of the board of directors of Academy Sports and Outdoors, Inc. since June 2020. Mr. Hicks served on the compensation committee of the board of managers of New Academy Holding Company, LLC from May 2017 to May 2018. Mr. Hicks previously served as President and Chief Executive Officer at Foot Locker, Inc. from August 2009 to February 2010, and also served as Chairman, President and Chief Executive Officer at Foot Locker, Inc. from February 2010 to November 2014, and as Executive Chairman at Foot Locker, Inc. from December 2014 to May 2015. Prior to joining Foot Locker, Inc., Mr. Hicks held senior positions at J.C. Penney Company, Inc., Payless ShoeSource, Home Shopping Network, May Department Stores Company, and McKinsey &amp; Company. Mr. Hicks has served on the board of directors of Avery Dennison Corporation since July 2007 and served on the board of directors of Whole Foods Market, Inc. from May 2017 to August 2017. Mr. Hicks graduated from the United States Military Academy located in West Point, NY, and served in the U.S. Army. He also earned a Masters of Business Administration with highest distinction from Harvard Business School. We believe Mr. Hicks’ qualifications to serve on our board of directors include his executive leadership and management experience and extensive business and financial experience related to the retail industry.</w:t>
      </w:r>
    </w:p>
    <w:p>
      <w:pPr>
        <w:spacing w:after="0" w:line="17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P. Mullican </w:t>
      </w:r>
      <w:r>
        <w:rPr>
          <w:rFonts w:ascii="Times New Roman" w:cs="Times New Roman" w:eastAsia="Times New Roman" w:hAnsi="Times New Roman"/>
          <w:sz w:val="18"/>
          <w:szCs w:val="18"/>
          <w:color w:val="auto"/>
        </w:rPr>
        <w:t>has served as our Executive Vice President and Chief Financial Officer since January 2018. He previously served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Vice President and General Counsel from February 2017 to January 2018. Prior to joining Academy Sports + Outdoors, Mr. Mullican served as the Managing Director of Aureus Health Services, a specialty pharmacy owned by Meijer, Inc. Before being named Managing Director at Aureus, Mr. Mullican held several leadership roles at Meijer, including Vice President of Business Development, and Vice President and Assistant General Counsel. Additionally, Mr. Mullican served as Divisional Counsel and Assistant Secretary at Family Dollar Stores, Inc., and Associate General Counsel and Assistant Secretary at Horizon Lines, Inc. Mr. Mullican holds a Bachelor of Arts in Communication from North Carolina State University and a Juris Doctor degree from the University of Chicago Law School.</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firstLine="4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Steven (Steve) P. Lawrence </w:t>
      </w:r>
      <w:r>
        <w:rPr>
          <w:rFonts w:ascii="Times New Roman" w:cs="Times New Roman" w:eastAsia="Times New Roman" w:hAnsi="Times New Roman"/>
          <w:sz w:val="17"/>
          <w:szCs w:val="17"/>
          <w:color w:val="auto"/>
        </w:rPr>
        <w:t>has served as our Executive Vice President and Chief Merchandising Officer since joining the Academy Sports +</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Outdoors team in February 2019. Prior to joining Academy Sports + Outdoors, Mr. Lawrence was President and Chief Executive Officer at francesca’s. From May 2012 to September 2016, he served as Chief Merchandising Officer at Stage Stores. Mr. Lawrence also spent nearly 12 years working in various merchandising leadership roles at J.C. Penney after 10 years at Foley’s. Mr. Lawrence also served on the board of directors of francesca’s from October 2016 to January 2019. Mr. Lawrence obtained his Bachelor of Business Administration in Finance from the University of Notre Dame.</w:t>
      </w:r>
    </w:p>
    <w:p>
      <w:pPr>
        <w:spacing w:after="0" w:line="164"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Samuel (Sam) J. Johnson </w:t>
      </w:r>
      <w:r>
        <w:rPr>
          <w:rFonts w:ascii="Times New Roman" w:cs="Times New Roman" w:eastAsia="Times New Roman" w:hAnsi="Times New Roman"/>
          <w:sz w:val="18"/>
          <w:szCs w:val="18"/>
          <w:color w:val="auto"/>
        </w:rPr>
        <w:t>has served as our Executive Vice President, Retail Operations since joining the Academy Sports + Outdoors team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2017. Prior to joining Academy Sports + Outdoors, Mr. Johnson spent seven years with hhgregg, Inc., where he most recently served as Chief Retail Officer. While at hhgregg, Inc., he led functions including store operations, customer relations, commercial sales, real estate and visual merchandising. Prior to hhgregg, Inc., he spent more than 20 years in various leadership roles with Sears Holdings Corporation, including Vice President of Small Stores.</w:t>
      </w:r>
    </w:p>
    <w:p>
      <w:pPr>
        <w:spacing w:after="0" w:line="179" w:lineRule="exact"/>
        <w:rPr>
          <w:sz w:val="20"/>
          <w:szCs w:val="20"/>
          <w:color w:val="auto"/>
        </w:rPr>
      </w:pPr>
    </w:p>
    <w:p>
      <w:pPr>
        <w:ind w:left="120" w:right="640" w:firstLine="4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Kenneth (Ken) D. Attaway </w:t>
      </w:r>
      <w:r>
        <w:rPr>
          <w:rFonts w:ascii="Times New Roman" w:cs="Times New Roman" w:eastAsia="Times New Roman" w:hAnsi="Times New Roman"/>
          <w:sz w:val="17"/>
          <w:szCs w:val="17"/>
          <w:color w:val="auto"/>
        </w:rPr>
        <w:t>has served as our Executive Vice President, Chief Operating Officer since October 2013, currently overseeing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Distribution and Logistics, Real Estate, Construction, Facilities/Maintenance, Procurement and Enterprise Program Management Office.</w:t>
      </w:r>
    </w:p>
    <w:p>
      <w:pPr>
        <w:spacing w:after="0" w:line="1"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Mr. Attaway joined the Academy Sports + Outdoors team as Executive Director of Supply Chain in January 2007 and was appointed as Vice President of Distribution and Logistics in September 2007. In February 2009, Mr. Attaway became the Executive Vice President of Distribution and Logistics, then was appointed as the Executive Vice President of Operations in May 2009 and led loss prevention, stores and the sourcing team along with his Distribution and Logistics responsibilities. Prior to joining Academy Sports + Outdoors, Mr. Attaway spent over 25 years at Dollar General and Bealls Department Stores combined, leading their supply chain teams.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(Bill) S. Ennis </w:t>
      </w:r>
      <w:r>
        <w:rPr>
          <w:rFonts w:ascii="Times New Roman" w:cs="Times New Roman" w:eastAsia="Times New Roman" w:hAnsi="Times New Roman"/>
          <w:sz w:val="18"/>
          <w:szCs w:val="18"/>
          <w:color w:val="auto"/>
        </w:rPr>
        <w:t>has served as our Senior Vice President, Chief Human Resources Officer since March 2016. Mr. Ennis joined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Academy Sports + Outdoors team as Vice President of Human Resources in April 2008 and served in that role until October 2010 when he was appointed as Senior Vice President, Human Resources. Prior to joining Academy Sports + Outdoors, Mr. Ennis spent over 19 years with Stage Stores, May Department Stores and Federated Department Stores in multiple capacities including human resources, stores, buying group, store operations and finance areas. He currently sits on advisory boards for the Texas A&amp;M Center for Retailing Studies and Texas Retailers Education Foundation, and he is also the governing body chair for the Houston HR Leadership Summit. Mr. Ennis graduated with a Bachelor of Arts in Economics from the University of Texas.</w:t>
      </w:r>
    </w:p>
    <w:p>
      <w:pPr>
        <w:spacing w:after="0" w:line="183"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Manish Maini </w:t>
      </w:r>
      <w:r>
        <w:rPr>
          <w:rFonts w:ascii="Times New Roman" w:cs="Times New Roman" w:eastAsia="Times New Roman" w:hAnsi="Times New Roman"/>
          <w:sz w:val="18"/>
          <w:szCs w:val="18"/>
          <w:color w:val="auto"/>
        </w:rPr>
        <w:t>has served as our Senior Vice President, Chief Information Officer since joining the Academy Sports + Outdoors team in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Prior to joining Academy Sports + Outdoors, he served as the Chief Information Officer and Senior Vice President at The Children’s Place U.S. where he led a 120-member team, and was responsible for the development and implementation of the company-wide IT strategy. Mr. Maini also spent nine years at Ann, Inc., formerly Ann Taylor Stores Inc., where he served in various IT leadership roles, including Vice President of Enterprise Systems. Mr. Maini holds a Bachelor of Engineering, Electronics and Communication from STJ Institute of Technology in Karnatak, India.</w:t>
      </w:r>
    </w:p>
    <w:p>
      <w:pPr>
        <w:spacing w:after="0" w:line="179"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Jamey Traywick Rutherford </w:t>
      </w:r>
      <w:r>
        <w:rPr>
          <w:rFonts w:ascii="Times New Roman" w:cs="Times New Roman" w:eastAsia="Times New Roman" w:hAnsi="Times New Roman"/>
          <w:sz w:val="18"/>
          <w:szCs w:val="18"/>
          <w:color w:val="auto"/>
        </w:rPr>
        <w:t>has served as our Senior Vice President, Omnichannel since joining the Academy Sports + Outdoors team in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Prior to joining Academy Sports + Outdoors, Ms. Traywick Rutherford spent over 17 years at AutoZone where she served in various e-commerce roles until she was promoted to AutoZone’s first Vice President, e-commerce in 2010. She was instrumental in the development and launch of AutoZone.com and AutoZonePro.com. In 2017, she transitioned to Vice President, Merchandising to leverage her digital expertise to support in-store sales initiatives. She holds a Bachelor of Science in Environmental Science from the University of Denver, and a Master of Science in e-commerce from the University of Memphis.</w:t>
      </w:r>
    </w:p>
    <w:p>
      <w:pPr>
        <w:spacing w:after="0" w:line="182"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Rene G. Casares </w:t>
      </w:r>
      <w:r>
        <w:rPr>
          <w:rFonts w:ascii="Times New Roman" w:cs="Times New Roman" w:eastAsia="Times New Roman" w:hAnsi="Times New Roman"/>
          <w:sz w:val="18"/>
          <w:szCs w:val="18"/>
          <w:color w:val="auto"/>
        </w:rPr>
        <w:t>has served as our Senior Vice President, General Counsel and Secretary since March 2018. He joined the company in July 2013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Senior Director, Associate General Counsel and served as Vice President,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Associate General Counsel and Assistant Secretary from March 2016 to March 2018. Prior to joining Academy Sports + Outdoors, Mr. Casares served as an Associate Attorney at the global law firm, Vinson &amp; Elkins LLP, from 2008 to 2013, where he advised major and middle-market companies with mergers and acquisitions, private equity, corporate governance and capital markets. He also served in a similar capacity as an Associate Attorney at the global law firm, Latham &amp; Watkins LLP, from 2006 to 2008. Additionally, Mr. Casares has a background in finance and consulting after serving as an Associate at Growth Capital Partners. L.P., a Strategy Consultant at KPMG Consulting, Inc., and an Analyst at Merrill Lynch &amp; Co. Mr. Casares holds a Bachelor of Business Administration in Finance from the University of Notre Dame and a Juris Doctor degree from Stanford Law School.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T. Marley </w:t>
      </w:r>
      <w:r>
        <w:rPr>
          <w:rFonts w:ascii="Times New Roman" w:cs="Times New Roman" w:eastAsia="Times New Roman" w:hAnsi="Times New Roman"/>
          <w:sz w:val="18"/>
          <w:szCs w:val="18"/>
          <w:color w:val="auto"/>
        </w:rPr>
        <w:t>has served as a member of the board of managers of New Academy Holding Company, LLC since January 2018 and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of the board of directors of Academy Sports and Outdoors, Inc. since June 2020. Mr. Marley is the founder and Managing Partner of Marley Associates LLC, an advisory services firm. Mr. Marley previously served as Executive Vice President and Chief Financial Officer of Belk, Inc. from 2000 to 2013. Prior to joining Belk, Mr. Marley was at KPMG LLP for 20 years, during which he was a partner for 7 years. He is a graduate of the University of North Carolina at Chapel Hill. We believe Mr. Marley’s qualifications to serve on our board of directors include his executive leadership and management experience and extensive financial experience.</w:t>
      </w:r>
    </w:p>
    <w:p>
      <w:pPr>
        <w:spacing w:after="0" w:line="18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Vishal V. Patel </w:t>
      </w:r>
      <w:r>
        <w:rPr>
          <w:rFonts w:ascii="Times New Roman" w:cs="Times New Roman" w:eastAsia="Times New Roman" w:hAnsi="Times New Roman"/>
          <w:sz w:val="18"/>
          <w:szCs w:val="18"/>
          <w:color w:val="auto"/>
        </w:rPr>
        <w:t>has served as a member of the board of managers of New Academy Holding Company, LLC since May 2015 and as a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of directors of Academy Sports and Outdoors, Inc. since June 2020. Mr. Patel is a member of the Healthcare and Retail and Consumer teams at KKR. Mr. Patel served on the board of directors of US Foods Holding Corp. from August 2015 to September 2017. Prior to joining KKR, Mr. Patel was with Moelis &amp; Company where he was involved in a variety of mergers, acquisitions and restructuring transactions. He holds a Bachelor of Science in Economics from the Wharton School at the University of Pennsylvania. We believe Mr. Patel’s qualifications to serve on our board of directors include his significant business, financial and investment experience related to the retail industry and prior involvement with KKR’s investment in the Company.</w:t>
      </w:r>
    </w:p>
    <w:p>
      <w:pPr>
        <w:spacing w:after="0" w:line="183" w:lineRule="exact"/>
        <w:rPr>
          <w:sz w:val="20"/>
          <w:szCs w:val="20"/>
          <w:color w:val="auto"/>
        </w:rPr>
      </w:pPr>
    </w:p>
    <w:p>
      <w:pPr>
        <w:ind w:left="120" w:right="60" w:firstLine="44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Allen I. Questrom </w:t>
      </w:r>
      <w:r>
        <w:rPr>
          <w:rFonts w:ascii="Times New Roman" w:cs="Times New Roman" w:eastAsia="Times New Roman" w:hAnsi="Times New Roman"/>
          <w:sz w:val="17"/>
          <w:szCs w:val="17"/>
          <w:color w:val="auto"/>
        </w:rPr>
        <w:t>has been nominated to serve on the board of directors of Academy Sports and Outdoors, Inc. Mr. Questrom has served on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board of advisors of the Robin Report since January 2010, and as a Trustee of Boston University since September 2006. He served on the board of directors of At Home Group, Inc. from March 2012 to June 2020, Tailored Brands Inc. from August 2013 to June 2017, Sotheby’s from December 2004 to June 2014, Foot Locker, Inc. from February 2011 to May 2013 and Walmart Inc. from June 2007 to June 2009. He served as a Senior Advisor for Lee Equity Partners from June 2006 to January 2018. From September 2000 through December 2004, he was the Chairman and Chief Executive Officer of J.C. Penney Company, Inc. He served on the board of Barneys New York, Inc. beginning in January 1999 and as President and Chief Executive Officer from May 1999 until September 2000 and as Chairman of the Board from May 1999 until January 2001. He was Chairman and CEO of Federated Department Stores, Inc. (now Macy’s) from February 1990 to May 1997. Mr. Questrom was Chairman and Chief Executive Officer of Neiman Marcus, Inc. from 1988 to 1990. Mr. Questrom graduated from Boston University with a Bachelor of Science in Finance and Marketing. We believe Mr. Questrom’s qualifications to serve on our board of directors include his executive leadership and management experience related to the retail industry.</w:t>
      </w:r>
    </w:p>
    <w:p>
      <w:pPr>
        <w:spacing w:after="0" w:line="16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(Bill) S. Simon </w:t>
      </w:r>
      <w:r>
        <w:rPr>
          <w:rFonts w:ascii="Times New Roman" w:cs="Times New Roman" w:eastAsia="Times New Roman" w:hAnsi="Times New Roman"/>
          <w:sz w:val="18"/>
          <w:szCs w:val="18"/>
          <w:color w:val="auto"/>
        </w:rPr>
        <w:t>has served as a member of the board of managers of New Academy Holding Company, LLC since September 2016 and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member of the board of directors of Academy Sports and Outdoors, Inc. since June 2020. Mr. Simon has also served on the board of directors of Darden Restaurants Inc. since July 2012, Chico’s FAS, Inc. since July 2016 and GameStop Corp. since March 2020. He served on the board of directors of Agrium Inc. from February 2016 to May 2017 and on the board of directors of Anixter International Inc. from March 2019 to June 2020. Mr. Simon was the President and CEO of Walmart U.S. from 2010 to 2014, and previously was appointed the COO of Walmart U.S. in 2007. Prior to joining Walmart, Mr. Simon held several senior positions at Brinker International, Diageo, Cadbury-Schweppes, PepsiCo and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55" w:right="4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RJR-Nabisco. He also served in the public sector as Secretary of the Florida Department of Management Services, appointed by Governor Jeb Bush. Mr. Simon is currently a senior advisor to KKR. Mr. Simon served 25 years in the U.S. Navy and Naval Reserves and attended the University of Connecticut, where he earned a Bachelor of Arts in Economics and a Masters of Business Administration in Management. We believe Mr. Simon’s qualifications to serve on our board of directors include his executive leadership and management experience and extensive business and financial experience related to the retail industry.</w:t>
      </w:r>
    </w:p>
    <w:p>
      <w:pPr>
        <w:spacing w:after="0" w:line="17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Nathaniel (Nate) H. Taylor </w:t>
      </w:r>
      <w:r>
        <w:rPr>
          <w:rFonts w:ascii="Times New Roman" w:cs="Times New Roman" w:eastAsia="Times New Roman" w:hAnsi="Times New Roman"/>
          <w:sz w:val="18"/>
          <w:szCs w:val="18"/>
          <w:color w:val="auto"/>
        </w:rPr>
        <w:t>has served as a member of the board of managers of New Academy Holding Company, LLC since August 2011,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as Chairman from June 2015 to May 2018, and as a member of the board of directors of Academy Sports and Outdoors, Inc. since June 2020. Mr. Taylor heads the Americas Consumer Retail team at KKR and serves on the Investment Committee within KKR’s Americas Private Equity platform. Mr. Taylor has also served on the board of directors of National Vision Holdings, Inc. since February 2014 and US Foods Holding Corp. since May 2020. Prior to joining KKR, Mr. Taylor worked at Bain Capital where he was involved with investments in the retail, health care and technology sectors. He holds a Bachelor of Arts from Dartmouth College and a Masters of Business Administration from Stanford University Graduate School of Business. We believe Mr. Taylor’s qualifications to serve on our board of directors include his significant business, financial and investment experience related to the retail industry and prior involvement with KKR’s investment in the Company.</w:t>
      </w:r>
    </w:p>
    <w:p>
      <w:pPr>
        <w:spacing w:after="0" w:line="18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C. Tweedy </w:t>
      </w:r>
      <w:r>
        <w:rPr>
          <w:rFonts w:ascii="Times New Roman" w:cs="Times New Roman" w:eastAsia="Times New Roman" w:hAnsi="Times New Roman"/>
          <w:sz w:val="18"/>
          <w:szCs w:val="18"/>
          <w:color w:val="auto"/>
        </w:rPr>
        <w:t>has been nominated to serve on the board of directors of Academy Sports and Outdoors, Inc. Mr. Tweedy has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of Sean John Clothing since November 2007, where he previously served as Executive Vice President from February 1998 to March 2005. He serves on the board of The Piney Woods School since February 2019, and the advisory board of the Fashion Institute of Technology since January 2020, where he previously studied Menswear Design and Marketing. He served as Vice President of Karl Kani Jeans from March 1993 to June 1996. Mr. Tweedy served as Vice President of Spike Lee from February 1992 to June 1993 and as East Coast Sales Manager of Ralph Lauren Womenswear from February 1990 to December 1992. We believe Mr. Tweedy’s qualifications to serve on our board of directors include his extensive executive leadership and management experience related to the retail industry.</w:t>
      </w:r>
    </w:p>
    <w:p>
      <w:pPr>
        <w:spacing w:after="0" w:line="183"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Aileen X. Yan </w:t>
      </w:r>
      <w:r>
        <w:rPr>
          <w:rFonts w:ascii="Times New Roman" w:cs="Times New Roman" w:eastAsia="Times New Roman" w:hAnsi="Times New Roman"/>
          <w:sz w:val="17"/>
          <w:szCs w:val="17"/>
          <w:color w:val="auto"/>
        </w:rPr>
        <w:t>has served as a member of the board of managers of New Academy Holding Company, LLC since November 2019 and as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member of the board of directors of Academy Sports and Outdoors, Inc. since June 2020. Ms. Yan is a member of the Retail and Consumer team at KKR. Prior to joining KKR, Ms. Yan was with Clayton, Dubilier &amp; Rice from 2013 to 2015, where she worked on investments across various industries including health care and retail. She holds a Bachelor of Science in Operations Research and Financial Engineering from Columbia University and a Master of Business Administration from Harvard Business School. We believe Ms. Yan’s qualifications to serve on our board of directors include her significant business, financial and investment experience related to the retail industry and prior involvement with KKR’s investment in the Company.</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 after this Offering</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amended and restated certificate of incorporation will provide for a classified board of directors, with three directors in Class I (expected to be Nathaniel H. Taylor, William S. Simon and Brian T. Marley), two directors in Class II (expected to be Aileen X. Yan and Allen I. Questrom) and three directors in Class III (expected to be Ken C. Hicks, Vishal V. Patel and Jeffrey C. Tweedy). See “Description of Capital Stock.”</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pursuant to the stockholders agreement we expect to enter into in connection with this offering, or the stockholders agreement, KKR Stockholders will have the right to designate nominees to our board of directors subject to the maintenance of certain ownership requirements in us. See “Certain Relationships and Related Party Transactions—Stockholders Agreement.”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80"/>
          </w:cols>
          <w:pgMar w:left="320" w:top="455" w:right="49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After the completion of this offering, KKR Stockholders, who are parties to the stockholders agreement, will continue to beneficially own shares representing more than 50% of the voting power of our shares eligible to vote in the election of directors. As a result, we will be a “controlled company” within the meaning of the corporate governance standards of Nasdaq. Under these corporate governance standards, a company of which more than 50% of the voting power is held by an individual, group or another company is a “controlled company” and may elect not to comply with certain corporate governance standards, including the requirements (1) that a majority of our board of directors consist of independent directors, (2) that our board of directors have a compensation committee that is comprised entirely of independent directors with a written charter addressing the committee’s purpose and responsibilities and (3) that our board of directors have a nominating and governance committee that is comprised entirely of independent directors with a written charter addressing the committee’s purpose and responsibilities. For at least some period following this offering, we may utilize one or more of these exemptions since our board of directors has not yet made a determination with respect to the independence of any directors.</w:t>
      </w:r>
    </w:p>
    <w:p>
      <w:pPr>
        <w:spacing w:after="0" w:line="17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the future, we expect that our board of directors will make a determination as to whether other directors, including directors associated with KKR, are independent for purposes of the corporate governance standards described above. Pending such determination, you may not have the same protections afforded to stockholders of companies that are subject to all of these corporate governance requirements. In the event that we cease to be a “controlled company” and our shares continue to be listed on Nasdaq, we will be required to comply with these standards and, depending on our board of directors’ independence determination with respect to our then-current directors, we may be required to add additional directors to our board of directors in order to achieve such compliance within the applicable transition periods.</w:t>
      </w:r>
    </w:p>
    <w:p>
      <w:pPr>
        <w:spacing w:after="0" w:line="291" w:lineRule="exact"/>
        <w:rPr>
          <w:sz w:val="20"/>
          <w:szCs w:val="20"/>
          <w:color w:val="auto"/>
        </w:rPr>
      </w:pPr>
    </w:p>
    <w:p>
      <w:pPr>
        <w:ind w:left="120" w:right="47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Board Leadership Structure and Our Board of Director’s Role in Risk Oversight </w:t>
      </w:r>
      <w:r>
        <w:rPr>
          <w:rFonts w:ascii="Times New Roman" w:cs="Times New Roman" w:eastAsia="Times New Roman" w:hAnsi="Times New Roman"/>
          <w:sz w:val="18"/>
          <w:szCs w:val="18"/>
          <w:i w:val="1"/>
          <w:iCs w:val="1"/>
          <w:color w:val="auto"/>
        </w:rPr>
        <w:t>Committees of Our Board of Directors</w:t>
      </w: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After the completion of this offering, the standing committees of our board of directors will consist of an Audit Committee, a Compensation Committee and a Nominating and Governance Committee. Our board of directors may also establish from time to time any other committees that it deems necessary or desirable.</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chief executive officer and other executive officers will regularly report to the non-executive directors and the Audit Committee, the Compensation Committee and the Nominating and Governance Committee to ensure effective and efficient oversight of our activities and to assist in proper risk management and the ongoing evaluation of management controls. We believe that the leadership structure of our board of directors provides appropriate risk oversight of our activities given the controlling interests held by KKR Stockholders.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Upon the completion of this offering, we expect to have an Audit Committee, consisting of Brian T. Marley, who will be serving as the Chair, and Vishal V. Patel and Allen I. Questrom. Mr. Questrom qualifies as an independent director under the corporate governance standards of Nasdaq and the independence requirements of Rule 10A-3 of the Securities Exchange Act of 1934, as amended, or the Exchange Act. Our board of directors has determined that each of Messrs. Marley, Patel and Questrom qualifies as an “audit committee financial expert” as such term is defined in Item 407(d)(5) of Regulation S-K.</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Audit Committee will be to prepare the audit committee report required by the SEC to be included in our proxy statement and to assist our board of directors in overseeing:</w:t>
      </w:r>
    </w:p>
    <w:p>
      <w:pPr>
        <w:spacing w:after="0" w:line="67" w:lineRule="exact"/>
        <w:rPr>
          <w:sz w:val="20"/>
          <w:szCs w:val="20"/>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financial reporting and disclosure processes;</w:t>
      </w:r>
    </w:p>
    <w:p>
      <w:pPr>
        <w:spacing w:after="0" w:line="130" w:lineRule="exact"/>
        <w:rPr>
          <w:rFonts w:ascii="Times New Roman" w:cs="Times New Roman" w:eastAsia="Times New Roman" w:hAnsi="Times New Roman"/>
          <w:sz w:val="18"/>
          <w:szCs w:val="18"/>
          <w:color w:val="auto"/>
        </w:rPr>
      </w:pPr>
    </w:p>
    <w:p>
      <w:pPr>
        <w:ind w:left="5500" w:right="2920" w:hanging="4952"/>
        <w:spacing w:after="0" w:line="454" w:lineRule="auto"/>
        <w:tabs>
          <w:tab w:leader="none" w:pos="109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and soundness of systems of disclosure and internal control established by management; 117</w:t>
      </w:r>
    </w:p>
    <w:p>
      <w:pPr>
        <w:sectPr>
          <w:pgSz w:w="11900" w:h="16838" w:orient="portrait"/>
          <w:cols w:equalWidth="0" w:num="1">
            <w:col w:w="11100"/>
          </w:cols>
          <w:pgMar w:left="320" w:top="455" w:right="47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integrity of our financial statements and the annual independent audit of our consolidated financial statements;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registered public accounting firm’s qualifications and independence;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internal audit function and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 in connection with the foregoing;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our Code of Conduct;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risk management profile.</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adopt a written charter for the Audit Committee, which will be available on our website upon the completion of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we expect to have a Compensation Committee, consisting of William S. Simon, Jeffrey C. Tweedy and Nathaniel H. Taylor, who will serve as the Chair.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 of the Compensation Committee is to assist our board of directors in discharging its responsibilities relating to:</w:t>
      </w:r>
    </w:p>
    <w:p>
      <w:pPr>
        <w:spacing w:after="0" w:line="131" w:lineRule="exact"/>
        <w:rPr>
          <w:sz w:val="20"/>
          <w:szCs w:val="20"/>
          <w:color w:val="auto"/>
        </w:rPr>
      </w:pPr>
    </w:p>
    <w:p>
      <w:pPr>
        <w:ind w:left="1080" w:right="60" w:hanging="532"/>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maintenance and administration of compensation and benefit policies designed to attract, motivate and retain personnel with the requisite skills and abilities to contribute to our long term success;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our compensation program and compensation of our executive officers, directors and key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incentive compensation and equity-based compensation plans;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succession planning for our executive officers, directors and key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with the compensation rules, regulations and guidelines promulgated by Nasdaq, the SEC and other law, as applicable; and</w:t>
      </w:r>
    </w:p>
    <w:p>
      <w:pPr>
        <w:spacing w:after="0" w:line="142"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to be included in our proxy statement under the rules and regulations of the SEC.</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adopt a written charter for the Compensation Committee, which will be available on our website upon the completion of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Nominating and Governance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completion of this offering, we expect to have a Nominating and Governance Committee, consisting of Nathaniel H. Taylor, Jeffrey 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Tweedy and Allen I. Questrom, who will serve as the Chair.</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 of the Nominating and Governance Committee is to:</w:t>
      </w:r>
    </w:p>
    <w:p>
      <w:pPr>
        <w:spacing w:after="0" w:line="131" w:lineRule="exact"/>
        <w:rPr>
          <w:sz w:val="20"/>
          <w:szCs w:val="20"/>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our board of directors concerning the appropriate composition of our board of directors and its committees;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individuals qualified to become members of our board of directors;</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our board of directors the persons to be nominated by our board of directors for election as directors at any meeting of stockholders;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our board of directors the members of our board of directors to serve on the various committees of our board of directors;</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to our board of directors a set of corporate governance guidelines and assist our board of directors in complying with them;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our board of directors, our board of directors’ committees, and management.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80"/>
          </w:cols>
          <w:pgMar w:left="320" w:top="455" w:right="49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adopt a written charter for the Nominating and Governance Committee, which will be available on our website upon the completion of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has at any time been one of our executive officers or team members.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We are parties to certain transactions with KKR Stockholders and their affiliates and certain of our directors described in the section of this prospectus entitled “Certain Relationships and Related Party Transactions.”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Code of Ethics and Business Conduct</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will adopt a new Code of Ethics and Business Conduct that applies to all of our directors, officers and team members, including our chief executive officer and chief financial and accounting officer. Our Code of Ethics and Business Conduct will be available on our website upon the completion of this offering. Our Code of Ethics and Business Conduct is a “code of ethics,” as defined in Item 406(b) of Regulation S-K. We will make any legally required disclosures regarding amendments to, or waivers of, provisions of our code of ethics on our website.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40"/>
          </w:cols>
          <w:pgMar w:left="320" w:top="455" w:right="4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ISCUSSION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NALYSIS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provides an overview of our executive compensation philosophy, the overall objectives of our executive compensation program, and each material element of compensation for the fiscal year ended February 1, 2020 (also referred to as 2019). We have provided this information for each person who served as our principal executive officer, principal financial officer and our three most highly compensated executive officers employed at the end of 2019, all of whom we refer to collectively as our Named Executive Officers.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Named Executive Officers for 2019 were:</w:t>
      </w:r>
    </w:p>
    <w:p>
      <w:pPr>
        <w:spacing w:after="0" w:line="129"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Ken C. Hicks, </w:t>
      </w:r>
      <w:r>
        <w:rPr>
          <w:rFonts w:ascii="Times New Roman" w:cs="Times New Roman" w:eastAsia="Times New Roman" w:hAnsi="Times New Roman"/>
          <w:sz w:val="18"/>
          <w:szCs w:val="18"/>
          <w:i w:val="1"/>
          <w:iCs w:val="1"/>
          <w:color w:val="auto"/>
        </w:rPr>
        <w:t>Chairman, President, and Chief Executive Officer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Michael P. Mullican, </w:t>
      </w:r>
      <w:r>
        <w:rPr>
          <w:rFonts w:ascii="Times New Roman" w:cs="Times New Roman" w:eastAsia="Times New Roman" w:hAnsi="Times New Roman"/>
          <w:sz w:val="18"/>
          <w:szCs w:val="18"/>
          <w:i w:val="1"/>
          <w:iCs w:val="1"/>
          <w:color w:val="auto"/>
        </w:rPr>
        <w:t>Executive Vice President, Chief Financial Officer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Steven (Steve) P. Lawrence, </w:t>
      </w:r>
      <w:r>
        <w:rPr>
          <w:rFonts w:ascii="Times New Roman" w:cs="Times New Roman" w:eastAsia="Times New Roman" w:hAnsi="Times New Roman"/>
          <w:sz w:val="18"/>
          <w:szCs w:val="18"/>
          <w:i w:val="1"/>
          <w:iCs w:val="1"/>
          <w:color w:val="auto"/>
        </w:rPr>
        <w:t>Executive Vice President, Chief Merchandising Officer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Samuel (Sam) J. Johnson, </w:t>
      </w:r>
      <w:r>
        <w:rPr>
          <w:rFonts w:ascii="Times New Roman" w:cs="Times New Roman" w:eastAsia="Times New Roman" w:hAnsi="Times New Roman"/>
          <w:sz w:val="18"/>
          <w:szCs w:val="18"/>
          <w:i w:val="1"/>
          <w:iCs w:val="1"/>
          <w:color w:val="auto"/>
        </w:rPr>
        <w:t>Executive Vice President, Retail Operations;</w:t>
      </w:r>
      <w:r>
        <w:rPr>
          <w:rFonts w:ascii="Times New Roman" w:cs="Times New Roman" w:eastAsia="Times New Roman" w:hAnsi="Times New Roman"/>
          <w:sz w:val="18"/>
          <w:szCs w:val="18"/>
          <w:color w:val="auto"/>
        </w:rPr>
        <w:t xml:space="preser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Kenneth (Ken) D. Attaway, </w:t>
      </w:r>
      <w:r>
        <w:rPr>
          <w:rFonts w:ascii="Times New Roman" w:cs="Times New Roman" w:eastAsia="Times New Roman" w:hAnsi="Times New Roman"/>
          <w:sz w:val="18"/>
          <w:szCs w:val="18"/>
          <w:i w:val="1"/>
          <w:iCs w:val="1"/>
          <w:color w:val="auto"/>
        </w:rPr>
        <w:t>Executive Vice President, Chief Operations Officer</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Who We Are and 2019 Business Performance Highlights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 We sell a range of sporting and outdoor recreation products, including sporting equipment, apparel, footwear, camping gear, patio furniture, outdoor cooking equipment, and hunting and fishing gear, among many others. As of February 1, 2020, we operated 259 stores that range in size from approximately 40,000 to 130,000 gross square feet, with an average size of approximately 70,000 gross square feet, throughout 16 contiguous states located primarily in the southern United States. Our stores are supported by over 20,000 team members, three distribution centers, and our rapidly growing e-commerce platform, www.academy.com.</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Highlights from 2019 include:</w:t>
      </w:r>
    </w:p>
    <w:p>
      <w:pPr>
        <w:spacing w:after="0" w:line="131" w:lineRule="exact"/>
        <w:rPr>
          <w:sz w:val="20"/>
          <w:szCs w:val="20"/>
          <w:color w:val="auto"/>
        </w:rPr>
      </w:pPr>
    </w:p>
    <w:p>
      <w:pPr>
        <w:ind w:left="1080" w:right="60" w:hanging="424"/>
        <w:spacing w:after="0" w:line="261"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$4.8 billion of net sales, $120 million of net income, $323 million of Adjusted EBITDA (a $23 million increase over 2018), $197 million of Adjusted Free Cash Flow, and return on invested capital, or ROIC Percentage, of 14.3%. See “Summary—Summary Historical Consolidated Financial and Other Data” for the definitions of Adjusted EBITDA and Adjusted Free Cash Flow and reconciliations of Adjusted EBITDA to net income and Adjusted Free Cash Flow to net cash provided by (used in) operating activities.</w:t>
      </w:r>
    </w:p>
    <w:p>
      <w:pPr>
        <w:spacing w:after="0" w:line="85"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estimate that we served 30 million customers and completed approximately 80 million transactions resulting in strong household penetration in our core markets.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e-commerce sales represented 5% of our sales, with sales growth of $17.8 million, or 7.8%, over 2018.</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80"/>
          </w:cols>
          <w:pgMar w:left="320" w:top="455" w:right="49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rolled out BOPIS to all locations, which accounted for approximately 24% of our e-commerce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opened eight new stores and renovated 11 stores.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Compensation Objectives and Philosophy</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goal of our executive officer compensation program is to create long-term value for our equityholders, reward our executive officers for superior financial and operating performance, and support retention in a competitive market environment. We believe the most effective way to achieve this objective is to design an executive officer compensation program that drives the achievement of annual, long-term and strategic goals and that aligns executive officers’ interests with those of our equityholders. The following are the core elements of our executive officer compensation philosophy:</w:t>
      </w:r>
    </w:p>
    <w:p>
      <w:pPr>
        <w:spacing w:after="0" w:line="68" w:lineRule="exact"/>
        <w:rPr>
          <w:sz w:val="20"/>
          <w:szCs w:val="20"/>
          <w:color w:val="auto"/>
        </w:rPr>
      </w:pPr>
    </w:p>
    <w:p>
      <w:pPr>
        <w:ind w:left="1080" w:right="260" w:hanging="424"/>
        <w:spacing w:after="0" w:line="290" w:lineRule="auto"/>
        <w:tabs>
          <w:tab w:leader="none" w:pos="10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Market Competitive</w:t>
      </w:r>
      <w:r>
        <w:rPr>
          <w:rFonts w:ascii="Times New Roman" w:cs="Times New Roman" w:eastAsia="Times New Roman" w:hAnsi="Times New Roman"/>
          <w:sz w:val="17"/>
          <w:szCs w:val="17"/>
          <w:color w:val="auto"/>
        </w:rPr>
        <w:t>: Compensation levels and programs for executive officers, including our Named Executive Officers, should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competitive relative to the marketplace in which we operate. It is important for us to leverage an understanding of what constitutes competitive pay in our market and build unique strategies to attract the high caliber talent we require to manage and grow the Company.</w:t>
      </w:r>
    </w:p>
    <w:p>
      <w:pPr>
        <w:spacing w:after="0" w:line="60" w:lineRule="exact"/>
        <w:rPr>
          <w:rFonts w:ascii="Times New Roman" w:cs="Times New Roman" w:eastAsia="Times New Roman" w:hAnsi="Times New Roman"/>
          <w:sz w:val="17"/>
          <w:szCs w:val="17"/>
          <w:color w:val="auto"/>
        </w:rPr>
      </w:pPr>
    </w:p>
    <w:p>
      <w:pPr>
        <w:ind w:left="1080" w:right="40" w:hanging="424"/>
        <w:spacing w:after="0" w:line="258"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Performance-Based</w:t>
      </w:r>
      <w:r>
        <w:rPr>
          <w:rFonts w:ascii="Times New Roman" w:cs="Times New Roman" w:eastAsia="Times New Roman" w:hAnsi="Times New Roman"/>
          <w:sz w:val="18"/>
          <w:szCs w:val="18"/>
          <w:color w:val="auto"/>
        </w:rPr>
        <w:t>: We believe in a pay-for-performance compensation philosophy which targets our team members to be paid at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based on their role and responsibilities. Most of our executive officer compensation should be performance-based pay that is “at risk,” based on short-term and long-term goals, which reward both organizational and individual performance. The performance targets under both our annual bonus program and our performance-based equity awards were designed to drive significant growth of our business yet still be achievable, and to focus on long-term value creation.</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4"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Equityholder Aligned</w:t>
      </w:r>
      <w:r>
        <w:rPr>
          <w:rFonts w:ascii="Times New Roman" w:cs="Times New Roman" w:eastAsia="Times New Roman" w:hAnsi="Times New Roman"/>
          <w:sz w:val="18"/>
          <w:szCs w:val="18"/>
          <w:color w:val="auto"/>
        </w:rPr>
        <w:t>: Incentives should be structured to create a strong alignment between executive officers and equityholders on both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short-term and a long-term basis.</w:t>
      </w:r>
    </w:p>
    <w:p>
      <w:pPr>
        <w:spacing w:after="0" w:line="16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charts below illustrate that the majority of each Named Executive Officer’s annual total target compensation for 2019 (i.e., base salary, annual target bonus and annual target equity grant) is performance-based and “at risk” based on the Company’s performance:</w:t>
      </w:r>
    </w:p>
    <w:p>
      <w:pPr>
        <w:spacing w:after="0" w:line="185" w:lineRule="exact"/>
        <w:rPr>
          <w:sz w:val="20"/>
          <w:szCs w:val="20"/>
          <w:color w:val="auto"/>
        </w:rPr>
      </w:pPr>
    </w:p>
    <w:p>
      <w:pPr>
        <w:ind w:left="192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Compensation Mix - CEO</w:t>
      </w:r>
      <w:r>
        <w:rPr>
          <w:sz w:val="20"/>
          <w:szCs w:val="20"/>
          <w:color w:val="auto"/>
        </w:rPr>
        <w:tab/>
      </w:r>
      <w:r>
        <w:rPr>
          <w:rFonts w:ascii="Times New Roman" w:cs="Times New Roman" w:eastAsia="Times New Roman" w:hAnsi="Times New Roman"/>
          <w:sz w:val="17"/>
          <w:szCs w:val="17"/>
          <w:b w:val="1"/>
          <w:bCs w:val="1"/>
          <w:color w:val="auto"/>
        </w:rPr>
        <w:t>Compensation Mix - Average of All Other NEOs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 of Executive Officer Compensation Program</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121" w:lineRule="exact"/>
        <w:rPr>
          <w:sz w:val="20"/>
          <w:szCs w:val="20"/>
          <w:color w:val="auto"/>
        </w:rPr>
      </w:pPr>
    </w:p>
    <w:p>
      <w:pPr>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or the Compensation Committee, of our Board of Managers, or the Board, which is comprised solely of non-employee directors, is responsible for establishing, implementing, and evaluating our executive officer compensation and benefit programs. Following this offering, the same Compensation Committee will be constituted at the level of Academy Sports and Outdoors, Inc.</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discharges the responsibilities of our Board relating to the compensation of our executive officers, including the Named Executive Officers, according to its charter. The Compensation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Committee annually evaluates the performance of our Chief Executive Officer and our other executive officers, establishes the base salaries, cash bonus awards, long-term incentive compensation opportunities, and perquisites for our Chief Executive Officer and our other executive officers, and approves (or recommends for approval by the Board) all equity awards. The Compensation Committee’s objective is to ensure that the total compensation paid to our Named Executive Officers as well as our other executive officers is fair, reasonable, and market competitive while incentivizing the creation of long-term value for our equityholders. Generally, the types of compensation and benefits provided to our Named Executive Officers are similar to those provided to other executive officers.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has overall responsibility for overseeing our compensation and benefits policies generally, overseeing, evaluating, and approving the compensation policies, practices, and plans applicable to our executive officers, determining the compensation of our Chief Executive Officer and other executive officers, determining and overseeing the process of evaluating our Chief Executive Officer’s performance, and overseeing the preparation of, reviewing, and approving this Compensation Discussion and Analysis.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the base salary levels, annual cash bonus opportunities, long-term incentive compensation opportunities, and perquisites of our executive officers, including the Named Executive Officers, each fiscal year, or more frequently as warranted. Each fiscal year, the Compensation Committee reviews our financial and operational performance and the corresponding projected payments under our annual bonus plan and the equity awards previously granted to our executive officers.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When selecting and setting the amount of each compensation element, the Compensation Committee generally considers the following factors:</w:t>
      </w:r>
    </w:p>
    <w:p>
      <w:pPr>
        <w:spacing w:after="0" w:line="131" w:lineRule="exact"/>
        <w:rPr>
          <w:sz w:val="20"/>
          <w:szCs w:val="20"/>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against the financial and operational objectives established by the Compensation Committee;</w:t>
      </w:r>
    </w:p>
    <w:p>
      <w:pPr>
        <w:spacing w:after="0" w:line="130"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executive officer’s skills, experience, and qualifications relative to other similarly-situated executive officers at the companies in our compensation peer group;</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each executive officer’s role compared to other similarly-situated executive officers at the companies in our compensation peer group;</w:t>
      </w:r>
    </w:p>
    <w:p>
      <w:pPr>
        <w:spacing w:after="0" w:line="130" w:lineRule="exact"/>
        <w:rPr>
          <w:rFonts w:ascii="Times New Roman" w:cs="Times New Roman" w:eastAsia="Times New Roman" w:hAnsi="Times New Roman"/>
          <w:sz w:val="18"/>
          <w:szCs w:val="18"/>
          <w:color w:val="auto"/>
        </w:rPr>
      </w:pPr>
    </w:p>
    <w:p>
      <w:pPr>
        <w:ind w:left="540" w:right="440" w:hanging="424"/>
        <w:spacing w:after="0" w:line="282"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each individual executive officer, based on a subjective assessment of his or her contributions to our overall performance, ability to lead his or her business unit or function, and work as part of a team, all in furtherance of our core values;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equality among our executive officers, including the Named Executive Officers (other than our Chief Executive Officer);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relative to our compensation peer group; and</w:t>
      </w:r>
    </w:p>
    <w:p>
      <w:pPr>
        <w:spacing w:after="0" w:line="130"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practices of our compensation peer group and how each executive officer’s target compensation compares to a ranking of similar positions in our compensation peer group.</w:t>
      </w:r>
    </w:p>
    <w:p>
      <w:pPr>
        <w:spacing w:after="0" w:line="162"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Historically, the Compensation Committee has recommended equity awards for each Named Executive Officer, and such awards are then granted by the Board (or its Executive Committee). Following this offering, all equity awards will be granted by the Compensation Committee. In determining the amount of long-term incentive compensation for our executive officers as part of its annual compensation review, the Compensation Committee also considers the accounting impact of the proposed awards on our earnings and the proportion of our total shares outstanding used for annual employee long-term incentive compensation awards, or burn rate, in relation to the median proportions of the companies in the retail sector benchmarks.</w:t>
      </w:r>
    </w:p>
    <w:p>
      <w:pPr>
        <w:spacing w:after="0" w:line="168"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These factors provide the framework for compensation decision-making and final decisions regarding the compensation opportunity for each executive officer. No single factor is determinative in setting pay levels, nor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320" w:top="455" w:right="4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is the impact of any factor on the determination of pay levels quantifiable. Our Compensation Committee retains significant authority to adjust compensation levels of our executive officers based on these and other factors that it may deem appropriate to achieve our overall compensation goals.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Executive Management Team for Compensation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discharging its responsibilities, the Compensation Committee works with members of our executive management team for compensation (i.e., our Chief Executive Officer, Chief Human Resources Officer, and Vice President of Compensation and Benefits). The executive management team for compensation (with input from Meridian Compensation Partners, or Meridian, the Company’s independent compensation consultant) assists the Compensation Committee by providing information on our performance and the individual performance of our executive officers, as well as market and industry data, and executive management’s perspective and recommendations on compensation matters. The Compensation Committee solicits and reviews our executive management team for compensation’s recommendations and proposals with respect to adjustments to base salaries, annual cash bonus opportunities, long-term incentive compensation opportunities, perquisites, program structures, and other compensation-related matters for our executive officers. The Compensation Committee reviews and discusses these recommendations and proposals with some or all of the members of our executive management team for compensation and uses them as one factor in determining and approving the compensation for our executive officers. In addition, the level of attainment of each individual executive officer’s performance pursuant to the Company’s Executive Team Bonus Plan (described in “—Executive Team Bonus Plan”) is recommended by our Chief Executive Officer (other than his own, which is determined by the Compensation Committee) to the Compensation Committee for its final approval. Each executive officer on the executive management team for compensation recuses himself from all Compensation Committee deliberations regarding his own compensation.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has retained Meridian, a national compensation executive compensation consulting firm, to serve as an independent compensation advisor. The Company has utilized Meridian for general input and guidance on components of our executive officer compensation program. Meridian advises the Company with respect to developing a compensation benchmarking peer group and market data for base salary, annual bonus, long-term equity compensation, and perquisites for similarly situated executive officers in the Company’s compensation peer group.</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its charter, the Compensation Committee has the authority to retain the services of external advisors, including compensation consultants, legal counsel, and other advisors, to assist in the performance of its responsibilities. Prior to this offering, the Compensation Committee has not retained its own compensation consultant but we anticipate that the Compensation Committee will engage its own independent compensation consultant either in connection with or following this offering.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2019, Meridian provided the following services to the Company:</w:t>
      </w:r>
    </w:p>
    <w:p>
      <w:pPr>
        <w:spacing w:after="0" w:line="131" w:lineRule="exact"/>
        <w:rPr>
          <w:sz w:val="20"/>
          <w:szCs w:val="20"/>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 compensation benchmarking peer group and approach that is used to develop competitive market data references.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competitive market data based on the compensation peer group for our executive officers.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base salary levels, annual cash bonus opportunities, long-term incentive compensation opportunities, and perquisites of our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an assessment of executive compensation trends within our industry.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Competitive Positioning</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purposes of comparing our executive compensation against the competitive market, the Compensation Committee reviews and considers the compensation levels and practices of a group of comparable retail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companies. In December 2018, the Compensation Committee, with the input of data and analysis from Meridian and the executive management team for compensation (i.e., our Chief Executive Officer, Chief Human Resources Officer and Vice President of Compensation and Benefits), developed and approved the following compensation peer group for purposes of understanding the competitive market:</w:t>
      </w:r>
    </w:p>
    <w:p>
      <w:pPr>
        <w:sectPr>
          <w:pgSz w:w="11900" w:h="16838" w:orient="portrait"/>
          <w:cols w:equalWidth="0" w:num="1">
            <w:col w:w="11140"/>
          </w:cols>
          <w:pgMar w:left="320" w:top="455" w:right="439" w:bottom="1440" w:gutter="0" w:footer="0" w:header="0"/>
        </w:sectPr>
      </w:pPr>
    </w:p>
    <w:p>
      <w:pPr>
        <w:spacing w:after="0" w:line="8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Advance Auto Parts, Inc.</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Ascena Retail Group,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AutoZone,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Burlington Stores,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Caleres,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Carter’s,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Dick’s Sporting Goods, Inc.</w:t>
      </w:r>
    </w:p>
    <w:p>
      <w:pPr>
        <w:spacing w:after="0" w:line="2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DSW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Foot Locker, Inc.</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GameStop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Genesco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GNC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Sally Beauty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Tailored Brands,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Michaels Companies,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Tractor Supply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Urban Outfitters,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Williams-Sonoma, Inc.</w:t>
      </w:r>
    </w:p>
    <w:p>
      <w:pPr>
        <w:spacing w:after="0" w:line="200" w:lineRule="exact"/>
        <w:rPr>
          <w:sz w:val="20"/>
          <w:szCs w:val="20"/>
          <w:color w:val="auto"/>
        </w:rPr>
      </w:pPr>
    </w:p>
    <w:p>
      <w:pPr>
        <w:sectPr>
          <w:pgSz w:w="11900" w:h="16838" w:orient="portrait"/>
          <w:cols w:equalWidth="0" w:num="2">
            <w:col w:w="5240" w:space="720"/>
            <w:col w:w="5180"/>
          </w:cols>
          <w:pgMar w:left="320" w:top="455" w:right="439" w:bottom="1440" w:gutter="0" w:footer="0" w:header="0"/>
          <w:type w:val="continuous"/>
        </w:sectPr>
      </w:pP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companies in this compensation peer group were selected using the following criteria:</w:t>
      </w:r>
    </w:p>
    <w:p>
      <w:pPr>
        <w:spacing w:after="0" w:line="131" w:lineRule="exact"/>
        <w:rPr>
          <w:sz w:val="20"/>
          <w:szCs w:val="20"/>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revenue size – 0.4x to 2.5x our last four fiscal quarters’ revenue as of the third quarter of 2018;</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primarily in the retail business;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business model and/or product.</w:t>
      </w:r>
    </w:p>
    <w:p>
      <w:pPr>
        <w:spacing w:after="0" w:line="225"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This compensation peer group was used by the Compensation Committee during 2019 as a reference for understanding the compensation practices of companies in our industry sector and compensation peer group.</w:t>
      </w:r>
    </w:p>
    <w:p>
      <w:pPr>
        <w:spacing w:after="0" w:line="162"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To analyze the compensation practices of the companies in our compensation peer group, Meridian gathered data for the peer group companies from public filings (primarily proxy statements). This market data was then used as a reference point for the Compensation Committee to assess our current compensation levels in the course of its deliberations on compensation forms and amounts.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reviews our compensation peer group at least annually and makes adjustments to its composition as necessary or appropriate, taking into account changes in both our business and the businesses of the companies in the compensation peer group.</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December 2019, the Compensation Committee, with the input of data and analysis from Meridian, approved the same compensation peer group for 2020 as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and all of our other executive officers to help ensure the retention of those executive officers who are critical to the future success of the Company. For additional information regarding our employment agreements, see “—Employment Agreements with Named Executive Officers.”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Considerations in Setting 2019 Compensation</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to attract, retain, and motivate the Company’s executive officer talent, it is critical to review the compensation of each Named Executive Officer on an annual basis in relation to the Company’s compensation peer group using the appropriate job matches by position and performance. Meridian performs executive officer compensation benchmarking analyses for the Company each year, and the Compensation Committee reviews the Company’s compensation peer group annually to ensure that there is an appropriate mix of retail companies for comparison purposes.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40"/>
          </w:cols>
          <w:pgMar w:left="320" w:top="455" w:right="439" w:bottom="1440" w:gutter="0" w:footer="0" w:header="0"/>
          <w:type w:val="continuous"/>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approving 2019 compensation for our Named Executive Officers, the Compensation Committee took into consideration the recommendation of the executive management team for compensation (i.e., our Chief Executive Officer, Chief Human Resources Officer and Vice President of Compensation and Benefits) relating to the total compensation package for our Named Executive Officers, which was determined based on guidance from Meridian regarding peer group data and position matching. Based on Company-wide operating results and the extent to which individual performance objectives were met in 2018, the Compensation Committee determined the total 2019 compensation opportunity for each of our Named Executive Officers. Our Compensation Committee believes that the total 2019 compensation opportunity for our Named Executive Officers was competitive while at the same time being responsible to our equityholders because a majority of the total 2019 compensation opportunity was allocated to variable “at risk” compensation, paid only upon achievement of both individual and Company performance objectives.</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setting executive officer compensation, the Compensation Committee generally strives to remain in the range of the 50th to 60th percentile of our compensation peer group for total annual target compensation which corresponds closely to our annual revenue placement within our peer group. For 2019: (i) total annual target compensation (i.e., base salary, annual target bonus and annual target equity grant) was between the 50th to the 60th percentile of our compensation peer group; (ii) base salary was between the 25th and 50th percentile of our compensation peer group; (iii) annual target bonuses were approximately around the 75th percentile of our compensation peer group; and (iv) the total target value of annual equity grants was between the 50th and 75th percentile of our compensation peer group.</w:t>
      </w:r>
    </w:p>
    <w:p>
      <w:pPr>
        <w:spacing w:after="0" w:line="187"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key considerations that affected the development of 2019 compensation decisions for our Named Executive Officers, and which the Compensation Committee believes will continue to affect its compensation decisions in future fiscal years:</w:t>
      </w:r>
    </w:p>
    <w:p>
      <w:pPr>
        <w:spacing w:after="0" w:line="5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Use of Market Data</w:t>
      </w:r>
      <w:r>
        <w:rPr>
          <w:rFonts w:ascii="Times New Roman" w:cs="Times New Roman" w:eastAsia="Times New Roman" w:hAnsi="Times New Roman"/>
          <w:sz w:val="18"/>
          <w:szCs w:val="18"/>
          <w:color w:val="auto"/>
        </w:rPr>
        <w:t>. We establish target compensation levels that are consistent with market practice and internal equity considerations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responsibility and contribution) relative to base salaries, cash bonuses, and long-term equity compensation, as well as with the assessment of the appropriate pay mix for a particular position. In order to gauge the competitiveness of our compensation programs, we also review compensation practices and pay opportunities from our compensation peer group. We attempt to position ourselves to attract and retain qualified executive officers in the face of competitive pressures in relevant labor markets.</w:t>
      </w:r>
    </w:p>
    <w:p>
      <w:pPr>
        <w:spacing w:after="0" w:line="18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Emphasis on Performance</w:t>
      </w:r>
      <w:r>
        <w:rPr>
          <w:rFonts w:ascii="Times New Roman" w:cs="Times New Roman" w:eastAsia="Times New Roman" w:hAnsi="Times New Roman"/>
          <w:sz w:val="18"/>
          <w:szCs w:val="18"/>
          <w:color w:val="auto"/>
        </w:rPr>
        <w:t>. Our compensation program provides increased pay opportunity correlated with superior performance over the long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When evaluating base salary, individual performance is the primary driver that determines each Named Executive Officer’s annual increase, if any. Historically, we have used both cash bonuses and performance vesting equity awards to reward Company and individual performance.</w:t>
      </w:r>
    </w:p>
    <w:p>
      <w:pPr>
        <w:spacing w:after="0" w:line="173"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Importance of Company Results</w:t>
      </w:r>
      <w:r>
        <w:rPr>
          <w:rFonts w:ascii="Times New Roman" w:cs="Times New Roman" w:eastAsia="Times New Roman" w:hAnsi="Times New Roman"/>
          <w:sz w:val="18"/>
          <w:szCs w:val="18"/>
          <w:color w:val="auto"/>
        </w:rPr>
        <w:t>. In determining the amount of cash bonus for each Named Executive Officer, we may consider performance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our success in implementing our business strategies that yield long-term benefits, such as developing a more exciting and productive experience in our stores and increasing the productivity of all of our assets. The Compensation Committee believes it is important to hold our Named Executive Officers accountable for overall Company results. Under the Company’s Executive Team Bonus Plan as in effect during 2019, 90% of the payout was tied to Company performance metrics and the remaining 10% was tied to individual performance metrics. The same weighting of Company and individual performance metrics also applies to the Executive Team Bonus Plan in effect for 2020.</w:t>
      </w:r>
    </w:p>
    <w:p>
      <w:pPr>
        <w:spacing w:after="0" w:line="18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Following the completion of this offering, we anticipate that the Compensation Committee will continue to adhere to the compensation philosophy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Compensation Policies and Practices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Either during 2019 or in connection with or following this offering where noted, we either adopted or maintained the following executive officer compensation policies and practices, which include policies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practices that we have implemented to drive performance as well as policies and practices that either prohibit or minimize behaviors that we do not believe serve our equityholders’ long-term interests:</w:t>
      </w:r>
    </w:p>
    <w:p>
      <w:pPr>
        <w:spacing w:after="0" w:line="65"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Composition of Compensation Committee</w:t>
      </w:r>
      <w:r>
        <w:rPr>
          <w:rFonts w:ascii="Times New Roman" w:cs="Times New Roman" w:eastAsia="Times New Roman" w:hAnsi="Times New Roman"/>
          <w:sz w:val="18"/>
          <w:szCs w:val="18"/>
          <w:color w:val="auto"/>
        </w:rPr>
        <w:t>. The Compensation Committee is comprised solely of nonemployee directors.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7"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Committee Advisor</w:t>
      </w:r>
      <w:r>
        <w:rPr>
          <w:rFonts w:ascii="Times New Roman" w:cs="Times New Roman" w:eastAsia="Times New Roman" w:hAnsi="Times New Roman"/>
          <w:sz w:val="18"/>
          <w:szCs w:val="18"/>
          <w:color w:val="auto"/>
        </w:rPr>
        <w:t>. We anticipate that the Compensation Committee will engage its own independent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 either in connection with or following this offering. The Company currently retains Meridian as an advisor on executive pay related items.</w:t>
      </w:r>
    </w:p>
    <w:p>
      <w:pPr>
        <w:spacing w:after="0" w:line="7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Executive Officer Compensation Review</w:t>
      </w:r>
      <w:r>
        <w:rPr>
          <w:rFonts w:ascii="Times New Roman" w:cs="Times New Roman" w:eastAsia="Times New Roman" w:hAnsi="Times New Roman"/>
          <w:sz w:val="18"/>
          <w:szCs w:val="18"/>
          <w:color w:val="auto"/>
        </w:rPr>
        <w:t>. The Compensation Committee conducted an annual review and approval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strategy, including a review and determination of our compensation peer group used for comparative purposes. In determining the base salary, bonus, long-term incentives, and perquisites for each of our Named Executive Officers, the Compensation Committee meets in March of each fiscal year to review and approve each executive officer’s compensation as compared to the Company’s compensation peer group. The Compensation Committee considers the data provided by Meridian and the recommendations provided by the Company’s executive management team for compensation and, in that context, approves the compensation for each Named Executive Officer.</w:t>
      </w:r>
    </w:p>
    <w:p>
      <w:pPr>
        <w:spacing w:after="0" w:line="88" w:lineRule="exact"/>
        <w:rPr>
          <w:rFonts w:ascii="Times New Roman" w:cs="Times New Roman" w:eastAsia="Times New Roman" w:hAnsi="Times New Roman"/>
          <w:sz w:val="18"/>
          <w:szCs w:val="18"/>
          <w:color w:val="auto"/>
        </w:rPr>
      </w:pPr>
    </w:p>
    <w:p>
      <w:pPr>
        <w:ind w:left="1080" w:right="300" w:hanging="424"/>
        <w:spacing w:after="0" w:line="267"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Executive Officer Compensation Practices</w:t>
      </w:r>
      <w:r>
        <w:rPr>
          <w:rFonts w:ascii="Times New Roman" w:cs="Times New Roman" w:eastAsia="Times New Roman" w:hAnsi="Times New Roman"/>
          <w:sz w:val="18"/>
          <w:szCs w:val="18"/>
          <w:color w:val="auto"/>
        </w:rPr>
        <w:t>. Our compensation philosophy and related corporate governance policies and practices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complemented by several specific compensation practices that are designed to align our executive officer compensation with long-term equityholder interests, including the following:</w:t>
      </w:r>
    </w:p>
    <w:p>
      <w:pPr>
        <w:spacing w:after="0" w:line="78" w:lineRule="exact"/>
        <w:rPr>
          <w:rFonts w:ascii="Times New Roman" w:cs="Times New Roman" w:eastAsia="Times New Roman" w:hAnsi="Times New Roman"/>
          <w:sz w:val="18"/>
          <w:szCs w:val="18"/>
          <w:color w:val="auto"/>
        </w:rPr>
      </w:pPr>
    </w:p>
    <w:p>
      <w:pPr>
        <w:ind w:left="1540" w:right="280" w:hanging="331"/>
        <w:spacing w:after="0" w:line="284" w:lineRule="auto"/>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Performance Review</w:t>
      </w:r>
      <w:r>
        <w:rPr>
          <w:rFonts w:ascii="Times New Roman" w:cs="Times New Roman" w:eastAsia="Times New Roman" w:hAnsi="Times New Roman"/>
          <w:sz w:val="18"/>
          <w:szCs w:val="18"/>
          <w:color w:val="auto"/>
        </w:rPr>
        <w:t>. The Compensation Committee engages in an annual performance review of each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based on our corporate results and individual performance.</w:t>
      </w:r>
    </w:p>
    <w:p>
      <w:pPr>
        <w:spacing w:after="0" w:line="63" w:lineRule="exact"/>
        <w:rPr>
          <w:rFonts w:ascii="Times New Roman" w:cs="Times New Roman" w:eastAsia="Times New Roman" w:hAnsi="Times New Roman"/>
          <w:sz w:val="18"/>
          <w:szCs w:val="18"/>
          <w:color w:val="auto"/>
        </w:rPr>
      </w:pPr>
    </w:p>
    <w:p>
      <w:pPr>
        <w:ind w:left="1540" w:hanging="331"/>
        <w:spacing w:after="0" w:line="267" w:lineRule="auto"/>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At Risk</w:t>
      </w:r>
      <w:r>
        <w:rPr>
          <w:rFonts w:ascii="Times New Roman" w:cs="Times New Roman" w:eastAsia="Times New Roman" w:hAnsi="Times New Roman"/>
          <w:sz w:val="18"/>
          <w:szCs w:val="18"/>
          <w:color w:val="auto"/>
        </w:rPr>
        <w:t>. Our executive officer compensation program is designed so that a majority of compensation is “at risk”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Company’s performance, in the form of both short-term cash and long-term equity incentives to align the interests of our executive officers and equityholders.</w:t>
      </w:r>
    </w:p>
    <w:p>
      <w:pPr>
        <w:spacing w:after="0" w:line="78" w:lineRule="exact"/>
        <w:rPr>
          <w:rFonts w:ascii="Times New Roman" w:cs="Times New Roman" w:eastAsia="Times New Roman" w:hAnsi="Times New Roman"/>
          <w:sz w:val="18"/>
          <w:szCs w:val="18"/>
          <w:color w:val="auto"/>
        </w:rPr>
      </w:pPr>
    </w:p>
    <w:p>
      <w:pPr>
        <w:ind w:left="1540" w:right="460" w:hanging="331"/>
        <w:spacing w:after="0" w:line="267" w:lineRule="auto"/>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Defined Benefit Pension or Nonqualified Deferred Compensation Plans</w:t>
      </w:r>
      <w:r>
        <w:rPr>
          <w:rFonts w:ascii="Times New Roman" w:cs="Times New Roman" w:eastAsia="Times New Roman" w:hAnsi="Times New Roman"/>
          <w:sz w:val="18"/>
          <w:szCs w:val="18"/>
          <w:color w:val="auto"/>
        </w:rPr>
        <w:t>. We do not currently offer, nor do we have plans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defined benefit pension arrangements or nonqualified deferred compensation plans or arrangements to our executive officers.</w:t>
      </w:r>
    </w:p>
    <w:p>
      <w:pPr>
        <w:spacing w:after="0" w:line="78" w:lineRule="exact"/>
        <w:rPr>
          <w:rFonts w:ascii="Times New Roman" w:cs="Times New Roman" w:eastAsia="Times New Roman" w:hAnsi="Times New Roman"/>
          <w:sz w:val="18"/>
          <w:szCs w:val="18"/>
          <w:color w:val="auto"/>
        </w:rPr>
      </w:pPr>
    </w:p>
    <w:p>
      <w:pPr>
        <w:ind w:left="1540" w:right="120" w:hanging="331"/>
        <w:spacing w:after="0" w:line="261" w:lineRule="auto"/>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Nominal Special Health or Welfare Benefits</w:t>
      </w:r>
      <w:r>
        <w:rPr>
          <w:rFonts w:ascii="Times New Roman" w:cs="Times New Roman" w:eastAsia="Times New Roman" w:hAnsi="Times New Roman"/>
          <w:sz w:val="18"/>
          <w:szCs w:val="18"/>
          <w:color w:val="auto"/>
        </w:rPr>
        <w:t>. Our executive officers participate in broad-based company-sponsored health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welfare benefits programs on the same basis as our other full-time, salaried employees. However, in order to maintain continuity of leadership by encouraging physical well-being, the Compensation Committee has approved reimbursement for annual physicals for each of the Named Executive Officers in 2019.</w:t>
      </w:r>
    </w:p>
    <w:p>
      <w:pPr>
        <w:spacing w:after="0" w:line="85" w:lineRule="exact"/>
        <w:rPr>
          <w:rFonts w:ascii="Times New Roman" w:cs="Times New Roman" w:eastAsia="Times New Roman" w:hAnsi="Times New Roman"/>
          <w:sz w:val="18"/>
          <w:szCs w:val="18"/>
          <w:color w:val="auto"/>
        </w:rPr>
      </w:pPr>
    </w:p>
    <w:p>
      <w:pPr>
        <w:ind w:left="1540" w:right="400" w:hanging="331"/>
        <w:spacing w:after="0" w:line="284" w:lineRule="auto"/>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Post-Employment Tax Reimbursements</w:t>
      </w:r>
      <w:r>
        <w:rPr>
          <w:rFonts w:ascii="Times New Roman" w:cs="Times New Roman" w:eastAsia="Times New Roman" w:hAnsi="Times New Roman"/>
          <w:sz w:val="18"/>
          <w:szCs w:val="18"/>
          <w:color w:val="auto"/>
        </w:rPr>
        <w:t>. We do not provide any tax reimbursement payments (including “gross-ups”) 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or change-in-control payments or benefits.</w:t>
      </w:r>
    </w:p>
    <w:p>
      <w:pPr>
        <w:spacing w:after="0" w:line="63" w:lineRule="exact"/>
        <w:rPr>
          <w:rFonts w:ascii="Times New Roman" w:cs="Times New Roman" w:eastAsia="Times New Roman" w:hAnsi="Times New Roman"/>
          <w:sz w:val="18"/>
          <w:szCs w:val="18"/>
          <w:color w:val="auto"/>
        </w:rPr>
      </w:pPr>
    </w:p>
    <w:p>
      <w:pPr>
        <w:ind w:left="1540" w:right="20" w:hanging="331"/>
        <w:spacing w:after="0" w:line="256" w:lineRule="auto"/>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Options Granted with Exercise Price Below Fair Market Value, with Pre-Offering Fair Market Value determined based on Third-Party Valuations</w:t>
      </w:r>
      <w:r>
        <w:rPr>
          <w:rFonts w:ascii="Times New Roman" w:cs="Times New Roman" w:eastAsia="Times New Roman" w:hAnsi="Times New Roman"/>
          <w:sz w:val="18"/>
          <w:szCs w:val="18"/>
          <w:color w:val="auto"/>
        </w:rPr>
        <w:t>. All options have been granted with exercise prices equal to the fair market value of our Membership Units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grant. We believe that such equity awards provide an appropriate long-term incentive for our executive officers, since the options reward them only to the extent that the value of our Membership Units increases and equityholders realize value following their grant date. Prior to this offering, the Board determined the fair market value of our Membership Units based on valuation reports intended to comply with the safe harbor under Section 409A of the Internal Revenue Code of 1986, as amended, or the Code, and the regulations promulgated thereunder that it received on a quarterly basis from a third party valuation expert.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540" w:right="180" w:hanging="331"/>
        <w:spacing w:after="0" w:line="261" w:lineRule="auto"/>
        <w:tabs>
          <w:tab w:leader="none" w:pos="1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Multi-Year Time Vesting and Performance Vesting Requirements for Equity Awards</w:t>
      </w:r>
      <w:r>
        <w:rPr>
          <w:rFonts w:ascii="Times New Roman" w:cs="Times New Roman" w:eastAsia="Times New Roman" w:hAnsi="Times New Roman"/>
          <w:sz w:val="18"/>
          <w:szCs w:val="18"/>
          <w:color w:val="auto"/>
        </w:rPr>
        <w:t>. The options and restricted units granted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vest over multi-year periods, consistent with current market practice and our retention objectives. In addition, certain options granted to our executive officers are subject to performance-based vesting requirements, and restricted units are subject to a liquidity event vesting requirement.</w:t>
      </w:r>
    </w:p>
    <w:p>
      <w:pPr>
        <w:spacing w:after="0" w:line="85" w:lineRule="exact"/>
        <w:rPr>
          <w:rFonts w:ascii="Times New Roman" w:cs="Times New Roman" w:eastAsia="Times New Roman" w:hAnsi="Times New Roman"/>
          <w:sz w:val="18"/>
          <w:szCs w:val="18"/>
          <w:color w:val="auto"/>
        </w:rPr>
      </w:pPr>
    </w:p>
    <w:p>
      <w:pPr>
        <w:ind w:left="1540" w:right="620" w:hanging="331"/>
        <w:spacing w:after="0" w:line="284" w:lineRule="auto"/>
        <w:tabs>
          <w:tab w:leader="none" w:pos="1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Hedging and Pledging Prohibited</w:t>
      </w:r>
      <w:r>
        <w:rPr>
          <w:rFonts w:ascii="Times New Roman" w:cs="Times New Roman" w:eastAsia="Times New Roman" w:hAnsi="Times New Roman"/>
          <w:sz w:val="18"/>
          <w:szCs w:val="18"/>
          <w:color w:val="auto"/>
        </w:rPr>
        <w:t>. We prohibit our executive officers from hedging our securities, pledging our securities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for loans, or holding our securities in margin accounts.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Elements of 2019 Compensation Program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three key elements of our executive officer compensation program for our Named Executive Officers:</w:t>
      </w:r>
    </w:p>
    <w:p>
      <w:pPr>
        <w:spacing w:after="0" w:line="246" w:lineRule="exact"/>
        <w:rPr>
          <w:sz w:val="20"/>
          <w:szCs w:val="20"/>
          <w:color w:val="auto"/>
        </w:rPr>
      </w:pPr>
    </w:p>
    <w:p>
      <w:pPr>
        <w:ind w:left="120"/>
        <w:spacing w:after="0"/>
        <w:tabs>
          <w:tab w:leader="none" w:pos="1980" w:val="left"/>
          <w:tab w:leader="none" w:pos="6820" w:val="left"/>
        </w:tabs>
        <w:rPr>
          <w:sz w:val="20"/>
          <w:szCs w:val="20"/>
          <w:color w:val="auto"/>
        </w:rPr>
      </w:pPr>
      <w:r>
        <w:rPr>
          <w:rFonts w:ascii="Times New Roman" w:cs="Times New Roman" w:eastAsia="Times New Roman" w:hAnsi="Times New Roman"/>
          <w:sz w:val="14"/>
          <w:szCs w:val="14"/>
          <w:b w:val="1"/>
          <w:bCs w:val="1"/>
          <w:color w:val="auto"/>
        </w:rPr>
        <w:t>Component</w:t>
      </w:r>
      <w:r>
        <w:rPr>
          <w:sz w:val="20"/>
          <w:szCs w:val="20"/>
          <w:color w:val="auto"/>
        </w:rPr>
        <w:tab/>
      </w:r>
      <w:r>
        <w:rPr>
          <w:rFonts w:ascii="Times New Roman" w:cs="Times New Roman" w:eastAsia="Times New Roman" w:hAnsi="Times New Roman"/>
          <w:sz w:val="14"/>
          <w:szCs w:val="14"/>
          <w:b w:val="1"/>
          <w:bCs w:val="1"/>
          <w:color w:val="auto"/>
        </w:rPr>
        <w:t>Purpose</w:t>
      </w:r>
      <w:r>
        <w:rPr>
          <w:sz w:val="20"/>
          <w:szCs w:val="20"/>
          <w:color w:val="auto"/>
        </w:rPr>
        <w:tab/>
      </w:r>
      <w:r>
        <w:rPr>
          <w:rFonts w:ascii="Times New Roman" w:cs="Times New Roman" w:eastAsia="Times New Roman" w:hAnsi="Times New Roman"/>
          <w:sz w:val="14"/>
          <w:szCs w:val="14"/>
          <w:b w:val="1"/>
          <w:bCs w:val="1"/>
          <w:color w:val="auto"/>
        </w:rPr>
        <w:t>Overview</w:t>
      </w:r>
    </w:p>
    <w:p>
      <w:pPr>
        <w:sectPr>
          <w:pgSz w:w="11900" w:h="16838" w:orient="portrait"/>
          <w:cols w:equalWidth="0" w:num="1">
            <w:col w:w="11100"/>
          </w:cols>
          <w:pgMar w:left="320" w:top="455" w:right="479" w:bottom="1440" w:gutter="0" w:footer="0" w:header="0"/>
        </w:sectPr>
      </w:pP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7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r>
      <w:tr>
        <w:trPr>
          <w:trHeight w:val="201"/>
        </w:trPr>
        <w:tc>
          <w:tcPr>
            <w:tcW w:w="18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i w:val="1"/>
                <w:iCs w:val="1"/>
                <w:color w:val="auto"/>
              </w:rPr>
              <w:t>Base salary</w:t>
            </w:r>
          </w:p>
        </w:tc>
        <w:tc>
          <w:tcPr>
            <w:tcW w:w="2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Compensate for services rendered each year</w:t>
            </w:r>
          </w:p>
        </w:tc>
      </w:tr>
      <w:tr>
        <w:trPr>
          <w:trHeight w:val="393"/>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Annual cash</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Encourage achievement of our corporate performance</w:t>
            </w:r>
          </w:p>
        </w:tc>
      </w:tr>
      <w:tr>
        <w:trPr>
          <w:trHeight w:val="218"/>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incentive bonus</w:t>
            </w:r>
          </w:p>
        </w:tc>
        <w:tc>
          <w:tcPr>
            <w:tcW w:w="20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objectives</w:t>
            </w:r>
          </w:p>
        </w:tc>
      </w:tr>
      <w:tr>
        <w:trPr>
          <w:trHeight w:val="216"/>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Reward those individuals who significantly impact our</w:t>
            </w:r>
          </w:p>
        </w:tc>
      </w:tr>
      <w:tr>
        <w:trPr>
          <w:trHeight w:val="234"/>
        </w:trPr>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results</w:t>
            </w:r>
          </w:p>
        </w:tc>
      </w:tr>
      <w:tr>
        <w:trPr>
          <w:trHeight w:val="641"/>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Long-term equity</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Align executive officer and equityholder interests by</w:t>
            </w:r>
          </w:p>
        </w:tc>
      </w:tr>
      <w:tr>
        <w:trPr>
          <w:trHeight w:val="218"/>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incentives</w:t>
            </w:r>
          </w:p>
        </w:tc>
        <w:tc>
          <w:tcPr>
            <w:tcW w:w="20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creating a link between executive compensation and our</w:t>
            </w:r>
          </w:p>
        </w:tc>
      </w:tr>
      <w:tr>
        <w:trPr>
          <w:trHeight w:val="234"/>
        </w:trPr>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performance</w:t>
            </w: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361" w:right="260" w:hanging="361"/>
        <w:spacing w:after="0" w:line="261" w:lineRule="auto"/>
        <w:tabs>
          <w:tab w:leader="none" w:pos="34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position, experience, job responsibilities, and performance</w:t>
      </w:r>
    </w:p>
    <w:p>
      <w:pPr>
        <w:ind w:left="341" w:hanging="341"/>
        <w:spacing w:after="0"/>
        <w:tabs>
          <w:tab w:leader="none" w:pos="34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performance (90% weighting)</w:t>
      </w:r>
    </w:p>
    <w:p>
      <w:pPr>
        <w:spacing w:after="0" w:line="9" w:lineRule="exact"/>
        <w:rPr>
          <w:rFonts w:ascii="Times New Roman" w:cs="Times New Roman" w:eastAsia="Times New Roman" w:hAnsi="Times New Roman"/>
          <w:sz w:val="18"/>
          <w:szCs w:val="18"/>
          <w:color w:val="auto"/>
        </w:rPr>
      </w:pPr>
    </w:p>
    <w:p>
      <w:pPr>
        <w:ind w:left="721" w:right="740" w:hanging="361"/>
        <w:spacing w:after="0" w:line="250" w:lineRule="auto"/>
        <w:tabs>
          <w:tab w:leader="none" w:pos="70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Company EBITDA Dollars (40% weighting)</w:t>
      </w:r>
    </w:p>
    <w:p>
      <w:pPr>
        <w:ind w:left="701" w:hanging="341"/>
        <w:spacing w:after="0"/>
        <w:tabs>
          <w:tab w:leader="none" w:pos="70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Company Sales (weighted 40%)</w:t>
      </w:r>
    </w:p>
    <w:p>
      <w:pPr>
        <w:spacing w:after="0" w:line="9" w:lineRule="exact"/>
        <w:rPr>
          <w:rFonts w:ascii="Times New Roman" w:cs="Times New Roman" w:eastAsia="Times New Roman" w:hAnsi="Times New Roman"/>
          <w:sz w:val="18"/>
          <w:szCs w:val="18"/>
          <w:color w:val="auto"/>
        </w:rPr>
      </w:pPr>
    </w:p>
    <w:p>
      <w:pPr>
        <w:ind w:left="701" w:hanging="341"/>
        <w:spacing w:after="0"/>
        <w:tabs>
          <w:tab w:leader="none" w:pos="70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ROIC Percentage (weighted 10%)</w:t>
      </w:r>
    </w:p>
    <w:p>
      <w:pPr>
        <w:spacing w:after="0" w:line="9"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(10% weighting)</w:t>
      </w:r>
    </w:p>
    <w:p>
      <w:pPr>
        <w:spacing w:after="0" w:line="9"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w:t>
      </w:r>
    </w:p>
    <w:p>
      <w:pPr>
        <w:spacing w:after="0" w:line="22"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-1382395</wp:posOffset>
            </wp:positionV>
            <wp:extent cx="27260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423" w:lineRule="exact"/>
        <w:rPr>
          <w:sz w:val="20"/>
          <w:szCs w:val="20"/>
          <w:color w:val="auto"/>
        </w:rPr>
      </w:pPr>
    </w:p>
    <w:p>
      <w:pPr>
        <w:sectPr>
          <w:pgSz w:w="11900" w:h="16838" w:orient="portrait"/>
          <w:cols w:equalWidth="0" w:num="2">
            <w:col w:w="6620" w:space="219"/>
            <w:col w:w="4261"/>
          </w:cols>
          <w:pgMar w:left="320" w:top="455" w:right="479" w:bottom="1440" w:gutter="0" w:footer="0" w:header="0"/>
          <w:type w:val="continuous"/>
        </w:sect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 addition to these key compensation elements, our Named Executive Officers are provided certain other compensation including perquisites and other benefits, as described in “—Other Compensation.”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pay our Named Executive Officers base salaries to compensate them for services rendered each year. Base salary is a regular cash payment, the amount of which is based on position, experience, job responsibilities, and performance after considering the following primary factors: internal review of the executive officer’s compensation, relative to both U.S. national market targets and other compensation peer group executive officers’ salaries, and the Compensation Committee’s assessment of the executive officer’s individual prior performance and internal pay equity. Salary levels are typically considered annually as part of our performance review process but can be adjusted in connection with a promotion or other change in job responsibility.</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March 2019, in connection with its annual review of our executive officer compensation program, the Compensation Committee evaluated the base salaries of our executive officers, including the Named Executive Officers other than Mr. Lawrence (who commenced employment with us on February 11, 2019 and whose base salary was determined in connection with the negotiation of the employment agreement he entered into when he joined our Company), taking into consideration the competitive market analysis prepared by Meridian, the recommendations of the executive management team for compensation (i.e., our Chief Executive Officer, Chief Human Resources Officer and Vice President of Compensation and Benefits), and the other factors described above in “Governance of Executive Compensation Program.” Following this review, the Compensation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00"/>
          </w:cols>
          <w:pgMar w:left="320" w:top="455" w:right="479" w:bottom="1440" w:gutter="0" w:footer="0" w:header="0"/>
          <w:type w:val="continuous"/>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Committee determined to increase the base salaries of our executive officers, other than our Mr. Hicks and Mr. Lawrence, to better position their compensation against the competitive market. The Compensation Committee considered but did not make a base salary increase for Mr. Hicks because he declined an increase for 2019. All base salary increases were effective from the date approved by the Compensation Committee and did not apply retroactively from the beginning of the fiscal year.</w:t>
      </w:r>
    </w:p>
    <w:p>
      <w:pPr>
        <w:spacing w:after="0" w:line="180"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Effective on October 20, 2019, the Compensation Committee increased the base salary of Mr. Lawrence from $685,000 to $705,000 and of Mr. Johnson from $459,500 to $480,000, reflecting the increased responsibility assumed by Mr. Lawrence for all marketing operations and by Mr. Johnson for our customer care operations during 2019 and again without retroactive effect.</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base salaries of the Named Executive Officers for fiscal years 2018 and 2019, in each case at rate in effect on the last day of such fiscal year. The actual salary amounts earned by the Named Executive Officers for 2019 are reported in the Summary Compensation Table.</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20" w:type="dxa"/>
            <w:vAlign w:val="bottom"/>
            <w:vMerge w:val="restart"/>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2018 Base</w:t>
            </w: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2019 Base</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122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Salary ($)</w:t>
            </w:r>
          </w:p>
        </w:tc>
        <w:tc>
          <w:tcPr>
            <w:tcW w:w="124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Salary ($)</w:t>
            </w: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Ken C. Hicks</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1,100,000</w:t>
            </w:r>
          </w:p>
        </w:tc>
        <w:tc>
          <w:tcPr>
            <w:tcW w:w="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1,100,000</w:t>
            </w: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ind w:left="297"/>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 Mullican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489,500</w:t>
            </w:r>
          </w:p>
        </w:tc>
        <w:tc>
          <w:tcPr>
            <w:tcW w:w="420" w:type="dxa"/>
            <w:vAlign w:val="bottom"/>
          </w:tcPr>
          <w:p>
            <w:pPr>
              <w:spacing w:after="0"/>
              <w:rPr>
                <w:sz w:val="18"/>
                <w:szCs w:val="18"/>
                <w:color w:val="auto"/>
              </w:rPr>
            </w:pPr>
          </w:p>
        </w:tc>
        <w:tc>
          <w:tcPr>
            <w:tcW w:w="72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P. Lawrence</w:t>
            </w: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705,000</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17"/>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 J. Johnson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446,250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420" w:type="dxa"/>
            <w:vAlign w:val="bottom"/>
          </w:tcPr>
          <w:p>
            <w:pPr>
              <w:spacing w:after="0"/>
              <w:rPr>
                <w:sz w:val="18"/>
                <w:szCs w:val="18"/>
                <w:color w:val="auto"/>
              </w:rPr>
            </w:pPr>
          </w:p>
        </w:tc>
        <w:tc>
          <w:tcPr>
            <w:tcW w:w="72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D. Attaway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435,000</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448,000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317"/>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March 2020, in connection with its annual review of our executive officer compensation program, the Compensation Committee increased the base salary of each Named Executive Officer (except Mr. Hicks, who declined an increase), reflecting the Compensation Committee’s assessment of the executive’s individual contributions and performance during the 2019 . In order to bring the base salaries of the Named Executive Officers closer to the 50th percentile of our compensation peer group, the Compensation Committee increased the base salary of Mr. Mullican to $508,000, Mr. Lawrence to $730,000, Mr. Johnson to $498,500, and Mr. Attaway to $465,500.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Team Bonus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seek to have a significant portion of the compensation of our executive officers, including the Named Executive Officers, tied to performance.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accomplish this objective, we provide our executive officers with the opportunity to earn cash bonuses to encourage the achievement of both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and individual performance objectives and to reward those individuals who significantly impact our corporate results.</w:t>
      </w:r>
    </w:p>
    <w:p>
      <w:pPr>
        <w:spacing w:after="0" w:line="20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March 2019, the Compensation Committee approved the Executive Team Bonus Plan, an incentive bonus plan which provided an opportunity for our executive officers, including the Named Executive Officers, to earn annual cash bonuses based on our ability to achieve both Company and individual performance objectives. The Compensation Committee approves the performance goals for each year’s Executive Team Bonus Plan and believes that the targets it set for 2019 were challenging to achieve and reasonable and fairly incentivized participants. By setting the targets described below, the Compensation Committee established what it believed were stretch goals that would incentivize and reward exceptional employee performance without any guarantee that we would meet or exceed any such metrics in the prevailing business environment. The level of attainment of Company performance targets, other than total Company Adjusted EBITDA dollars, or Total Company EBITDA Dollars, and total Company sales, and of individual performance targets, other than his own, are recommended by Mr. Hicks to the Compensation Committee for its final approval.</w:t>
      </w:r>
    </w:p>
    <w:p>
      <w:pPr>
        <w:spacing w:after="0" w:line="19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metrics, the weighting of each metric and the minimum, target, and maximum levels of achievement (in each case, expressed as a percentage of the target payout), as well as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80"/>
          </w:cols>
          <w:pgMar w:left="320" w:top="455" w:right="49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percentage of target bonus payout to each of the Chief Executive Officer and all other Named Executive Officers at each level of achievement (expressed as a percentage of their target bonus opportunity) under the Executive Team Bonus Plan. For the Company performance metrics, we use linear interpolation to determine the payout percentage where the level of achievement falls between minimum and target or target and maximum levels of achievement. For executive officers to be eligible for any bonus payout, the Company must achieve a minimum actual Adjusted EBITDA dollars result of 80% of the Total Company EBITDA Dollars target as set and approved by the Compensation Committee.</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Level of Achievement</w:t>
            </w:r>
          </w:p>
        </w:tc>
        <w:tc>
          <w:tcPr>
            <w:tcW w:w="2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of Target Bonus Payout</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Metrics</w:t>
            </w:r>
          </w:p>
        </w:tc>
        <w:tc>
          <w:tcPr>
            <w:tcW w:w="220" w:type="dxa"/>
            <w:vAlign w:val="bottom"/>
          </w:tcPr>
          <w:p>
            <w:pPr>
              <w:spacing w:after="0"/>
              <w:rPr>
                <w:sz w:val="10"/>
                <w:szCs w:val="10"/>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Weighting</w:t>
            </w: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00" w:type="dxa"/>
            <w:vAlign w:val="bottom"/>
          </w:tcPr>
          <w:p>
            <w:pPr>
              <w:spacing w:after="0"/>
              <w:rPr>
                <w:sz w:val="10"/>
                <w:szCs w:val="10"/>
                <w:color w:val="auto"/>
              </w:rPr>
            </w:pPr>
          </w:p>
        </w:tc>
        <w:tc>
          <w:tcPr>
            <w:tcW w:w="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CEO</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Others</w:t>
            </w:r>
          </w:p>
        </w:tc>
        <w:tc>
          <w:tcPr>
            <w:tcW w:w="0" w:type="dxa"/>
            <w:vAlign w:val="bottom"/>
          </w:tcPr>
          <w:p>
            <w:pPr>
              <w:spacing w:after="0"/>
              <w:rPr>
                <w:sz w:val="1"/>
                <w:szCs w:val="1"/>
                <w:color w:val="auto"/>
              </w:rPr>
            </w:pPr>
          </w:p>
        </w:tc>
      </w:tr>
      <w:tr>
        <w:trPr>
          <w:trHeight w:val="119"/>
        </w:trPr>
        <w:tc>
          <w:tcPr>
            <w:tcW w:w="10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80" w:type="dxa"/>
            <w:vAlign w:val="bottom"/>
            <w:tcBorders>
              <w:top w:val="single" w:sz="8" w:color="auto"/>
            </w:tcBorders>
            <w:shd w:val="clear" w:color="auto" w:fill="CCEEFF"/>
          </w:tcPr>
          <w:p>
            <w:pPr>
              <w:spacing w:after="0"/>
              <w:rPr>
                <w:sz w:val="10"/>
                <w:szCs w:val="10"/>
                <w:color w:val="auto"/>
              </w:rPr>
            </w:pPr>
          </w:p>
        </w:tc>
        <w:tc>
          <w:tcPr>
            <w:tcW w:w="290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Total Company EBITDA Dollars</w:t>
            </w:r>
          </w:p>
        </w:tc>
        <w:tc>
          <w:tcPr>
            <w:tcW w:w="2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40%</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90%</w:t>
            </w: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w:t>
            </w:r>
          </w:p>
        </w:tc>
        <w:tc>
          <w:tcPr>
            <w:tcW w:w="2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110%</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50%</w:t>
            </w:r>
          </w:p>
        </w:tc>
        <w:tc>
          <w:tcPr>
            <w:tcW w:w="2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300%</w:t>
            </w: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65"/>
        </w:trPr>
        <w:tc>
          <w:tcPr>
            <w:tcW w:w="106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900" w:type="dxa"/>
            <w:vAlign w:val="bottom"/>
            <w:vMerge w:val="restart"/>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Company Sales</w:t>
            </w:r>
          </w:p>
        </w:tc>
        <w:tc>
          <w:tcPr>
            <w:tcW w:w="840" w:type="dxa"/>
            <w:vAlign w:val="bottom"/>
            <w:gridSpan w:val="2"/>
            <w:vMerge w:val="restart"/>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00" w:type="dxa"/>
            <w:vAlign w:val="bottom"/>
            <w:shd w:val="clear" w:color="auto" w:fill="CCEEFF"/>
          </w:tcPr>
          <w:p>
            <w:pPr>
              <w:spacing w:after="0"/>
              <w:rPr>
                <w:sz w:val="5"/>
                <w:szCs w:val="5"/>
                <w:color w:val="auto"/>
              </w:rPr>
            </w:pPr>
          </w:p>
        </w:tc>
        <w:tc>
          <w:tcPr>
            <w:tcW w:w="74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00" w:type="dxa"/>
            <w:vAlign w:val="bottom"/>
            <w:shd w:val="clear" w:color="auto" w:fill="CCEEFF"/>
          </w:tcPr>
          <w:p>
            <w:pPr>
              <w:spacing w:after="0"/>
              <w:rPr>
                <w:sz w:val="5"/>
                <w:szCs w:val="5"/>
                <w:color w:val="auto"/>
              </w:rPr>
            </w:pPr>
          </w:p>
        </w:tc>
        <w:tc>
          <w:tcPr>
            <w:tcW w:w="72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spacing w:after="0"/>
              <w:rPr>
                <w:sz w:val="5"/>
                <w:szCs w:val="5"/>
                <w:color w:val="auto"/>
              </w:rPr>
            </w:pPr>
          </w:p>
        </w:tc>
        <w:tc>
          <w:tcPr>
            <w:tcW w:w="70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200" w:type="dxa"/>
            <w:vAlign w:val="bottom"/>
            <w:shd w:val="clear" w:color="auto" w:fill="CCEEFF"/>
          </w:tcPr>
          <w:p>
            <w:pPr>
              <w:spacing w:after="0"/>
              <w:rPr>
                <w:sz w:val="5"/>
                <w:szCs w:val="5"/>
                <w:color w:val="auto"/>
              </w:rPr>
            </w:pPr>
          </w:p>
        </w:tc>
        <w:tc>
          <w:tcPr>
            <w:tcW w:w="64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620" w:type="dxa"/>
            <w:vAlign w:val="bottom"/>
            <w:gridSpan w:val="2"/>
            <w:vMerge w:val="restart"/>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5"/>
                <w:szCs w:val="5"/>
                <w:color w:val="auto"/>
              </w:rPr>
            </w:pPr>
          </w:p>
        </w:tc>
        <w:tc>
          <w:tcPr>
            <w:tcW w:w="64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00" w:type="dxa"/>
            <w:vAlign w:val="bottom"/>
            <w:shd w:val="clear" w:color="auto" w:fill="CCEEFF"/>
          </w:tcPr>
          <w:p>
            <w:pPr>
              <w:spacing w:after="0"/>
              <w:rPr>
                <w:sz w:val="5"/>
                <w:szCs w:val="5"/>
                <w:color w:val="auto"/>
              </w:rPr>
            </w:pPr>
          </w:p>
        </w:tc>
        <w:tc>
          <w:tcPr>
            <w:tcW w:w="66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83"/>
        </w:trPr>
        <w:tc>
          <w:tcPr>
            <w:tcW w:w="10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80" w:type="dxa"/>
            <w:vAlign w:val="bottom"/>
            <w:shd w:val="clear" w:color="auto" w:fill="CCEEFF"/>
          </w:tcPr>
          <w:p>
            <w:pPr>
              <w:spacing w:after="0"/>
              <w:rPr>
                <w:sz w:val="7"/>
                <w:szCs w:val="7"/>
                <w:color w:val="auto"/>
              </w:rPr>
            </w:pPr>
          </w:p>
        </w:tc>
        <w:tc>
          <w:tcPr>
            <w:tcW w:w="2900" w:type="dxa"/>
            <w:vAlign w:val="bottom"/>
            <w:vMerge w:val="continue"/>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62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6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ROIC %</w:t>
            </w:r>
          </w:p>
        </w:tc>
        <w:tc>
          <w:tcPr>
            <w:tcW w:w="840" w:type="dxa"/>
            <w:vAlign w:val="bottom"/>
            <w:gridSpan w:val="2"/>
            <w:vMerge w:val="restart"/>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w:t>
            </w:r>
          </w:p>
        </w:tc>
        <w:tc>
          <w:tcPr>
            <w:tcW w:w="2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110%</w:t>
            </w:r>
          </w:p>
        </w:tc>
        <w:tc>
          <w:tcPr>
            <w:tcW w:w="2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620" w:type="dxa"/>
            <w:vAlign w:val="bottom"/>
            <w:gridSpan w:val="2"/>
            <w:vMerge w:val="restart"/>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w:t>
            </w:r>
          </w:p>
        </w:tc>
        <w:tc>
          <w:tcPr>
            <w:tcW w:w="2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64"/>
        </w:trPr>
        <w:tc>
          <w:tcPr>
            <w:tcW w:w="1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900" w:type="dxa"/>
            <w:vAlign w:val="bottom"/>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62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Does not</w:t>
            </w: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Meets</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10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90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Individual Goals</w:t>
            </w:r>
          </w:p>
        </w:tc>
        <w:tc>
          <w:tcPr>
            <w:tcW w:w="840" w:type="dxa"/>
            <w:vAlign w:val="bottom"/>
            <w:gridSpan w:val="2"/>
            <w:vMerge w:val="restart"/>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5"/>
                <w:szCs w:val="5"/>
                <w:color w:val="auto"/>
              </w:rPr>
            </w:pPr>
          </w:p>
        </w:tc>
        <w:tc>
          <w:tcPr>
            <w:tcW w:w="9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meet all</w:t>
            </w:r>
          </w:p>
        </w:tc>
        <w:tc>
          <w:tcPr>
            <w:tcW w:w="940" w:type="dxa"/>
            <w:vAlign w:val="bottom"/>
            <w:gridSpan w:val="2"/>
            <w:vMerge w:val="continue"/>
          </w:tcPr>
          <w:p>
            <w:pPr>
              <w:spacing w:after="0"/>
              <w:rPr>
                <w:sz w:val="5"/>
                <w:szCs w:val="5"/>
                <w:color w:val="auto"/>
              </w:rPr>
            </w:pPr>
          </w:p>
        </w:tc>
        <w:tc>
          <w:tcPr>
            <w:tcW w:w="90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620" w:type="dxa"/>
            <w:vAlign w:val="bottom"/>
            <w:gridSpan w:val="2"/>
            <w:vMerge w:val="restart"/>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5"/>
                <w:szCs w:val="5"/>
                <w:color w:val="auto"/>
              </w:rPr>
            </w:pPr>
          </w:p>
        </w:tc>
        <w:tc>
          <w:tcPr>
            <w:tcW w:w="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0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83"/>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8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expectations</w:t>
            </w:r>
          </w:p>
        </w:tc>
        <w:tc>
          <w:tcPr>
            <w:tcW w:w="9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expectations</w:t>
            </w:r>
          </w:p>
        </w:tc>
        <w:tc>
          <w:tcPr>
            <w:tcW w:w="94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Company Performance Metrics</w:t>
      </w:r>
    </w:p>
    <w:p>
      <w:pPr>
        <w:spacing w:after="0" w:line="119" w:lineRule="exact"/>
        <w:rPr>
          <w:sz w:val="20"/>
          <w:szCs w:val="20"/>
          <w:color w:val="auto"/>
        </w:rPr>
      </w:pPr>
    </w:p>
    <w:p>
      <w:pPr>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Under the Executive Team Bonus Plan, there is a Company performance component that represents 90% of each Named Executive Officer’s annual bonus opportunity. The Company performance metrics and weighting of total target bonus under the Executive Team Bonus Plan for 2019 were as follows for the Named Executive Officers: (i) Total Company EBITDA Dollars weighted at 40%; (ii) total Company sales weighted at 40%; and</w:t>
      </w:r>
    </w:p>
    <w:p>
      <w:pPr>
        <w:spacing w:after="0" w:line="2" w:lineRule="exact"/>
        <w:rPr>
          <w:sz w:val="20"/>
          <w:szCs w:val="20"/>
          <w:color w:val="auto"/>
        </w:rPr>
      </w:pPr>
    </w:p>
    <w:p>
      <w:pPr>
        <w:ind w:left="120" w:right="40" w:hanging="4"/>
        <w:spacing w:after="0" w:line="260" w:lineRule="auto"/>
        <w:tabs>
          <w:tab w:leader="none" w:pos="4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ROIC Percentage weighted at 10%. The level of achievement of these targets is subject to the final determination and approval of the Compensation Committee.</w:t>
      </w:r>
    </w:p>
    <w:p>
      <w:pPr>
        <w:spacing w:after="0" w:line="18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chose Adjusted EBITDA, sales and ROIC Percentage as the three Company performance metrics under the Executive Team Bonus Plan for the following reasons: (i) Adjusted EBITDA reflects the profitability of the Company, (ii) sales represents the growth of the Company; and (iii) ROIC Percentage represents the Company’s return on its investments.</w:t>
      </w:r>
    </w:p>
    <w:p>
      <w:pPr>
        <w:spacing w:after="0" w:line="17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Total Company sales are defined as the sales on our income statement. The Company’s ROIC Percentage is calculated as follows: (i) the numerator is defined as Adjusted EBITDA plus rent minus estimated taxes (24.5% tax rate assumption); and (ii) the denominator is defined as: (1) the sum of the 13-month average balances for: net receivables, inventory, prepaid expenses and other current assets, gross property and equipment, and other noncurrent assets, plus (2) eight times rent, minus (3) the sum of the 13-month average balances for: accounts payable, accrued liabilities, and income tax payable.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Individual Performance Metrics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Executive Team Bonus Plan, there is an individual performance component that represents 10% of each Named Executive Officer’s annual bonus opportunity. The maximum payout under the individual performance component is three times (or 30% of his target bonus) for Mr. Hicks and two times (or 20% of his target bonus) for the other Named Executive Officers, with a minimum possible payout of zero if there is a failure to achieve the individual performance metrics and a threshold payout at 50% of the individual performance metric target bonus if it is determined that there was a reasonable, but not full, level of achievement of the applicable metrics. The level of achievement of each Named Executive Officer’s individual goals is determined holistically by Mr. Hicks and then recommended by him to the Compensation Committee for final approval (the Compensation Committee determines the level of achievement for Mr. Hicks without his input) ). The individual performance metrics (none of which are individually weighted) for each of our Named Executive Officers for 2019 were as follows: (i) for Mr. Hicks, blended attainment of the performance goals applicable to</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40"/>
          </w:cols>
          <w:pgMar w:left="320" w:top="455" w:right="4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whole executive officer team; (ii) for Mr. Mullican, increasing the productivity of our assets, improving our liquidity and balance sheet metrics, creating flexibility to re-finance our long-term debt, building an industry leading finance organization, and rigorously managing our expenses; (iii) for Mr. Lawrence, driving a power merchandiser strategy, developing a more exciting and productive shopping experience in our stores, creating a meaningful online business, and building an industry leading retail team; (iv) for Mr. Johnson, driving a power merchandiser strategy, developing a more exiting and productive shopping experience in our stores, building an industry leading retail team, and increasing the productivity of all of our assets; and (v) for Mr. Attaway, increasing the productivity of all our assets, driving a power merchandiser strategy, developing a more exciting and productive shopping experience in our stores, delivering top priority projects by ensuring prioritization of resources and adherence to schedule, and reducing total company shrink to deliver budget.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Achievement of Performance Goals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Bonus amounts are payable in a lump sum cash amount, and the payment with respect to any bonus amount under the Executive Team Bonus Plan is subject to a participant’s continued employment through the payment date, which is typically in April following the end of the applicable fiscal year. Actual annual cash incentive awards were calculated by multiplying each Named Executive Officer’s weighted average base salary for 2019 by his target bonus opportunity, which was then adjusted by an overall achievement factor based on the combined weighted achievement of the Company and individual performance metrics.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2019 Company performance metric results: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of Achievement</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Achievement</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8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Metrics</w:t>
            </w:r>
          </w:p>
        </w:tc>
        <w:tc>
          <w:tcPr>
            <w:tcW w:w="3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340" w:type="dxa"/>
            <w:vAlign w:val="bottom"/>
          </w:tcPr>
          <w:p>
            <w:pPr>
              <w:spacing w:after="0"/>
              <w:rPr>
                <w:sz w:val="12"/>
                <w:szCs w:val="12"/>
                <w:color w:val="auto"/>
              </w:rPr>
            </w:pPr>
          </w:p>
        </w:tc>
        <w:tc>
          <w:tcPr>
            <w:tcW w:w="13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 of</w:t>
            </w: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209"/>
        </w:trPr>
        <w:tc>
          <w:tcPr>
            <w:tcW w:w="130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320" w:type="dxa"/>
            <w:vAlign w:val="bottom"/>
            <w:tcBorders>
              <w:top w:val="single" w:sz="8" w:color="auto"/>
            </w:tcBorders>
            <w:shd w:val="clear" w:color="auto" w:fill="CCEEFF"/>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EBITDA Dollars</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$317.3 million</w:t>
            </w:r>
          </w:p>
        </w:tc>
        <w:tc>
          <w:tcPr>
            <w:tcW w:w="3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$323.2 million</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72"/>
        </w:trPr>
        <w:tc>
          <w:tcPr>
            <w:tcW w:w="130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5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Sales</w:t>
            </w:r>
          </w:p>
        </w:tc>
        <w:tc>
          <w:tcPr>
            <w:tcW w:w="320" w:type="dxa"/>
            <w:vAlign w:val="bottom"/>
            <w:shd w:val="clear" w:color="auto" w:fill="CCEEFF"/>
          </w:tcPr>
          <w:p>
            <w:pPr>
              <w:spacing w:after="0"/>
              <w:rPr>
                <w:sz w:val="6"/>
                <w:szCs w:val="6"/>
                <w:color w:val="auto"/>
              </w:rPr>
            </w:pP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$4.94 billion</w:t>
            </w:r>
          </w:p>
        </w:tc>
        <w:tc>
          <w:tcPr>
            <w:tcW w:w="340" w:type="dxa"/>
            <w:vAlign w:val="bottom"/>
            <w:shd w:val="clear" w:color="auto" w:fill="CCEEFF"/>
          </w:tcPr>
          <w:p>
            <w:pPr>
              <w:spacing w:after="0"/>
              <w:rPr>
                <w:sz w:val="6"/>
                <w:szCs w:val="6"/>
                <w:color w:val="auto"/>
              </w:rPr>
            </w:pPr>
          </w:p>
        </w:tc>
        <w:tc>
          <w:tcPr>
            <w:tcW w:w="1380" w:type="dxa"/>
            <w:vAlign w:val="bottom"/>
            <w:gridSpan w:val="2"/>
            <w:vMerge w:val="restart"/>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$4.83 billion</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97.9%</w:t>
            </w:r>
          </w:p>
        </w:tc>
        <w:tc>
          <w:tcPr>
            <w:tcW w:w="0" w:type="dxa"/>
            <w:vAlign w:val="bottom"/>
          </w:tcPr>
          <w:p>
            <w:pPr>
              <w:spacing w:after="0"/>
              <w:rPr>
                <w:sz w:val="1"/>
                <w:szCs w:val="1"/>
                <w:color w:val="auto"/>
              </w:rPr>
            </w:pPr>
          </w:p>
        </w:tc>
      </w:tr>
      <w:tr>
        <w:trPr>
          <w:trHeight w:val="144"/>
        </w:trPr>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320" w:type="dxa"/>
            <w:vAlign w:val="bottom"/>
            <w:shd w:val="clear" w:color="auto" w:fill="CCEEFF"/>
          </w:tcPr>
          <w:p>
            <w:pPr>
              <w:spacing w:after="0"/>
              <w:rPr>
                <w:sz w:val="12"/>
                <w:szCs w:val="12"/>
                <w:color w:val="auto"/>
              </w:rPr>
            </w:pPr>
          </w:p>
        </w:tc>
        <w:tc>
          <w:tcPr>
            <w:tcW w:w="5480" w:type="dxa"/>
            <w:vAlign w:val="bottom"/>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30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ROIC %</w:t>
            </w:r>
          </w:p>
        </w:tc>
        <w:tc>
          <w:tcPr>
            <w:tcW w:w="1380" w:type="dxa"/>
            <w:vAlign w:val="bottom"/>
            <w:gridSpan w:val="2"/>
            <w:vMerge w:val="restart"/>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13.7%</w:t>
            </w:r>
          </w:p>
        </w:tc>
        <w:tc>
          <w:tcPr>
            <w:tcW w:w="1400" w:type="dxa"/>
            <w:vAlign w:val="bottom"/>
            <w:gridSpan w:val="2"/>
            <w:vMerge w:val="restart"/>
            <w:shd w:val="clear" w:color="auto" w:fill="CCEEFF"/>
          </w:tcPr>
          <w:p>
            <w:pPr>
              <w:jc w:val="center"/>
              <w:ind w:left="259"/>
              <w:spacing w:after="0"/>
              <w:rPr>
                <w:sz w:val="20"/>
                <w:szCs w:val="20"/>
                <w:color w:val="auto"/>
              </w:rPr>
            </w:pPr>
            <w:r>
              <w:rPr>
                <w:rFonts w:ascii="Times New Roman" w:cs="Times New Roman" w:eastAsia="Times New Roman" w:hAnsi="Times New Roman"/>
                <w:sz w:val="18"/>
                <w:szCs w:val="18"/>
                <w:color w:val="auto"/>
                <w:w w:val="98"/>
              </w:rPr>
              <w:t>14.0%</w:t>
            </w:r>
          </w:p>
        </w:tc>
        <w:tc>
          <w:tcPr>
            <w:tcW w:w="32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122"/>
        </w:trPr>
        <w:tc>
          <w:tcPr>
            <w:tcW w:w="1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80" w:type="dxa"/>
            <w:vAlign w:val="bottom"/>
            <w:vMerge w:val="continue"/>
            <w:shd w:val="clear" w:color="auto" w:fill="CCEEFF"/>
          </w:tcPr>
          <w:p>
            <w:pPr>
              <w:spacing w:after="0"/>
              <w:rPr>
                <w:sz w:val="10"/>
                <w:szCs w:val="10"/>
                <w:color w:val="auto"/>
              </w:rPr>
            </w:pPr>
          </w:p>
        </w:tc>
        <w:tc>
          <w:tcPr>
            <w:tcW w:w="1380" w:type="dxa"/>
            <w:vAlign w:val="bottom"/>
            <w:gridSpan w:val="2"/>
            <w:vMerge w:val="continue"/>
            <w:shd w:val="clear" w:color="auto" w:fill="CCEEFF"/>
          </w:tcPr>
          <w:p>
            <w:pPr>
              <w:spacing w:after="0"/>
              <w:rPr>
                <w:sz w:val="10"/>
                <w:szCs w:val="10"/>
                <w:color w:val="auto"/>
              </w:rPr>
            </w:pPr>
          </w:p>
        </w:tc>
        <w:tc>
          <w:tcPr>
            <w:tcW w:w="1400" w:type="dxa"/>
            <w:vAlign w:val="bottom"/>
            <w:gridSpan w:val="2"/>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It was determined that each Named Executive Officers achieved his applicable individual performance goals at the targeted level of performance for 2019.</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fiscal 2019 bonus earned by each Named Executive Officer under the Executive Team Bonus Plan based on actual performance, as compared to the target opportunity, for each of our Named Executive Officers: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of Salary</w:t>
            </w: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of Salary</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Earned (%) for</w:t>
            </w:r>
          </w:p>
        </w:tc>
        <w:tc>
          <w:tcPr>
            <w:tcW w:w="12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 of</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Earned (%) for</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 of</w:t>
            </w: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Overall</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2019 Base</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Target Bonus</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Target Bonus</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106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Actual Bonus</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14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140" w:type="dxa"/>
            <w:vAlign w:val="bottom"/>
            <w:vMerge w:val="continue"/>
          </w:tcPr>
          <w:p>
            <w:pPr>
              <w:spacing w:after="0"/>
              <w:rPr>
                <w:sz w:val="15"/>
                <w:szCs w:val="15"/>
                <w:color w:val="auto"/>
              </w:rPr>
            </w:pPr>
          </w:p>
        </w:tc>
        <w:tc>
          <w:tcPr>
            <w:tcW w:w="104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w:t>
            </w:r>
          </w:p>
        </w:tc>
        <w:tc>
          <w:tcPr>
            <w:tcW w:w="820" w:type="dxa"/>
            <w:vAlign w:val="bottom"/>
          </w:tcPr>
          <w:p>
            <w:pPr>
              <w:jc w:val="right"/>
              <w:ind w:right="21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06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Goals</w:t>
            </w: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Goals</w:t>
            </w: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Factor (%)</w:t>
            </w:r>
          </w:p>
        </w:tc>
        <w:tc>
          <w:tcPr>
            <w:tcW w:w="9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Achieved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Ken C. Hicks</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1,100,000</w:t>
            </w: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1,650,000</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154.9</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169.9</w:t>
            </w: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1,868,667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 Mullican</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487,822</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487,822</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93.6</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505,353</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P. Lawrence(2)</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690,730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828,876</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112.3</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858,663</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 J. Johnson</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463,840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463,840</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93.6</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480,509</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D. Attaway</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446,495</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446,495</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93.6</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462,541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0" w:hanging="424"/>
        <w:spacing w:after="0" w:line="261"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payments under the Executive Team Bonus Plan were calculated by multiplying each Named Executive Officer’s weighted average base salary for 2019 (assuming for this purpose the number of days determined by subtracting the last day of the fiscal year from the first day) by his target bonus opportunity, which was then adjusted by an overall achievement factor based on the combined weighted achievement of the Company and individual performance metrics.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160" w:hanging="424"/>
        <w:spacing w:after="0" w:line="256"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Executive Team Bonus Plan, annual bonuses are only prorated for participants who commence employment on or after February 15 of the applicable fiscal year. Because Mr. Lawrence commenced employment with us on February 11, 2019, his bonus payment was not prorated based on the number of days he worked in 2019. Mr. Lawrence’s target bonus amount under the Executive Team Bonus Plan was agreed upon as the result of negotiations in connection with the commencement of his employment in order to incentivize him to join our Company. The target bonus amounts of each other Named Executive Officer are the same as those in effect for 2018 and none of our Named Executive Officers received an increase to their target bonus amount for 2020.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Sign-on Bonus Payment</w:t>
      </w:r>
    </w:p>
    <w:p>
      <w:pPr>
        <w:spacing w:after="0" w:line="121" w:lineRule="exact"/>
        <w:rPr>
          <w:sz w:val="20"/>
          <w:szCs w:val="20"/>
          <w:color w:val="auto"/>
        </w:rPr>
      </w:pPr>
    </w:p>
    <w:p>
      <w:pPr>
        <w:ind w:left="120" w:right="120" w:firstLine="440"/>
        <w:spacing w:after="0" w:line="273" w:lineRule="auto"/>
        <w:rPr>
          <w:sz w:val="20"/>
          <w:szCs w:val="20"/>
          <w:color w:val="auto"/>
        </w:rPr>
      </w:pPr>
      <w:r>
        <w:rPr>
          <w:rFonts w:ascii="Times New Roman" w:cs="Times New Roman" w:eastAsia="Times New Roman" w:hAnsi="Times New Roman"/>
          <w:sz w:val="17"/>
          <w:szCs w:val="17"/>
          <w:color w:val="auto"/>
        </w:rPr>
        <w:t>Pursuant to Mr. Lawrence’s employment agreement, dated January 29, 2019, he received a sign-on bonus of $200,000, which was paid by the Company within the first 30 days of his commencement of employment. Mr. Lawrence’s employment agreement provides that if his employment had been terminated either by the Company for Cause or by Mr. Lawrence without Good Reason (as such terms are defined in his employment agreement), in either case, before he had completed twelve months of employment (i.e., before February 11, 2020), he would have been required to repay to the Company a pro-rated portion of the sign-on bonus, calculated based on the number of whole months remaining in such 12 month period from the termination date. Mr. Lawrence’s employment agreement was negotiated at arm’s-length, and the sign-on bonus was designed to make him whole for compensation to which he may have been entitled from his prior employer, and to provide him with market-competitive compensation and benefits.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Long-Term Equity Incentive Compensation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provided long-term equity incentive compensation in the form of annual equity awards. The use of long-term equity incentives creates a link between executive compensation and our long-term performance and growth, thereby creating alignment between executive officer and equityholder interests.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believes that long-term incentive compensation is an effective means for incentivizing our executive officers, including the Named Executive Officers, to increase equity value over a multi-year period, provides a meaningful reward for appreciation in the value of our equity and long-term value creation, and motivates them to remain employed with us. Our equity award grant practices are designed to reflect a balance between:</w:t>
      </w:r>
    </w:p>
    <w:p>
      <w:pPr>
        <w:spacing w:after="0" w:line="85" w:lineRule="exact"/>
        <w:rPr>
          <w:sz w:val="20"/>
          <w:szCs w:val="20"/>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desire to motivate, retain, and reward executive talent;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remain competitive in recruiting;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the dilution of equityholders’ interests.</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2011 Equity Plan became effective on August 30, 2011 and has been subsequently amended on multiple occasions to increase the number of Membership Units available for issuance thereunder, most recently on August 26, 2020. Under the 2011 Equity Plan, we granted each Named Executive Officer options to purchase Membership Units of the Company, or Options, and phantom units that may be settled in Membership Units of the Company, or Restricted Units. Following the effectiveness of our 2020 Equity Plan, no further awards will be granted under the 2011 Equity Plan. However, all outstanding awards granted under the 2011 Equity Plan will continue to be governed by the existing terms of the 2011 Equity Plan and the applicable award agreements. We intend to file one or more registration statements on Form S-8 under the Securities Act to register shares of our common stock or securities convertible into or exchangeable for shares of our common stock issued pursuant to our existing 2011 Equity Plan and our 2020 Equity Plan and the ESPP to be adopted in connection with this offering.</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use equity awards in the form of Options and Restricted Units to deliver the annual long-term incentive compensation opportunities to our executive officers, including the Named Executive Officers, and to address special situations as they may arise from time to time. The Compensation Committee believes that Options, when granted with exercise prices equal to the fair market value of our Membership Units on the date of grant, provide an appropriate long-term incentive for our executive officers, since the Options reward them only to the extent the price of our Membership Units increases and equityholders realize value following their grant date. The Compensation Committee believes that Restricted Unit awards help us to retain our executive officers and reward them for long-term stock price appreciation while at the same time providing some value to the recipient. The Compensation Committee also believes that Restricted Unit awards helps us to manage dilution to existing equityholders and provide greater transparency and predictability to our executive officers regarding the ultimate value of their compensation opportunities.</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determining the appropriate mix of Options and Restricted Units, the Compensation Committee considers competitive market data of the types of equity award compensation provided to executive officers by the companies in our compensation peer group, with a goal of reaching a mix that would provide the appropriate incentives while staying competitive in our market.</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As discussed above, the Compensation Committee determines the amount of long-term incentive compensation for our executive officers as part of its annual compensation review and after taking into consideration the recommendations of the executive management team for compensation (i.e., our Chief Executive Officer, Chief Human Resources Officer and Vice President of Compensation and Benefits) which are based on a competitive market analysis, criticality of position and individual performance (both historical and expected future performance), the accounting impact of the proposed awards on our earnings, our “burn rate” in relation to the retail sector benchmarks, and the other factors described above in “Governance of Executive Compensation Program.”</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more information regarding long-term equity incentive compensation, see “—Equity Compensation Plans.”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Awards under 2011 Equity Plan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117" w:lineRule="exact"/>
        <w:rPr>
          <w:sz w:val="20"/>
          <w:szCs w:val="20"/>
          <w:color w:val="auto"/>
        </w:rPr>
      </w:pPr>
    </w:p>
    <w:p>
      <w:pPr>
        <w:jc w:val="both"/>
        <w:ind w:left="120" w:right="680" w:firstLine="440"/>
        <w:spacing w:after="0" w:line="266" w:lineRule="auto"/>
        <w:rPr>
          <w:sz w:val="20"/>
          <w:szCs w:val="20"/>
          <w:color w:val="auto"/>
        </w:rPr>
      </w:pPr>
      <w:r>
        <w:rPr>
          <w:rFonts w:ascii="Times New Roman" w:cs="Times New Roman" w:eastAsia="Times New Roman" w:hAnsi="Times New Roman"/>
          <w:sz w:val="18"/>
          <w:szCs w:val="18"/>
          <w:color w:val="auto"/>
        </w:rPr>
        <w:t>The Company has granted Options subject to time-based vesting, or Time Options, and Options subject to performance-based vesting, or Performance Options, to each Named Executive Officer pursuant to different forms of Option award agreements under the 2011 Equity Plan, as described below, each an Option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Option Agreements of the Chief Executive Officer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CEO Option Agreement</w:t>
      </w:r>
    </w:p>
    <w:p>
      <w:pPr>
        <w:spacing w:after="0" w:line="11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On September 16, 2018, the Company granted 518,135 Time Options and 259,068 Performance Options with an exercise price of $5.44 to Mr. Hicks pursuant to an Option Agreement under the 2011 Equity Plan, or the 2018 CEO Option Agreement.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vesting of Time Options, the 2018 CEO Option Agreement provides:</w:t>
      </w:r>
    </w:p>
    <w:p>
      <w:pPr>
        <w:spacing w:after="0" w:line="131" w:lineRule="exact"/>
        <w:rPr>
          <w:sz w:val="20"/>
          <w:szCs w:val="20"/>
          <w:color w:val="auto"/>
        </w:rPr>
      </w:pPr>
    </w:p>
    <w:p>
      <w:pPr>
        <w:ind w:left="1080" w:right="50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Time Options become vested and exercisable on each monthly anniversary of the vesting commencement date (April 5, 2018), subject to Mr. Hicks’ continued service through the applicable vesting date.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Mr. Hicks’ service at any time by reason of death or disability, that portion of the Time Option that would have become vested and exercisable on the vesting date of the Time Option immediately following the date of such termination, had Mr. Hicks remained in service through such vesting date, will become vested and exercisable as of such termination.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40"/>
          </w:cols>
          <w:pgMar w:left="320" w:top="455" w:right="4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320" w:hanging="424"/>
        <w:spacing w:after="0" w:line="266"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(as defined in the 2011 Equity Plan), any then-outstanding and unvested portion of the Time Option will become vested and exercisable as to 100% of the Membership Units that are subject to such unvested portion, immediately prior to such Change of Control.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vesting of Performance Options, the 2018 CEO Option Agreement provides:</w:t>
      </w:r>
    </w:p>
    <w:p>
      <w:pPr>
        <w:spacing w:after="0" w:line="131" w:lineRule="exact"/>
        <w:rPr>
          <w:sz w:val="20"/>
          <w:szCs w:val="20"/>
          <w:color w:val="auto"/>
        </w:rPr>
      </w:pPr>
    </w:p>
    <w:p>
      <w:pPr>
        <w:jc w:val="both"/>
        <w:ind w:left="1080" w:right="60" w:hanging="424"/>
        <w:spacing w:after="0" w:line="26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Options will be eligible to become vested and exercisable, or Earned, with respect to a percentage of Membership Units that are subject to the Performance Options based on the Company’s level of achievement of consolidated Adjusted EBITDA for the fiscal year in which the grant date occurs, such period, the Option Grant Year, in accordance with the following terms and conditions:</w:t>
      </w:r>
    </w:p>
    <w:p>
      <w:pPr>
        <w:spacing w:after="0" w:line="81" w:lineRule="exact"/>
        <w:rPr>
          <w:rFonts w:ascii="Times New Roman" w:cs="Times New Roman" w:eastAsia="Times New Roman" w:hAnsi="Times New Roman"/>
          <w:sz w:val="18"/>
          <w:szCs w:val="18"/>
          <w:color w:val="auto"/>
        </w:rPr>
      </w:pPr>
    </w:p>
    <w:p>
      <w:pPr>
        <w:ind w:left="1540" w:right="80" w:hanging="331"/>
        <w:spacing w:after="0" w:line="256" w:lineRule="auto"/>
        <w:tabs>
          <w:tab w:leader="none" w:pos="15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Options will become Earned based on the Company’s level of achievement of consolidated Adjusted EBITDA for the Option Grant Year and thereafter become vested and exercisable based on elapsed time, in accordance with the terms set forth in the Option Agreement, such that the portion of the Performance Options that has been Earned shall become vested and exercisable on the vesting date required by the Option Agreement; provided that no portion of the Performance Options shall become Earned (and thereby become eligible to become vested and exercisable), unless Mr. Hicks remains in service through the date on which the Compensation Committee determines that the applicable condition(s) to becoming Earned has been satisfied.</w:t>
      </w:r>
    </w:p>
    <w:p>
      <w:pPr>
        <w:spacing w:after="0" w:line="92" w:lineRule="exact"/>
        <w:rPr>
          <w:rFonts w:ascii="Times New Roman" w:cs="Times New Roman" w:eastAsia="Times New Roman" w:hAnsi="Times New Roman"/>
          <w:sz w:val="18"/>
          <w:szCs w:val="18"/>
          <w:color w:val="auto"/>
        </w:rPr>
      </w:pPr>
    </w:p>
    <w:p>
      <w:pPr>
        <w:ind w:left="2200" w:right="40" w:hanging="545"/>
        <w:spacing w:after="0" w:line="258" w:lineRule="auto"/>
        <w:tabs>
          <w:tab w:leader="none" w:pos="220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actual consolidated Adjusted EBITDA for the Option Grant Year is: (i) equal to or greater than the “high performance target,” then 100% of the Performance Option shall be Earned; (ii) less than the “high performance target” but equal to or greater than the “low performance target,” then a specified percentage (based on a linear performance scale) of the Performance Option shall be Earned; and (iii) less than the “low performance target,” then none of the Membership Units that are subject to the Performance Option shall be Earned.</w:t>
      </w:r>
    </w:p>
    <w:p>
      <w:pPr>
        <w:spacing w:after="0" w:line="88" w:lineRule="exact"/>
        <w:rPr>
          <w:rFonts w:ascii="Times New Roman" w:cs="Times New Roman" w:eastAsia="Times New Roman" w:hAnsi="Times New Roman"/>
          <w:sz w:val="18"/>
          <w:szCs w:val="18"/>
          <w:color w:val="auto"/>
        </w:rPr>
      </w:pPr>
    </w:p>
    <w:p>
      <w:pPr>
        <w:ind w:left="2200" w:hanging="545"/>
        <w:spacing w:after="0" w:line="256" w:lineRule="auto"/>
        <w:tabs>
          <w:tab w:leader="none" w:pos="220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portion of the Performance Option that has been Earned shall become vested and exercisable on the date of determination by the Compensation Committee of the Company’s actual consolidated Adjusted EBITDA for the Option Grant Year and the remaining portion of the Performance Option that has been Earned shall become vested and exercisable on each monthly anniversary of the last day of the Option Grant Year in equal installments, such that 100% of the portion of the Performance Option that has been Earned shall be vested and exercisable on the third anniversary of the last day of the Option Grant Year.</w:t>
      </w:r>
    </w:p>
    <w:p>
      <w:pPr>
        <w:spacing w:after="0" w:line="92" w:lineRule="exact"/>
        <w:rPr>
          <w:rFonts w:ascii="Times New Roman" w:cs="Times New Roman" w:eastAsia="Times New Roman" w:hAnsi="Times New Roman"/>
          <w:sz w:val="18"/>
          <w:szCs w:val="18"/>
          <w:color w:val="auto"/>
        </w:rPr>
      </w:pPr>
    </w:p>
    <w:p>
      <w:pPr>
        <w:ind w:left="2200" w:right="20" w:hanging="545"/>
        <w:spacing w:after="0" w:line="256" w:lineRule="auto"/>
        <w:tabs>
          <w:tab w:leader="none" w:pos="220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2018 CEO Option Agreement further provides that (i) if any portion of the Performance Option that has not been Earned remains outstanding and unvested as of February 2, 2022, and (ii) the Compensation Committee determines that the fair market value of a Membership Unit of the Company as of such date equals or exceeds the applicable target Membership Unit price, then 100% of the portion of the Performance Options that has not been Earned as of such date shall become vested and exercisable immediately upon such determination. No portion of the Performance Options may become vested pursuant to this paragraph following a termination of service for any reason.</w:t>
      </w:r>
    </w:p>
    <w:p>
      <w:pPr>
        <w:spacing w:after="0" w:line="92" w:lineRule="exact"/>
        <w:rPr>
          <w:rFonts w:ascii="Times New Roman" w:cs="Times New Roman" w:eastAsia="Times New Roman" w:hAnsi="Times New Roman"/>
          <w:sz w:val="18"/>
          <w:szCs w:val="18"/>
          <w:color w:val="auto"/>
        </w:rPr>
      </w:pPr>
    </w:p>
    <w:p>
      <w:pPr>
        <w:ind w:left="1540" w:right="40" w:hanging="331"/>
        <w:spacing w:after="0" w:line="261" w:lineRule="auto"/>
        <w:tabs>
          <w:tab w:leader="none" w:pos="15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service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in service through such vesting date, will become vested and exercisable as of such termination.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Change of Control:</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during the Option Grant Year, then any then-outstanding and unvested portion of the Performance Options shall become vested and exercisable as to 100%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Membership Units that are subject to such unvested portion, immediately prior to such Change of Control.</w:t>
      </w:r>
    </w:p>
    <w:p>
      <w:pPr>
        <w:spacing w:after="0" w:line="131" w:lineRule="exact"/>
        <w:rPr>
          <w:sz w:val="20"/>
          <w:szCs w:val="20"/>
          <w:color w:val="auto"/>
        </w:rPr>
      </w:pPr>
    </w:p>
    <w:p>
      <w:pPr>
        <w:ind w:left="1540" w:hanging="331"/>
        <w:spacing w:after="0" w:line="258" w:lineRule="auto"/>
        <w:tabs>
          <w:tab w:leader="none" w:pos="1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of the 2019 fiscal year end, the Performance Options granted under the 2018 CEO Option Agreement have not been Earned because the Compensation Committee determined that the Company’s actual consolidated Adjusted EBITDA for the Option Grant Year was less than the “low performance target.” Pursuant to the 2018 CEO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CEO Option Agreement</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March 7, 2019, the Company granted 694,301 Time Options and 341,969 Performance Options with an exercise price of $5.26 to Mr. Hicks pursuant to an Option Agreement under the 2011 Equity Plan, or the 2019 CEO Option Agreement.</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2019 CEO Option Agreement is substantially similar to the 2018 CEO Option Agreement, except that (i) vesting is measured from the grant date (not an earlier vesting commencement date), and (ii) with respect to any portion of the Performance Option that has not been Earned and remains outstanding and unvested following the Compensation Committee’s determination for the Option Grant Year, the applicable target Membership Unit price is different and the measurement date is January 28, 2023.</w:t>
      </w:r>
    </w:p>
    <w:p>
      <w:pPr>
        <w:spacing w:after="0" w:line="180" w:lineRule="exact"/>
        <w:rPr>
          <w:sz w:val="20"/>
          <w:szCs w:val="20"/>
          <w:color w:val="auto"/>
        </w:rPr>
      </w:pPr>
    </w:p>
    <w:p>
      <w:pPr>
        <w:jc w:val="both"/>
        <w:ind w:left="120" w:right="280" w:firstLine="440"/>
        <w:spacing w:after="0" w:line="257" w:lineRule="auto"/>
        <w:rPr>
          <w:sz w:val="20"/>
          <w:szCs w:val="20"/>
          <w:color w:val="auto"/>
        </w:rPr>
      </w:pPr>
      <w:r>
        <w:rPr>
          <w:rFonts w:ascii="Times New Roman" w:cs="Times New Roman" w:eastAsia="Times New Roman" w:hAnsi="Times New Roman"/>
          <w:sz w:val="18"/>
          <w:szCs w:val="18"/>
          <w:color w:val="auto"/>
        </w:rPr>
        <w:t>As described above, in order for the Performance Options to vest under the 2019 CEO Option Agreement, the Compensation Committee must certify that the Company achieved the 2019 Adjusted EBITDA dollar target. The Compensation Committee determined that as of March 5, 2020, the Company met the Option Grant Year “high performance target” of $317.3 million in 2019 by achieving an actual EBITDA dollar amount of</w:t>
      </w:r>
    </w:p>
    <w:p>
      <w:pPr>
        <w:spacing w:after="0" w:line="1"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$323.2 million. Accordingly, 100% of the Performance Options granted under the 2019 CEO Option Agreement were Earned and will vest pursuant to the applicable time vesting provisions for Performance Options in the 2019 CEO Option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CEO Option Agreement</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On March 5, 2020, the Company granted 870,757 Time Options with an exercise price of $5.49 to Mr. Hicks pursuant to an Option Agreement under the 2011 Equity Plan, or the 2020 CEO Option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regard to vesting of Time Options, the 2020 CEO Option Agreement provides:</w:t>
      </w:r>
    </w:p>
    <w:p>
      <w:pPr>
        <w:spacing w:after="0" w:line="131" w:lineRule="exact"/>
        <w:rPr>
          <w:sz w:val="20"/>
          <w:szCs w:val="20"/>
          <w:color w:val="auto"/>
        </w:rPr>
      </w:pPr>
    </w:p>
    <w:p>
      <w:pPr>
        <w:ind w:left="1080" w:right="120" w:hanging="424"/>
        <w:spacing w:after="0" w:line="261"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Time Options become vested and exercisable on each monthly anniversary of the grant date, subject to Mr. Hicks’ continued service through the applicable vesting date; provided, that if his service is terminated by the Company without Cause or due to his resignation for Good Reason (as such terms are defined in Mr. Hicks’ employment agreement) at any time prior to the sixth monthly anniversary of the grant date, then 6/48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Time Options shall be vested and exercisable on the date of such termination.</w:t>
      </w:r>
    </w:p>
    <w:p>
      <w:pPr>
        <w:spacing w:after="0" w:line="85"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Mr. Hicks’ service at any time by reason of death or disability, that portion of the Time Option that would have become vested and exercisable on the vesting date of the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82" w:lineRule="auto"/>
        <w:rPr>
          <w:sz w:val="20"/>
          <w:szCs w:val="20"/>
          <w:color w:val="auto"/>
        </w:rPr>
      </w:pPr>
      <w:r>
        <w:rPr>
          <w:rFonts w:ascii="Times New Roman" w:cs="Times New Roman" w:eastAsia="Times New Roman" w:hAnsi="Times New Roman"/>
          <w:sz w:val="18"/>
          <w:szCs w:val="18"/>
          <w:color w:val="auto"/>
        </w:rPr>
        <w:t>Option immediately following the date of such termination, had he remained in service through such vesting date, will become vested and exercisable as of such termination.</w:t>
      </w:r>
    </w:p>
    <w:p>
      <w:pPr>
        <w:spacing w:after="0" w:line="67" w:lineRule="exact"/>
        <w:rPr>
          <w:sz w:val="20"/>
          <w:szCs w:val="20"/>
          <w:color w:val="auto"/>
        </w:rPr>
      </w:pPr>
    </w:p>
    <w:p>
      <w:pPr>
        <w:ind w:left="1080" w:right="200" w:hanging="424"/>
        <w:spacing w:after="0" w:line="312" w:lineRule="auto"/>
        <w:tabs>
          <w:tab w:leader="none" w:pos="10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Option Agreements of the Other Named 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2016 Executive Option Agreement</w:t>
      </w:r>
    </w:p>
    <w:p>
      <w:pPr>
        <w:spacing w:after="0" w:line="119"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On March 27, 2016, the Company granted 118,337 Time Options with an exercise price of $5.30 (repriced down from $5.96 by the Compensation Committee in 2018) to Mr. Attaway pursuant to an Option Agreement under the 2011 Equity Plan, or the 2016 Executive Option Agreement.</w:t>
      </w:r>
    </w:p>
    <w:p>
      <w:pPr>
        <w:spacing w:after="0" w:line="14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2016 Executive Option Agreement is substantially similar to the 2018 CEO Option Agreement, except that it contains the following vesting schedule with respect to the Time Options:</w:t>
      </w:r>
    </w:p>
    <w:p>
      <w:pPr>
        <w:spacing w:after="0" w:line="67" w:lineRule="exact"/>
        <w:rPr>
          <w:sz w:val="20"/>
          <w:szCs w:val="20"/>
          <w:color w:val="auto"/>
        </w:rPr>
      </w:pPr>
    </w:p>
    <w:p>
      <w:pPr>
        <w:ind w:left="1080" w:right="6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Time Options become vested and exercisable on each anniversary of the grant date, subject to Mr. Attaway’s continued service through the applicable vesting date.</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Pursuant to the 2016 Executive Option Agreement, the Company also granted Mr. Attaway 59,169 Performance Options, which, after failing to achieve the performance goal initially applicable in 2016, could only become vested if the Compensation Committee certified that the Company achieved the target Membership Unit price of $12.25 as of February 1, 2020. Because the market value of a Membership Unit was $5.49 as of February 1, 2020, the Compensation Committee determined that the Performance Options granted to Mr. Attaway pursuant to the 2016 Executive Option Agreement were forfeited on that date.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2017 Executive Option Agreement</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Johnson, and Attaway pursuant to an Option Agreement under the 2011 Equity Plan, or the 2017 Executive Option Agreement:</w:t>
      </w:r>
    </w:p>
    <w:p>
      <w:pPr>
        <w:spacing w:after="0" w:line="67" w:lineRule="exact"/>
        <w:rPr>
          <w:sz w:val="20"/>
          <w:szCs w:val="20"/>
          <w:color w:val="auto"/>
        </w:rPr>
      </w:pPr>
    </w:p>
    <w:p>
      <w:pPr>
        <w:ind w:left="108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23, 2017, the Company granted 98,523 Time Options and 49,261 Performance Options with an exercise price of $5.30 (repriced down from $6.03 by the Compensation Committee in 2018) to Mr. Mullican;</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6, 2017, the Company granted 73,892 Time Options and 36,946 Performance Options with an exercise price of $5.30 (repriced down from $6.03 by the Compensation Committee in 2018) to Mr. Johnson; and</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23, 2017, the Company granted 123,154 Time Options and 61,576 Performance Options with an exercise price of $5.30 (repriced down from $6.03 by the Compensation Committee in 2018) to Mr. Attaway.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2017 Executive Option Agreement is substantially similar to the 2018 CEO Option Agreement, except as described below.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Time Options:</w:t>
      </w:r>
    </w:p>
    <w:p>
      <w:pPr>
        <w:spacing w:after="0" w:line="131" w:lineRule="exact"/>
        <w:rPr>
          <w:sz w:val="20"/>
          <w:szCs w:val="20"/>
          <w:color w:val="auto"/>
        </w:rPr>
      </w:pPr>
    </w:p>
    <w:p>
      <w:pPr>
        <w:ind w:left="1080" w:right="16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Time Options become vested and exercisable on each anniversary of the grant date, subject to the grantee’s continued service through the applicable vesting date.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Performance Options:</w:t>
      </w:r>
    </w:p>
    <w:p>
      <w:pPr>
        <w:spacing w:after="0" w:line="131" w:lineRule="exact"/>
        <w:rPr>
          <w:sz w:val="20"/>
          <w:szCs w:val="20"/>
          <w:color w:val="auto"/>
        </w:rPr>
      </w:pPr>
    </w:p>
    <w:p>
      <w:pPr>
        <w:ind w:left="1080" w:right="20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portion of the Performance Option that has been Earned shall become vested and exercisable on the date of determination by the Compensation Committee of the Company’s actual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consolidated Adjusted EBITDA for the Option Grant Year and the remaining portion of the Performance Option that has been Earned shall become vested and exercisable on each anniversary of the last day of the Option Grant Year in equal installments of 25%, such that 100% of the portion of the Performance Option that has been Earned shall be vested and exercisable on the third anniversary of the last day of the Option Grant Year.</w:t>
      </w:r>
    </w:p>
    <w:p>
      <w:pPr>
        <w:spacing w:after="0" w:line="85" w:lineRule="exact"/>
        <w:rPr>
          <w:sz w:val="20"/>
          <w:szCs w:val="20"/>
          <w:color w:val="auto"/>
        </w:rPr>
      </w:pPr>
    </w:p>
    <w:p>
      <w:pPr>
        <w:ind w:left="1080" w:hanging="424"/>
        <w:spacing w:after="0" w:line="258"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portion of the Performance Option that has not been Earned and remains outstanding and unvested following the Compensation Committee’s determination for the Option Grant Year, if the Compensation Committee determines that the fair market value of a Membership Unit of the Company as of February 1, 2021 equals or exceeds the applicable target Membership Unit price, then 100% of the Performance Options that have not been Earned as of such date shall become vested and exercisable immediately upon such determination, subject to continued service.</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For 2017, the Compensation Committee determined on March 6, 2018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as determined by the linear performance scale,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4733925</wp:posOffset>
            </wp:positionH>
            <wp:positionV relativeFrom="paragraph">
              <wp:posOffset>-852170</wp:posOffset>
            </wp:positionV>
            <wp:extent cx="2857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Executive Option Agreement</w:t>
      </w:r>
    </w:p>
    <w:p>
      <w:pPr>
        <w:spacing w:after="0" w:line="11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Johnson, and Attaway pursuant to an Option Agreement under the 2011 Equity Plan, or the 2018 Executive Option Agreement:</w:t>
      </w:r>
    </w:p>
    <w:p>
      <w:pPr>
        <w:spacing w:after="0" w:line="67" w:lineRule="exact"/>
        <w:rPr>
          <w:sz w:val="20"/>
          <w:szCs w:val="20"/>
          <w:color w:val="auto"/>
        </w:rPr>
      </w:pPr>
    </w:p>
    <w:p>
      <w:pPr>
        <w:ind w:left="1080" w:right="32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5, 2018, the Company granted 128,825 Time Options and 64,412 Performance Options with an exercise price of $5.23 to Mr. Mullican;</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5, 2018, the Company granted 104,670 Time Options and 52,335 Performance Options with an exercise price of $5.23 to Mr. Johnson; and</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5, 2018, the Company granted 112,722 Time Options and 56,361 Performance Options with an exercise price of $5.23 to Mr. Attaway.</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2018 Executive Option Agreement is substantially similar to the 2017 Executive Option Agreement except that for any portion of the Performance Option that has not been Earned and remains outstanding and unvested following the Compensation Committee’s determination for the Option Grant Year, the target Membership Unit price is different and the measurement date is February 2, 2022 for each of Messrs. Mullican, Johnson, and Attaway.</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of the 2019 fiscal year end, the Performance Options granted under the 2018 Executive Option Agreement had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Executive Option Agreement</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Lawrence, Johnson, and Attaway pursuant to an Option Agreement under the 2011 Equity Plan, or the 2019 Executive Option Agreement:</w:t>
      </w:r>
    </w:p>
    <w:p>
      <w:pPr>
        <w:spacing w:after="0" w:line="67" w:lineRule="exact"/>
        <w:rPr>
          <w:sz w:val="20"/>
          <w:szCs w:val="20"/>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7, 2019,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138,861 Time Options and 68,393 Performance Options with an exercise price of $5.26 to Mr. Mullican;</w:t>
      </w:r>
    </w:p>
    <w:p>
      <w:pPr>
        <w:spacing w:after="0" w:line="130"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411,270 Time Options and 106,865 Performance Options with an exercise price of $5.26 to Mr. Lawrence in connection with the commencement of his employment with us, pursuant to his employment agreement;</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121,504 Time Options and 59,844 Performance Options with an exercise price of $5.26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112,824 Time Options and 55,570 Performance Options with an exercise price of $5.26 to Mr. Attaway.</w:t>
      </w:r>
    </w:p>
    <w:p>
      <w:pPr>
        <w:spacing w:after="0" w:line="225"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2019 Executive Option Agreement is substantially similar to the 2017 Executive Option Agreement, except that for any portion of the Performance Option that has not been Earned and remains outstanding and unvested following the Compensation Committee’s determination for the Option Grant Year: (i) the target Membership Unit price is different and the measurement date is February 3, 2023 for each of Messrs. Mullican, Johnson, and Attaway, and (ii) the target Membership Unit price is different and the measurement date is January 28, 2023 for Mr. Lawrence.</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described above, in order for the Performance Options to vest under the 2019 Executive Option Agreement, the Compensation Committee must certify that the Company achieved the 2019 Adjusted EBITDA dollar target.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Executive Option Agreement</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Lawrence, Johnson, and Attaway pursuant to an Option Agreement under the 2011 Equity Plan, or the 2020 Executive Option Agreement:</w:t>
      </w:r>
    </w:p>
    <w:p>
      <w:pPr>
        <w:spacing w:after="0" w:line="67" w:lineRule="exact"/>
        <w:rPr>
          <w:sz w:val="20"/>
          <w:szCs w:val="20"/>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5, 2020,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156,736 Time Options with an exercise price of $5.49 to Mr. Mullican;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217,689 Time Options with an exercise price of $5.49 to Mr. Lawrence;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156,736 Time Options with an exercise price of $5.49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113,198 Time Options with an exercise price of $5.49 to Mr. Attaway.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vesting of Time Options, the 2020 Executive Option Agreement provides:</w:t>
      </w:r>
    </w:p>
    <w:p>
      <w:pPr>
        <w:spacing w:after="0" w:line="131" w:lineRule="exact"/>
        <w:rPr>
          <w:sz w:val="20"/>
          <w:szCs w:val="20"/>
          <w:color w:val="auto"/>
        </w:rPr>
      </w:pPr>
    </w:p>
    <w:p>
      <w:pPr>
        <w:ind w:left="1080" w:right="4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Time Options become vested and exercisable on each anniversary of the grant date, subject to the grantee’s continued service through the applicable vesting date.</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0980"/>
          </w:cols>
          <w:pgMar w:left="320" w:top="455" w:right="59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6"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the grantee’s service at any time by reason of death or disability, that portion of the Time Option that would have become vested and exercisable on the vesting date of the Time Option immediately following the date of such termination, had the grantee remained in service through such vesting date, will become vested and exercisable as of such termination.</w:t>
      </w:r>
    </w:p>
    <w:p>
      <w:pPr>
        <w:spacing w:after="0" w:line="81" w:lineRule="exact"/>
        <w:rPr>
          <w:rFonts w:ascii="Times New Roman" w:cs="Times New Roman" w:eastAsia="Times New Roman" w:hAnsi="Times New Roman"/>
          <w:sz w:val="18"/>
          <w:szCs w:val="18"/>
          <w:color w:val="auto"/>
        </w:rPr>
      </w:pPr>
    </w:p>
    <w:p>
      <w:pPr>
        <w:ind w:left="1080" w:right="160" w:hanging="424"/>
        <w:spacing w:after="0" w:line="312" w:lineRule="auto"/>
        <w:tabs>
          <w:tab w:leader="none" w:pos="108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Units</w:t>
      </w:r>
    </w:p>
    <w:p>
      <w:pPr>
        <w:spacing w:after="0" w:line="11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has granted Restricted Units to each Named Executive Officer pursuant to different forms of Restricted Unit award agreements under the 2011 Equity Plan, as described below, each a Restricted Unit Agreement. As of February 1, 2020, the Company had not recognized stock-based compensation expense for Restricted Units, some of which are subject to both a service-based vesting condition and a liquidity event-based vesting condition and others which are subject to a service-based vesting condition, a Company performance vesting condition, and a liquidity event-based vesting condition, because in each case the liquidity event had not occurred and, therefore, cannot be considered probable. In the period in which the Company’s liquidity event is probable (e.g., in connection with the consummation of this offering), the Company will record a cumulative one-time equity-based compensation expense determined using the grant date fair values. Equity-based compensation related to remaining time-based service after the liquidity event will be recorded over the remaining requisite service period.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Unit Agreements of the CEO</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Independent Non-Employee Director Restricted Unit Agreement</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March 6, 2018, the Company granted 19,121 Restricted Units to Mr. Hicks for his service as a member of the Board pursuant to a Restricted Unit Agreement under the 2011 Equity Plan, or the 2018 Independent Non-Employee Director Restricted Unit Agreement.</w:t>
      </w:r>
    </w:p>
    <w:p>
      <w:pPr>
        <w:spacing w:after="0" w:line="162"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The 2018 Independent Non-Employee Directors Restricted Unit Agreement provides that, subject to Mr. Hicks’ continued service on such date, 100% of the Restricted Units shall vest on the earliest of (i) March 6, 2019, (ii) his termination of service due to death or disability or (iii) a Change of Control. The Restricted Units under the 2018 Independent Non-Employee Directors Restricted Unit Agreement became fully vested on March 6, 2019.</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CEO Restricted Unit Agreement</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On September 16, 2018, the Company granted 735,295 Restricted Units to Mr. Hicks pursuant to a Restricted Unit Agreement under the 2011 Equity Plan, or as amended on January 30, 2019, the 2018 CEO Restricted Unit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2018 CEO Restricted Unit Agreement provides:</w:t>
      </w:r>
    </w:p>
    <w:p>
      <w:pPr>
        <w:spacing w:after="0" w:line="131" w:lineRule="exact"/>
        <w:rPr>
          <w:sz w:val="20"/>
          <w:szCs w:val="20"/>
          <w:color w:val="auto"/>
        </w:rPr>
      </w:pPr>
    </w:p>
    <w:p>
      <w:pPr>
        <w:ind w:left="1080" w:right="120" w:hanging="424"/>
        <w:spacing w:after="0" w:line="261"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Restricted Units is conditioned on satisfaction of two vesting requirements before the seventh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 (1) and (2) below:</w:t>
      </w:r>
    </w:p>
    <w:p>
      <w:pPr>
        <w:spacing w:after="0" w:line="85" w:lineRule="exact"/>
        <w:rPr>
          <w:rFonts w:ascii="Times New Roman" w:cs="Times New Roman" w:eastAsia="Times New Roman" w:hAnsi="Times New Roman"/>
          <w:sz w:val="18"/>
          <w:szCs w:val="18"/>
          <w:color w:val="auto"/>
        </w:rPr>
      </w:pPr>
    </w:p>
    <w:p>
      <w:pPr>
        <w:ind w:left="1540" w:right="80" w:hanging="331"/>
        <w:spacing w:after="0" w:line="266" w:lineRule="auto"/>
        <w:tabs>
          <w:tab w:leader="none" w:pos="15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Liquidity Event Requirement will be satisfied on the earliest to occur of: (i) the consummation of this offering, and (ii) the date of a Change of Control, any of the foregoing (i) and (ii) being an Initial Vesting Event, if Mr. Hicks is in continuous service on the date of the Initial Vesting Event.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60"/>
          </w:cols>
          <w:pgMar w:left="320" w:top="455" w:right="51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right="260" w:hanging="331"/>
        <w:spacing w:after="0" w:line="282" w:lineRule="auto"/>
        <w:tabs>
          <w:tab w:leader="none" w:pos="1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Provided that Mr. Hicks is in continuous service on each applicable vesting date described below, the Time and Service Based Requirement will be satisfied as to the following percentages of the Restricted Units:</w:t>
      </w:r>
    </w:p>
    <w:p>
      <w:pPr>
        <w:spacing w:after="0" w:line="67" w:lineRule="exact"/>
        <w:rPr>
          <w:rFonts w:ascii="Times New Roman" w:cs="Times New Roman" w:eastAsia="Times New Roman" w:hAnsi="Times New Roman"/>
          <w:sz w:val="18"/>
          <w:szCs w:val="18"/>
          <w:color w:val="auto"/>
        </w:rPr>
      </w:pPr>
    </w:p>
    <w:p>
      <w:pPr>
        <w:ind w:left="2200" w:right="40" w:hanging="545"/>
        <w:spacing w:after="0" w:line="266" w:lineRule="auto"/>
        <w:tabs>
          <w:tab w:leader="none" w:pos="22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the Initial Vesting Event occurs prior to the 24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vesting commencement date (June 22, 2018), the total number of Restricted Units that will vest on the Initial Vesting Event shall be increased by 1/24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upon each monthly anniversary of the vesting commencement date, and</w:t>
      </w:r>
    </w:p>
    <w:p>
      <w:pPr>
        <w:spacing w:after="0" w:line="81" w:lineRule="exact"/>
        <w:rPr>
          <w:rFonts w:ascii="Times New Roman" w:cs="Times New Roman" w:eastAsia="Times New Roman" w:hAnsi="Times New Roman"/>
          <w:sz w:val="18"/>
          <w:szCs w:val="18"/>
          <w:color w:val="auto"/>
        </w:rPr>
      </w:pPr>
    </w:p>
    <w:p>
      <w:pPr>
        <w:ind w:left="2200" w:right="20" w:hanging="545"/>
        <w:spacing w:after="0" w:line="282" w:lineRule="auto"/>
        <w:tabs>
          <w:tab w:leader="none" w:pos="22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If the Initial Vesting Event occurs on or after the 24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vesting commencement date, all of the Restricted Units will vest on the Initial Vesting Event;</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provided, that, if Mr. Hicks is in continuous service on the date of a Change of Control, then the Time and Service Based Requirement will thereupon be satisfied as to 100% of the Restricted Units.</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67" w:lineRule="exact"/>
        <w:rPr>
          <w:sz w:val="20"/>
          <w:szCs w:val="20"/>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at Initial Vesting Event.</w:t>
      </w:r>
    </w:p>
    <w:p>
      <w:pPr>
        <w:spacing w:after="0" w:line="130" w:lineRule="exact"/>
        <w:rPr>
          <w:rFonts w:ascii="Times New Roman" w:cs="Times New Roman" w:eastAsia="Times New Roman" w:hAnsi="Times New Roman"/>
          <w:sz w:val="18"/>
          <w:szCs w:val="18"/>
          <w:color w:val="auto"/>
        </w:rPr>
      </w:pPr>
    </w:p>
    <w:p>
      <w:pPr>
        <w:ind w:left="1540" w:right="80" w:hanging="331"/>
        <w:spacing w:after="0" w:line="272" w:lineRule="auto"/>
        <w:tabs>
          <w:tab w:leader="none" w:pos="154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Mr. Hicks is in continuous service on the date of the Initial Vesting Event, then (i) if the Initial Vesting Event is a Change of Control, all (100%) of the Restricted Units will become vested upon the Change of Control, and (ii) if the Initial Vesting Event is an IPO (such as this offering), the Restricted Units shall become vested as of the IPO based on the vesting schedule set forth in clause</w:t>
      </w:r>
    </w:p>
    <w:p>
      <w:pPr>
        <w:spacing w:after="0" w:line="1" w:lineRule="exact"/>
        <w:rPr>
          <w:rFonts w:ascii="Times New Roman" w:cs="Times New Roman" w:eastAsia="Times New Roman" w:hAnsi="Times New Roman"/>
          <w:sz w:val="17"/>
          <w:szCs w:val="17"/>
          <w:color w:val="auto"/>
        </w:rPr>
      </w:pPr>
    </w:p>
    <w:p>
      <w:pPr>
        <w:ind w:left="1540" w:right="1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above and any then-unvested Restricted Units shall be subject to continued vesting on the vesting schedule set forth below with regard to “Restricted Units Vested after IPO”, if applicable.</w:t>
      </w:r>
    </w:p>
    <w:p>
      <w:pPr>
        <w:spacing w:after="0" w:line="86" w:lineRule="exact"/>
        <w:rPr>
          <w:rFonts w:ascii="Times New Roman" w:cs="Times New Roman" w:eastAsia="Times New Roman" w:hAnsi="Times New Roman"/>
          <w:sz w:val="17"/>
          <w:szCs w:val="17"/>
          <w:color w:val="auto"/>
        </w:rPr>
      </w:pPr>
    </w:p>
    <w:p>
      <w:pPr>
        <w:ind w:left="1540" w:right="120" w:hanging="331"/>
        <w:spacing w:after="0" w:line="266" w:lineRule="auto"/>
        <w:tabs>
          <w:tab w:leader="none" w:pos="15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continuous service terminates for any reason prior to the date of the Initial Vesting Event, then all Restricted Units, including those Restricted Units that met the Time and Service Based Requirement at the time of Mr. Hicks’ termination of service, will be forfeited as of the date of his termination of service.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after IPO.</w:t>
      </w:r>
    </w:p>
    <w:p>
      <w:pPr>
        <w:spacing w:after="0" w:line="130"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is in continuous service on the date of this offering, then with respect to any unvested Restricted Units as of such date, vesting will continue under the Time and Service Based Requirement as set forth in clause (2) above, each vesting date a Subsequent Vesting Event. If his service is terminated at any time following this offering, any then-unvested Restricted Units shall be forfeited as of the date of his termination of service.</w:t>
      </w:r>
    </w:p>
    <w:p>
      <w:pPr>
        <w:spacing w:after="0" w:line="180" w:lineRule="exact"/>
        <w:rPr>
          <w:sz w:val="20"/>
          <w:szCs w:val="20"/>
          <w:color w:val="auto"/>
        </w:rPr>
      </w:pPr>
    </w:p>
    <w:p>
      <w:pPr>
        <w:jc w:val="both"/>
        <w:ind w:left="120" w:right="200" w:firstLine="440"/>
        <w:spacing w:after="0" w:line="272" w:lineRule="auto"/>
        <w:rPr>
          <w:sz w:val="20"/>
          <w:szCs w:val="20"/>
          <w:color w:val="auto"/>
        </w:rPr>
      </w:pPr>
      <w:r>
        <w:rPr>
          <w:rFonts w:ascii="Times New Roman" w:cs="Times New Roman" w:eastAsia="Times New Roman" w:hAnsi="Times New Roman"/>
          <w:sz w:val="17"/>
          <w:szCs w:val="17"/>
          <w:color w:val="auto"/>
        </w:rPr>
        <w:t>The 2018 CEO Restricted Unit Agreement provides that within 30 days following the occurrence of the Initial Vesting Event or any Subsequent Vesting Event as set forth above, Restricted Units that vest as of the Initial Vesting Event or any Subsequent Vesting Event shall be settled; provided, that if the Initial Vesting Event is an IPO (such as this offering), the Restricted Units that vest as of the IPO shall be settled on the earlier to occur of</w:t>
      </w:r>
    </w:p>
    <w:p>
      <w:pPr>
        <w:spacing w:after="0" w:line="2" w:lineRule="exact"/>
        <w:rPr>
          <w:sz w:val="20"/>
          <w:szCs w:val="20"/>
          <w:color w:val="auto"/>
        </w:rPr>
      </w:pPr>
    </w:p>
    <w:p>
      <w:pPr>
        <w:ind w:left="120" w:right="80" w:hanging="4"/>
        <w:spacing w:after="0" w:line="260" w:lineRule="auto"/>
        <w:tabs>
          <w:tab w:leader="none" w:pos="37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six months after the consummation of the IPO or (y) March 15th of the calendar year following the calendar year in which the IPO is consummated.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CEO Restricted Unit Agreement</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March 5, 2020, the Company granted 303,279 Restricted Units to Mr. Hicks pursuant to a Restricted Unit Agreement under the 2011 Equity Plan, or the 2020 CEO Restricted Unit Agreement.</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2020 CEO Restricted Unit Agreement provides that only “Earned Restricted Units” are eligible to become vested in accordance with the vesting schedule set forth therein. Restricted Units become “Earned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Restricted Units” based on (i) the Company’s level of achievement of consolidated Adjusted EBITDA for the fiscal year in which the grant date occurs, such period, the RU Grant Year, or (ii) the Company’s achievement of a specified target Membership Unit price, or (iii) a Change of Control occurring during the RU Grant Year, in each case of clauses (i) and (ii) above in accordance with the performance targets set forth in the 2020 CEO Restricted Unit Agreement.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Company’s actual consolidated Adjusted EBITDA for the RU Grant Year is: (i) equal to or greater than the “high performance target,” then</w:t>
      </w:r>
    </w:p>
    <w:p>
      <w:pPr>
        <w:spacing w:after="0" w:line="27" w:lineRule="exact"/>
        <w:rPr>
          <w:sz w:val="20"/>
          <w:szCs w:val="20"/>
          <w:color w:val="auto"/>
        </w:rPr>
      </w:pPr>
    </w:p>
    <w:p>
      <w:pPr>
        <w:ind w:left="120" w:right="400"/>
        <w:spacing w:after="0" w:line="255" w:lineRule="auto"/>
        <w:rPr>
          <w:sz w:val="20"/>
          <w:szCs w:val="20"/>
          <w:color w:val="auto"/>
        </w:rPr>
      </w:pPr>
      <w:r>
        <w:rPr>
          <w:rFonts w:ascii="Times New Roman" w:cs="Times New Roman" w:eastAsia="Times New Roman" w:hAnsi="Times New Roman"/>
          <w:sz w:val="18"/>
          <w:szCs w:val="18"/>
          <w:color w:val="auto"/>
        </w:rPr>
        <w:t>100% of the Restricted Units shall be Earned Restricted Units; (ii) less than the “high performance target” but equal to or greater than the “low performance target,” then a specified percentage (based on a linear performance scale) of the Restricted Units shall be Earned Restricted Units; and (iii) less than the “low performance target,” then none of the Restricted Units shall become Earned Restricted Units.</w:t>
      </w:r>
    </w:p>
    <w:p>
      <w:pPr>
        <w:spacing w:after="0" w:line="186"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2020 CEO Restricted Unit Agreement provides that if prior to consummation of an IPO or Change of Control (i) any Restricted Units that have not become Earned Restricted Units remain outstanding and unvested as of February 2, 2024, and (ii) the Compensation Committee determines that the fair market value of a Membership Unit of the Company as of such date equals or exceeds the applicable target Membership Unit price, then 100% of the Restricted Units that have not become Earned Restricted Units as of such date shall become Earned Restricted Units immediately upon such determination by the Compensation Committee. No Restricted Units may become Earned Restricted Units pursuant to this paragraph following a termination of service for any reason or following the consummation of an IPO or Change of Control.</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2020 CEO Restricted Unit Agreement further provides that (i) if a Change of Control occurs during the RU Grant Year, then all outstanding Restricted Units shall automatically become Earned Restricted Units immediately prior to such Change of Control and (ii) if a Change of Control occurs following the RU Grant Year, any Restricted Units that are not Earned Restricted Units as of immediately prior to such Change of Control shall be automatically forfeited upon the consummation of such Change of Control.</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regard to vesting, the 2020 CEO Restricted Unit Agreement provides:</w:t>
      </w:r>
    </w:p>
    <w:p>
      <w:pPr>
        <w:spacing w:after="0" w:line="131" w:lineRule="exact"/>
        <w:rPr>
          <w:sz w:val="20"/>
          <w:szCs w:val="20"/>
          <w:color w:val="auto"/>
        </w:rPr>
      </w:pPr>
    </w:p>
    <w:p>
      <w:pPr>
        <w:ind w:left="1080" w:right="40" w:hanging="424"/>
        <w:spacing w:after="0" w:line="266"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Restricted Units have two vesting requirements that must occur before the 10th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 (1) and (2) below:</w:t>
      </w:r>
    </w:p>
    <w:p>
      <w:pPr>
        <w:spacing w:after="0" w:line="81" w:lineRule="exact"/>
        <w:rPr>
          <w:rFonts w:ascii="Times New Roman" w:cs="Times New Roman" w:eastAsia="Times New Roman" w:hAnsi="Times New Roman"/>
          <w:sz w:val="18"/>
          <w:szCs w:val="18"/>
          <w:color w:val="auto"/>
        </w:rPr>
      </w:pPr>
    </w:p>
    <w:p>
      <w:pPr>
        <w:ind w:left="1540" w:right="140" w:hanging="331"/>
        <w:spacing w:after="0" w:line="266" w:lineRule="auto"/>
        <w:tabs>
          <w:tab w:leader="none" w:pos="15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Liquidity Event Requirement will be satisfied on the earlier to occur of: (i) the consummation of this offering, and (ii) the date of a Change of Control, any of the foregoing (i) and (ii) being an Initial Vesting Event, if Mr. Hicks is in continuous service on the date of the Initial Vesting Event.</w:t>
      </w:r>
    </w:p>
    <w:p>
      <w:pPr>
        <w:spacing w:after="0" w:line="81"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Provided that Mr. Hicks is in continuous service on each applicable vesting date described below, the Time and Service Based Requirement will be satisfied as to the following percentages of the Earned Restricted Units:</w:t>
      </w:r>
    </w:p>
    <w:p>
      <w:pPr>
        <w:spacing w:after="0" w:line="67" w:lineRule="exact"/>
        <w:rPr>
          <w:rFonts w:ascii="Times New Roman" w:cs="Times New Roman" w:eastAsia="Times New Roman" w:hAnsi="Times New Roman"/>
          <w:sz w:val="18"/>
          <w:szCs w:val="18"/>
          <w:color w:val="auto"/>
        </w:rPr>
      </w:pPr>
    </w:p>
    <w:p>
      <w:pPr>
        <w:ind w:left="2200" w:hanging="545"/>
        <w:spacing w:after="0" w:line="258" w:lineRule="auto"/>
        <w:tabs>
          <w:tab w:leader="none" w:pos="2200"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the Initial Vesting Event occurs prior to the 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grant date, the total number of Earned Restricted Units that will vest on the Initial Vesting Event shall be increased by 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upon each monthly anniversary of the grant date; provided, that, if Mr. Hicks’ service is terminated by the Company without Cause or due to his resignation for Good Reason (as such terms are defined in Mr. Hicks’ employment agreement) prior to the sixth monthly anniversary of the grant date, then 6/48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Earned Restricted Units will vest on the Initial Vesting Event, and</w:t>
      </w:r>
    </w:p>
    <w:p>
      <w:pPr>
        <w:spacing w:after="0" w:line="88" w:lineRule="exact"/>
        <w:rPr>
          <w:rFonts w:ascii="Times New Roman" w:cs="Times New Roman" w:eastAsia="Times New Roman" w:hAnsi="Times New Roman"/>
          <w:sz w:val="18"/>
          <w:szCs w:val="18"/>
          <w:color w:val="auto"/>
        </w:rPr>
      </w:pPr>
    </w:p>
    <w:p>
      <w:pPr>
        <w:ind w:left="2200" w:right="20" w:hanging="545"/>
        <w:spacing w:after="0" w:line="282" w:lineRule="auto"/>
        <w:tabs>
          <w:tab w:leader="none" w:pos="2200"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If the Initial Vesting Event occurs on or after the 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grant date, all of the Earned Restricted Units will vest on the Initial Vesting Event;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provided, that, if Mr. Hicks is in continuous service on the date of a Change of Control, then the Time and Service Based Requirement will thereupon be satisfied as to 100% of the Earned Restricted Units.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Earned Restricted Units will only vest as set forth below if both the Time and Service Based Requirement and the Liquidity Event Requirement are satisfied before the expiration date of the Restricted Units:</w:t>
      </w:r>
    </w:p>
    <w:p>
      <w:pPr>
        <w:spacing w:after="0" w:line="67" w:lineRule="exact"/>
        <w:rPr>
          <w:sz w:val="20"/>
          <w:szCs w:val="20"/>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Restricted Units Vested at Initial Vesting Event.</w:t>
      </w:r>
    </w:p>
    <w:p>
      <w:pPr>
        <w:spacing w:after="0" w:line="130" w:lineRule="exact"/>
        <w:rPr>
          <w:rFonts w:ascii="Times New Roman" w:cs="Times New Roman" w:eastAsia="Times New Roman" w:hAnsi="Times New Roman"/>
          <w:sz w:val="18"/>
          <w:szCs w:val="18"/>
          <w:color w:val="auto"/>
        </w:rPr>
      </w:pPr>
    </w:p>
    <w:p>
      <w:pPr>
        <w:ind w:left="1540" w:right="120" w:hanging="331"/>
        <w:spacing w:after="0" w:line="258" w:lineRule="auto"/>
        <w:tabs>
          <w:tab w:leader="none" w:pos="15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is in continuous service on the date of the Initial Vesting Event, then (i) if the Initial Vesting Event is a Change of Control, all of the Earned Restricted Units will become vested upon the Change of Control, and (ii) if the Initial Vesting Event is an IPO (such as this offering), the Earned Restricted Units shall become vested as of the IPO based on the vesting schedule set forth in clause (2) above and any then-unvested Earned Restricted Units shall be subject to continued vesting on the vesting schedule set forth below with regard to “Earned Restricted Units Vested after IPO”, if applicable.</w:t>
      </w:r>
    </w:p>
    <w:p>
      <w:pPr>
        <w:spacing w:after="0" w:line="88"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continuous service terminates for any reason prior to the date of the Initial Vesting Event, then all Restricted Units (including those Earned Restricted Units that met the Time and Service Based Requirement at the time of his termination of service) will be forfeited as of the date of his termination of service.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Restricted Units Vested after IPO.</w:t>
      </w:r>
    </w:p>
    <w:p>
      <w:pPr>
        <w:spacing w:after="0" w:line="130" w:lineRule="exact"/>
        <w:rPr>
          <w:rFonts w:ascii="Times New Roman" w:cs="Times New Roman" w:eastAsia="Times New Roman" w:hAnsi="Times New Roman"/>
          <w:sz w:val="18"/>
          <w:szCs w:val="18"/>
          <w:color w:val="auto"/>
        </w:rPr>
      </w:pPr>
    </w:p>
    <w:p>
      <w:pPr>
        <w:ind w:left="1540" w:right="160" w:hanging="331"/>
        <w:spacing w:after="0" w:line="261" w:lineRule="auto"/>
        <w:tabs>
          <w:tab w:leader="none" w:pos="15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is in continuous service on the date of this offering, then with respect to any unvested Earned Restricted Units as of such date, vesting will continue under the Time and Service Based Requirement schedule as set forth in clause (2) above, each vesting date, a Subsequent Vesting Event. If his service is terminated at any time following this offering, any then-unvested Earned Restricted Units shall be forfeited as of the date of his termination of service.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2020 CEO Restricted Unit Agreement provides that within 30 days following the occurrence of the Initial Vesting Event or any Subsequent Vesting Event as set forth above, Earned Restricted Units that vest as of the Initial Vesting Event or any Subsequent Vesting Event shall be settled; provided, that if the Initial Vesting Event is an IPO (such as this offering), the Earned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Unit Agreements of the Other Named 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Executive Restricted Unit Agreement</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Restricted Units to each of Messrs. Mullican, Johnson, and Attaway pursuant to a Restricted Unit Agreement under the 2011 Equity Plan, or the 2018 Executive Restricted Unit Agreement.</w:t>
      </w:r>
    </w:p>
    <w:p>
      <w:pPr>
        <w:spacing w:after="0" w:line="67" w:lineRule="exact"/>
        <w:rPr>
          <w:sz w:val="20"/>
          <w:szCs w:val="20"/>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22, 2018,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377,359 Restricted Units to Mr. Mullican;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235,850 Restricted Units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141,510 Restricted Units to Mr. Attaway.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regard to vesting, the 2018 Executive Restricted Unit Agreement provides:</w:t>
      </w:r>
    </w:p>
    <w:p>
      <w:pPr>
        <w:spacing w:after="0" w:line="131" w:lineRule="exact"/>
        <w:rPr>
          <w:sz w:val="20"/>
          <w:szCs w:val="20"/>
          <w:color w:val="auto"/>
        </w:rPr>
      </w:pPr>
    </w:p>
    <w:p>
      <w:pPr>
        <w:jc w:val="both"/>
        <w:ind w:left="1080" w:right="160" w:hanging="424"/>
        <w:spacing w:after="0" w:line="266"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Restricted Units is conditioned on satisfaction of two vesting requirements before the fifth anniversary of the grant date (or earlier termination of Restricted Units pursuant to the Restricted Unit Agreement): (i) a time and service based requirement, or the Time and Service Based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Requirement and (ii) a liquidity event requirement, or the Liquidity Event Requirement, each as described in clauses (1) and (2) below:</w:t>
      </w:r>
    </w:p>
    <w:p>
      <w:pPr>
        <w:spacing w:after="0" w:line="131" w:lineRule="exact"/>
        <w:rPr>
          <w:sz w:val="20"/>
          <w:szCs w:val="20"/>
          <w:color w:val="auto"/>
        </w:rPr>
      </w:pPr>
    </w:p>
    <w:p>
      <w:pPr>
        <w:ind w:left="1540" w:right="40" w:hanging="331"/>
        <w:spacing w:after="0" w:line="266" w:lineRule="auto"/>
        <w:tabs>
          <w:tab w:leader="none" w:pos="1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Liquidity Event Requirement will be satisfied on the earlier to occur of: (i) the consummation of this offering, and (ii) the date of a Change of Control, any of the foregoing (i) and (ii) being an Initial Vesting Event, if the grantee is in continuous service on the date of the Initial Vesting Event.</w:t>
      </w:r>
    </w:p>
    <w:p>
      <w:pPr>
        <w:spacing w:after="0" w:line="81"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Provided that the grantee is in continuous service on each applicable vesting date described below, the Time and Service Based Requirement will be satisfied as to the following percentages of the Restricted Units:</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25% on or after the first anniversary of the grant date but prior to the second anniversary of the grant date,</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25% on or after the second anniversary of the grant date but prior to the third anniversary of the grant date,</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25% on or after the third anniversary of the grant date but prior to the fourth anniversary of the grant date, and</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25% on or after the fourth anniversary of the grant date;</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provided, that, if the grantee is in continuous service on the date of a Change of Control, then the Time and Service Based Requirement will thereupon be satisfied as to 100% of the Restricted Units.</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67" w:lineRule="exact"/>
        <w:rPr>
          <w:sz w:val="20"/>
          <w:szCs w:val="20"/>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at Initial Vesting Event.</w:t>
      </w:r>
    </w:p>
    <w:p>
      <w:pPr>
        <w:spacing w:after="0" w:line="130" w:lineRule="exact"/>
        <w:rPr>
          <w:rFonts w:ascii="Times New Roman" w:cs="Times New Roman" w:eastAsia="Times New Roman" w:hAnsi="Times New Roman"/>
          <w:sz w:val="18"/>
          <w:szCs w:val="18"/>
          <w:color w:val="auto"/>
        </w:rPr>
      </w:pPr>
    </w:p>
    <w:p>
      <w:pPr>
        <w:ind w:left="1540" w:right="320" w:hanging="331"/>
        <w:spacing w:after="0" w:line="272" w:lineRule="auto"/>
        <w:tabs>
          <w:tab w:leader="none" w:pos="154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grantee is in continuous service on the date of the Initial Vesting Event, then (i) if the Initial Vesting Event is a Change of Control, all of the Restricted Units will become vested upon the Change of Control, and (ii) if the Initial Vesting Event is an IPO (such as this offering), the Restricted Units shall become vested as of the IPO based on the vesting schedule set forth in clause</w:t>
      </w:r>
    </w:p>
    <w:p>
      <w:pPr>
        <w:spacing w:after="0" w:line="1" w:lineRule="exact"/>
        <w:rPr>
          <w:rFonts w:ascii="Times New Roman" w:cs="Times New Roman" w:eastAsia="Times New Roman" w:hAnsi="Times New Roman"/>
          <w:sz w:val="17"/>
          <w:szCs w:val="17"/>
          <w:color w:val="auto"/>
        </w:rPr>
      </w:pPr>
    </w:p>
    <w:p>
      <w:pPr>
        <w:ind w:left="1540" w:right="1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above and any then-unvested Restricted Units shall be subject to continued vesting on the vesting schedule set forth below with regard to “Restricted Units Vested after IPO”, if applicable.</w:t>
      </w:r>
    </w:p>
    <w:p>
      <w:pPr>
        <w:spacing w:after="0" w:line="86" w:lineRule="exact"/>
        <w:rPr>
          <w:rFonts w:ascii="Times New Roman" w:cs="Times New Roman" w:eastAsia="Times New Roman" w:hAnsi="Times New Roman"/>
          <w:sz w:val="17"/>
          <w:szCs w:val="17"/>
          <w:color w:val="auto"/>
        </w:rPr>
      </w:pPr>
    </w:p>
    <w:p>
      <w:pPr>
        <w:jc w:val="both"/>
        <w:ind w:left="1540" w:right="160" w:hanging="331"/>
        <w:spacing w:after="0" w:line="266" w:lineRule="auto"/>
        <w:tabs>
          <w:tab w:leader="none" w:pos="15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grantee’s continuous service terminates for any reason prior to the date of the Initial Vesting Event, then all Restricted Units, including all Restricted Units that met the Time and Service Based Requirement at the time of the grantee’s termination of service, will be forfeited as of the date of the grantee’s termination of service.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after IPO.</w:t>
      </w:r>
    </w:p>
    <w:p>
      <w:pPr>
        <w:spacing w:after="0" w:line="130"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is in continuous service on the date of this offering, then with respect to any unvested Restricted Units as of such date, vesting will continue under the Time and Service Based Requirement as set forth in clause (2) above, each vesting date a Subsequent Vesting Event. If the grantee’s service is terminated at any time following this offering, any then-unvested Restricted Units shall be forfeited as of the date of the grantee’s termination of service.</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2018 Executive Restricted Unit Agreement provides that within 30 days following the occurrence of the Initial Vesting Event or any Subsequent Vesting Event as set forth above, Restricted Units that vest as of the Initial Vesting Event or any Subsequent Vesting Event shall be settled; provided, that if the Initial Vesting Event is an IPO (such as this offering), the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00"/>
          </w:cols>
          <w:pgMar w:left="320" w:top="455" w:right="47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Executive Restricted Unit Agreement</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On March 7, 2019, the Company granted 142,586 Restricted Units to Mr. Lawrence in connection with the commencement of his employment with us pursuant to a Restricted Unit Agreement under the 2011 Equity Plan, or the 2019 Executive Restricted Unit Agreement. The 2019 Executive Restricted Unit Agreement is identical to the 2018 Executive Restricted Unit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Executive Restricted Unit Agreement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granted the following awards of Restricted Units to each of Messrs. Mullican, Lawrence, Johnson, and Attaway pursuant to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Restricted Unit Agreement under the 2011 Equity Plan, or the 2020 Executive Restricted Unit Agreement:</w:t>
      </w:r>
    </w:p>
    <w:p>
      <w:pPr>
        <w:spacing w:after="0" w:line="112" w:lineRule="exact"/>
        <w:rPr>
          <w:sz w:val="20"/>
          <w:szCs w:val="20"/>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5, 2020,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54,591 Restricted Units to Mr. Mullican;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75,820 Restricted Units to Mr. Lawrence;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54,591 Restricted Units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39,427 Restricted Units to Mr. Attaway.</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2020 Executive Restricted Unit Agreement is substantially similar to the 2020 CEO Restricted Unit Agreement, except that it contains the following vesting schedule with respect to the Time and Service Based Requirement:</w:t>
      </w:r>
    </w:p>
    <w:p>
      <w:pPr>
        <w:spacing w:after="0" w:line="67" w:lineRule="exact"/>
        <w:rPr>
          <w:sz w:val="20"/>
          <w:szCs w:val="20"/>
          <w:color w:val="auto"/>
        </w:rPr>
      </w:pPr>
    </w:p>
    <w:p>
      <w:pPr>
        <w:ind w:left="1080" w:right="58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grantee is in continuous service on each applicable vesting date described below, the Time and Service Based Requirement will be satisfied as to the following percentages of the Earned Restricted Units:</w:t>
      </w:r>
    </w:p>
    <w:p>
      <w:pPr>
        <w:spacing w:after="0" w:line="67" w:lineRule="exact"/>
        <w:rPr>
          <w:rFonts w:ascii="Times New Roman" w:cs="Times New Roman" w:eastAsia="Times New Roman" w:hAnsi="Times New Roman"/>
          <w:sz w:val="18"/>
          <w:szCs w:val="18"/>
          <w:color w:val="auto"/>
        </w:rPr>
      </w:pPr>
    </w:p>
    <w:p>
      <w:pPr>
        <w:ind w:left="1540" w:right="240" w:hanging="331"/>
        <w:spacing w:after="0" w:line="312" w:lineRule="auto"/>
        <w:tabs>
          <w:tab w:leader="none" w:pos="154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25% on or after the date of determination by the Compensation Committee of the Company’s actual consolidated Adjusted EBITDA for the RU Grant Year but prior to the second anniversary of the vesting commencement date (February 2, 2020),</w:t>
      </w:r>
    </w:p>
    <w:p>
      <w:pPr>
        <w:spacing w:after="0" w:line="45" w:lineRule="exact"/>
        <w:rPr>
          <w:rFonts w:ascii="Times New Roman" w:cs="Times New Roman" w:eastAsia="Times New Roman" w:hAnsi="Times New Roman"/>
          <w:sz w:val="17"/>
          <w:szCs w:val="17"/>
          <w:color w:val="auto"/>
        </w:rPr>
      </w:pPr>
    </w:p>
    <w:p>
      <w:pPr>
        <w:ind w:left="1540" w:right="240" w:hanging="331"/>
        <w:spacing w:after="0" w:line="282" w:lineRule="auto"/>
        <w:tabs>
          <w:tab w:leader="none" w:pos="1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50% on or after the second anniversary of the vesting commencement date but prior to the third anniversary of the vesting commencement date,</w:t>
      </w:r>
    </w:p>
    <w:p>
      <w:pPr>
        <w:spacing w:after="0" w:line="67"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75% on or after the third anniversary of the vesting commencement date but prior to the fourth anniversary of the vesting commencement date,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100% on or after the fourth anniversary of the vesting commencement date.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Additional Restricted Unit Awards Granted in 2020</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August 26, 2020, the Company granted the following awards of Restricted Units to each of the Named Executive Officers pursuant to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Restricted Unit Agreement under the 2011 Equity Plan, or the August 2020 Restricted Unit Agreement:</w:t>
      </w:r>
    </w:p>
    <w:p>
      <w:pPr>
        <w:spacing w:after="0" w:line="112" w:lineRule="exact"/>
        <w:rPr>
          <w:sz w:val="20"/>
          <w:szCs w:val="20"/>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777,203 to Mr. Hicks;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345,424 to Mr. Mullican;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345,424 to Mr. Lawrence;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345,424 to Mr. Johnson;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86,356 to Mr. Attaway.</w:t>
      </w:r>
    </w:p>
    <w:p>
      <w:pPr>
        <w:spacing w:after="0" w:line="15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0820"/>
          </w:cols>
          <w:pgMar w:left="320" w:top="455" w:right="7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August 2020 Restricted Unit Agreement provides:</w:t>
      </w:r>
    </w:p>
    <w:p>
      <w:pPr>
        <w:spacing w:after="0" w:line="131" w:lineRule="exact"/>
        <w:rPr>
          <w:sz w:val="20"/>
          <w:szCs w:val="20"/>
          <w:color w:val="auto"/>
        </w:rPr>
      </w:pPr>
    </w:p>
    <w:p>
      <w:pPr>
        <w:ind w:left="1080" w:right="120" w:hanging="424"/>
        <w:spacing w:after="0" w:line="257"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Restricted Units is conditioned on satisfaction of two vesting requirements before the tenth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and (2) below:</w:t>
      </w:r>
    </w:p>
    <w:p>
      <w:pPr>
        <w:spacing w:after="0" w:line="112" w:lineRule="exact"/>
        <w:rPr>
          <w:sz w:val="20"/>
          <w:szCs w:val="20"/>
          <w:color w:val="auto"/>
        </w:rPr>
      </w:pPr>
    </w:p>
    <w:p>
      <w:pPr>
        <w:ind w:left="1540" w:right="60" w:hanging="331"/>
        <w:spacing w:after="0" w:line="258" w:lineRule="auto"/>
        <w:tabs>
          <w:tab w:leader="none" w:pos="1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Liquidity Event Requirement will be satisfied on the earliest to occur of: (i) the consummation of this offering, (ii) the consummation of an acquisition of the Company or one of its affiliates by, or merger of the Company or one of its affiliates with, a publicly traded special purpose acquisition company, which consummation does not thereupon result in a Change of Control, or a SPAC Event, and (iii) the date of a Change of Control, any of the foregoing (i) to (iii) being an Initial Vesting Event, if the executive is in continuous service on the date of the Initial Vesting Event.</w:t>
      </w:r>
    </w:p>
    <w:p>
      <w:pPr>
        <w:spacing w:after="0" w:line="88"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Provided that the executive is in continuous service on each applicable vesting date described below, the Time and Service Based Requirement will be satisfied as to the following percentages of the Restricted Units:</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on or after the first anniversary of the grant date but prior to the second anniversary of the grant date, and</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on or after the second anniversary of the grant date;</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provided, that, if the executive is in continuous service on the date of a Change of Control, then the Time and Service Based Requirement will thereupon be satisfied as to 100% of the Restricted Units.</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67" w:lineRule="exact"/>
        <w:rPr>
          <w:sz w:val="20"/>
          <w:szCs w:val="20"/>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at Initial Vesting Event.</w:t>
      </w:r>
    </w:p>
    <w:p>
      <w:pPr>
        <w:spacing w:after="0" w:line="130" w:lineRule="exact"/>
        <w:rPr>
          <w:rFonts w:ascii="Times New Roman" w:cs="Times New Roman" w:eastAsia="Times New Roman" w:hAnsi="Times New Roman"/>
          <w:sz w:val="18"/>
          <w:szCs w:val="18"/>
          <w:color w:val="auto"/>
        </w:rPr>
      </w:pPr>
    </w:p>
    <w:p>
      <w:pPr>
        <w:ind w:left="1540" w:right="180" w:hanging="331"/>
        <w:spacing w:after="0" w:line="258" w:lineRule="auto"/>
        <w:tabs>
          <w:tab w:leader="none" w:pos="15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in continuous service on the date of the Initial Vesting Event, then (i) if the Initial Vesting Event is a Change of Control, all (100%) of the Restricted Units will become vested upon the Change of Control, and (ii) if the Initial Vesting Event is a SPAC Event or an IPO (such as this offering), the Restricted Units shall become vested as of the SPAC Event or IPO based on the vesting schedule set forth in clause (2) above and any then-unvested Restricted Units shall be subject to continued vesting on the vesting schedule set forth below with regard to “Restricted Units Vested after SPAC Event or IPO”, if applicable.</w:t>
      </w:r>
    </w:p>
    <w:p>
      <w:pPr>
        <w:spacing w:after="0" w:line="88" w:lineRule="exact"/>
        <w:rPr>
          <w:rFonts w:ascii="Times New Roman" w:cs="Times New Roman" w:eastAsia="Times New Roman" w:hAnsi="Times New Roman"/>
          <w:sz w:val="18"/>
          <w:szCs w:val="18"/>
          <w:color w:val="auto"/>
        </w:rPr>
      </w:pPr>
    </w:p>
    <w:p>
      <w:pPr>
        <w:ind w:left="1540" w:right="40" w:hanging="331"/>
        <w:spacing w:after="0" w:line="266" w:lineRule="auto"/>
        <w:tabs>
          <w:tab w:leader="none" w:pos="15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continuous service terminates for any reason prior to the date of the Initial Vesting Event, then all Restricted Units, including those Restricted Units that met the Time and Service Based Requirement at the time of the termination of service, will be forfeited as of the date of termination of service.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after SPAC Event or IPO.</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61" w:lineRule="auto"/>
        <w:tabs>
          <w:tab w:leader="none" w:pos="15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in continuous service on the date of the SPAC Event or this offering, then with respect to any unvested Restricted Units as of such date, vesting will continue under the Time and Service Based Requirement as set forth in clause (2) above, each vesting date a Subsequent Vesting Event. If the executive’s service is terminated at any time following the SPAC Event or this offering, any then-unvested Restricted Units shall be forfeited as of the date of termination of service.</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August 2020 Restricted Unit Agreement provides that within 30 days following the occurrence of the Initial Vesting Event or any Subsequent Vesting Event as set forth above, Restricted Units that vest as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Initial Vesting Event or any Subsequent Vesting Event shall be settled; provided, that if the Initial Vesting Event is an IPO (such as this offering), the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IPO Equity Awards under 2020 Equity Plan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Prior to the completion of this offering, the Compensation Committee will adopt, and we expect our equityholders to approve, the 2020 Equity Plan. Equity awards under the 2020 Equity Plan will be designed to reward our employees, including our Named Executive Officers, for long-term equityholder value creation. In determining equity awards for our Named Executive Officers, we anticipate that our Compensation Committee will take into account the Company’s overall financial performance as well as its performance versus competitor firms. The awards expected to be made under the 2020 Equity Plan concurrent with the closing of this offering, as described below, will be granted to ensure such individuals’ alignment with our equityholders’ interests and to provide a retention element to their compensation.</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Pursuant to the 2020 Equity Plan, concurrent with the closing of this offering, we expect to grant 112,844 options in the aggregate and 10,409 restricted stock units in the aggregate to employees who are not Section 16 officers, in each case, based on the assumed initial public offering price of $16.00 per share of common stock, which is the midpoint of the estimated price range set forth on the cover page of this prospectus. The options will have a per share exercise price equal to the initial public offering price in this offering.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maintain a 401(k) plan, which is intended to be qualified under Section 401(a) of the Code, with the 401(k) plan’s related trust intended to be tax exempt under Section 501(a) of the Code. Our 401(k) plan provides eligible U.S. employees, including the Named Executive Officers, with an opportunity to save for retirement on a tax-advantaged basis. Under our 401(k) plan, eligible employees may defer eligible compensation subject to applicable annual contribution limits imposed by the Code. As a tax-qualified retirement plan, contributions to the 401(k) plan and earnings on those contributions are not taxable to the employees until distributed from the plan. Employees are immediately and fully vested in their contributions. Employees are eligible for employer matching on the anniversary of their hire date and the completion of 1,000 work hours. We match up to 6% of employee eligible compensation based on the employee’s deferrals, up to applicable IRS limits, per calendar year for each employee and such matching contributions are immediately and fully vested.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Pension Benefits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Other than with respect to our 401(k) plan, our U.S. employees, including the Named Executive Officers, do not participate in any plan that provides for retirement payments and benefits, or payments and benefits that will be provided primarily following retirement.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Nonqualified Deferred Compensation</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During 2019, our employees, including the Named Executive Officers, did not contribute to, or earn any amounts with respect to, any defined contribution or other plan sponsored by us that provides for the deferral of compensation on a basis that is not tax-qualified.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Benefits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provide various employee benefit programs to our Named Executive Officers, including medical, vision, dental, life insurance, accidental death and dismemberment, long-term disability, short-term disability, health savings accounts and wellness programs. These benefit programs are generally available to all of our salaried full-time employees.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40"/>
          </w:cols>
          <w:pgMar w:left="320" w:top="455" w:right="5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Benefits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benefits described below are provided to the Named Executive Officers to eliminate potential distractions from performing their regular job duties and to promote productivity, health and wellbeing. We believe the cost of these programs is counterbalanced by an increase in productivity by the Named Executive Officers receiving access to them. All of the perquisites and personal benefits described below have been approved by, and future practices with respect to perquisites or other personal benefits will be approved by, and all such perquisites and personal benefits shall be subject to periodic review by, the Compensation Committee.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order to maintain competitiveness in the market as well as to maintain continuity of leadership by encouraging physical and financial well-being, the Compensation Committee approved reimbursement for annual physicals (up to an amount of $2,000, with a tax gross-up for Mr. Hicks to cover such reimbursement in the additional amount of $2,032) and a financial planning allowance (in the amount of $5,000 with no tax gross up) for each of the Named Executive Officers in 2019.</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partners with various athletic organizations for business purposes and these organizations may include tickets to their events as part of our partnership with them. Executive officers and employees may have the opportunity to use these tickets for personal use, only if they are not already being used for business purposes. There is no incremental cost to the Company for providing these individual tickets to employees.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Mr. Hicks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Mr. Hicks’ employment agreement, he is entitled to certain perquisites. Specifically, during Mr. Hicks’ employment:</w:t>
      </w:r>
    </w:p>
    <w:p>
      <w:pPr>
        <w:spacing w:after="0" w:line="117" w:lineRule="exact"/>
        <w:rPr>
          <w:sz w:val="20"/>
          <w:szCs w:val="20"/>
          <w:color w:val="auto"/>
        </w:rPr>
      </w:pPr>
    </w:p>
    <w:p>
      <w:pPr>
        <w:ind w:left="560" w:right="280" w:hanging="4"/>
        <w:spacing w:after="0" w:line="282" w:lineRule="auto"/>
        <w:tabs>
          <w:tab w:leader="none" w:pos="77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directly or reimburse him for reasonable monthly rent and utilities costs (including electric, gas, water, alarm, cable, housekeeping, and internet but excluding meals and laundry) for a furnished rental apartment in the Katy, Texas area;</w:t>
      </w:r>
    </w:p>
    <w:p>
      <w:pPr>
        <w:spacing w:after="0" w:line="53" w:lineRule="exact"/>
        <w:rPr>
          <w:rFonts w:ascii="Times New Roman" w:cs="Times New Roman" w:eastAsia="Times New Roman" w:hAnsi="Times New Roman"/>
          <w:sz w:val="18"/>
          <w:szCs w:val="18"/>
          <w:color w:val="auto"/>
        </w:rPr>
      </w:pPr>
    </w:p>
    <w:p>
      <w:pPr>
        <w:ind w:left="560" w:hanging="4"/>
        <w:spacing w:after="0" w:line="282" w:lineRule="auto"/>
        <w:tabs>
          <w:tab w:leader="none" w:pos="82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shall have use of a company-owned vehicle when in Katy, Texas with satellite radio and all maintenance and insurance costs with respect to such vehicle; and</w:t>
      </w:r>
    </w:p>
    <w:p>
      <w:pPr>
        <w:spacing w:after="0" w:line="53" w:lineRule="exact"/>
        <w:rPr>
          <w:rFonts w:ascii="Times New Roman" w:cs="Times New Roman" w:eastAsia="Times New Roman" w:hAnsi="Times New Roman"/>
          <w:sz w:val="18"/>
          <w:szCs w:val="18"/>
          <w:color w:val="auto"/>
        </w:rPr>
      </w:pPr>
    </w:p>
    <w:p>
      <w:pPr>
        <w:ind w:left="560" w:right="160" w:hanging="4"/>
        <w:spacing w:after="0" w:line="266" w:lineRule="auto"/>
        <w:tabs>
          <w:tab w:leader="none" w:pos="87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directly or reimburse him on a monthly basis for reasonable and necessary expenses incurred by him in connection with commuting from his residence in California to Katy, Texas (including jet card payments for private air travel, cost of catering on the flights and transportation to and from airports).</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addition, Mr. Hicks is entitled to receive from the Company on a monthly basis an additional payment in an amount sufficient to indemnify him on a net after-tax basis for any income tax associated with the provision of any of the perquisites described above.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Mr. Johnson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2019, pursuant to his employment agreement, the Company provided Mr. Johnson reimbursement for relocation expenses, with a tax gross-up.</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00"/>
          </w:cols>
          <w:pgMar w:left="320" w:top="455" w:right="47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Mr. Attaway</w:t>
      </w:r>
    </w:p>
    <w:p>
      <w:pPr>
        <w:spacing w:after="0" w:line="119" w:lineRule="exact"/>
        <w:rPr>
          <w:sz w:val="20"/>
          <w:szCs w:val="20"/>
          <w:color w:val="auto"/>
        </w:rPr>
      </w:pPr>
    </w:p>
    <w:p>
      <w:pPr>
        <w:ind w:left="120" w:right="540" w:firstLine="440"/>
        <w:spacing w:after="0" w:line="312" w:lineRule="auto"/>
        <w:rPr>
          <w:sz w:val="20"/>
          <w:szCs w:val="20"/>
          <w:color w:val="auto"/>
        </w:rPr>
      </w:pPr>
      <w:r>
        <w:rPr>
          <w:rFonts w:ascii="Times New Roman" w:cs="Times New Roman" w:eastAsia="Times New Roman" w:hAnsi="Times New Roman"/>
          <w:sz w:val="17"/>
          <w:szCs w:val="17"/>
          <w:color w:val="auto"/>
        </w:rPr>
        <w:t>In 2019, Mr. Attaway received tax preparation reimbursement regarding his Allstar Managers unit subscription, which was offered to all employees who subscribed for units at that time. This benefit will cease to apply in 2020 by mutual agreement of the Company and Mr. Attaway.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Severance and Change of Control Arrangements</w:t>
      </w:r>
    </w:p>
    <w:p>
      <w:pPr>
        <w:spacing w:after="0" w:line="12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Each Named Executive Officer is entitled to receive severance benefits under the terms of his employment agreement upon either termination by us without cause or a resignation by the Named Executive Officer for good reason. We provide these severance benefits in order to provide an overall compensation package that is competitive with that offered by the companies with whom we compete for executive talent. Severance benefits provide retention incentives and allow our executives to focus on our objectives without concern for their employment security in the event of a termination.</w:t>
      </w:r>
    </w:p>
    <w:p>
      <w:pPr>
        <w:spacing w:after="0" w:line="16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we have approved accelerated vesting provisions for Options and Restricted Units granted to Named Executive Officers in connection with a change of control, and limited acceleration in the cases of termination due to death or disability in the absence of a change of control. We believe these accelerated vesting provisions reflect current market practices, based on the collective knowledge and experiences of our Compensation Committee members and executive team for compensation, and allow us to attract and retain the highest level of talented and experienced executive officers. We also believe that these accelerated vesting provisions will encourage our executive officers to focus on continuing normal business operations, remain dedicated to innovating and exploring potential business combinations that may not be in their personal best interests, and maintain a balanced perspective in making overall business decisions during potentially uncertain periods. Please see “—Potential Payments Upon Termination or Change of Control” for additional information regarding accelerated vesting in connection with a change of control.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operates its compensation programs with the good faith intention of complying with Section 409A of the Code. We account for equity-based payments with respect to our long-term equity incentive award programs in accordance with the requirements of FASB Accounting Standards Codification Topic 718, Compensation—Stock Compensation, or FASB ASC Topic 718.</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total compensation earned by our Named Executive Officers in the fiscal year ended February 1, 2020 (or</w:t>
      </w:r>
    </w:p>
    <w:p>
      <w:pPr>
        <w:spacing w:after="0" w:line="27" w:lineRule="exact"/>
        <w:rPr>
          <w:sz w:val="20"/>
          <w:szCs w:val="20"/>
          <w:color w:val="auto"/>
        </w:rPr>
      </w:pPr>
    </w:p>
    <w:p>
      <w:pPr>
        <w:ind w:left="120" w:right="500"/>
        <w:spacing w:after="0" w:line="260" w:lineRule="auto"/>
        <w:rPr>
          <w:sz w:val="20"/>
          <w:szCs w:val="20"/>
          <w:color w:val="auto"/>
        </w:rPr>
      </w:pPr>
      <w:r>
        <w:rPr>
          <w:rFonts w:ascii="Times New Roman" w:cs="Times New Roman" w:eastAsia="Times New Roman" w:hAnsi="Times New Roman"/>
          <w:sz w:val="18"/>
          <w:szCs w:val="18"/>
          <w:color w:val="auto"/>
        </w:rPr>
        <w:t>2019). We have omitted from this table the columns for Change in Pension Value and Nonqualified Deferred Compensation Earnings, because no Named Executive Officer received such types of compensation during 2019.</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00"/>
          </w:cols>
          <w:pgMar w:left="320" w:top="455" w:right="47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 Equity</w:t>
            </w: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300" w:type="dxa"/>
            <w:vAlign w:val="bottom"/>
            <w:vMerge w:val="restart"/>
          </w:tcPr>
          <w:p>
            <w:pPr>
              <w:spacing w:after="0"/>
              <w:rPr>
                <w:sz w:val="12"/>
                <w:szCs w:val="12"/>
                <w:color w:val="auto"/>
              </w:rPr>
            </w:pP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680" w:type="dxa"/>
            <w:vAlign w:val="bottom"/>
          </w:tcPr>
          <w:p>
            <w:pPr>
              <w:jc w:val="right"/>
              <w:ind w:right="102"/>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Pr>
          <w:p>
            <w:pPr>
              <w:spacing w:after="0"/>
              <w:rPr>
                <w:sz w:val="15"/>
                <w:szCs w:val="15"/>
                <w:color w:val="auto"/>
              </w:rPr>
            </w:pP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Pr>
          <w:p>
            <w:pPr>
              <w:spacing w:after="0"/>
              <w:rPr>
                <w:sz w:val="15"/>
                <w:szCs w:val="15"/>
                <w:color w:val="auto"/>
              </w:rPr>
            </w:pPr>
          </w:p>
        </w:tc>
        <w:tc>
          <w:tcPr>
            <w:tcW w:w="860" w:type="dxa"/>
            <w:vAlign w:val="bottom"/>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tcPr>
          <w:p>
            <w:pPr>
              <w:spacing w:after="0"/>
              <w:rPr>
                <w:sz w:val="15"/>
                <w:szCs w:val="15"/>
                <w:color w:val="auto"/>
              </w:rPr>
            </w:pPr>
          </w:p>
        </w:tc>
        <w:tc>
          <w:tcPr>
            <w:tcW w:w="940" w:type="dxa"/>
            <w:vAlign w:val="bottom"/>
          </w:tcPr>
          <w:p>
            <w:pPr>
              <w:jc w:val="right"/>
              <w:ind w:right="222"/>
              <w:spacing w:after="0" w:line="160" w:lineRule="exact"/>
              <w:rPr>
                <w:sz w:val="20"/>
                <w:szCs w:val="20"/>
                <w:color w:val="auto"/>
              </w:rPr>
            </w:pPr>
            <w:r>
              <w:rPr>
                <w:rFonts w:ascii="Times New Roman" w:cs="Times New Roman" w:eastAsia="Times New Roman" w:hAnsi="Times New Roman"/>
                <w:sz w:val="14"/>
                <w:szCs w:val="14"/>
                <w:b w:val="1"/>
                <w:bCs w:val="1"/>
                <w:color w:val="auto"/>
              </w:rPr>
              <w:t>($)(4)</w:t>
            </w:r>
          </w:p>
        </w:tc>
        <w:tc>
          <w:tcPr>
            <w:tcW w:w="14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($)(5)</w:t>
            </w:r>
          </w:p>
        </w:tc>
        <w:tc>
          <w:tcPr>
            <w:tcW w:w="14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($)(6)</w:t>
            </w: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60" w:type="dxa"/>
            <w:vAlign w:val="bottom"/>
            <w:tcBorders>
              <w:top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Ken C. Hicks</w:t>
            </w:r>
          </w:p>
        </w:tc>
        <w:tc>
          <w:tcPr>
            <w:tcW w:w="360" w:type="dxa"/>
            <w:vAlign w:val="bottom"/>
            <w:tcBorders>
              <w:top w:val="single" w:sz="8" w:color="auto"/>
            </w:tcBorders>
            <w:shd w:val="clear" w:color="auto" w:fill="CCEEFF"/>
          </w:tcPr>
          <w:p>
            <w:pPr>
              <w:ind w:left="40"/>
              <w:spacing w:after="0" w:line="162" w:lineRule="exact"/>
              <w:rPr>
                <w:sz w:val="20"/>
                <w:szCs w:val="20"/>
                <w:color w:val="auto"/>
              </w:rPr>
            </w:pPr>
            <w:r>
              <w:rPr>
                <w:rFonts w:ascii="Times New Roman" w:cs="Times New Roman" w:eastAsia="Times New Roman" w:hAnsi="Times New Roman"/>
                <w:sz w:val="16"/>
                <w:szCs w:val="16"/>
                <w:color w:val="auto"/>
                <w:w w:val="93"/>
              </w:rPr>
              <w:t>2019</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1,100,000</w:t>
            </w:r>
          </w:p>
        </w:tc>
        <w:tc>
          <w:tcPr>
            <w:tcW w:w="1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ind w:left="6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2,808,290</w:t>
            </w:r>
          </w:p>
        </w:tc>
        <w:tc>
          <w:tcPr>
            <w:tcW w:w="1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1,868,667</w:t>
            </w:r>
          </w:p>
        </w:tc>
        <w:tc>
          <w:tcPr>
            <w:tcW w:w="1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1,089,042</w:t>
            </w:r>
          </w:p>
        </w:tc>
        <w:tc>
          <w:tcPr>
            <w:tcW w:w="1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6,865,999</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P. Mullican</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487,827</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571,336</w:t>
            </w:r>
          </w:p>
        </w:tc>
        <w:tc>
          <w:tcPr>
            <w:tcW w:w="1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505,353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23,667</w:t>
            </w:r>
          </w:p>
        </w:tc>
        <w:tc>
          <w:tcPr>
            <w:tcW w:w="1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1,588,183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EVP, Chief Financial Officer</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Steven P. Lawrence</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677,596</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200,000</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1,428,983</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858,663</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3,165,242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EVP, Chief Merchandising Officer(7)</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Samuel J. Johnson</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463,884</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499,922</w:t>
            </w:r>
          </w:p>
        </w:tc>
        <w:tc>
          <w:tcPr>
            <w:tcW w:w="1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480,509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53,867</w:t>
            </w:r>
          </w:p>
        </w:tc>
        <w:tc>
          <w:tcPr>
            <w:tcW w:w="1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1,498,182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EVP, Retail Operations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Kenneth D. Attaway</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446,500</w:t>
            </w: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464,211</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462,541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26,204</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1,399,456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EVP, Chief Operations Officer</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the Named Executive Officer’s base salary earned during 2019.</w:t>
      </w:r>
    </w:p>
    <w:p>
      <w:pPr>
        <w:spacing w:after="0" w:line="26" w:lineRule="exact"/>
        <w:rPr>
          <w:rFonts w:ascii="Times New Roman" w:cs="Times New Roman" w:eastAsia="Times New Roman" w:hAnsi="Times New Roman"/>
          <w:sz w:val="16"/>
          <w:szCs w:val="16"/>
          <w:color w:val="auto"/>
        </w:rPr>
      </w:pPr>
    </w:p>
    <w:p>
      <w:pPr>
        <w:ind w:left="540" w:right="40" w:hanging="424"/>
        <w:spacing w:after="0" w:line="264" w:lineRule="auto"/>
        <w:tabs>
          <w:tab w:leader="none" w:pos="54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Mr. Lawrence’s employment agreement, dated January 29, 2019, he received a sign-on bonus of $200,000, which was paid by the Company within the first 30 days of his commencement of employment. This sign-on bonus was subject to a pro-rata repayment obligation that expired on February 11, 2020, the first anniversary of Mr. Lawrence’s employment with us.</w:t>
      </w:r>
    </w:p>
    <w:p>
      <w:pPr>
        <w:ind w:left="540" w:right="140" w:hanging="424"/>
        <w:spacing w:after="0" w:line="264" w:lineRule="auto"/>
        <w:tabs>
          <w:tab w:leader="none" w:pos="54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Mr. Lawrence’s employment agreement, dated January 29, 2019, the Company granted 142,586 Restricted Units to Mr. Lawrence on March 7, 2019. However, as of February 1, 2020, the Company had not recognized equity-based compensation expense for any of the outstanding Restricted Units granted to employees, which are subject to both a service-based vesting condition and a liquidity event-based vesting condition. In the period in which the Company’s liquidity event occurs (e.g., in connection with the consummation of this offering), the Company will record a cumulative stock-based compensation expense for the then vested awards. Equity-based compensation related to remaining time-based service after the liquidity event will be recorded over the remaining requisite service period. The grant date fair value of the Restricted Units, assuming the achievement of the liquidity event-based vesting condition, would have been $750,002 for Mr. Lawrence (based on a grant date fair value per Restricted Unit of $5.26).</w:t>
      </w:r>
    </w:p>
    <w:p>
      <w:pPr>
        <w:ind w:left="540" w:right="20" w:hanging="424"/>
        <w:spacing w:after="0" w:line="264" w:lineRule="auto"/>
        <w:tabs>
          <w:tab w:leader="none" w:pos="54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amounts reported in this column represent the grant date fair value of the Time Options and Performance Options granted to each of the Named Executive Officers in 2019 pursuant to an Option Agreement under the 2011 Equity Plan, computed in accordance with FASB Accounting Standards Codification Topic 718. The valuation assumptions used in determining such amounts are described in Note 10, </w:t>
      </w:r>
      <w:r>
        <w:rPr>
          <w:rFonts w:ascii="Times New Roman" w:cs="Times New Roman" w:eastAsia="Times New Roman" w:hAnsi="Times New Roman"/>
          <w:sz w:val="16"/>
          <w:szCs w:val="16"/>
          <w:i w:val="1"/>
          <w:iCs w:val="1"/>
          <w:color w:val="auto"/>
        </w:rPr>
        <w:t>Equity and Unit-Based Compensation</w:t>
      </w:r>
      <w:r>
        <w:rPr>
          <w:rFonts w:ascii="Times New Roman" w:cs="Times New Roman" w:eastAsia="Times New Roman" w:hAnsi="Times New Roman"/>
          <w:sz w:val="16"/>
          <w:szCs w:val="16"/>
          <w:color w:val="auto"/>
        </w:rPr>
        <w:t xml:space="preserve"> to our audited consolidated financial statements included in our Annual Report, incorporated by reference in this prospectus. The grant date fair value of the Performance Options, which vest based on performance-vesting criteria, is based upon the probable outcome of the performance conditions at the date of grant and assumes the “target” level of performance is achieved, which is the highest level of performance condition achievable for the awards.</w:t>
      </w:r>
    </w:p>
    <w:p>
      <w:pPr>
        <w:ind w:left="540" w:right="400" w:hanging="424"/>
        <w:spacing w:after="0" w:line="264" w:lineRule="auto"/>
        <w:tabs>
          <w:tab w:leader="none" w:pos="54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the annual incentive bonus amounts earned by each Named Executive Officer pursuant to the Executive Team Bonus Plan for 2019.</w:t>
      </w:r>
    </w:p>
    <w:p>
      <w:pPr>
        <w:ind w:left="540" w:hanging="424"/>
        <w:spacing w:after="0"/>
        <w:tabs>
          <w:tab w:leader="none" w:pos="54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description of our perquisites, see “Other Compensation—Perquisites and Other Benefits” in this Compensation Discussion and Analysis.</w:t>
      </w:r>
    </w:p>
    <w:p>
      <w:pPr>
        <w:spacing w:after="0" w:line="118" w:lineRule="exact"/>
        <w:rPr>
          <w:rFonts w:ascii="Times New Roman" w:cs="Times New Roman" w:eastAsia="Times New Roman" w:hAnsi="Times New Roman"/>
          <w:sz w:val="16"/>
          <w:szCs w:val="16"/>
          <w:color w:val="auto"/>
        </w:rPr>
      </w:pPr>
    </w:p>
    <w:p>
      <w:pPr>
        <w:ind w:left="560" w:right="44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Compensation” for Mr. Hicks includes the following perquisites, pursuant to Mr. Hicks’ employment agreement and which were approved by the Compensation Committee:</w:t>
      </w:r>
    </w:p>
    <w:p>
      <w:pPr>
        <w:spacing w:after="0" w:line="56" w:lineRule="exact"/>
        <w:rPr>
          <w:rFonts w:ascii="Times New Roman" w:cs="Times New Roman" w:eastAsia="Times New Roman" w:hAnsi="Times New Roman"/>
          <w:sz w:val="16"/>
          <w:szCs w:val="16"/>
          <w:color w:val="auto"/>
        </w:rPr>
      </w:pPr>
    </w:p>
    <w:p>
      <w:pPr>
        <w:ind w:left="1000" w:right="100" w:hanging="3"/>
        <w:spacing w:after="0" w:line="298" w:lineRule="auto"/>
        <w:tabs>
          <w:tab w:leader="none" w:pos="1194"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$49,341 for monthly rent and utilities costs (including electric, gas, water, alarm, cable, housekeeping and internet but excluding meals and laundry) for a furnished rental apartment in the Katy, Texas area, which includes a $57,638 tax-gross up on these amounts;</w:t>
      </w:r>
    </w:p>
    <w:p>
      <w:pPr>
        <w:spacing w:after="0" w:line="56" w:lineRule="exact"/>
        <w:rPr>
          <w:rFonts w:ascii="Times New Roman" w:cs="Times New Roman" w:eastAsia="Times New Roman" w:hAnsi="Times New Roman"/>
          <w:sz w:val="16"/>
          <w:szCs w:val="16"/>
          <w:color w:val="auto"/>
        </w:rPr>
      </w:pPr>
    </w:p>
    <w:p>
      <w:pPr>
        <w:ind w:left="1000" w:right="360" w:hanging="3"/>
        <w:spacing w:after="0" w:line="298" w:lineRule="auto"/>
        <w:tabs>
          <w:tab w:leader="none" w:pos="1239"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$14,002 for use of a Company-owned vehicle when in Katy, Texas with satellite radio and all maintenance and insurance costs with respect to such vehicle (calculated as described below), which includes a $16,959 tax gross-up on the cost of the Company vehicle usage; and</w:t>
      </w:r>
    </w:p>
    <w:p>
      <w:pPr>
        <w:spacing w:after="0" w:line="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40"/>
          </w:cols>
          <w:pgMar w:left="320" w:top="455" w:right="4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1000" w:right="60" w:hanging="3"/>
        <w:spacing w:after="0" w:line="281" w:lineRule="auto"/>
        <w:tabs>
          <w:tab w:leader="none" w:pos="1284"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$744,754 for expenses incurred in connection with commuting from his residence in California to Katy, Texas (including jet card payments for private air travel, cost of meals on the flights and $3,314 for transportation to and from airports), which includes a $54,545 tax-gross up on the cost of flights and a $3,954 tax-gross up on the cost of transportation to and from his flights to his home.</w:t>
      </w:r>
    </w:p>
    <w:p>
      <w:pPr>
        <w:spacing w:after="0" w:line="69" w:lineRule="exact"/>
        <w:rPr>
          <w:sz w:val="20"/>
          <w:szCs w:val="20"/>
          <w:color w:val="auto"/>
        </w:rPr>
      </w:pPr>
    </w:p>
    <w:p>
      <w:pPr>
        <w:ind w:left="560" w:right="80"/>
        <w:spacing w:after="0" w:line="298" w:lineRule="auto"/>
        <w:rPr>
          <w:sz w:val="20"/>
          <w:szCs w:val="20"/>
          <w:color w:val="auto"/>
        </w:rPr>
      </w:pPr>
      <w:r>
        <w:rPr>
          <w:rFonts w:ascii="Times New Roman" w:cs="Times New Roman" w:eastAsia="Times New Roman" w:hAnsi="Times New Roman"/>
          <w:sz w:val="16"/>
          <w:szCs w:val="16"/>
          <w:color w:val="auto"/>
        </w:rPr>
        <w:t>“All Other Compensation” for Mr. Hicks also includes: (i) $5,000 for financial planning services; (ii) $1,835 in connection with an executive physical and $2,032 in related tax gross-up; and (iii) $21,884 for the employer matching contribution by the Company under our 401(k) plan.</w:t>
      </w:r>
    </w:p>
    <w:p>
      <w:pPr>
        <w:spacing w:after="0" w:line="56" w:lineRule="exact"/>
        <w:rPr>
          <w:sz w:val="20"/>
          <w:szCs w:val="20"/>
          <w:color w:val="auto"/>
        </w:rPr>
      </w:pPr>
    </w:p>
    <w:p>
      <w:pPr>
        <w:ind w:left="560" w:right="40"/>
        <w:spacing w:after="0" w:line="281" w:lineRule="auto"/>
        <w:rPr>
          <w:sz w:val="20"/>
          <w:szCs w:val="20"/>
          <w:color w:val="auto"/>
        </w:rPr>
      </w:pPr>
      <w:r>
        <w:rPr>
          <w:rFonts w:ascii="Times New Roman" w:cs="Times New Roman" w:eastAsia="Times New Roman" w:hAnsi="Times New Roman"/>
          <w:sz w:val="16"/>
          <w:szCs w:val="16"/>
          <w:color w:val="auto"/>
        </w:rPr>
        <w:t>We calculated the incremental cost to us for Mr. Hicks’ personal use of a Company vehicle (including commuting and business travel not considered directly and integrally related to the performance of his duties) based on the depreciation expense, cost of insurance, and operating costs, such as fuel and maintenance, related to such travel. The incremental costs of personal trips using other ground transportation arrangements, such as vehicle services, are valued at the actual cost to us.</w:t>
      </w:r>
    </w:p>
    <w:p>
      <w:pPr>
        <w:spacing w:after="0" w:line="69" w:lineRule="exact"/>
        <w:rPr>
          <w:sz w:val="20"/>
          <w:szCs w:val="20"/>
          <w:color w:val="auto"/>
        </w:rPr>
      </w:pPr>
    </w:p>
    <w:p>
      <w:pPr>
        <w:ind w:left="560" w:right="220"/>
        <w:spacing w:after="0" w:line="298" w:lineRule="auto"/>
        <w:rPr>
          <w:sz w:val="20"/>
          <w:szCs w:val="20"/>
          <w:color w:val="auto"/>
        </w:rPr>
      </w:pPr>
      <w:r>
        <w:rPr>
          <w:rFonts w:ascii="Times New Roman" w:cs="Times New Roman" w:eastAsia="Times New Roman" w:hAnsi="Times New Roman"/>
          <w:sz w:val="16"/>
          <w:szCs w:val="16"/>
          <w:color w:val="auto"/>
        </w:rPr>
        <w:t>“All Other Compensation” for Mr. Mullican includes: (i) $16,867 for the employer matching contribution by the Company under our 401(k) plan; (ii) $1,800 in connection with an executive physical; and (iii) $5,000 in connection with financial planning.</w:t>
      </w:r>
    </w:p>
    <w:p>
      <w:pPr>
        <w:spacing w:after="0" w:line="56" w:lineRule="exact"/>
        <w:rPr>
          <w:sz w:val="20"/>
          <w:szCs w:val="20"/>
          <w:color w:val="auto"/>
        </w:rPr>
      </w:pPr>
    </w:p>
    <w:p>
      <w:pPr>
        <w:ind w:left="560" w:right="60"/>
        <w:spacing w:after="0" w:line="298" w:lineRule="auto"/>
        <w:rPr>
          <w:sz w:val="20"/>
          <w:szCs w:val="20"/>
          <w:color w:val="auto"/>
        </w:rPr>
      </w:pPr>
      <w:r>
        <w:rPr>
          <w:rFonts w:ascii="Times New Roman" w:cs="Times New Roman" w:eastAsia="Times New Roman" w:hAnsi="Times New Roman"/>
          <w:sz w:val="16"/>
          <w:szCs w:val="16"/>
          <w:color w:val="auto"/>
        </w:rPr>
        <w:t>“All Other Compensation” for Mr. Johnson includes: (i) $20,390 in relocation-related benefits and $14,722 in related tax gross-ups; (ii) $1,800 in connection with an executive physical; and (iii) $16,955 for the employer matching contribution by the Company under our 401(k) plan.</w:t>
      </w:r>
    </w:p>
    <w:p>
      <w:pPr>
        <w:spacing w:after="0" w:line="56" w:lineRule="exact"/>
        <w:rPr>
          <w:sz w:val="20"/>
          <w:szCs w:val="20"/>
          <w:color w:val="auto"/>
        </w:rPr>
      </w:pPr>
    </w:p>
    <w:p>
      <w:pPr>
        <w:ind w:left="560" w:right="260"/>
        <w:spacing w:after="0" w:line="298" w:lineRule="auto"/>
        <w:rPr>
          <w:sz w:val="20"/>
          <w:szCs w:val="20"/>
          <w:color w:val="auto"/>
        </w:rPr>
      </w:pPr>
      <w:r>
        <w:rPr>
          <w:rFonts w:ascii="Times New Roman" w:cs="Times New Roman" w:eastAsia="Times New Roman" w:hAnsi="Times New Roman"/>
          <w:sz w:val="16"/>
          <w:szCs w:val="16"/>
          <w:color w:val="auto"/>
        </w:rPr>
        <w:t>“All Other Compensation” for Mr. Attaway includes: (i) $16,859 for the employer matching contribution by the Company under our 401(k) plan; (ii) $1,800 in connection with an executive physical; (iii) $5,000 in connection with financial planning; and (iv) $2,545 in connection with tax preparation assistance.</w:t>
      </w:r>
    </w:p>
    <w:p>
      <w:pPr>
        <w:spacing w:after="0" w:line="56" w:lineRule="exact"/>
        <w:rPr>
          <w:sz w:val="20"/>
          <w:szCs w:val="20"/>
          <w:color w:val="auto"/>
        </w:rPr>
      </w:pPr>
    </w:p>
    <w:p>
      <w:pPr>
        <w:ind w:left="560" w:right="40"/>
        <w:spacing w:after="0" w:line="275" w:lineRule="auto"/>
        <w:rPr>
          <w:sz w:val="20"/>
          <w:szCs w:val="20"/>
          <w:color w:val="auto"/>
        </w:rPr>
      </w:pPr>
      <w:r>
        <w:rPr>
          <w:rFonts w:ascii="Times New Roman" w:cs="Times New Roman" w:eastAsia="Times New Roman" w:hAnsi="Times New Roman"/>
          <w:sz w:val="16"/>
          <w:szCs w:val="16"/>
          <w:color w:val="auto"/>
        </w:rPr>
        <w:t>The Company partners with various athletic organizations for business purposes and these organizations may include tickets to their events as part of our partnership with them. Executive officers and employees may have the opportunity to use these tickets for personal use, only if they are not already being used for business purposes. There is no incremental cost to the Company for providing these individual tickets to employees. Accordingly, no amount is shown for this perquisite under the “All Other Compensation” column.</w:t>
      </w:r>
    </w:p>
    <w:p>
      <w:pPr>
        <w:spacing w:after="0" w:line="88" w:lineRule="exact"/>
        <w:rPr>
          <w:sz w:val="20"/>
          <w:szCs w:val="20"/>
          <w:color w:val="auto"/>
        </w:rPr>
      </w:pPr>
    </w:p>
    <w:p>
      <w:pPr>
        <w:ind w:left="540" w:hanging="424"/>
        <w:spacing w:after="0"/>
        <w:tabs>
          <w:tab w:leader="none" w:pos="54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Lawrence commenced employment with us on February 11, 2019, after the beginning of the 2019 fiscal year. He did not participate in the 401(k) plan in 2019.</w:t>
      </w: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GREEMENTS WITH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entered into an employment agreement with each of our Named Executive Officers and certain other members of senior management to help ensure the retention of those executive officers critical to the future success of the Company. Each employment agreement sets forth standard terms summarizing annual base salary, bonus and benefits.</w:t>
      </w:r>
    </w:p>
    <w:p>
      <w:pPr>
        <w:spacing w:after="0" w:line="176"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Each of Messrs. Hicks, Mullican, Lawrence, and Johnson are subject to the following restrictive covenants under their applicable employment agreements: (i) confidentiality during employment and perpetually upon termination, (ii) irrevocable assignment of all rights of any intellectual property created during employment to the Company, (iii) non-competition during employment and for 24 months following termination, and</w:t>
      </w:r>
    </w:p>
    <w:p>
      <w:pPr>
        <w:spacing w:after="0" w:line="1" w:lineRule="exact"/>
        <w:rPr>
          <w:sz w:val="20"/>
          <w:szCs w:val="20"/>
          <w:color w:val="auto"/>
        </w:rPr>
      </w:pPr>
    </w:p>
    <w:p>
      <w:pPr>
        <w:ind w:left="120" w:right="640" w:hanging="4"/>
        <w:spacing w:after="0" w:line="250" w:lineRule="auto"/>
        <w:tabs>
          <w:tab w:leader="none" w:pos="42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non-solicitation of employees, no hire, and non-solicitation of customers for 24 months following termination. Mr. Attaway is subject to the following restrictive covenants under his employment agreement: (i) confidentiality during employment and perpetually upon termination,</w:t>
      </w:r>
    </w:p>
    <w:p>
      <w:pPr>
        <w:ind w:left="120" w:right="140" w:hanging="4"/>
        <w:spacing w:after="0" w:line="253" w:lineRule="auto"/>
        <w:tabs>
          <w:tab w:leader="none" w:pos="38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non-competition during employment and for six months following termination (or, if applicable, during the 24 month period following a qualifying termination of employment where he is entitled to severance payments), and (iii) non-solicitation of employees and non-interference with the Company’s business for six months following termination (or, if applicable, during the 24 month period following a qualifying termination of employment where he is entitled to severance payments).</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below, each of the employment agreements also provides for certain severance payments that may be due following termination of employment under certain circumstances, subject to execution of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release of claims and compliance with certain restrictive covenants, described under the heading “Potential Payments upon Termination of Employment or Change of Control.”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Hicks Employment Agreement</w:t>
      </w:r>
    </w:p>
    <w:p>
      <w:pPr>
        <w:spacing w:after="0" w:line="121"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Pursuant to Mr. Hicks’ employment agreement, dated August 2, 2018, he serves as the President, Chief Executive Officer of the Company and Chairman of the Board, or the Hicks Employment Agreement. The following terms and events are provided by the Hicks Employment Agreement.</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Hicks Employment Agreement has no specified employment term and may be terminated by either the Company or Mr. Hicks with a written notice of termination.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Mr. Hicks is entitled to an initial base salary of $1,100,000 (unchanged in 2020), which may be increased at the discretion of the Board or Compensation Committee. In addition, he is eligible to participate in the Executive Team Bonus Plan, pursuant to which he has a target bonus opportunity equal to 150% (unchanged in 2020) of his annual base salary, with a threshold bonus equal to 50% of the annual target bonus opportunity, if he does not achieve annual target performance goals, but achieves threshold performance targets as established by the Board or Compensation Committee, and a maximum bonus equal to 300% of his annual target bonus opportunity, if he achieves superior performance targets as established by the Board or Compensation Committee.</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Mr. Hicks is entitled to reimbursement for all reasonable business, entertainment and travel expenses incurred in performing services under the Hicks Employment Agreement in accordance with the Company’s expense reimbursement policy, including all travel expenses while away from the Katy, Texas area on business or at the request of and in the service of the Company.</w:t>
      </w:r>
    </w:p>
    <w:p>
      <w:pPr>
        <w:spacing w:after="0" w:line="176" w:lineRule="exact"/>
        <w:rPr>
          <w:sz w:val="20"/>
          <w:szCs w:val="20"/>
          <w:color w:val="auto"/>
        </w:rPr>
      </w:pPr>
    </w:p>
    <w:p>
      <w:pPr>
        <w:ind w:left="120" w:right="160" w:firstLine="440"/>
        <w:spacing w:after="0" w:line="276" w:lineRule="auto"/>
        <w:rPr>
          <w:sz w:val="20"/>
          <w:szCs w:val="20"/>
          <w:color w:val="auto"/>
        </w:rPr>
      </w:pPr>
      <w:r>
        <w:rPr>
          <w:rFonts w:ascii="Times New Roman" w:cs="Times New Roman" w:eastAsia="Times New Roman" w:hAnsi="Times New Roman"/>
          <w:sz w:val="17"/>
          <w:szCs w:val="17"/>
          <w:color w:val="auto"/>
        </w:rPr>
        <w:t>During Mr. Hicks’ employment: (i) the Company shall pay directly or reimburse him for reasonable monthly rent and utilities costs (including electric, gas, water, alarm, cable, housekeeping and internet but excluding meals and laundry) for a furnished rental apartment in the Katy, Texas area,</w:t>
      </w:r>
    </w:p>
    <w:p>
      <w:pPr>
        <w:spacing w:after="0" w:line="1" w:lineRule="exact"/>
        <w:rPr>
          <w:sz w:val="20"/>
          <w:szCs w:val="20"/>
          <w:color w:val="auto"/>
        </w:rPr>
      </w:pPr>
    </w:p>
    <w:p>
      <w:pPr>
        <w:ind w:left="120" w:right="40" w:hanging="4"/>
        <w:spacing w:after="0" w:line="271" w:lineRule="auto"/>
        <w:tabs>
          <w:tab w:leader="none" w:pos="38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shall have use of a company-owned vehicle when in Katy, Texas with satellite radio and all maintenance and insurance costs with respect to such vehicle, and (iii) the Company shall pay directly or reimburse him on a monthly basis for reasonable and necessary expenses incurred by Mr. Hicks in connection with commuting from his residence in California to Katy, Texas (including jet card payments for private air travel, cost of meals on the flights and transportation to and from airports). In addition, he is entitled to receive from the Company on a monthly basis an additional payment in an amount sufficient to indemnify him on a net after-tax basis for any income tax associated with the provision of any of the perquisites described above.</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Mullican Employment Agreement</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Pursuant to Mr. Mullican’s employment agreement, dated January 6, 2017 and amended on December 11, 2017, he serves as Executive Vice President and Chief Financial Officer of the Company, or the Mullican Employment Agreement. The following terms and events are provided by the Mullican Employment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Mullican Employment Agreement provides that Mr. Mullican’s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Mullican.</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80"/>
          </w:cols>
          <w:pgMar w:left="320" w:top="455" w:right="49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Mr. Mullican is entitled to an initial base salary of $475,000 ($508,000 in 2020), which may be increased at the discretion of the Board or Compensation Committee. In addition, he is eligible to participate in the Executive Team Bonus Plan, pursuant to which he has a target bonus opportunity equal to 100% of his annual base salary (unchanged in 2020), if he achieves pre-established performance targets, as determined by the Board or Compensation Committee.</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addition, Mr. Mullican is entitled to reimbursement for all reasonable business, entertainment and travel expenses incurred in performing services under the Mullican Employment Agreement in accordance with the Company’s expense reimbursement policy, including all travel expenses while away from home on business or at the request of and in the service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Lawrence Employment Agreement</w:t>
      </w:r>
    </w:p>
    <w:p>
      <w:pPr>
        <w:spacing w:after="0" w:line="121"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Pursuant to Mr. Lawrence’s employment agreement, dated January 29, 2019, he serves as Executive Vice President and Chief Merchandising Officer of the Company, or the Lawrence Employment Agreement. The following terms and events are provided by the Lawrence Employment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Lawrence Employment Agreement has no specified employment term and may be terminated by either the Company or Mr. Lawrence with a written notice of termination.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Mr. Lawrence is entitled to an initial base salary of $685,000 ($730,000 in 2020), which may be increased at the discretion of the Board or the Compensation Committee. In addition, he is eligible to participate in the Executive Team Bonus Plan, pursuant to which he has a target bonus opportunity equal to 120% of his annual base salary (unchanged in 2020), if he achieves pre-established performance targets, as determined by the Board or Compensation Committee.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the Lawrence Employment Agreement, Mr. Lawrence received a sign-on bonus of $200,000, which was paid by the Company within the first 30 days of his commencement of employment. Mr. Lawrence’s employment agreement provides that if his employment had been terminated either by the Company for Cause or by Mr. Lawrence without Good Reason (as such terms are defined in the employment agreement), in either case, before February 11, 2020, he would have been required to repay to the Company a pro-rated portion of the gross amount of the sign-on bonus, calculated based on the number of whole months remaining in such 12 month period from the termination date.</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addition, Mr. Lawrence is entitled to reimbursement for all reasonable business, entertainment and travel expenses incurred in performing services under the Lawrence Employment Agreement in accordance with the Company’s expense reimbursement policy, including all travel expenses while away from home on business or at the request of and in the service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Johnson Employment Agreement</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Mr. Johnson’s employment agreement, dated April 17, 2017, he serves as Executive Vice President-Retail Operations of the Company, or the Johnson Employment Agreement. The following terms and events are provided by his employment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Johnson Employment Agreement provides that Mr. Johnson’s employment period shall end on the first anniversary of the effective date of the employment agreement, and shall be automatically extended for 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40"/>
          </w:cols>
          <w:pgMar w:left="320" w:top="455" w:right="4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additional year on each anniversary of the effective date unless written notice of termination is given no later than 30 days prior to the end of the employment period (including any extension thereof) by either the Company or Mr. Johnson.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Mr. Johnson is entitled to an initial base salary of $425,000 ($498,500 in 2020), which may be increased at the discretion of the Board or the Compensation Committee. In addition, he is eligible to participate in the Executive Team Bonus Plan, pursuant to which he has a target bonus opportunity equal to 100% (unchanged in 2020) of his annual base salary if he achieves pre-established performance targets, as determined by the Board or Compensation Committee.</w:t>
      </w:r>
    </w:p>
    <w:p>
      <w:pPr>
        <w:spacing w:after="0" w:line="180"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addition, Mr. Johnson is entitled to reimbursement for all reasonable business, entertainment and travel expenses incurred in performing services under the Johnson Employment Agreement in accordance with the Company’s expense reimbursement policy, including all travel expenses while away from home on business or at the request of and in the service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Attaway Employment Agreement</w:t>
      </w:r>
    </w:p>
    <w:p>
      <w:pPr>
        <w:spacing w:after="0" w:line="121" w:lineRule="exact"/>
        <w:rPr>
          <w:sz w:val="20"/>
          <w:szCs w:val="20"/>
          <w:color w:val="auto"/>
        </w:rPr>
      </w:pPr>
    </w:p>
    <w:p>
      <w:pPr>
        <w:ind w:left="120" w:right="360" w:firstLine="440"/>
        <w:spacing w:after="0" w:line="289" w:lineRule="auto"/>
        <w:rPr>
          <w:sz w:val="20"/>
          <w:szCs w:val="20"/>
          <w:color w:val="auto"/>
        </w:rPr>
      </w:pPr>
      <w:r>
        <w:rPr>
          <w:rFonts w:ascii="Times New Roman" w:cs="Times New Roman" w:eastAsia="Times New Roman" w:hAnsi="Times New Roman"/>
          <w:sz w:val="17"/>
          <w:szCs w:val="17"/>
          <w:color w:val="auto"/>
        </w:rPr>
        <w:t>Pursuant to Mr. Attaway’s employment agreement dated July 1, 2009, as amended and restated on August 30, 2011 and further amended on August 6, 2012, he served as Executive Vice President, Operations of the Company and since October 2013 serves as our Executive Vice President, Chief Operations Officer, or the Attaway Employment Agreement. The following terms and events are provided by his employment agreement.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Attaway Employment Agreement provides that Mr. Attaway’s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Attaway.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Mr. Attaway is entitled to an initial base salary of $325,000 ($465,500 in 2020), which may be increased at the discretion of the Board or the Compensation Committee. In addition, he is eligible to participate in the Executive Team Bonus Plan, pursuant to which he has a target bonus opportunity equal to 100% (unchanged in 2020) of his annual base salary if he achieves pre-established performance targets as determined by the Board or Compensation Committee.</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addition, Mr. Attaway is entitled to reimbursement for all reasonable business expenses incurred in performing services under the Attaway Employment Agreement in accordance with the Company’s expense reimbursement policy, including all travel expenses while away from home on business or at the request of and in the service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GRANTS OF PLAN BASED AWARDS IN 2019</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with regard to each grant of plan-based awards made to a Named Executive Officer under any plan during the fiscal year ended February 1, 2020. For additional information regarding non-equity incentive plan awards, please see “—Executive Team Bonus Plan.” For additional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regarding equity incentive plan awards, please see “Long-Term Equity Incentive Compensation—Equity Awards under 2011 Equity Plan.”</w:t>
      </w:r>
    </w:p>
    <w:p>
      <w:pPr>
        <w:spacing w:after="0" w:line="3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Grants of Plan Based Awards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22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Non-Equity</w:t>
            </w:r>
          </w:p>
        </w:tc>
        <w:tc>
          <w:tcPr>
            <w:tcW w:w="2220" w:type="dxa"/>
            <w:vAlign w:val="bottom"/>
            <w:gridSpan w:val="6"/>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Incentive Plan Awards(1)</w:t>
            </w:r>
          </w:p>
        </w:tc>
        <w:tc>
          <w:tcPr>
            <w:tcW w:w="22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Incentive Plan Awards(3)</w:t>
            </w: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 Base</w:t>
            </w: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00" w:type="dxa"/>
            <w:vAlign w:val="bottom"/>
          </w:tcPr>
          <w:p>
            <w:pPr>
              <w:spacing w:after="0"/>
              <w:rPr>
                <w:sz w:val="12"/>
                <w:szCs w:val="12"/>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7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Type</w:t>
            </w:r>
          </w:p>
        </w:tc>
        <w:tc>
          <w:tcPr>
            <w:tcW w:w="100" w:type="dxa"/>
            <w:vAlign w:val="bottom"/>
          </w:tcPr>
          <w:p>
            <w:pPr>
              <w:spacing w:after="0"/>
              <w:rPr>
                <w:sz w:val="15"/>
                <w:szCs w:val="15"/>
                <w:color w:val="auto"/>
              </w:rPr>
            </w:pPr>
          </w:p>
        </w:tc>
        <w:tc>
          <w:tcPr>
            <w:tcW w:w="6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Date(2)</w:t>
            </w:r>
          </w:p>
        </w:tc>
        <w:tc>
          <w:tcPr>
            <w:tcW w:w="64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66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64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66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Options (#)</w:t>
            </w:r>
          </w:p>
        </w:tc>
        <w:tc>
          <w:tcPr>
            <w:tcW w:w="6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6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Ken C. Hicks</w:t>
            </w:r>
          </w:p>
        </w:tc>
        <w:tc>
          <w:tcPr>
            <w:tcW w:w="10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rPr>
              <w:t>Annual</w:t>
            </w: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825,000</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1,650,000</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4,950,000</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5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520" w:type="dxa"/>
            <w:vAlign w:val="bottom"/>
            <w:tcBorders>
              <w:top w:val="single" w:sz="8" w:color="auto"/>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700" w:type="dxa"/>
            <w:vAlign w:val="bottom"/>
            <w:tcBorders>
              <w:top w:val="single" w:sz="8" w:color="auto"/>
            </w:tcBorders>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540" w:type="dxa"/>
            <w:vAlign w:val="bottom"/>
            <w:tcBorders>
              <w:top w:val="single" w:sz="8" w:color="auto"/>
            </w:tcBorders>
            <w:vMerge w:val="restart"/>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694,301</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1,881,555</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119,962</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341,969</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926,735</w:t>
            </w:r>
          </w:p>
        </w:tc>
        <w:tc>
          <w:tcPr>
            <w:tcW w:w="0" w:type="dxa"/>
            <w:vAlign w:val="bottom"/>
          </w:tcPr>
          <w:p>
            <w:pPr>
              <w:spacing w:after="0"/>
              <w:rPr>
                <w:sz w:val="1"/>
                <w:szCs w:val="1"/>
                <w:color w:val="auto"/>
              </w:rPr>
            </w:pPr>
          </w:p>
        </w:tc>
      </w:tr>
      <w:tr>
        <w:trPr>
          <w:trHeight w:val="193"/>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P. Mullican</w:t>
            </w: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Annual</w:t>
            </w:r>
          </w:p>
        </w:tc>
        <w:tc>
          <w:tcPr>
            <w:tcW w:w="100" w:type="dxa"/>
            <w:vAlign w:val="bottom"/>
          </w:tcPr>
          <w:p>
            <w:pPr>
              <w:spacing w:after="0"/>
              <w:rPr>
                <w:sz w:val="16"/>
                <w:szCs w:val="16"/>
                <w:color w:val="auto"/>
              </w:rPr>
            </w:pP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243,911</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487,822</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975,644</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138,861</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383,256</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23,992</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68,393</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188,080</w:t>
            </w:r>
          </w:p>
        </w:tc>
        <w:tc>
          <w:tcPr>
            <w:tcW w:w="0" w:type="dxa"/>
            <w:vAlign w:val="bottom"/>
          </w:tcPr>
          <w:p>
            <w:pPr>
              <w:spacing w:after="0"/>
              <w:rPr>
                <w:sz w:val="1"/>
                <w:szCs w:val="1"/>
                <w:color w:val="auto"/>
              </w:rPr>
            </w:pPr>
          </w:p>
        </w:tc>
      </w:tr>
      <w:tr>
        <w:trPr>
          <w:trHeight w:val="50"/>
        </w:trPr>
        <w:tc>
          <w:tcPr>
            <w:tcW w:w="3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Steve P. Lawrence</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Annual</w:t>
            </w: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414,438</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828,876</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1,657,752</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411,270</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1,135,105</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37,488</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106,865</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293,878</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Restricted</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Units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142,586</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Sam J. Johnson</w:t>
            </w: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Annual</w:t>
            </w:r>
          </w:p>
        </w:tc>
        <w:tc>
          <w:tcPr>
            <w:tcW w:w="100" w:type="dxa"/>
            <w:vAlign w:val="bottom"/>
          </w:tcPr>
          <w:p>
            <w:pPr>
              <w:spacing w:after="0"/>
              <w:rPr>
                <w:sz w:val="16"/>
                <w:szCs w:val="16"/>
                <w:color w:val="auto"/>
              </w:rPr>
            </w:pP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231,920</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463,840</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927,680</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121,504</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335,351</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20,993</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59,844</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164,571</w:t>
            </w:r>
          </w:p>
        </w:tc>
        <w:tc>
          <w:tcPr>
            <w:tcW w:w="0" w:type="dxa"/>
            <w:vAlign w:val="bottom"/>
          </w:tcPr>
          <w:p>
            <w:pPr>
              <w:spacing w:after="0"/>
              <w:rPr>
                <w:sz w:val="1"/>
                <w:szCs w:val="1"/>
                <w:color w:val="auto"/>
              </w:rPr>
            </w:pPr>
          </w:p>
        </w:tc>
      </w:tr>
      <w:tr>
        <w:trPr>
          <w:trHeight w:val="50"/>
        </w:trPr>
        <w:tc>
          <w:tcPr>
            <w:tcW w:w="3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Ken D. Attaway</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Annual</w:t>
            </w: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223,247</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446,495</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892,990</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112,824</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311,394</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19,493</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55,570</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152,817</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40" w:hanging="424"/>
        <w:spacing w:after="0" w:line="236" w:lineRule="auto"/>
        <w:tabs>
          <w:tab w:leader="none" w:pos="54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the “Estimated Future Payouts Under Non-Equity Incentive Plan Awards” column relate to amounts payable to each Named Executive Officer in 2019 under our Executive Team Bonus Plan at threshold, target and maximum levels of performance, in each case calculated by multiplying each Named Executive Officer’s weighted average base salary for 2019 (assuming for this purpose the number of days determined by subtracting the last day of the fiscal year from the first day) by the applicable percentage at which the bonus would pay out based on the combined weighted achievement of the Company and individual performance metrics at each such level. The actual amounts paid to our</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40"/>
          </w:cols>
          <w:pgMar w:left="320" w:top="455" w:right="4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right="280"/>
        <w:spacing w:after="0" w:line="233" w:lineRule="auto"/>
        <w:rPr>
          <w:sz w:val="20"/>
          <w:szCs w:val="20"/>
          <w:color w:val="auto"/>
        </w:rPr>
      </w:pPr>
      <w:r>
        <w:rPr>
          <w:rFonts w:ascii="Times New Roman" w:cs="Times New Roman" w:eastAsia="Times New Roman" w:hAnsi="Times New Roman"/>
          <w:sz w:val="14"/>
          <w:szCs w:val="14"/>
          <w:color w:val="auto"/>
        </w:rPr>
        <w:t>Named Executive Officers are set forth in the “Summary Compensation Table” above and the calculation of the actual amounts paid is discussed more fully in “—Executive Team Bonus Plan” above.</w:t>
      </w:r>
    </w:p>
    <w:p>
      <w:pPr>
        <w:ind w:left="540" w:hanging="424"/>
        <w:spacing w:after="0" w:line="222" w:lineRule="auto"/>
        <w:tabs>
          <w:tab w:leader="none" w:pos="5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vesting schedule applicable to each Time Option, Performance Option, and Restricted Unit award is set forth in the “—Outstanding Equity Awards at Fiscal Year End Table” table.</w:t>
      </w:r>
    </w:p>
    <w:p>
      <w:pPr>
        <w:ind w:left="540" w:hanging="424"/>
        <w:spacing w:after="0" w:line="221" w:lineRule="auto"/>
        <w:tabs>
          <w:tab w:leader="none" w:pos="5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target level of achievement is the highest level of achievement possible under the equity incentive plan awards listed in this table.</w:t>
      </w:r>
    </w:p>
    <w:p>
      <w:pPr>
        <w:ind w:left="540" w:right="60" w:hanging="424"/>
        <w:spacing w:after="0" w:line="221" w:lineRule="auto"/>
        <w:tabs>
          <w:tab w:leader="none" w:pos="5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reported in this column do not reflect the actual economic value realized by the Named Executive Officer. The amounts reported in this column represent the grant date fair value of the Time Options and Performance Options granted to each of the Named Executive Officers in 2019 pursuant to an Option Agreement under the 2011 Equity Plan, computed in accordance with FASB Accounting Standards Codification Topic 718. The valuation assumptions used in determining such amounts are described in Note 10, </w:t>
      </w:r>
      <w:r>
        <w:rPr>
          <w:rFonts w:ascii="Times New Roman" w:cs="Times New Roman" w:eastAsia="Times New Roman" w:hAnsi="Times New Roman"/>
          <w:sz w:val="14"/>
          <w:szCs w:val="14"/>
          <w:i w:val="1"/>
          <w:iCs w:val="1"/>
          <w:color w:val="auto"/>
        </w:rPr>
        <w:t>Equity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Unit-Based Compensation </w:t>
      </w:r>
      <w:r>
        <w:rPr>
          <w:rFonts w:ascii="Times New Roman" w:cs="Times New Roman" w:eastAsia="Times New Roman" w:hAnsi="Times New Roman"/>
          <w:sz w:val="14"/>
          <w:szCs w:val="14"/>
          <w:color w:val="auto"/>
        </w:rPr>
        <w:t>to our audited consolidated financial statements incorporated by reference in this prospectus. The grant date fair value of the Performance Options,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vest based on performance-vesting criteria, is based upon the probable outcome of the performance conditions at the date of grant and assumes the “target” level of performance is achieved, which is the highest level of performance condition achievable for the awards.</w:t>
      </w:r>
    </w:p>
    <w:p>
      <w:pPr>
        <w:spacing w:after="0" w:line="1" w:lineRule="exact"/>
        <w:rPr>
          <w:rFonts w:ascii="Times New Roman" w:cs="Times New Roman" w:eastAsia="Times New Roman" w:hAnsi="Times New Roman"/>
          <w:sz w:val="14"/>
          <w:szCs w:val="14"/>
          <w:color w:val="auto"/>
        </w:rPr>
      </w:pPr>
    </w:p>
    <w:p>
      <w:pPr>
        <w:ind w:left="540" w:hanging="424"/>
        <w:spacing w:after="0" w:line="227" w:lineRule="auto"/>
        <w:tabs>
          <w:tab w:leader="none" w:pos="5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Mr. Lawrence’s employment agreement, dated January 29, 2019, the Company granted 142,586 Restricted Units to Mr. Lawrence on March 7, 2019. However, as of February 1, 2020, the Company had not recognized equity-based compensation expense for any of the outstanding Restricted Units granted to employees, which are subject to both a service-based vesting condition and a liquidity event-based vesting condition. In the period in which the Company’s liquidity event occurs (e.g., in connection with the consummation of this offering), the Company will record a cumulative stock-based compensation expense for the then vested awards. Equity-based compensation related to remaining time-based service after the liquidity event will be recorded over the remaining requisite service period. The grant date fair value of the Restricted Units, assuming the achievement of the liquidity event-based vesting condition, would have been $750,002 for Mr. Lawrence (based on a grant date fair value per Restricted Unit of $5.26).</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2019 FISCAL YEAR 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with regard to each outstanding equity award held by the Named Executive Officers on February 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2020.</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 Table</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6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4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6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8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gridSpan w:val="2"/>
            <w:vMerge w:val="continue"/>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7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6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7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940" w:type="dxa"/>
            <w:vAlign w:val="bottom"/>
            <w:gridSpan w:val="2"/>
          </w:tcPr>
          <w:p>
            <w:pPr>
              <w:jc w:val="center"/>
              <w:ind w:left="88"/>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40" w:type="dxa"/>
            <w:vAlign w:val="bottom"/>
          </w:tcPr>
          <w:p>
            <w:pPr>
              <w:spacing w:after="0"/>
              <w:rPr>
                <w:sz w:val="15"/>
                <w:szCs w:val="15"/>
                <w:color w:val="auto"/>
              </w:rPr>
            </w:pPr>
          </w:p>
        </w:tc>
        <w:tc>
          <w:tcPr>
            <w:tcW w:w="1040" w:type="dxa"/>
            <w:vAlign w:val="bottom"/>
            <w:gridSpan w:val="3"/>
          </w:tcPr>
          <w:p>
            <w:pPr>
              <w:jc w:val="center"/>
              <w:ind w:left="88"/>
              <w:spacing w:after="0" w:line="160"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200" w:type="dxa"/>
            <w:vAlign w:val="bottom"/>
          </w:tcPr>
          <w:p>
            <w:pPr>
              <w:spacing w:after="0"/>
              <w:rPr>
                <w:sz w:val="15"/>
                <w:szCs w:val="15"/>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220" w:type="dxa"/>
            <w:vAlign w:val="bottom"/>
          </w:tcPr>
          <w:p>
            <w:pPr>
              <w:spacing w:after="0"/>
              <w:rPr>
                <w:sz w:val="15"/>
                <w:szCs w:val="15"/>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9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Date(4)</w:t>
            </w: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4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(#)(5)</w:t>
            </w:r>
          </w:p>
        </w:tc>
        <w:tc>
          <w:tcPr>
            <w:tcW w:w="20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10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Ken C. Hicks</w:t>
            </w:r>
          </w:p>
        </w:tc>
        <w:tc>
          <w:tcPr>
            <w:tcW w:w="1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9/16/2018</w:t>
            </w:r>
          </w:p>
        </w:tc>
        <w:tc>
          <w:tcPr>
            <w:tcW w:w="18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ind w:right="8"/>
              <w:spacing w:after="0" w:line="113"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ind w:right="8"/>
              <w:spacing w:after="0" w:line="11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center"/>
              <w:ind w:left="188"/>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ind w:right="8"/>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ind w:left="360"/>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ind w:left="200"/>
              <w:spacing w:after="0" w:line="113" w:lineRule="exact"/>
              <w:rPr>
                <w:sz w:val="20"/>
                <w:szCs w:val="20"/>
                <w:color w:val="auto"/>
              </w:rPr>
            </w:pPr>
            <w:r>
              <w:rPr>
                <w:rFonts w:ascii="Times New Roman" w:cs="Times New Roman" w:eastAsia="Times New Roman" w:hAnsi="Times New Roman"/>
                <w:sz w:val="13"/>
                <w:szCs w:val="13"/>
                <w:color w:val="auto"/>
              </w:rPr>
              <w:t>735,295</w:t>
            </w:r>
          </w:p>
        </w:tc>
        <w:tc>
          <w:tcPr>
            <w:tcW w:w="2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4,036,769</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9/16/2018(7)</w:t>
            </w:r>
          </w:p>
        </w:tc>
        <w:tc>
          <w:tcPr>
            <w:tcW w:w="9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226,674</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291,461</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5.44</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9/16/2028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9/16/2018(8)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259,068</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5.44</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9/16/2028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3/7/2019(9)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144,640</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549,661</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3/7/2019(10)</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341,969</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Michael P. Mullican</w:t>
            </w:r>
          </w:p>
        </w:tc>
        <w:tc>
          <w:tcPr>
            <w:tcW w:w="180" w:type="dxa"/>
            <w:vAlign w:val="bottom"/>
          </w:tcPr>
          <w:p>
            <w:pPr>
              <w:spacing w:after="0"/>
              <w:rPr>
                <w:sz w:val="10"/>
                <w:szCs w:val="10"/>
                <w:color w:val="auto"/>
              </w:rPr>
            </w:pPr>
          </w:p>
        </w:tc>
        <w:tc>
          <w:tcPr>
            <w:tcW w:w="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w w:val="99"/>
              </w:rPr>
              <w:t>3/23/2017(11)</w:t>
            </w:r>
          </w:p>
        </w:tc>
        <w:tc>
          <w:tcPr>
            <w:tcW w:w="180" w:type="dxa"/>
            <w:vAlign w:val="bottom"/>
          </w:tcPr>
          <w:p>
            <w:pPr>
              <w:spacing w:after="0"/>
              <w:rPr>
                <w:sz w:val="10"/>
                <w:szCs w:val="10"/>
                <w:color w:val="auto"/>
              </w:rPr>
            </w:pPr>
          </w:p>
        </w:tc>
        <w:tc>
          <w:tcPr>
            <w:tcW w:w="80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49,261</w:t>
            </w:r>
          </w:p>
        </w:tc>
        <w:tc>
          <w:tcPr>
            <w:tcW w:w="1240" w:type="dxa"/>
            <w:vAlign w:val="bottom"/>
            <w:gridSpan w:val="4"/>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49,262</w:t>
            </w:r>
          </w:p>
        </w:tc>
        <w:tc>
          <w:tcPr>
            <w:tcW w:w="9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3/23/2017(12)</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13,916</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13,916</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21,429</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4/5/2018(13)</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32,206</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96,619</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4/5/2018(14)</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64,412</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6/22/2018</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377,359</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2,071,700</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3/7/2019(15)</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138,861</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3/7/2019(16)</w:t>
            </w: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68,393</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Steve P. Lawrence</w:t>
            </w:r>
          </w:p>
        </w:tc>
        <w:tc>
          <w:tcPr>
            <w:tcW w:w="100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3/7/2019</w:t>
            </w: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shd w:val="clear" w:color="auto" w:fill="CCEEFF"/>
          </w:tcPr>
          <w:p>
            <w:pPr>
              <w:jc w:val="right"/>
              <w:ind w:right="3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142,586</w:t>
            </w:r>
          </w:p>
        </w:tc>
        <w:tc>
          <w:tcPr>
            <w:tcW w:w="7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782,797</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3/7/2019(17)</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411,270</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3/7/2019(18)</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106,865</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Sam J. Johnson</w:t>
            </w:r>
          </w:p>
        </w:tc>
        <w:tc>
          <w:tcPr>
            <w:tcW w:w="180" w:type="dxa"/>
            <w:vAlign w:val="bottom"/>
          </w:tcPr>
          <w:p>
            <w:pPr>
              <w:spacing w:after="0"/>
              <w:rPr>
                <w:sz w:val="10"/>
                <w:szCs w:val="10"/>
                <w:color w:val="auto"/>
              </w:rPr>
            </w:pPr>
          </w:p>
        </w:tc>
        <w:tc>
          <w:tcPr>
            <w:tcW w:w="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6/6/2017(19)</w:t>
            </w:r>
          </w:p>
        </w:tc>
        <w:tc>
          <w:tcPr>
            <w:tcW w:w="980" w:type="dxa"/>
            <w:vAlign w:val="bottom"/>
            <w:gridSpan w:val="3"/>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36,946</w:t>
            </w:r>
          </w:p>
        </w:tc>
        <w:tc>
          <w:tcPr>
            <w:tcW w:w="1240" w:type="dxa"/>
            <w:vAlign w:val="bottom"/>
            <w:gridSpan w:val="4"/>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36,946</w:t>
            </w:r>
          </w:p>
        </w:tc>
        <w:tc>
          <w:tcPr>
            <w:tcW w:w="9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6/6/2027</w:t>
            </w:r>
          </w:p>
        </w:tc>
        <w:tc>
          <w:tcPr>
            <w:tcW w:w="800" w:type="dxa"/>
            <w:vAlign w:val="bottom"/>
            <w:gridSpan w:val="2"/>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6/6/2017(20)</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10,436</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10,438</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16,072</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6/6/2027</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4/5/2018(21)</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26,167</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78,503</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4/5/2018(22)</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52,335</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6/22/2018</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235,850</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1,294,816</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3/7/2019(23)</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121,504</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3/7/2019(24)</w:t>
            </w: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59,844</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Ken D. Attaway</w:t>
            </w:r>
          </w:p>
        </w:tc>
        <w:tc>
          <w:tcPr>
            <w:tcW w:w="100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7/2/2015(25)</w:t>
            </w:r>
          </w:p>
        </w:tc>
        <w:tc>
          <w:tcPr>
            <w:tcW w:w="980" w:type="dxa"/>
            <w:vAlign w:val="bottom"/>
            <w:gridSpan w:val="3"/>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650,000</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7"/>
              </w:rPr>
              <w:t>1.66</w:t>
            </w:r>
          </w:p>
        </w:tc>
        <w:tc>
          <w:tcPr>
            <w:tcW w:w="90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8/30/2021</w:t>
            </w:r>
          </w:p>
        </w:tc>
        <w:tc>
          <w:tcPr>
            <w:tcW w:w="800" w:type="dxa"/>
            <w:vAlign w:val="bottom"/>
            <w:gridSpan w:val="2"/>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7/2/2015(26)</w:t>
            </w:r>
          </w:p>
        </w:tc>
        <w:tc>
          <w:tcPr>
            <w:tcW w:w="9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650,000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1.66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8/30/2021</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3/27/2016(27)</w:t>
            </w:r>
          </w:p>
        </w:tc>
        <w:tc>
          <w:tcPr>
            <w:tcW w:w="9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88,752</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29,585</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3/27/2026</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3/23/2017(28)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61,576</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61,578</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3/23/2017(29)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17,394</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17,396</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26,786</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4/5/2018(30)</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28,180</w:t>
            </w:r>
          </w:p>
        </w:tc>
        <w:tc>
          <w:tcPr>
            <w:tcW w:w="40" w:type="dxa"/>
            <w:vAlign w:val="bottom"/>
            <w:shd w:val="clear" w:color="auto" w:fill="CCEEFF"/>
          </w:tcPr>
          <w:p>
            <w:pPr>
              <w:spacing w:after="0"/>
              <w:rPr>
                <w:sz w:val="12"/>
                <w:szCs w:val="12"/>
                <w:color w:val="auto"/>
              </w:rPr>
            </w:pP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84,542</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4/5/2018(31)</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56,361</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6/22/2018</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141,510</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776,889</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3/7/2019(32)</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112,824</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3/7/2019(33)</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55,570</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40" w:hanging="424"/>
        <w:spacing w:after="0"/>
        <w:tabs>
          <w:tab w:leader="none" w:pos="5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numbers in this column represent vested Time Options and vested Performance Options as of February 1, 2020.</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numbers in this column represent (i) unvested Time Options as of February 1, 2020, or (ii) Performance Options which became Earned and are subject to time vesting.</w:t>
      </w:r>
    </w:p>
    <w:p>
      <w:pPr>
        <w:ind w:left="540" w:hanging="424"/>
        <w:spacing w:after="0" w:line="221" w:lineRule="auto"/>
        <w:tabs>
          <w:tab w:leader="none" w:pos="5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numbers in this column represent unvested Performance Options that are not Earned as of February 1, 2020.</w:t>
      </w:r>
    </w:p>
    <w:p>
      <w:pPr>
        <w:ind w:left="540" w:hanging="424"/>
        <w:spacing w:after="0" w:line="221" w:lineRule="auto"/>
        <w:tabs>
          <w:tab w:leader="none" w:pos="5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date for each of the Options is the date that is ten years after the initial grant date.</w:t>
      </w:r>
    </w:p>
    <w:p>
      <w:pPr>
        <w:ind w:left="540" w:right="160" w:hanging="424"/>
        <w:spacing w:after="0" w:line="221" w:lineRule="auto"/>
        <w:tabs>
          <w:tab w:leader="none" w:pos="5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Restricted Units granted to each Named Executive Officer are reported in this column because they are subject to a liquidity event-based vesting condition which will only be satisfied upon the closing of this offering, in addition to any other vesting conditions that continue to apply. The service-based vesting condition and liquidity event-based vesting condition and, if applicable, other performance-based vesting conditions, for each award of Restricted Units is described in “Long-Term Equity Incentive Compensation—Equity Awards under 2011 Equity Plan—Restricted Units.”</w:t>
      </w:r>
    </w:p>
    <w:p>
      <w:pPr>
        <w:spacing w:after="0" w:line="1" w:lineRule="exact"/>
        <w:rPr>
          <w:rFonts w:ascii="Times New Roman" w:cs="Times New Roman" w:eastAsia="Times New Roman" w:hAnsi="Times New Roman"/>
          <w:sz w:val="14"/>
          <w:szCs w:val="14"/>
          <w:color w:val="auto"/>
        </w:rPr>
      </w:pPr>
    </w:p>
    <w:p>
      <w:pPr>
        <w:ind w:left="540" w:right="220" w:hanging="424"/>
        <w:spacing w:after="0" w:line="233" w:lineRule="auto"/>
        <w:tabs>
          <w:tab w:leader="none" w:pos="5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our Membership Units as of February 1, 2020, as approved by the Board on March 5, 2020, is based on the most recently completed independent third party valuation of the Membership Units (as of January 4, 2020). The market value of the Membership Units as of February 1, 2020 is equal to $5.49 per Membership Unit, or the Market Value Per Membership Unit.</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right="660" w:hanging="424"/>
        <w:spacing w:after="0" w:line="233"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Hicks under the 2018 CEO Option Agreement vest as follows: 1/48</w:t>
      </w:r>
      <w:r>
        <w:rPr>
          <w:rFonts w:ascii="Times New Roman" w:cs="Times New Roman" w:eastAsia="Times New Roman" w:hAnsi="Times New Roman"/>
          <w:sz w:val="12"/>
          <w:szCs w:val="12"/>
          <w:color w:val="auto"/>
        </w:rPr>
        <w:t>th</w:t>
      </w:r>
      <w:r>
        <w:rPr>
          <w:rFonts w:ascii="Times New Roman" w:cs="Times New Roman" w:eastAsia="Times New Roman" w:hAnsi="Times New Roman"/>
          <w:sz w:val="14"/>
          <w:szCs w:val="14"/>
          <w:color w:val="auto"/>
        </w:rPr>
        <w:t xml:space="preserve"> of the Time Options become vested and exercisable on each monthly anniversary of the vesting commencement date (April 5, 2018), subject to continued employment through the applicable vesting date.</w:t>
      </w:r>
    </w:p>
    <w:p>
      <w:pPr>
        <w:ind w:left="540" w:right="10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Hicks under the 2018 CEO Option Agreement have not been Earned because the Compensation Committee determined that the Company’s actual consolidated Adjusted EBITDA for the Option Grant Year was less than the “low performance target.” Pursuant to the 2018 CEO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66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Hicks under the 2019 CEO Option Agreement vest as follows: 1/48</w:t>
      </w:r>
      <w:r>
        <w:rPr>
          <w:rFonts w:ascii="Times New Roman" w:cs="Times New Roman" w:eastAsia="Times New Roman" w:hAnsi="Times New Roman"/>
          <w:sz w:val="12"/>
          <w:szCs w:val="12"/>
          <w:color w:val="auto"/>
        </w:rPr>
        <w:t>th</w:t>
      </w:r>
      <w:r>
        <w:rPr>
          <w:rFonts w:ascii="Times New Roman" w:cs="Times New Roman" w:eastAsia="Times New Roman" w:hAnsi="Times New Roman"/>
          <w:sz w:val="14"/>
          <w:szCs w:val="14"/>
          <w:color w:val="auto"/>
        </w:rPr>
        <w:t xml:space="preserve"> of the Time Options become vested and exercisable on each monthly anniversary of the grant date, subject to continued employment through the applicable vesting date.</w:t>
      </w:r>
    </w:p>
    <w:p>
      <w:pPr>
        <w:ind w:left="540" w:right="6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Hicks under the 2019 CEO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CEO Option Agreement were Earned and will vest pursuant to the applicable time vesting provisions for Performance Options in the 2019 CEO Option Agreement.</w:t>
      </w:r>
    </w:p>
    <w:p>
      <w:pPr>
        <w:spacing w:after="0" w:line="1" w:lineRule="exact"/>
        <w:rPr>
          <w:rFonts w:ascii="Times New Roman" w:cs="Times New Roman" w:eastAsia="Times New Roman" w:hAnsi="Times New Roman"/>
          <w:sz w:val="14"/>
          <w:szCs w:val="14"/>
          <w:color w:val="auto"/>
        </w:rPr>
      </w:pPr>
    </w:p>
    <w:p>
      <w:pPr>
        <w:ind w:left="540" w:right="8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Mullican under the 2017 Executive Option Agreement vest as follows: 25% of the Time Options become vested and exercisable on each anniversary of the grant date, subject to continued employment through the applicable vesting date.</w:t>
      </w:r>
    </w:p>
    <w:p>
      <w:pPr>
        <w:ind w:left="540" w:right="8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Mullican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2" w:lineRule="exact"/>
        <w:rPr>
          <w:rFonts w:ascii="Times New Roman" w:cs="Times New Roman" w:eastAsia="Times New Roman" w:hAnsi="Times New Roman"/>
          <w:sz w:val="14"/>
          <w:szCs w:val="14"/>
          <w:color w:val="auto"/>
        </w:rPr>
      </w:pPr>
    </w:p>
    <w:p>
      <w:pPr>
        <w:ind w:left="540" w:right="8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Mullican under the 2018 Executive Option Agreement vest as follows: 25% of the Time Options become vested and exercisable on each anniversary of the grant date, subject to continued employment through the applicable vesting date.</w:t>
      </w:r>
    </w:p>
    <w:p>
      <w:pPr>
        <w:ind w:left="54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Mullican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8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Mullican under the 2019 Executive Option Agreement vest as follows: 25% of the Time Options become vested and exercisable on each anniversary of the grant date, subject to continued employment through the applicable vesting date.</w:t>
      </w:r>
    </w:p>
    <w:p>
      <w:pPr>
        <w:ind w:left="540" w:right="14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Mullican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1" w:lineRule="exact"/>
        <w:rPr>
          <w:rFonts w:ascii="Times New Roman" w:cs="Times New Roman" w:eastAsia="Times New Roman" w:hAnsi="Times New Roman"/>
          <w:sz w:val="14"/>
          <w:szCs w:val="14"/>
          <w:color w:val="auto"/>
        </w:rPr>
      </w:pPr>
    </w:p>
    <w:p>
      <w:pPr>
        <w:ind w:left="540" w:right="4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Lawrence under the 2019 Executive Option Agreement vest as follows: 25% of the Time Options become vested and exercisable on each anniversary of the grant date, subject to continued employment through the applicable vesting date.</w:t>
      </w:r>
    </w:p>
    <w:p>
      <w:pPr>
        <w:ind w:left="540" w:right="14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Lawrence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1" w:lineRule="exact"/>
        <w:rPr>
          <w:rFonts w:ascii="Times New Roman" w:cs="Times New Roman" w:eastAsia="Times New Roman" w:hAnsi="Times New Roman"/>
          <w:sz w:val="14"/>
          <w:szCs w:val="14"/>
          <w:color w:val="auto"/>
        </w:rPr>
      </w:pPr>
    </w:p>
    <w:p>
      <w:pPr>
        <w:ind w:left="540" w:right="14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Johnson under the 2017 Executive Option Agreement vest as follows: 25% of the Time Options become vested and exercisable on each anniversary of the grant date, subject to continued employment through the applicable vesting date.</w:t>
      </w:r>
    </w:p>
    <w:p>
      <w:pPr>
        <w:ind w:left="540" w:right="100" w:hanging="424"/>
        <w:spacing w:after="0" w:line="227"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Johnson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right="140"/>
        <w:spacing w:after="0" w:line="229" w:lineRule="auto"/>
        <w:rPr>
          <w:sz w:val="20"/>
          <w:szCs w:val="20"/>
          <w:color w:val="auto"/>
        </w:rPr>
      </w:pPr>
      <w:r>
        <w:rPr>
          <w:rFonts w:ascii="Times New Roman" w:cs="Times New Roman" w:eastAsia="Times New Roman" w:hAnsi="Times New Roman"/>
          <w:sz w:val="14"/>
          <w:szCs w:val="14"/>
          <w:color w:val="auto"/>
        </w:rPr>
        <w:t>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sz w:val="20"/>
          <w:szCs w:val="20"/>
          <w:color w:val="auto"/>
        </w:rPr>
      </w:pPr>
    </w:p>
    <w:p>
      <w:pPr>
        <w:ind w:left="540" w:right="14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Johnson under the 2018 Executive Option Agreement vest as follows: 25% of the Time Options become vested and exercisable on each anniversary of the grant date, subject to continued employment through the applicable vesting date.</w:t>
      </w:r>
    </w:p>
    <w:p>
      <w:pPr>
        <w:ind w:left="54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Johnson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14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Johnson under the 2019 Executive Option Agreement vest as follows: 25% of the Time Options become vested and exercisable on each anniversary of the grant date, subject to continued employment through the applicable vesting date.</w:t>
      </w:r>
    </w:p>
    <w:p>
      <w:pPr>
        <w:ind w:left="540" w:right="14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Johnson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1" w:lineRule="exact"/>
        <w:rPr>
          <w:rFonts w:ascii="Times New Roman" w:cs="Times New Roman" w:eastAsia="Times New Roman" w:hAnsi="Times New Roman"/>
          <w:sz w:val="14"/>
          <w:szCs w:val="14"/>
          <w:color w:val="auto"/>
        </w:rPr>
      </w:pPr>
    </w:p>
    <w:p>
      <w:pPr>
        <w:jc w:val="both"/>
        <w:ind w:left="540" w:right="44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30, 2011, the Company granted 650,000 Time Options with an exercise price of $5.00 to Mr. Attaway pursuant to an Option Agreement under the 2011 Equity Plan. Effective July 2, 2015, the exercise price was repriced down to $1.66, and all other terms with respect to the Time Options remained the same. This award was fully vested as of February 1, 2020.</w:t>
      </w:r>
    </w:p>
    <w:p>
      <w:pPr>
        <w:ind w:left="540" w:right="4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30, 2011, the Company granted 650,000 Performance Options with an exercise price of $5.00 to Mr. Attaway pursuant to an Option Agreement under the 2011 Equity Plan. Effective July 2, 2015, the exercise price was repriced down to $1.66, and all other terms with respect to the Performance Options remained the same. This award was fully vested as of February 1, 2020.</w:t>
      </w:r>
    </w:p>
    <w:p>
      <w:pPr>
        <w:ind w:left="540" w:right="12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2016 Executive Option Agreement vest as follows: 25% of the Time Options become vested and exercisable on each anniversary of the grant date, subject to continued employment through the applicable vesting date.</w:t>
      </w:r>
    </w:p>
    <w:p>
      <w:pPr>
        <w:ind w:left="540" w:right="12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2017 Executive Option Agreement vest as follows: 25% of the Time Options become vested and exercisable on each anniversary of the grant date, subject to continued employment through the applicable vesting date.</w:t>
      </w:r>
    </w:p>
    <w:p>
      <w:pPr>
        <w:ind w:left="540" w:right="8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Attaway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2" w:lineRule="exact"/>
        <w:rPr>
          <w:rFonts w:ascii="Times New Roman" w:cs="Times New Roman" w:eastAsia="Times New Roman" w:hAnsi="Times New Roman"/>
          <w:sz w:val="14"/>
          <w:szCs w:val="14"/>
          <w:color w:val="auto"/>
        </w:rPr>
      </w:pPr>
    </w:p>
    <w:p>
      <w:pPr>
        <w:ind w:left="540" w:right="12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2018 Executive Option Agreement vest as follows: 25% of the Time Options become vested and exercisable on each anniversary of the grant date, subject to continued employment through the applicable vesting date.</w:t>
      </w:r>
    </w:p>
    <w:p>
      <w:pPr>
        <w:ind w:left="54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Attaway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12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2019 Executive Option Agreement vest as follows: 25% of the Time Options become vested and exercisable on each anniversary of the grant date, subject to continued employment through the applicable vesting date.</w:t>
      </w:r>
    </w:p>
    <w:p>
      <w:pPr>
        <w:ind w:left="540" w:right="140" w:hanging="424"/>
        <w:spacing w:after="0" w:line="228"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Attaway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40"/>
          </w:cols>
          <w:pgMar w:left="320" w:top="455" w:right="4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EXERCISES AND RESTRICTED UNITS VESTED</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on Restricted Unit awards that vested, including the number of Membership Units acquired upon vesting and the value realized, determined as described below during the fiscal year ended February 1, 2020. None of the Named Executive Officers exercised any Options during 2019. No Restricted Units held by the Named Executive Officers vested during 2019 except for the Restricted Units held by Mr. Hicks pursuant to the 2018 Independent Non-Employee Director Restricted Unit Agreement, which vested in full on March 6, 2019.</w:t>
      </w: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Fiscal 2019 Restricted Units Vested Table</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86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9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860" w:type="dxa"/>
            <w:vAlign w:val="bottom"/>
            <w:gridSpan w:val="2"/>
          </w:tcPr>
          <w:p>
            <w:pPr>
              <w:jc w:val="center"/>
              <w:ind w:right="840"/>
              <w:spacing w:after="0" w:line="118" w:lineRule="exact"/>
              <w:rPr>
                <w:sz w:val="20"/>
                <w:szCs w:val="20"/>
                <w:color w:val="auto"/>
              </w:rPr>
            </w:pPr>
            <w:r>
              <w:rPr>
                <w:rFonts w:ascii="Times New Roman" w:cs="Times New Roman" w:eastAsia="Times New Roman" w:hAnsi="Times New Roman"/>
                <w:sz w:val="13"/>
                <w:szCs w:val="13"/>
                <w:b w:val="1"/>
                <w:bCs w:val="1"/>
                <w:color w:val="auto"/>
              </w:rPr>
              <w:t>Number of Units</w:t>
            </w: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180" w:type="dxa"/>
            <w:vAlign w:val="bottom"/>
            <w:vMerge w:val="restart"/>
          </w:tcPr>
          <w:p>
            <w:pPr>
              <w:spacing w:after="0"/>
              <w:rPr>
                <w:sz w:val="12"/>
                <w:szCs w:val="12"/>
                <w:color w:val="auto"/>
              </w:rPr>
            </w:pPr>
          </w:p>
        </w:tc>
        <w:tc>
          <w:tcPr>
            <w:tcW w:w="186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9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1860" w:type="dxa"/>
            <w:vAlign w:val="bottom"/>
            <w:gridSpan w:val="2"/>
          </w:tcPr>
          <w:p>
            <w:pPr>
              <w:jc w:val="center"/>
              <w:ind w:right="840"/>
              <w:spacing w:after="0" w:line="160" w:lineRule="exact"/>
              <w:rPr>
                <w:sz w:val="20"/>
                <w:szCs w:val="20"/>
                <w:color w:val="auto"/>
              </w:rPr>
            </w:pPr>
            <w:r>
              <w:rPr>
                <w:rFonts w:ascii="Times New Roman" w:cs="Times New Roman" w:eastAsia="Times New Roman" w:hAnsi="Times New Roman"/>
                <w:sz w:val="14"/>
                <w:szCs w:val="14"/>
                <w:b w:val="1"/>
                <w:bCs w:val="1"/>
                <w:color w:val="auto"/>
              </w:rPr>
              <w:t>Vesting (#)(1)</w:t>
            </w: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Ken C. Hicks</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19,121</w:t>
            </w: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100,576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680" w:hanging="424"/>
        <w:spacing w:after="0" w:line="261" w:lineRule="auto"/>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6, 2018, the Company granted 19,121 Restricted Units to Mr. Hicks pursuant to the 2018 Independent Non-Employee Director Restricted Unit Agreement under the 2011 Equity Plan, which vested in full on March 6, 2019.</w:t>
      </w:r>
    </w:p>
    <w:p>
      <w:pPr>
        <w:ind w:left="540" w:right="160" w:hanging="424"/>
        <w:spacing w:after="0" w:line="290" w:lineRule="auto"/>
        <w:tabs>
          <w:tab w:leader="none" w:pos="54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realized on vesting is based on the number of Membership Units underlying the Restricted Unit award that vested multiplied by the market value per Membership Unit on the vesting date ($5.26), which was based on an independent third party valuation approved by the Board.</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2011 Equity Plan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2011 Equity Plan was designed to (i) promote the long term financial interests and growth of the Company and its subsidiaries and affiliates by attracting and retaining management and other personnel with the training, experience and ability to enable them to make a substantial contribution to the success of the Company; (ii) motivate management personnel by means of growth-related incentives to achieve long range goals; and (iii) further the alignment of interests of participants with those of the direct and indirect members of the Company through opportunities for increased equity, or equity-based ownership, in the Company.</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120" w:right="80" w:firstLine="440"/>
        <w:spacing w:after="0" w:line="276" w:lineRule="auto"/>
        <w:rPr>
          <w:sz w:val="20"/>
          <w:szCs w:val="20"/>
          <w:color w:val="auto"/>
        </w:rPr>
      </w:pPr>
      <w:r>
        <w:rPr>
          <w:rFonts w:ascii="Times New Roman" w:cs="Times New Roman" w:eastAsia="Times New Roman" w:hAnsi="Times New Roman"/>
          <w:sz w:val="17"/>
          <w:szCs w:val="17"/>
          <w:color w:val="auto"/>
        </w:rPr>
        <w:t>The 2011 Equity Plan is administered by the Compensation Committee. The Compensation Committee has full power and authority to administer and interpret the 2011 Equity Plan, awards granted under the 2011 Equity Plan and each award agreement, including, without limitation, the power to</w:t>
      </w:r>
    </w:p>
    <w:p>
      <w:pPr>
        <w:spacing w:after="0" w:line="1" w:lineRule="exact"/>
        <w:rPr>
          <w:sz w:val="20"/>
          <w:szCs w:val="20"/>
          <w:color w:val="auto"/>
        </w:rPr>
      </w:pPr>
    </w:p>
    <w:p>
      <w:pPr>
        <w:ind w:left="120" w:right="520" w:hanging="4"/>
        <w:spacing w:after="0" w:line="265" w:lineRule="auto"/>
        <w:tabs>
          <w:tab w:leader="none" w:pos="335"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all of the powers granted to it under the 2011 Equity Plan, (ii) construe, interpret and implement the 2011 Equity Plan and any award agreement, (iii) prescribe, amend and rescind rules and regulations relating to the 2011 Equity Plan, including rules governing its own operations,</w:t>
      </w:r>
    </w:p>
    <w:p>
      <w:pPr>
        <w:ind w:left="120" w:right="40" w:hanging="4"/>
        <w:spacing w:after="0" w:line="252" w:lineRule="auto"/>
        <w:tabs>
          <w:tab w:leader="none" w:pos="42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determinations necessary or advisable in administering the 2011 Equity Plan, awards and any award agreements, (v) correct any defect, supply any omission and reconcile any inconsistency in the 2011 Equity Plan, awards or any award agreement, (vi) amend the 2011 Equity Plan, awards and any award agreement to reflect changes in applicable law or, without the consent of the participants, make any other amendment not adverse to the participants, (vii) determine from among those persons determined to be eligible for the 2011 Equity Plan, the particular persons who will be participants, (viii) grant awards under the 2011 Equity Plan and determine the terms and conditions of such awards, consistent with the express limitations of the 2011 Equity Plan, (ix) delegate such powers and authority to such persons as it deems appropriate, so long as any such delegation is consistent with applicable law and any guidelines as may be established by the Board from time to time and (x) waive any conditions under any awards.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Awards Subject to 2011 Equity Plan</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2011 Equity Plan provided for the grant of units and unit-based compensation to any employee, director or member, consultant or other service provider of the Company or any of its affiliates who is selected by the Board or the Compensation Committee to participate in the 2011 Equity Plan.</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Prior to this offering, an award could have been made by the Compensation Committee under the 2011 Equity Plan in the form of Options, in which case the grantee would enter into an award agreement evidencing such award which would include the option exercise period (which period may be no more than 10 years following the date of grant) and the option exercise price (which could not be less than 100% of the fair market value of a Membership Unit on the date the Option was granted) and such other terms, conditions or restrictions on the grant or exercise of the Option as the Compensation Committee deemed appropriate.</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Prior to this offering, an award could have been made by the Compensation Committee under the 2011 Equity Plan in the form of Restricted Units, phantom Membership Units, warrants or other securities that are convertible, exercisable or exchangeable for or into Membership Units, or based on the fair market value of Membership Units in which case the award agreement evidencing such award would include such terms, conditions or restrictions, as the Compensation Committee deemed appropriate.</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a condition to the exercise, settlement, conversion or exchange of an award into Membership Units, or the grant of an award of Membership Units (including restricted Membership Units), each participant is required to become a party to the Amended and Restated Limited Liability Company Agreement of the New Academy Holding Company LLC dated as of August 26, 2011, as amended, modified or supplemented from time to time, or the LLC Agreement, and execute such other documents and instruments as are reasonably and customarily required by the Company to evidence compliance with applicable federal and state securities and “blue sky” laws, and the Membership Units acquired were held subject to, and in compliance with, the terms and conditions of the LLC Agreement.</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 and Distributions of Awards</w:t>
      </w:r>
    </w:p>
    <w:p>
      <w:pPr>
        <w:spacing w:after="0" w:line="119"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Pursuant to the terms of the 2011 Equity Plan, awards are not transferable or assignable by the participant other than by will or by the laws of descent and distribution. An award exercisable after the death of a participant may be exercised by his legatees, personal representative, or distributees.</w:t>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2011 Equity Plan provides that the Compensation Committee has the authority to make such amendments to any outstanding awards as are consistent with the 2011 Equity Plan, but no such action may modify any award in a manner adverse in any material respect to a participant without the participant’s consent except as such modification is provided for or contemplated in the terms of the award or the 2011 Equity Plan. Other than as specifically provided in any award agreement, the Board may amend, suspend or terminate the 2011 Equity Plan except that no such action may be taken which would, without Member approval, increase the aggregate number of Membership Units available for awards under the 2011 Equity Plan, decrease the price of outstanding awards, change the requirements relating to the Compensation Committee as set forth in the 2011 Equity Plan, or extend the term of the 2011 Equity Plan.</w:t>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Certain Events on 2011 Equity Plan and Awards</w:t>
      </w:r>
    </w:p>
    <w:p>
      <w:pPr>
        <w:spacing w:after="0" w:line="11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2011 Equity Plan provides that in the event of any equity split, spin off, equity distribution or dividend (other than regular cash dividends or distributions), equity combination, reclassification, recapitalization, liquidation, dissolution, reorganization, merger, or similar event, the Compensation Committee shall adjust appropriately (i) the number and kind of Membership Units subject to the 2011 Equity Plan, and available for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40"/>
          </w:cols>
          <w:pgMar w:left="320" w:top="455" w:right="4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covered by awards and (ii) the exercise prices of Options and Membership Unit prices related to outstanding awards, and make such other revisions or substitutions to outstanding awards, in each case, as it deems, in good faith, to be equitable or required.</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Treatment of Awards upon Change of Control</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event of a Change of Control (as defined in the 2011 Equity Plan), the Compensation Committee may, in its sole discretion, provide for one or more of the following: (i) adjust all awards, (ii) accelerate the vesting and/or exercisability of awards, subject to the consummation of such Change of Control, (iii) cancel awards for fair value (as determined in the sole reasonable discretion of the Compensation Committee) which, in the case of Options will not be less than the excess, if any, of the value of the consideration to be paid in the Change of Control transaction to holders of the same number of Membership Units subject to such Option (or, if no consideration is paid in any such transaction, the fair market value of the Membership Units subject to such Option) over the aggregate option price of such Option; (iv) provide for the issuance of substitute awards that will substantially preserve the otherwise applicable terms of any affected awards previously granted thereunder or (v) provide that for a period of at least 20 days prior to the Change of Control and following written notice to any affected participants, the Options will be exercisable as to all Membership Units subject thereto (whether vested or unvested) and that upon the occurrence of the Change of Control, to the extent not theretofore exercised by the participant, such Option will terminate and be of no further force and effect.</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Pursuant to the 2011 Equity Plan, “Change of Control” is generally defined as (a) the sale of all or substantially all of the assets of the Company or Allstar LLC, or the Managing Member, to any “Person,” as such term is used for purposes of Section 13(d) or 14(d) of the Securities Exchange Act of 1934, as amended (or group of Persons acting in concert), other than to (A) the Managing Member or its affiliates or (B) any employee benefit plan (or trust forming a part thereof) maintained by the Company or its affiliates or other Person of which a majority of its voting power or other equity securities is owned, directly or indirectly, by the Company; (b) a merger, recapitalization or other sale by the Company, or the Managing Member or any of its respective affiliates, to a Person (or group of Persons acting in concert) of equity interests that results in any Person (or group of Persons acting in concert) (other than (A) the Managing Member or its affiliates or (B) any employee benefit plan (or trust forming a part thereof) maintained by the Company or its affiliates or other Person of which a majority of its voting power or other equity securities is owned, directly or indirectly, by the Company) owning more than 50% of the equity interests or voting power of the Managing Member or the Company (or any resulting company after a merger) or Academy, Ltd.; or (c) any event which results in the KKR 2006 Fund L.P. and its affiliates ceasing to hold the ability to elect a majority of the Board; provided, however, that with respect to any award that constitutes a “nonqualified deferred compensation plan” within the meaning of Section 409A of the Code and that, pursuant to its terms, would vest and/or become settled upon a Change of Control, the foregoing definition shall apply for purposes of vesting of such award, but settlement of each such award in connection with such Change of Control shall not occur until the earliest of (i) a Change of Control if such Change of Control constitutes a “change in the ownership of the corporation,” a “change in effective control of the corporation” or a “change in the ownership of a substantial portion of the assets of the corporation,” within the meaning of Section 409A(a)(2)(A)(v) of the Code; (ii) the date such award would otherwise have been settled pursuant to the terms of the award agreement; and (iii) the participant’s “separation of service” within the meaning of Section 409A.</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2020 Equity Plan</w:t>
      </w:r>
    </w:p>
    <w:p>
      <w:pPr>
        <w:spacing w:after="0" w:line="12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Prior to the completion of this offering, the Compensation Committee will adopt, and we expect our equityholders to approve, the 2020 Equity Plan. Equity awards under the 2020 Equity Plan will be designed to reward our Named Executive Officers for long-term equityholder value creation. The following summary is qualified in its entirety by reference to the 2020 Equity Plan that has been adopted by the Board.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purpose of the 2020 Equity Plan is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equityholders.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2020 Equity Plan will be administered by the Compensation Committee. The Compensation Committee is authorized to interpret, administer, reconcile any inconsistency in, correct any defect in and/or supply any omission in the 2020 Equity Plan and any instrument or agreement relating to, or any award granted under, the 2020 Equity Plan; establish, amend, suspend, or waive any rules and regulations and appoint such agents as the Compensation Committee deems appropriate for the proper administration of the 2020 Equity Plan; adopt sub-plans; and to make any other determination and take any other action that the Compensation Committee deems necessary or desirable for the administration of the 2020 Equity Plan. Except to the extent prohibited by applicable law or the applicable rules and regulations of any securities exchange or inter-dealer quotation system on which our securities are listed or traded, the Compensation Committee may allocate all or any portion of its responsibilities and powers to any one or more of its members and may delegate all or any part of its responsibilities and powers to any person or persons selected by it in accordance with the terms of the 2020 Equity Plan. Unless otherwise expressly provided in the 2020 Equity Plan, all designations, determinations, interpretations, and other decisions under or with respect to the 2020 Equity Plan or any award or any documents evidencing awards granted pursuant to the 2020 Equity Plan are within the sole discretion of the Compensation Committee, may be made at any time and are final, conclusive and binding upon all persons or entities, including, without limitation, us, any participant, any holder or beneficiary of any award, and any of our equityholders. The Compensation Committee may make grants of awards to eligible persons pursuant to terms and conditions set forth in the applicable award agreement, including subjecting such awards to performance criteria listed in the 2020 Equity Plan.</w:t>
      </w:r>
    </w:p>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Awards Subject to 2020 Equity Plan</w:t>
      </w:r>
    </w:p>
    <w:p>
      <w:pPr>
        <w:spacing w:after="0" w:line="119"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color w:val="auto"/>
        </w:rPr>
        <w:t>The 2020 Equity Plan provides that the total number of shares of common stock that may be issued under the 2020 Equity Plan is 5,150,000, or theAbsolute Share Limit. No more than the number of shares of common stock equal to the Absolute Share Limit may be issued in the aggregate pursuant to the exercise of incentive stock options. The maximum number of shares of common stock granted during a single fiscal year to</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any non-employee director, taken together with any cash fees paid to such non-employee director during the fiscal year, may not exceed $500,000 in total value. Except for substitute awards (as described below), in the event any award expires or is cancelled, forfeited or terminated without issuance to the participant of the full number of shares to which the award related, the unissued shares of common stock may be granted again under the 2020 Equity Plan. Awards may, in the sole discretion of the Compensation Committee, be granted in assumption of, or in substitution for, outstanding awards previously granted by an entity directly or indirectly acquired by us or with which we combine, referred to as substitute awards, and such substitute awards will not be counted against the Absolute Share Limit, except that substitute awards intended to qualify as “incentive stock options” will count against the limit on incentive stock options described above. No award may be granted under the 2020 Equity Plan after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the effective date (as defined therein), but awards granted before then may extend beyond that date.</w:t>
      </w:r>
    </w:p>
    <w:p>
      <w:pPr>
        <w:spacing w:after="0" w:line="3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may grant non-qualified stock options and incentive stock options, under the 2020 Equity Plan, with terms and conditions determined by the Compensation Committee that are not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60"/>
          </w:cols>
          <w:pgMar w:left="320" w:top="455" w:right="51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inconsistent with the 2020 Equity Plan. All stock options granted under the 2020 Equity Plan are required to have a per share exercise price that is not less than 100% of the fair market value of our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the 2020 Equity Plan will be 10 years from the initial date of grant, or with respect to any stock options intended to qualify as incentive stock options, such shorter period as prescribed by Section 422 of the Code. However, if a non-qualified stock option would expire at a time when trading of shares of our common stock is prohibited by our insider trading policy, or blackout period imposed by us, the term will automatically be extended to the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end of such period. The purchase price for the shares as to which a stock option is exercised may be paid to us, to the extent permitted by law, (i) in cash or its equivalent at the time the stock option is exercised; (ii) in shares having a fair market value equal to the aggregate exercise price for the shares being purchased and satisfying any requirements that may be imposed by the Compensation Committee (so long as such shares have been held by the participant for at least six months or such other period established by the Compensation Committee to avoid adverse accounting treatment); or (iii) by such other method as the Compensation Committee may permit in its sole discretion, including, without limitation, (A) in other property having a fair market value on the date of exercise equal to the purchase price, (B) if there is a public market for the shares at such time, through the delivery of irrevocable instructions to a broker to sell the shares being acquired upon the exercise of the stock option and to deliver to us the amount of the proceeds of such sale equal to the aggregate exercise price for the shares being purchased or (C) through a “net exercise” procedure effected by withholding the minimum number of shares needed to pay the exercise price. Any fractional shares of common stock will be settled in cash.</w:t>
      </w:r>
    </w:p>
    <w:p>
      <w:pPr>
        <w:spacing w:after="0" w:line="2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19"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The Compensation Committee may grant stock appreciation rights under the 2020 Equity Plan, with terms and conditions determined by the Compensation Committee that are not inconsistent with the 2020 Equity Plan. The Compensation Committee may award stock appreciation rights in tandem with options or independent of any option. Generally, each stock appreciation right will entitle the participant upon exercise to an amount (in cash, shares or a combination of cash and shares, as determined by the Compensation Committee) equal to the product of (i) the excess of (A) the fair market value on the exercise date of one share of common stock, over (B) the strike price per share, times (ii) the number of shares of common stock covered by the stock appreciation right. The strike price per share of a stock appreciation right will be determined by the Compensation Committee at the time of grant but in no event may such amount be less than 100% of the fair market value of a share of common stock on the date the stock appreciation right is granted (other than in the case of stock appreciation rights granted in substitution of previously granted awards).</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Shares and Restricted Stock Units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Compensation Committee may grant restricted shares of our common stock or restricted stock units, representing the right to receive, upon vesting and the expiration of any applicable restricted period, one share of common stock for each restricted stock unit, or, in the sole discretion of the Compensation Committee, the cash value thereof (or any combination thereof). As to restricted shares of our common stock, subject to the other provisions of the 2020 Equity Plan, the holder will generally have the rights and privileges of an equityholder as to such restricted shares of common stock, including, without limitation, the right to vote such restricted shares of common stock. Participants have no rights or privileges as an equityholder with respect to restricted stock units.</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Equity-Based Awards and Cash-Based Awards</w:t>
      </w:r>
    </w:p>
    <w:p>
      <w:pPr>
        <w:spacing w:after="0" w:line="119"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may grant other equity-based or cash-based awards under the 2020 Equity Plan, with terms and conditions determined by the Compensation Committee that are not inconsistent with the 2020 Equity Plan.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Certain Events on 2020 Equity Plan and Awards</w:t>
      </w:r>
    </w:p>
    <w:p>
      <w:pPr>
        <w:spacing w:after="0" w:line="11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 the event of (i) any dividend (other than regular cash dividends) or other distribution (whether in the form of cash, shares of common stock, other securities or other property), recapitalization, stock split, reverse stock split, reorganization,</w:t>
      </w: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of control, as defined in the 2020 Equity Plan), or (ii) unusual or nonrecurring events affecting the Company, including changes in applicable rules, rulings, regulations or other requirements, that the Compensation Committee determines, in its sole discretion, could result in substantial dilution or enlargement of the rights intended to be granted to, or available for, participants (any event in (i) or (ii), being referred to as an Adjustment Event), the Compensation Committee will, in respect of any such Adjustment Event, make such proportionate substitution or adjustment, if any, as it deems equitable, to any or all of: (A) the Absolute Share Limit, or any other limit applicable under the 2020 Equity Plan with respect to the number of awards which may be granted thereunder, (B) the number and class of shares of common stock or other securities of the Company (or number and kind of other securities or other property) which may be issued in respect of awards or with respect to which awards may be granted under the 2020 Equity Plan or any sub-plan and (C) the terms of any outstanding award, including, without limitation, (1) the number and class of shares of common stock or other securities of the Company (or number and kind of other securities or other property) subject to outstanding awards or to which outstanding awards relate, (2) the exercise price or strike price with respect to any award, or (3) any applicable performance measures; it being understood that, in the case of any “equity restructuring,” the Compensation Committee will make an equitable or proportionate adjustment to outstanding awards to reflect such equity restructuring.</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any change of control, the Compensation Committee may, in its sole discretion, provide for any one or more of the following:</w:t>
      </w:r>
    </w:p>
    <w:p>
      <w:pPr>
        <w:spacing w:after="0" w:line="27" w:lineRule="exact"/>
        <w:rPr>
          <w:sz w:val="20"/>
          <w:szCs w:val="20"/>
          <w:color w:val="auto"/>
        </w:rPr>
      </w:pPr>
    </w:p>
    <w:p>
      <w:pPr>
        <w:ind w:left="120" w:right="40" w:hanging="4"/>
        <w:spacing w:after="0" w:line="267" w:lineRule="auto"/>
        <w:tabs>
          <w:tab w:leader="none" w:pos="335"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substitution or assumption of awards, or to the extent the surviving entity does not substitute or assume the awards, full acceleration of vesting of, exercisability of, or lapse of restrictions on, as applicable, any awards, provided that (unless the applicable award agreement provides for different treatment upon a change of control) with respect to any performance-vested awards, any such acceleration shall be based on (A) the target level of performance if the applicable performance period has not ended prior to the date of such change in control and (B) the actual level of performance attained during the performance period of the applicable performance period has ended prior to the date of such change in control; and (ii) 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Compensation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strike price thereof.</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 of Awards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award will not be transferable or assignable by a participant other than by will or by the laws of descent and distribution and any such purported assignment, alienation, pledge, attachment, sale, transfer or encumbrance will be void and unenforceable against us or any of our subsidiaries. However, the Compensation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80"/>
          </w:cols>
          <w:pgMar w:left="320" w:top="455" w:right="49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1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Compensation Committee may amend, alter, suspend, discontinue, or terminate the 2020 Equity Plan or any portion thereof at any time; but no such amendment, alteration, suspension, discontinuance or termination may be made without equityholder approval if (i) such approval is necessary to comply with any regulatory requirement applicable to the 2020 Equity Plan or for changes in U.S. GAAP to new accounting standards; (ii) it would materially increase the number of securities which may be issued under the 2020 Equity Plan (except for adjustments in connection with certain corporate events); or (iii) it would materially modify the requirements for participation in the 2020 Equity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Compensation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the 2020 Equity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equityholder approval, except as otherwise permitted in the 2020 Equity Plan, (i) no amendment or modification may reduce the exercise price of any option or the strike price of any stock appreciation right; (ii) the Compensation Committee may not cancel any outstanding option or stock appreciation right and replace it with a new option or stock appreciation right (with a lower exercise price or strike price, as the case may be) or other award or cash payment that is greater than the value of the cancelled option or stock appreciation right; and (3) the Compensation Committee may not take any other action which is considered a “repricing” for purposes of the equityholder approval rules of any securities exchange or inter-dealer quotation system on which our securities are listed or quoted.</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Dividends and Dividend Equivalents</w:t>
      </w:r>
    </w:p>
    <w:p>
      <w:pPr>
        <w:spacing w:after="0" w:line="11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in its sole discretion may provide part of an award with dividends or dividend equivalents, on such terms and conditions as may be determined by the Compensation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Clawback/Repayment</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All awards are subject to reduction, cancellation, forfeiture or recoupment to the extent necessary to comply with (i) any clawback, forfeiture or other similar policy adopted by the Compensation Committee and as in effect from time to time and (ii)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Prior to the completion of this offering, the Board will adopt, and we expect our equityholders to approve, the ESPP. The following summary is qualified in its entirety by reference to the ESPP that has been adopted by the Board.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ESPP is intended to give eligible employees an opportunity to acquire shares of our common stock and promote our best interests and enhance our long-term performance. We believe that allowing our employees to participate in the ESPP provides them with a further incentive towards ensuring our success and accomplishing our corporate goals. The ESPP is intended to qualify as an “employee stock purchase plan” under Section 423 of the Code. We may authorize offerings under the ESPP that are not intended to comply with Section 423 of the Code, which offerings will be made pursuant to any rules, procedures or sub-plans adopted by the committee for such purpose.</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aggregate number of shares of our common stock that may be issued under the ESPP may not exceed 1,000,000 shares, which number will be automatically increased on the first day of each fiscal year beginning in 2021 in an amount equal to the least of (i) 1,000,000 shares of our common stock, (ii) 2% of the total number of shares of our common stock outstanding on the last day of the immediately preceding fiscal year, and (iii) a lower number of shares as determined by our Board, subject to adjustment in accordance with the terms of the ESPP. If a purchase right expires or is terminated, surrendered or canceled without being exercised, in whole or in part, the number of shares subject to the purchase right will again be available for issuance and will not reduce the aggregate number of shares available under the ESPP.</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ESPP will be administered by the Compensation Committee, or such other committee as may be designated by the Board, or the Board (such administering body, the “Administrator”). The Administrator will have full authority to make, administer and interpret such terms, rules and regulations regarding administration of the ESPP as it may deem advisable, and such decisions are final and binding.</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w:t>
      </w:r>
    </w:p>
    <w:p>
      <w:pPr>
        <w:spacing w:after="0" w:line="11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ESPP will have a term of ten years unless earlier terminated (i) on the date on which all the shares of common stock available for issuance under the ESPP have been issued or (ii) by the Administrator in accordance with the terms of the ESPP.</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Eligible Employees</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Subject to the Administrator’s ability to exclude certain groups of employees on a uniform and nondiscriminatory basis, including Section 16 officers and/or non-U.S. employees, generally, all of our employees will be eligible to participate if they are employed by us or any participating subsidiary or affiliate for more than 12 consecutive months, or any lesser number of hours per week and/or number of days established by the Administrator. In no event will an employee who is deemed to own 5% or more of the total combined voting power or value of all classes of our capital stock or the capital stock of any parent or subsidiary be eligible to participate in the ESPP, and no participant in the ESPP may purchase shares of our common stock under any employee stock purchase plans of our Company to the extent the option to purchase shares accrue at a rate that exceeds $25,000 of the fair market value of such shares of our common stock, determined as of the first day of the offering period, for each calendar year in which such option is outstanding.</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Offering Periods and Purchase Periods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Offering periods under the ESPP will be 6 months long. The first offering period under the ESPP shall commence on the date determined by the Administrator and shall end on the last trading day on or immediately preceding the earlier to occur of June 30 or December 31 of the year in which the first offering period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00"/>
          </w:cols>
          <w:pgMar w:left="320" w:top="455" w:right="47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commences. Unless the Administrator determines otherwise, following the completion of the first offering period, a new offering period shall commence on the first trading day on or following January 1 and July 1 of each calendar year and end on or following the last trading day on or immediately preceding June 30 and December 31, respectively, approximately six months later. The Administrator may choose to start a new offering period as it may determine from time to time as appropriate and offering periods may overlap or be consecutive. During each offering period, there will be one 6 month purchase period, which will have the same duration and coincide with the length of the offering period.</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Purchase Price</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Eligible employees who participate will receive an option to purchase shares of our common stock at a purchase price equal to the lower of 85% of (i) the closing price per share of our common stock on the date of purchase or (ii) the closing price per share of our common stock on the first day of the applicable offering period (or, in the case of the first offering period, the price per share at which shares of our common stock are first sold to the public in connection with this offering). Eligible employees participate by authorizing payroll deductions before the beginning of an offering period, which deduction may not exceed 15% of such employee’s cash compensation.</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Contributions and Grants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Eligible employees participate by authorizing payroll deductions before the beginning of an offering period, which deduction may not exceed 15% of such employee’s cash compensation. In addition, the maximum number of shares of our common stock that may be purchased by any participant in any particular purchase period is limited to 1,500 shares (subject to adjustment as provided in the ESPP), and the maximum number of shares of our common stock that may be purchased by any participant during any one year period is limited to 3,000 shares. The Administrator may modify this limit from time to time by resolution or otherwise.</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Cancellation of Election to Purchase</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 participant may cancel his or her participation entirely at any time prior to the last 30 days of the applicable offering period by withdrawing all, but not less than all, of his or her contributions credited to his or her account and not yet used to exercise his or her option under the ESPP. Participation will end automatically upon termination of employment with us.</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a Change in Control</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a change in control (as defined under the ESPP), the Administrator may in its discretion provide, without limitation, that each outstanding option be assumed, or an equivalent option be substituted by the successor corporation or a parent or subsidiary of the successor corporation and, if not so assumed or substituted, the offering period for that option be shortened by setting a new exercise date on which the offering period will end; terminate outstanding options and refund accumulated contributions to participants; or continue outstanding options unchanged.</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Rights as Stockholder</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 participant will have no rights as a stockholder with respect to the shares of our common stock that the participant has an option to purchase in any offering until those shares have been issued to the participant.</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Options not Transferable</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 participant’s option under the ESPP will be exercisable only by the participant and may not be sold, transferred, pledged or assigned in any manner other than by will or the laws of descent and distribution.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or Termination</w:t>
      </w:r>
    </w:p>
    <w:p>
      <w:pPr>
        <w:spacing w:after="0" w:line="11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Administrator, in its sole discretion, may amend, alter, suspend or terminate the ESPP, or any option subject thereto, at any time and for any reason as long as such amendment or termination of an option does not materially adversely affect the rights of a participant with respect to the option without the written consent of such participant.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Statements on Form S-8</w:t>
      </w:r>
    </w:p>
    <w:p>
      <w:pPr>
        <w:spacing w:after="0" w:line="121" w:lineRule="exact"/>
        <w:rPr>
          <w:sz w:val="20"/>
          <w:szCs w:val="20"/>
          <w:color w:val="auto"/>
        </w:rPr>
      </w:pPr>
    </w:p>
    <w:p>
      <w:pPr>
        <w:jc w:val="both"/>
        <w:ind w:left="120" w:right="280" w:firstLine="440"/>
        <w:spacing w:after="0" w:line="272" w:lineRule="auto"/>
        <w:rPr>
          <w:sz w:val="20"/>
          <w:szCs w:val="20"/>
          <w:color w:val="auto"/>
        </w:rPr>
      </w:pPr>
      <w:r>
        <w:rPr>
          <w:rFonts w:ascii="Times New Roman" w:cs="Times New Roman" w:eastAsia="Times New Roman" w:hAnsi="Times New Roman"/>
          <w:sz w:val="17"/>
          <w:szCs w:val="17"/>
          <w:color w:val="auto"/>
        </w:rPr>
        <w:t>We intend to file one or more registration statements on Form S-8 under the Securities Act to register shares of our common stock or securities convertible into or exchangeable for shares of our common stock issued pursuant to our existing 2011 Equity Plan and our 2020 Equity Plan and the ESPP to be adopted in connection with this offering. Any such Form S-8 registration statements will automatically become effective upon filing.</w:t>
      </w:r>
    </w:p>
    <w:p>
      <w:pPr>
        <w:spacing w:after="0" w:line="2"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Accordingly, shares registered under such registration statements will be available for sale in the open market. We expect that the initial registration statement on Form S-8 will cover 15,983,311 shares of our common stock.</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OF CONTROL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Named Executive Officer is entitled to potential payments and benefits, including acceleration of Options and Restricted Units, in connection with a termination of employment or a change of control. The information below describes and estimates potential payments and benefits to which the Named Executive Officers would be entitled under existing arrangements if a qualifying termination of employment or change of control occurred on February 1, 2020, the last business day of our 2019 fiscal year. These benefits are in addition to benefits available generally to salaried employees. Due to the number of factors that affect the nature and amount of any benefits provided upon the events discussed below, any actual amounts paid or distributed may be different from those estimated below. Factors that could affect these amounts include the timing during the year of any such event and our valuation at that time. There can be no assurance that a termination or change of control would produce the same or similar results as those described below if any assumption used to prepare this information is not correct in fact.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calculated the acceleration value of Options and Restricted Units in the tables below using the Market Value Per Membership Unit.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Hicks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Hicks may be entitled to receive under the Hicks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Hicks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Pursuant to the Hicks Employment Agreement, if his employment is terminated due to death or disability, the Company will pay to Mr. Hicks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 (y) a fraction,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w:t>
      </w:r>
    </w:p>
    <w:p>
      <w:pPr>
        <w:spacing w:after="0" w:line="54" w:lineRule="exact"/>
        <w:rPr>
          <w:sz w:val="20"/>
          <w:szCs w:val="20"/>
          <w:color w:val="auto"/>
        </w:rPr>
      </w:pPr>
    </w:p>
    <w:p>
      <w:pPr>
        <w:ind w:left="560" w:hanging="4"/>
        <w:spacing w:after="0" w:line="253" w:lineRule="auto"/>
        <w:tabs>
          <w:tab w:leader="none" w:pos="77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(or if the termination date occurs during the Company’s 2019 fiscal year, then the annual bonus paid to (or earned by, to the extent not yet paid as of the termination date) him for the Company’s 2018 fiscal year).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 Notwithstanding the foregoing, because Mr. Hicks refused his 2018 bonus, if the termination occurs in 2019 or 2020, we expect that the Compensation Committee would determine that the calculation of the bonus portion of Mr. Hicks’ severance amount will be based solely on the annual bonus earned by him for 2019;</w:t>
      </w:r>
    </w:p>
    <w:p>
      <w:pPr>
        <w:spacing w:after="0" w:line="83" w:lineRule="exact"/>
        <w:rPr>
          <w:rFonts w:ascii="Times New Roman" w:cs="Times New Roman" w:eastAsia="Times New Roman" w:hAnsi="Times New Roman"/>
          <w:sz w:val="18"/>
          <w:szCs w:val="18"/>
          <w:color w:val="auto"/>
        </w:rPr>
      </w:pPr>
    </w:p>
    <w:p>
      <w:pPr>
        <w:ind w:left="560" w:right="20" w:hanging="4"/>
        <w:spacing w:after="0" w:line="253" w:lineRule="auto"/>
        <w:tabs>
          <w:tab w:leader="none" w:pos="82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 Notwithstanding the foregoing, because Mr. Hicks refused his 2018 bonus, if the termination had occurred in 2019, the Compensation Committee would have determined that Mr. Hicks’ pro rata bonus be based on the annual bonus earned by him for 2019; and</w:t>
      </w:r>
    </w:p>
    <w:p>
      <w:pPr>
        <w:spacing w:after="0" w:line="83" w:lineRule="exact"/>
        <w:rPr>
          <w:rFonts w:ascii="Times New Roman" w:cs="Times New Roman" w:eastAsia="Times New Roman" w:hAnsi="Times New Roman"/>
          <w:sz w:val="18"/>
          <w:szCs w:val="18"/>
          <w:color w:val="auto"/>
        </w:rPr>
      </w:pPr>
    </w:p>
    <w:p>
      <w:pPr>
        <w:ind w:left="560" w:right="180" w:hanging="4"/>
        <w:spacing w:after="0" w:line="266" w:lineRule="auto"/>
        <w:tabs>
          <w:tab w:leader="none" w:pos="87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the Hicks Employment Agreement, the Company may terminate Mr. Hicks’ employment for “Cause” if he: (i) commits gross negligence or willful misconduct, an act of fraud, embezzlement, theft or other criminal act in connection with his duties or in the course of his employment with the Company; (ii) commits an act leading to a conviction of a felony or a misdemeanor involving moral turpitude; (iii) commits a material breach of any provision of his employment agreement; or (iv) fails to perform any and all covenants contained in his employment agreement (including his fiduciary duties and other employment obligations) for any reason other than death, disability, or following Mr. Hicks’ notice of termination for “Good Reason.” Pursuant to the terms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his employment agreement, Mr. Hicks will have 30 days after receiving notice of a termination for Cause to cure or remedy any breach pursuant to items (iii) or (iv) of the preceding sentence.</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Hicks Employment Agreement, Mr. Hicks may terminate his employment for “Good Reason” if, without his prior written consent any if any of the following occur that constitute a material negative change to Mr. Hicks: (i) he is assigned any position, authority duties or responsibilities that are materially inconsistent with his position, authority, duties, or other responsibilities as contemplated by his employment agreement; (ii) there is a reduction to his base salary and annual target bonus opportunity in the aggregate; or (iii) there is a material breach by the Company of any provision of his employment agreement. The Company will have 30 days after receiving notice of a termination for Good Reason to cure or remedy any breach of the employment agreement by the Company. Mr. Hicks will not be treated as having terminated his employment for a Good Reason event if he incurs a separation from service more than one (1)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Agreements</w:t>
      </w:r>
    </w:p>
    <w:p>
      <w:pPr>
        <w:spacing w:after="0" w:line="11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On September 16, 2018, the Company granted 518,135 Time Options with an exercise price of $5.44 to Mr. Hicks pursuant to the 2018 CEO Option Agreement. The Time Options vest as follows: 1/48th of the Time Options become vested and exercisable on each monthly anniversary of the vesting commencement date (April 5, 2018), subject to continued employment through the applicable vesting date.</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On March 7, 2019, the Company granted 694,301 Time Options and 341,969 Performance Options with an exercise price of $5.26 to Mr. Hicks pursuant to the 2019 CEO Option Agreement. The Time Options vest as follows: 1/48th of the Time Options become vested and exercisable on each monthly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40" w:hanging="545"/>
        <w:spacing w:after="0" w:line="261" w:lineRule="auto"/>
        <w:tabs>
          <w:tab w:leader="none" w:pos="2200"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Hicks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120" w:hanging="545"/>
        <w:spacing w:after="0" w:line="266" w:lineRule="auto"/>
        <w:tabs>
          <w:tab w:leader="none" w:pos="2200"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40" w:hanging="545"/>
        <w:spacing w:after="0" w:line="261" w:lineRule="auto"/>
        <w:tabs>
          <w:tab w:leader="none" w:pos="2200"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40"/>
          </w:cols>
          <w:pgMar w:left="320" w:top="455" w:right="43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540" w:hanging="331"/>
        <w:spacing w:after="0"/>
        <w:tabs>
          <w:tab w:leader="none" w:pos="1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80" w:hanging="545"/>
        <w:spacing w:after="0" w:line="266" w:lineRule="auto"/>
        <w:tabs>
          <w:tab w:leader="none" w:pos="22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200" w:hanging="545"/>
        <w:spacing w:after="0" w:line="258" w:lineRule="auto"/>
        <w:tabs>
          <w:tab w:leader="none" w:pos="22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September 16, 2018, the Company granted 735,295 Restricted Units to Mr. Hicks pursuant to the 2018 CEO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Hicks upon Termination or Change of Control</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80" w:type="dxa"/>
            <w:vAlign w:val="bottom"/>
          </w:tcPr>
          <w:p>
            <w:pPr>
              <w:spacing w:after="0"/>
              <w:rPr>
                <w:sz w:val="13"/>
                <w:szCs w:val="13"/>
                <w:color w:val="auto"/>
              </w:rPr>
            </w:pPr>
          </w:p>
        </w:tc>
        <w:tc>
          <w:tcPr>
            <w:tcW w:w="152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180" w:type="dxa"/>
            <w:vAlign w:val="bottom"/>
          </w:tcPr>
          <w:p>
            <w:pPr>
              <w:spacing w:after="0"/>
              <w:rPr>
                <w:sz w:val="12"/>
                <w:szCs w:val="12"/>
                <w:color w:val="auto"/>
              </w:rPr>
            </w:pPr>
          </w:p>
        </w:tc>
        <w:tc>
          <w:tcPr>
            <w:tcW w:w="1520" w:type="dxa"/>
            <w:vAlign w:val="bottom"/>
            <w:gridSpan w:val="2"/>
          </w:tcPr>
          <w:p>
            <w:pPr>
              <w:jc w:val="center"/>
              <w:ind w:right="46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6620" w:type="dxa"/>
            <w:vAlign w:val="bottom"/>
            <w:vMerge w:val="restart"/>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180" w:type="dxa"/>
            <w:vAlign w:val="bottom"/>
          </w:tcPr>
          <w:p>
            <w:pPr>
              <w:spacing w:after="0"/>
              <w:rPr>
                <w:sz w:val="12"/>
                <w:szCs w:val="12"/>
                <w:color w:val="auto"/>
              </w:rPr>
            </w:pPr>
          </w:p>
        </w:tc>
        <w:tc>
          <w:tcPr>
            <w:tcW w:w="1520" w:type="dxa"/>
            <w:vAlign w:val="bottom"/>
            <w:gridSpan w:val="2"/>
          </w:tcPr>
          <w:p>
            <w:pPr>
              <w:jc w:val="center"/>
              <w:ind w:right="464"/>
              <w:spacing w:after="0" w:line="149" w:lineRule="exact"/>
              <w:rPr>
                <w:sz w:val="20"/>
                <w:szCs w:val="20"/>
                <w:color w:val="auto"/>
              </w:rPr>
            </w:pPr>
            <w:r>
              <w:rPr>
                <w:rFonts w:ascii="Times New Roman" w:cs="Times New Roman" w:eastAsia="Times New Roman" w:hAnsi="Times New Roman"/>
                <w:sz w:val="14"/>
                <w:szCs w:val="14"/>
                <w:b w:val="1"/>
                <w:bCs w:val="1"/>
                <w:color w:val="auto"/>
              </w:rPr>
              <w:t>for Termination</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80"/>
        </w:trPr>
        <w:tc>
          <w:tcPr>
            <w:tcW w:w="440" w:type="dxa"/>
            <w:vAlign w:val="bottom"/>
            <w:tcBorders>
              <w:bottom w:val="single" w:sz="8" w:color="auto"/>
            </w:tcBorders>
            <w:vMerge w:val="continue"/>
          </w:tcPr>
          <w:p>
            <w:pPr>
              <w:spacing w:after="0"/>
              <w:rPr>
                <w:sz w:val="15"/>
                <w:szCs w:val="15"/>
                <w:color w:val="auto"/>
              </w:rPr>
            </w:pPr>
          </w:p>
        </w:tc>
        <w:tc>
          <w:tcPr>
            <w:tcW w:w="6620" w:type="dxa"/>
            <w:vAlign w:val="bottom"/>
            <w:vMerge w:val="continue"/>
          </w:tcPr>
          <w:p>
            <w:pPr>
              <w:spacing w:after="0"/>
              <w:rPr>
                <w:sz w:val="15"/>
                <w:szCs w:val="15"/>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5"/>
                <w:szCs w:val="15"/>
                <w:color w:val="auto"/>
              </w:rPr>
            </w:pPr>
          </w:p>
        </w:tc>
        <w:tc>
          <w:tcPr>
            <w:tcW w:w="1160" w:type="dxa"/>
            <w:vAlign w:val="bottom"/>
            <w:gridSpan w:val="2"/>
          </w:tcPr>
          <w:p>
            <w:pPr>
              <w:jc w:val="center"/>
              <w:ind w:left="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840" w:type="dxa"/>
            <w:vAlign w:val="bottom"/>
            <w:tcBorders>
              <w:top w:val="single" w:sz="8" w:color="auto"/>
            </w:tcBorders>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5,937,334</w:t>
            </w:r>
          </w:p>
        </w:tc>
        <w:tc>
          <w:tcPr>
            <w:tcW w:w="540" w:type="dxa"/>
            <w:vAlign w:val="bottom"/>
            <w:tcBorders>
              <w:top w:val="single" w:sz="8" w:color="CCEEFF"/>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91"/>
              </w:rPr>
              <w:t>(4)</w:t>
            </w:r>
          </w:p>
        </w:tc>
        <w:tc>
          <w:tcPr>
            <w:tcW w:w="820" w:type="dxa"/>
            <w:vAlign w:val="bottom"/>
            <w:tcBorders>
              <w:top w:val="single" w:sz="8" w:color="auto"/>
            </w:tcBorders>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1,703,900</w:t>
            </w:r>
            <w:r>
              <w:rPr>
                <w:rFonts w:ascii="Times New Roman" w:cs="Times New Roman" w:eastAsia="Times New Roman" w:hAnsi="Times New Roman"/>
                <w:sz w:val="15"/>
                <w:szCs w:val="15"/>
                <w:color w:val="auto"/>
              </w:rPr>
              <w:t>(1)</w:t>
            </w:r>
          </w:p>
        </w:tc>
        <w:tc>
          <w:tcPr>
            <w:tcW w:w="1700" w:type="dxa"/>
            <w:vAlign w:val="bottom"/>
            <w:gridSpan w:val="3"/>
          </w:tcPr>
          <w:p>
            <w:pPr>
              <w:jc w:val="right"/>
              <w:ind w:right="284"/>
              <w:spacing w:after="0"/>
              <w:rPr>
                <w:sz w:val="20"/>
                <w:szCs w:val="20"/>
                <w:color w:val="auto"/>
              </w:rPr>
            </w:pPr>
            <w:r>
              <w:rPr>
                <w:rFonts w:ascii="Times New Roman" w:cs="Times New Roman" w:eastAsia="Times New Roman" w:hAnsi="Times New Roman"/>
                <w:sz w:val="18"/>
                <w:szCs w:val="18"/>
                <w:color w:val="auto"/>
              </w:rPr>
              <w:t>1,868,667</w:t>
            </w:r>
            <w:r>
              <w:rPr>
                <w:rFonts w:ascii="Times New Roman" w:cs="Times New Roman" w:eastAsia="Times New Roman" w:hAnsi="Times New Roman"/>
                <w:sz w:val="15"/>
                <w:szCs w:val="15"/>
                <w:color w:val="auto"/>
              </w:rPr>
              <w:t>(5)</w:t>
            </w:r>
          </w:p>
        </w:tc>
        <w:tc>
          <w:tcPr>
            <w:tcW w:w="1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12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238</w:t>
            </w:r>
            <w:r>
              <w:rPr>
                <w:rFonts w:ascii="Times New Roman" w:cs="Times New Roman" w:eastAsia="Times New Roman" w:hAnsi="Times New Roman"/>
                <w:sz w:val="15"/>
                <w:szCs w:val="15"/>
                <w:color w:val="auto"/>
              </w:rPr>
              <w:t>(6)</w:t>
            </w:r>
          </w:p>
        </w:tc>
        <w:tc>
          <w:tcPr>
            <w:tcW w:w="10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3,865</w:t>
            </w:r>
            <w:r>
              <w:rPr>
                <w:rFonts w:ascii="Times New Roman" w:cs="Times New Roman" w:eastAsia="Times New Roman" w:hAnsi="Times New Roman"/>
                <w:sz w:val="15"/>
                <w:szCs w:val="15"/>
                <w:color w:val="auto"/>
              </w:rPr>
              <w:t>(2)</w:t>
            </w:r>
          </w:p>
        </w:tc>
        <w:tc>
          <w:tcPr>
            <w:tcW w:w="180" w:type="dxa"/>
            <w:vAlign w:val="bottom"/>
          </w:tcPr>
          <w:p>
            <w:pPr>
              <w:spacing w:after="0"/>
              <w:rPr>
                <w:sz w:val="18"/>
                <w:szCs w:val="18"/>
                <w:color w:val="auto"/>
              </w:rPr>
            </w:pPr>
          </w:p>
        </w:tc>
        <w:tc>
          <w:tcPr>
            <w:tcW w:w="152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140,995</w:t>
            </w: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2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(3)</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78,652</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4,036,769</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1,707,765</w:t>
            </w:r>
          </w:p>
        </w:tc>
        <w:tc>
          <w:tcPr>
            <w:tcW w:w="3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b w:val="1"/>
                <w:bCs w:val="1"/>
                <w:color w:val="auto"/>
              </w:rPr>
              <w:t>$  7,806,239</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4,256,416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160" w:hanging="424"/>
        <w:spacing w:after="0" w:line="253" w:lineRule="auto"/>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his employment is terminated due to death or disability, the Company will pay to Mr. Hicks or his designated beneficiary or legal representative (if applicable) a pro rata portion of the annual bonus under the Executive Team Bonus Plan for the partial fiscal year in which the termination date occurs in an amount equal to the product of (x) the annual bonus Mr. Hicks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(154.9% of $1,100,000),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ind w:left="540" w:right="80" w:hanging="424"/>
        <w:spacing w:after="0" w:line="253" w:lineRule="auto"/>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Time Options upon termination due to death or disability, which is the sum of: (i) $539, which is the product of (A) the difference between the Market Value Per Membership Interest and the exercise price ($5.44), and (B) 10,794 Time Options (the portion under the 2018 CEO Option Agreement that would have become vested on the vesting date immediately following termination had Mr. Hicks remained employed); and (ii) $3,326,</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40"/>
          </w:cols>
          <w:pgMar w:left="320" w:top="455" w:right="4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40"/>
        <w:spacing w:after="0" w:line="257" w:lineRule="auto"/>
        <w:rPr>
          <w:sz w:val="20"/>
          <w:szCs w:val="20"/>
          <w:color w:val="auto"/>
        </w:rPr>
      </w:pPr>
      <w:r>
        <w:rPr>
          <w:rFonts w:ascii="Times New Roman" w:cs="Times New Roman" w:eastAsia="Times New Roman" w:hAnsi="Times New Roman"/>
          <w:sz w:val="18"/>
          <w:szCs w:val="18"/>
          <w:color w:val="auto"/>
        </w:rPr>
        <w:t>which is the product of (A) the difference between the Market Value Per Membership Interest and the exercise price ($5.26), and (B) 14,465 Time Options (the portion under the 2019 CEO Option Agreement that would have become vested on the vesting date immediately following termination had Mr. Hicks remained employed).</w:t>
      </w:r>
    </w:p>
    <w:p>
      <w:pPr>
        <w:spacing w:after="0" w:line="1" w:lineRule="exact"/>
        <w:rPr>
          <w:sz w:val="20"/>
          <w:szCs w:val="20"/>
          <w:color w:val="auto"/>
        </w:rPr>
      </w:pPr>
    </w:p>
    <w:p>
      <w:pPr>
        <w:ind w:left="540" w:right="40" w:hanging="424"/>
        <w:spacing w:after="0" w:line="250" w:lineRule="auto"/>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Mr. Hicks’ Performance Options under the 2019 CEO Option Agreement were Earned as of February 1, 2020 and therefore would not be eligible to vest in connection with a termination due to death or disability on such date.</w:t>
      </w:r>
    </w:p>
    <w:p>
      <w:pPr>
        <w:ind w:left="540" w:hanging="424"/>
        <w:spacing w:after="0" w:line="250" w:lineRule="auto"/>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 a cash severance payment in an amount equal to the product of (x) two multiplied by (y) the sum of (A) his base salary ($1,100,000 for 2019) and (B) the average annual bonus paid to (or earned by, to the extent not yet paid as of the termination date) him under the Executive Team Bonus Plan for the two fiscal years of the Company immediately preceding the fiscal year in which the termination date occurs (or if the termination date occurs during the Company’s 2019 fiscal year, then the annual bonus paid to (or earned by, to the extent not yet paid as of the termination date) him for the Company’s 2018 fiscal year). Because Mr. Hicks refused his 2018 bonus, the Compensation Committee would have determined that the calculation of the bonus portion of Mr. Hicks’ severance amount be based solely on the annual bonus earned by him for 2019 ($1,868,667) and the severance amount in the table above has been calculated accordingly.</w:t>
      </w:r>
    </w:p>
    <w:p>
      <w:pPr>
        <w:spacing w:after="0" w:line="3"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 an amount equal to the product of (x) the annual bonus he has earned under the Executive Team Bonus Plan for the fiscal year immediately preceding the fiscal year in which the termination date occurs,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 Because Mr. Hicks refused his 2018 bonus, if the termination had occurred in 2019, the Compensation Committee would have determined that Mr. Hicks’ pro rata bonus be based on the annual bonus earned by him for 2019 ($1,868,667) and accordingly, this is the amount shown in the table above.</w:t>
      </w:r>
    </w:p>
    <w:p>
      <w:pPr>
        <w:spacing w:after="0" w:line="2"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 an amount equal to the product of (x) the monthly basic life insurance premium applicable to his basic life insurance coverage immediately prior to the termination date ($9.94 per month) and (y) 24 months.</w:t>
      </w:r>
    </w:p>
    <w:p>
      <w:pPr>
        <w:spacing w:after="0" w:line="1" w:lineRule="exact"/>
        <w:rPr>
          <w:rFonts w:ascii="Times New Roman" w:cs="Times New Roman" w:eastAsia="Times New Roman" w:hAnsi="Times New Roman"/>
          <w:sz w:val="18"/>
          <w:szCs w:val="18"/>
          <w:color w:val="auto"/>
        </w:rPr>
      </w:pPr>
    </w:p>
    <w:p>
      <w:pPr>
        <w:jc w:val="both"/>
        <w:ind w:left="540" w:right="140" w:hanging="424"/>
        <w:spacing w:after="0" w:line="265" w:lineRule="auto"/>
        <w:tabs>
          <w:tab w:leader="none" w:pos="5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$14,573, which is the product of (A) the difference between the Market Value Per Membership Interest and the exercise price ($5.44), and</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291,461 Time Options (the unvested portion under the 2018 CEO Option Agreement immediately prior to February 1, 2020); and (ii)</w:t>
      </w:r>
    </w:p>
    <w:p>
      <w:pPr>
        <w:spacing w:after="0" w:line="9" w:lineRule="exact"/>
        <w:rPr>
          <w:sz w:val="20"/>
          <w:szCs w:val="20"/>
          <w:color w:val="auto"/>
        </w:rPr>
      </w:pPr>
    </w:p>
    <w:p>
      <w:pPr>
        <w:ind w:left="540" w:right="240"/>
        <w:spacing w:after="0" w:line="250" w:lineRule="auto"/>
        <w:rPr>
          <w:sz w:val="20"/>
          <w:szCs w:val="20"/>
          <w:color w:val="auto"/>
        </w:rPr>
      </w:pPr>
      <w:r>
        <w:rPr>
          <w:rFonts w:ascii="Times New Roman" w:cs="Times New Roman" w:eastAsia="Times New Roman" w:hAnsi="Times New Roman"/>
          <w:sz w:val="18"/>
          <w:szCs w:val="18"/>
          <w:color w:val="auto"/>
        </w:rPr>
        <w:t>$126,422, which is the product of (A) the difference between the Market Value Per Membership Interest and the exercise price ($5.26), and (B) 549,661 Time Options (the unvested portion under the 2019 CEO Option Agreement immediately prior to February 1, 2020).</w:t>
      </w:r>
    </w:p>
    <w:p>
      <w:pPr>
        <w:spacing w:after="0" w:line="1" w:lineRule="exact"/>
        <w:rPr>
          <w:sz w:val="20"/>
          <w:szCs w:val="20"/>
          <w:color w:val="auto"/>
        </w:rPr>
      </w:pPr>
    </w:p>
    <w:p>
      <w:pPr>
        <w:ind w:left="540" w:right="80" w:hanging="424"/>
        <w:spacing w:after="0" w:line="250" w:lineRule="auto"/>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$78,652 above represents the value associated with the accelerated vesting of the Performance Options upon a Change of Control, which is the product of (A) the difference between the Market Value Per Membership Interest and the exercise price ($5.26), and (B) 341,969 Performance Options (the unvested portion under the 2019 CEO Option Agreement immediately prior to February 1, 2020, which is the entire grant because the Change of Control occurs during the Option Grant Year).</w:t>
      </w:r>
    </w:p>
    <w:p>
      <w:pPr>
        <w:spacing w:after="0" w:line="1" w:lineRule="exact"/>
        <w:rPr>
          <w:rFonts w:ascii="Times New Roman" w:cs="Times New Roman" w:eastAsia="Times New Roman" w:hAnsi="Times New Roman"/>
          <w:sz w:val="18"/>
          <w:szCs w:val="18"/>
          <w:color w:val="auto"/>
        </w:rPr>
      </w:pPr>
    </w:p>
    <w:p>
      <w:pPr>
        <w:ind w:left="540" w:right="120" w:hanging="424"/>
        <w:spacing w:after="0" w:line="253" w:lineRule="auto"/>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CEO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735,295 Restricted Units (under the 2018 CEO Restricted Unit Agreement) and the Market Value Per Membership Unit.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00"/>
          </w:cols>
          <w:pgMar w:left="320" w:top="455" w:right="47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Mullican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Mullican may be entitled to receive under the Mullican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Mullican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Mullican Employment Agreement, if his employment is terminated due to death or disability, the Company will pay to</w:t>
      </w:r>
    </w:p>
    <w:p>
      <w:pPr>
        <w:spacing w:after="0" w:line="27"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Mr. Mullican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 (y) 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Mullican’s employment without Cause or Mr. Mullican resigns for Good Reason, the Company shall pay:</w:t>
      </w:r>
    </w:p>
    <w:p>
      <w:pPr>
        <w:spacing w:after="0" w:line="117" w:lineRule="exact"/>
        <w:rPr>
          <w:sz w:val="20"/>
          <w:szCs w:val="20"/>
          <w:color w:val="auto"/>
        </w:rPr>
      </w:pPr>
    </w:p>
    <w:p>
      <w:pPr>
        <w:ind w:left="560" w:right="80" w:hanging="4"/>
        <w:spacing w:after="0" w:line="255" w:lineRule="auto"/>
        <w:tabs>
          <w:tab w:leader="none" w:pos="77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hanging="4"/>
        <w:spacing w:after="0" w:line="254" w:lineRule="auto"/>
        <w:tabs>
          <w:tab w:leader="none" w:pos="82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320" w:hanging="4"/>
        <w:spacing w:after="0" w:line="282" w:lineRule="auto"/>
        <w:tabs>
          <w:tab w:leader="none" w:pos="87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Mullican and his covered dependents medical insurance benefits, contingent on Mr. Mullican electing continuation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00"/>
          </w:cols>
          <w:pgMar w:left="320" w:top="455" w:right="47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54" w:lineRule="auto"/>
        <w:rPr>
          <w:sz w:val="20"/>
          <w:szCs w:val="20"/>
          <w:color w:val="auto"/>
        </w:rPr>
      </w:pPr>
      <w:r>
        <w:rPr>
          <w:rFonts w:ascii="Times New Roman" w:cs="Times New Roman" w:eastAsia="Times New Roman" w:hAnsi="Times New Roman"/>
          <w:sz w:val="18"/>
          <w:szCs w:val="18"/>
          <w:color w:val="auto"/>
        </w:rPr>
        <w:t>coverage under the Consolidated Omnibus Budget Reconciliation Act of 1985, as amended, or COBRA, no less favorable than those provided to active senior executives of the Company and their dependents at a price equal to the COBRA rate while eligible for COBRA and thereafter at the cost of coverage, and the Company shall pay to Mr. Mullican each month during the 24 month period following the termination date an amount equal to the excess, if any, of the monthly premium under the Company’s benefit plans under which such medical insurance benefits are provided, as in effect from time to time, over the amount of Mr. Mullican’s portion of such premiums as if Mr. Mullican was an active employee, which payment shall be paid in advance on the first payroll day of each month during the such 24-month period. Notwithstanding the foregoing, the payments provided under this clause shall cease at such time as Mr. Mullican commences to receive such benefits from a subsequent employer of Mr. Mullican during the 24 month period following the termination date; and</w:t>
      </w:r>
    </w:p>
    <w:p>
      <w:pPr>
        <w:spacing w:after="0" w:line="84" w:lineRule="exact"/>
        <w:rPr>
          <w:sz w:val="20"/>
          <w:szCs w:val="20"/>
          <w:color w:val="auto"/>
        </w:rPr>
      </w:pPr>
    </w:p>
    <w:p>
      <w:pPr>
        <w:ind w:left="560" w:right="200" w:hanging="4"/>
        <w:spacing w:after="0" w:line="266" w:lineRule="auto"/>
        <w:tabs>
          <w:tab w:leader="none" w:pos="86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Mullican Employment Agreement contains the same definition of “Cause” provided in the Hicks Employment Agreement.</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Mullican Employment Agreement contains the same definition of “Good Reason” provided in the Hicks Employment Agreement, except that Mr. Mullican’s definition also includes the relocation of the principal place of employment to a location more than 35 miles from the principal place of employment provided in his employment agreement, if a move to such other location materially increases his commute.</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Mullican Employment Agreement provides that in the event Mr. Mullican elects not to extend the employment agreement, such nonrenewal shall be deemed a termination by Mr. Mullican without Good Reason, and in the event the Company elects not to extend the employment period, such nonrenewal shall be deemed a termination by the Company of Mr. Mullican’s employment without Cause.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On March 23, 2017, the Company granted 98,523 Time Options and 49,261 Performance Options with an exercise price of $5.30 to Mr. Mullican pursuant to the 2017 Executive Option Agreement. On April 5, 2018, the Company granted 128,825 Time Options with an exercise price of $5.23 to Mr. Mullican pursuant to the 2018 Executive Option Agreement. On March 7, 2019, the Company granted 138,861 Time Options and 68,393 Performance Options with an exercise price of $5.26 to Mr. Mullican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provide for acceleration of vesting as follows:</w:t>
      </w:r>
    </w:p>
    <w:p>
      <w:pPr>
        <w:spacing w:after="0" w:line="112" w:lineRule="exact"/>
        <w:rPr>
          <w:sz w:val="20"/>
          <w:szCs w:val="20"/>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hanging="545"/>
        <w:spacing w:after="0" w:line="261" w:lineRule="auto"/>
        <w:tabs>
          <w:tab w:leader="none" w:pos="2200"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Mullican remained employed through such vesting date, will become vested and exercisable as of such termination.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540" w:hanging="331"/>
        <w:spacing w:after="0"/>
        <w:tabs>
          <w:tab w:leader="none" w:pos="15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100" w:hanging="545"/>
        <w:spacing w:after="0" w:line="266" w:lineRule="auto"/>
        <w:tabs>
          <w:tab w:leader="none" w:pos="220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20" w:hanging="545"/>
        <w:spacing w:after="0" w:line="261" w:lineRule="auto"/>
        <w:tabs>
          <w:tab w:leader="none" w:pos="220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60" w:hanging="545"/>
        <w:spacing w:after="0" w:line="266" w:lineRule="auto"/>
        <w:tabs>
          <w:tab w:leader="none" w:pos="220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80" w:hanging="545"/>
        <w:spacing w:after="0" w:line="258" w:lineRule="auto"/>
        <w:tabs>
          <w:tab w:leader="none" w:pos="220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June 22, 2018, the Company granted 377,359 Restricted Units to Mr. Mullican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Mullican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3"/>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3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54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Control</w:t>
            </w:r>
          </w:p>
        </w:tc>
        <w:tc>
          <w:tcPr>
            <w:tcW w:w="0" w:type="dxa"/>
            <w:vAlign w:val="bottom"/>
          </w:tcPr>
          <w:p>
            <w:pPr>
              <w:spacing w:after="0"/>
              <w:rPr>
                <w:sz w:val="1"/>
                <w:szCs w:val="1"/>
                <w:color w:val="auto"/>
              </w:rPr>
            </w:pPr>
          </w:p>
        </w:tc>
      </w:tr>
      <w:tr>
        <w:trPr>
          <w:trHeight w:val="160"/>
        </w:trPr>
        <w:tc>
          <w:tcPr>
            <w:tcW w:w="556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112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1,327,936</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5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456,570</w:t>
            </w:r>
            <w:r>
              <w:rPr>
                <w:rFonts w:ascii="Times New Roman" w:cs="Times New Roman" w:eastAsia="Times New Roman" w:hAnsi="Times New Roman"/>
                <w:sz w:val="15"/>
                <w:szCs w:val="15"/>
                <w:color w:val="auto"/>
              </w:rPr>
              <w:t>(1)</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92,908</w:t>
            </w:r>
            <w:r>
              <w:rPr>
                <w:rFonts w:ascii="Times New Roman" w:cs="Times New Roman" w:eastAsia="Times New Roman" w:hAnsi="Times New Roman"/>
                <w:sz w:val="15"/>
                <w:szCs w:val="15"/>
                <w:color w:val="auto"/>
              </w:rPr>
              <w:t>(5)</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21,888</w:t>
            </w:r>
            <w:r>
              <w:rPr>
                <w:rFonts w:ascii="Times New Roman" w:cs="Times New Roman" w:eastAsia="Times New Roman" w:hAnsi="Times New Roman"/>
                <w:sz w:val="15"/>
                <w:szCs w:val="15"/>
                <w:color w:val="auto"/>
              </w:rPr>
              <w:t>(6)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5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56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21,037</w:t>
            </w: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66,418</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5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1,322</w:t>
            </w:r>
            <w:r>
              <w:rPr>
                <w:rFonts w:ascii="Times New Roman" w:cs="Times New Roman" w:eastAsia="Times New Roman" w:hAnsi="Times New Roman"/>
                <w:sz w:val="15"/>
                <w:szCs w:val="15"/>
                <w:color w:val="auto"/>
              </w:rPr>
              <w:t>(3)</w:t>
            </w:r>
          </w:p>
        </w:tc>
        <w:tc>
          <w:tcPr>
            <w:tcW w:w="100" w:type="dxa"/>
            <w:vAlign w:val="bottom"/>
          </w:tcPr>
          <w:p>
            <w:pPr>
              <w:spacing w:after="0"/>
              <w:rPr>
                <w:sz w:val="18"/>
                <w:szCs w:val="18"/>
                <w:color w:val="auto"/>
              </w:rPr>
            </w:pPr>
          </w:p>
        </w:tc>
        <w:tc>
          <w:tcPr>
            <w:tcW w:w="1480" w:type="dxa"/>
            <w:vAlign w:val="bottom"/>
            <w:gridSpan w:val="2"/>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18,374</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2,071,700</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$ 478,929</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1,443,092</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2,156,492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900" w:hanging="424"/>
        <w:spacing w:after="0" w:line="282" w:lineRule="auto"/>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Mullican Employment Agreement, if his employment is terminated due to death or disability, the Company will pay to Mr. Mullican or his designated beneficiary or legal representative (if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60"/>
        <w:spacing w:after="0" w:line="253" w:lineRule="auto"/>
        <w:rPr>
          <w:sz w:val="20"/>
          <w:szCs w:val="20"/>
          <w:color w:val="auto"/>
        </w:rPr>
      </w:pPr>
      <w:r>
        <w:rPr>
          <w:rFonts w:ascii="Times New Roman" w:cs="Times New Roman" w:eastAsia="Times New Roman" w:hAnsi="Times New Roman"/>
          <w:sz w:val="18"/>
          <w:szCs w:val="18"/>
          <w:color w:val="auto"/>
        </w:rPr>
        <w:t>applicable) a pro rata portion of the annual bonus under the Executive Team Bonus Plan for the partial fiscal year in which the termination date occurs in an amount equal to the product of (x) the annual bonus Mr. Mullican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(93.6% of $487,822, which is the percentage of salary earned for the achievement of the combined Company performance goals),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3" w:lineRule="exact"/>
        <w:rPr>
          <w:sz w:val="20"/>
          <w:szCs w:val="20"/>
          <w:color w:val="auto"/>
        </w:rPr>
      </w:pPr>
    </w:p>
    <w:p>
      <w:pPr>
        <w:ind w:left="540" w:right="140" w:hanging="424"/>
        <w:spacing w:after="0" w:line="250" w:lineRule="auto"/>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Time Options upon termination due to death or disability, which is the sum of: (i) $4,679, which is the product of (A) the difference between the Market Value Per Membership Interest and the exercise price ($5.30), and (B) 24,631 Time Options (the portion under the 2017 Executive Option Agreement that would have become vested on the vesting date immediately following termination had Mr. Mullican remained employed); (ii) $8,373, which is the product of (A) the difference between the Market Value Per Membership Interest and the exercise price ($5.23), and (B) 32,206 Time Options (the portion under the 2018 Executive Option Agreement that would have become vested on the vesting date immediately following termination had Mr. Mullican remained employed); and (iii) $7,984, which is the product of (A) the difference between the Market Value Per Membership Interest and the exercise price ($5.26), and (B) 34,715 Time Options (the portion under the 2019 Executive Option Agreement that would have become vested on the vesting date immediately following termination had Mr. Mullican remained employed).</w:t>
      </w:r>
    </w:p>
    <w:p>
      <w:pPr>
        <w:spacing w:after="0" w:line="3"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$1,322 above represents the value associated with the accelerated vesting of the Performance Options upon termination due to death or disability, which is the product of (A) the difference between the Market Value Per Membership Interest and the exercise price ($5.30), and (B) 6,958 Performance Options (the Earned portion under the 2017 Executive Option Agreement that would have become vested on the vesting date immediately following termination had Mr. Mullican remained employed). None of Mr. Mullican’s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Times New Roman" w:cs="Times New Roman" w:eastAsia="Times New Roman" w:hAnsi="Times New Roman"/>
          <w:sz w:val="18"/>
          <w:szCs w:val="18"/>
          <w:color w:val="auto"/>
        </w:rPr>
      </w:pPr>
    </w:p>
    <w:p>
      <w:pPr>
        <w:ind w:left="540" w:right="80" w:hanging="424"/>
        <w:spacing w:after="0" w:line="265" w:lineRule="auto"/>
        <w:tabs>
          <w:tab w:leader="none" w:pos="54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Mullican Employment Agreement, if the Company terminates Mr. Mullican’s employment without Cause or Mr. Mullican resigns for Good Reason, the Company shall pay a cash severance payment in an amount equal to the product of (x) two multiplied by (y) the sum of</w:t>
      </w:r>
    </w:p>
    <w:p>
      <w:pPr>
        <w:ind w:left="540" w:right="3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his base salary ($489,500 for 2019) and (B) the average annual bonus paid to (or earned by, to the extent not yet paid as of the termination date) him under the Executive Team Bonus Plan for the two fiscal years of the Company immediately preceding the fiscal year in which the termination date occurs ($256,028 for 2017 and $92,908 for 2018).</w:t>
      </w:r>
    </w:p>
    <w:p>
      <w:pPr>
        <w:spacing w:after="0" w:line="1" w:lineRule="exact"/>
        <w:rPr>
          <w:rFonts w:ascii="Times New Roman" w:cs="Times New Roman" w:eastAsia="Times New Roman" w:hAnsi="Times New Roman"/>
          <w:sz w:val="17"/>
          <w:szCs w:val="17"/>
          <w:color w:val="auto"/>
        </w:rPr>
      </w:pPr>
    </w:p>
    <w:p>
      <w:pPr>
        <w:ind w:left="540" w:hanging="424"/>
        <w:spacing w:after="0" w:line="250" w:lineRule="auto"/>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Mullican Employment Agreement, if the Company terminates Mr. Mullican’s employment without Cause or Mr. Mullican resigns for Good Reason, the Company shall pay an amount equal to the product of (x) the annual bonus he has earned under the Executive Team Bonus Plan for the fiscal year immediately preceding the fiscal year in which the termination date occurs ($92,908 for 2018), multiplied by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1" w:lineRule="exact"/>
        <w:rPr>
          <w:rFonts w:ascii="Times New Roman" w:cs="Times New Roman" w:eastAsia="Times New Roman" w:hAnsi="Times New Roman"/>
          <w:sz w:val="18"/>
          <w:szCs w:val="18"/>
          <w:color w:val="auto"/>
        </w:rPr>
      </w:pPr>
    </w:p>
    <w:p>
      <w:pPr>
        <w:ind w:left="540" w:right="60" w:hanging="424"/>
        <w:spacing w:after="0" w:line="265" w:lineRule="auto"/>
        <w:tabs>
          <w:tab w:leader="none" w:pos="54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Mullican Employment Agreement, if the Company terminates Mr. Mullican’s employment without Cause or Mr. Mullican resigns for Good Reason, then during the 24 month period following the termination date, the Company shall provide Mr. Mullican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Mullican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Mullican’s portion of such premiums as if Mr. Mullican was an active employee, which</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00"/>
          </w:cols>
          <w:pgMar w:left="320" w:top="455" w:right="47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payment shall be paid in advance on the first payroll day of each month during the such 24-month period ($912 per month).</w:t>
      </w:r>
    </w:p>
    <w:p>
      <w:pPr>
        <w:spacing w:after="0" w:line="27" w:lineRule="exact"/>
        <w:rPr>
          <w:sz w:val="20"/>
          <w:szCs w:val="20"/>
          <w:color w:val="auto"/>
        </w:rPr>
      </w:pPr>
    </w:p>
    <w:p>
      <w:pPr>
        <w:ind w:left="540" w:right="100" w:hanging="424"/>
        <w:spacing w:after="0" w:line="250" w:lineRule="auto"/>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Mullican Employment Agreement, if the Company terminates Mr. Mullican’s employment without Cause or Mr. Mullican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Times New Roman" w:cs="Times New Roman" w:eastAsia="Times New Roman" w:hAnsi="Times New Roman"/>
          <w:sz w:val="18"/>
          <w:szCs w:val="18"/>
          <w:color w:val="auto"/>
        </w:rPr>
      </w:pPr>
    </w:p>
    <w:p>
      <w:pPr>
        <w:jc w:val="both"/>
        <w:ind w:left="540" w:right="220" w:hanging="424"/>
        <w:spacing w:after="0" w:line="265" w:lineRule="auto"/>
        <w:tabs>
          <w:tab w:leader="none" w:pos="54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$9,358, which is the product of (A) the difference between the Market Value Per Membership Interest and the exercise price ($5.30), and</w:t>
      </w:r>
    </w:p>
    <w:p>
      <w:pPr>
        <w:ind w:left="540"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49,262 Time Options (the unvested portion under the 2017 Executive Option Agreement immediately prior to February 1, 2020); (ii) $25,120, which is the product of (A) the difference between the Market Value Per Membership Interest and the exercise price ($5.23), and (B) 96,619 Time Options (the unvested portion under the 2018 Executive Option Agreement immediately prior to February 1, 2020); and (iii) $31,938, which is the product of (A) the difference between the Market Value Per Membership Interest and the exercise price ($5.26), and (B) 138,861 Time Options (the unvested portion under the 2019 Executive Option Agreement immediately prior to February 1, 2020, which is the entire grant).</w:t>
      </w:r>
    </w:p>
    <w:p>
      <w:pPr>
        <w:spacing w:after="0" w:line="1" w:lineRule="exact"/>
        <w:rPr>
          <w:rFonts w:ascii="Times New Roman" w:cs="Times New Roman" w:eastAsia="Times New Roman" w:hAnsi="Times New Roman"/>
          <w:sz w:val="17"/>
          <w:szCs w:val="17"/>
          <w:color w:val="auto"/>
        </w:rPr>
      </w:pPr>
    </w:p>
    <w:p>
      <w:pPr>
        <w:ind w:left="540" w:hanging="424"/>
        <w:spacing w:after="0" w:line="250" w:lineRule="auto"/>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a Change of Control, which is the sum of: (i) $2,644, which is the product of (A) the difference between the Market Value Per Membership Interest and the exercise price ($5.30), and (B) 13,916 Performance Options (the unvested and Earned portion under the 2017 Executive Option Agreement immediately prior to February 1, 2020); and (ii) $15,730, which is the product of (A) the difference between the Market Value Per Membership Interest and the exercise price ($5.26), and (B) 68,393 Performance Options (the unvested portion under the 2019 Executive Option Agreement immediately prior to February 1, 2020, which is the entire grant because the Change of Control occurs during the Option Grant Year).</w:t>
      </w:r>
    </w:p>
    <w:p>
      <w:pPr>
        <w:spacing w:after="0" w:line="2" w:lineRule="exact"/>
        <w:rPr>
          <w:rFonts w:ascii="Times New Roman" w:cs="Times New Roman" w:eastAsia="Times New Roman" w:hAnsi="Times New Roman"/>
          <w:sz w:val="18"/>
          <w:szCs w:val="18"/>
          <w:color w:val="auto"/>
        </w:rPr>
      </w:pPr>
    </w:p>
    <w:p>
      <w:pPr>
        <w:ind w:left="540" w:right="240" w:hanging="424"/>
        <w:spacing w:after="0" w:line="253" w:lineRule="auto"/>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377,359 Restricted Units (under the 2018 Executive Restricted Unit Agreement) and the Market Value Per Membership Unit.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Lawrence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Lawrence may be entitled to receive under the Lawrence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Lawrence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Lawrence Employment Agreement, if his employment is terminated due to death or disability, the Company will pay to</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Mr. Lawrence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 (y) a fraction, the numerator of which is equal to the number of days between and including the first day of the fiscal year in which the termination date occurs (or his commencement date of February 11, 2019 if the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termination occurs in the 2019 fiscal year) and the termination date, and the denominator of which is equal to 365, payable in a lump sum on the date on which annual bonuses are paid to the Company’s other senior executive officers with respect to such fiscal year.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Lawrence’s employment without Cause or Mr. Lawrence resigns for Good Reason, the Company shall pay:</w:t>
      </w:r>
    </w:p>
    <w:p>
      <w:pPr>
        <w:spacing w:after="0" w:line="117" w:lineRule="exact"/>
        <w:rPr>
          <w:sz w:val="20"/>
          <w:szCs w:val="20"/>
          <w:color w:val="auto"/>
        </w:rPr>
      </w:pPr>
    </w:p>
    <w:p>
      <w:pPr>
        <w:ind w:left="560" w:right="80" w:hanging="4"/>
        <w:spacing w:after="0" w:line="255" w:lineRule="auto"/>
        <w:tabs>
          <w:tab w:leader="none" w:pos="77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hanging="4"/>
        <w:spacing w:after="0" w:line="254" w:lineRule="auto"/>
        <w:tabs>
          <w:tab w:leader="none" w:pos="82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20" w:hanging="4"/>
        <w:spacing w:after="0" w:line="254" w:lineRule="auto"/>
        <w:tabs>
          <w:tab w:leader="none" w:pos="87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Lawrence and his covered dependents medical insurance benefits, contingent on Mr. Lawrence electing continuation coverage under COBRA, no less favorable than those provided to active senior executives of the Company and their dependents at a price equal to the COBRA rate while eligible for COBRA and thereafter at the cost of coverage, and the Company shall pay to Mr. Lawrence each month during the 24 month period following the termination date an amount equal to the excess, if any, of the monthly premium under the Company’s benefit plans under which such medical insurance benefits are provided, as in effect from time to time, over the amount of Mr. Lawrence’s portion of such premiums as if Mr. Lawrence was an active employee, which payment shall be paid in advance on the first payroll day of each month during the such 24-month period. Notwithstanding the foregoing, the payments provided under this clause shall cease at such time as Mr. Lawrence commences to receive such benefits from a subsequent employer of Mr. Lawrence during the 24 month period following the termination date; and</w:t>
      </w:r>
    </w:p>
    <w:p>
      <w:pPr>
        <w:spacing w:after="0" w:line="80" w:lineRule="exact"/>
        <w:rPr>
          <w:rFonts w:ascii="Times New Roman" w:cs="Times New Roman" w:eastAsia="Times New Roman" w:hAnsi="Times New Roman"/>
          <w:sz w:val="18"/>
          <w:szCs w:val="18"/>
          <w:color w:val="auto"/>
        </w:rPr>
      </w:pPr>
    </w:p>
    <w:p>
      <w:pPr>
        <w:ind w:left="560" w:right="180" w:hanging="4"/>
        <w:spacing w:after="0" w:line="266" w:lineRule="auto"/>
        <w:tabs>
          <w:tab w:leader="none" w:pos="86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Lawrence Employment Agreement contains the same definition of “Cause” provided in the Hicks Employment Agreement.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00"/>
          </w:cols>
          <w:pgMar w:left="320" w:top="455" w:right="47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Lawrence Employment Agreement contains the same definition of “Good Reason” provided in the Hicks Employment Agreement, except that Mr. Lawrence’s definition does not include clause (i) from Mr. Hicks’ definition, and Mr. Lawrence’s definition also includes the relocation of the principal place of employment to a location more than 50 miles from the principal place of employment provided in his employment agreement, if a move to such other location materially increases his commute. In addition, Mr. Lawrence’s definition provides that he will not be treated as having terminated his employment for a Good Reason event if he incurs a separation from service more than six months (rather than one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7, 2019, the Company granted 411,270 Time Options and 106,865 Performance Options with an exercise price of $5.26 to</w:t>
      </w:r>
    </w:p>
    <w:p>
      <w:pPr>
        <w:spacing w:after="0" w:line="27" w:lineRule="exact"/>
        <w:rPr>
          <w:sz w:val="20"/>
          <w:szCs w:val="20"/>
          <w:color w:val="auto"/>
        </w:rPr>
      </w:pPr>
    </w:p>
    <w:p>
      <w:pPr>
        <w:ind w:left="120" w:right="180"/>
        <w:spacing w:after="0" w:line="253" w:lineRule="auto"/>
        <w:rPr>
          <w:sz w:val="20"/>
          <w:szCs w:val="20"/>
          <w:color w:val="auto"/>
        </w:rPr>
      </w:pPr>
      <w:r>
        <w:rPr>
          <w:rFonts w:ascii="Times New Roman" w:cs="Times New Roman" w:eastAsia="Times New Roman" w:hAnsi="Times New Roman"/>
          <w:sz w:val="18"/>
          <w:szCs w:val="18"/>
          <w:color w:val="auto"/>
        </w:rPr>
        <w:t>Mr. Lawrence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 provides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60" w:hanging="545"/>
        <w:spacing w:after="0" w:line="261" w:lineRule="auto"/>
        <w:tabs>
          <w:tab w:leader="none" w:pos="220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Lawrence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40" w:hanging="545"/>
        <w:spacing w:after="0" w:line="266" w:lineRule="auto"/>
        <w:tabs>
          <w:tab w:leader="none" w:pos="220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60" w:hanging="545"/>
        <w:spacing w:after="0" w:line="261" w:lineRule="auto"/>
        <w:tabs>
          <w:tab w:leader="none" w:pos="220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00" w:hanging="545"/>
        <w:spacing w:after="0" w:line="266" w:lineRule="auto"/>
        <w:tabs>
          <w:tab w:leader="none" w:pos="220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20" w:hanging="545"/>
        <w:spacing w:after="0" w:line="282" w:lineRule="auto"/>
        <w:tabs>
          <w:tab w:leader="none" w:pos="220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60"/>
          </w:cols>
          <w:pgMar w:left="320" w:top="455" w:right="51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2080"/>
        <w:spacing w:after="0" w:line="261" w:lineRule="auto"/>
        <w:rPr>
          <w:sz w:val="20"/>
          <w:szCs w:val="20"/>
          <w:color w:val="auto"/>
        </w:rPr>
      </w:pPr>
      <w:r>
        <w:rPr>
          <w:rFonts w:ascii="Times New Roman" w:cs="Times New Roman" w:eastAsia="Times New Roman" w:hAnsi="Times New Roman"/>
          <w:sz w:val="18"/>
          <w:szCs w:val="18"/>
          <w:color w:val="auto"/>
        </w:rPr>
        <w:t>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March 7, 2019, the Company granted 142,586 Restricted Units to Mr. Lawrence pursuant to the 2019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Lawrence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28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280" w:type="dxa"/>
            <w:vAlign w:val="bottom"/>
          </w:tcPr>
          <w:p>
            <w:pPr>
              <w:spacing w:after="0"/>
              <w:rPr>
                <w:sz w:val="12"/>
                <w:szCs w:val="12"/>
                <w:color w:val="auto"/>
              </w:rPr>
            </w:pP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2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60"/>
        </w:trPr>
        <w:tc>
          <w:tcPr>
            <w:tcW w:w="572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98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1,410,000</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756,646</w:t>
            </w:r>
            <w:r>
              <w:rPr>
                <w:rFonts w:ascii="Times New Roman" w:cs="Times New Roman" w:eastAsia="Times New Roman" w:hAnsi="Times New Roman"/>
                <w:sz w:val="15"/>
                <w:szCs w:val="15"/>
                <w:color w:val="auto"/>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5"/>
                <w:szCs w:val="15"/>
                <w:color w:val="auto"/>
              </w:rPr>
              <w:t>(5)</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21,888</w:t>
            </w:r>
            <w:r>
              <w:rPr>
                <w:rFonts w:ascii="Times New Roman" w:cs="Times New Roman" w:eastAsia="Times New Roman" w:hAnsi="Times New Roman"/>
                <w:sz w:val="15"/>
                <w:szCs w:val="15"/>
                <w:color w:val="auto"/>
              </w:rPr>
              <w:t>(6)</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2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23,647</w:t>
            </w:r>
            <w:r>
              <w:rPr>
                <w:rFonts w:ascii="Times New Roman" w:cs="Times New Roman" w:eastAsia="Times New Roman" w:hAnsi="Times New Roman"/>
                <w:sz w:val="15"/>
                <w:szCs w:val="15"/>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94,592</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5"/>
                <w:szCs w:val="15"/>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24,578</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782,797</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$ 780,293</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1,432,248</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901,967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his employment is terminated due to death or disability, the Company will pay to</w:t>
      </w:r>
    </w:p>
    <w:p>
      <w:pPr>
        <w:spacing w:after="0" w:line="27" w:lineRule="exact"/>
        <w:rPr>
          <w:rFonts w:ascii="Times New Roman" w:cs="Times New Roman" w:eastAsia="Times New Roman" w:hAnsi="Times New Roman"/>
          <w:sz w:val="18"/>
          <w:szCs w:val="18"/>
          <w:color w:val="auto"/>
        </w:rPr>
      </w:pPr>
    </w:p>
    <w:p>
      <w:pPr>
        <w:ind w:left="540" w:right="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Mr. Lawrence or his designated beneficiary or legal representative (if applicable) a pro rata portion of the annual bonus under the Executive Team Bonus Plan for the partial fiscal year in which the termination date occurs in an amount equal to the product of (x) the annual bonus Mr. Lawrence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(112.3% of $690,730), and (y) a fraction, the numerator of which is equal to the number of days between and including his commencement date of February 11, 2019 and the termination date (356 days), and the denominator of which is equal to 365.</w:t>
      </w:r>
    </w:p>
    <w:p>
      <w:pPr>
        <w:ind w:left="540" w:right="140" w:hanging="424"/>
        <w:spacing w:after="0" w:line="250" w:lineRule="auto"/>
        <w:tabs>
          <w:tab w:leader="none" w:pos="5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$23,647 above represents the value associated with the accelerated vesting of the Time Options upon termination due to death or disability, which is the product of (A) the difference between the Market Value Per Membership Interest and the exercise price ($5.26), and (B) 102,818 Time Options (the portion under the 2019 Executive Option Agreement that would have become vested on the vesting date immediately following termination had Mr. Lawrence remained employed).</w:t>
      </w:r>
    </w:p>
    <w:p>
      <w:pPr>
        <w:spacing w:after="0" w:line="1"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Mr. Lawrence’s Performance Options under the 2019 Executive Option Agreement were Earned as of February 1, 2020 and therefore would not be eligible to vest in connection with a termination due to death or disability on such date.</w:t>
      </w:r>
    </w:p>
    <w:p>
      <w:pPr>
        <w:ind w:left="540" w:right="40" w:hanging="424"/>
        <w:spacing w:after="0" w:line="277" w:lineRule="auto"/>
        <w:tabs>
          <w:tab w:leader="none" w:pos="5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Lawrence Employment Agreement, if the Company terminates Mr. Lawrence’s employment without Cause or Mr. Lawrence resigns for Good Reason, the Company shall pay a cash severance payment in an amount equal to the product of (x) two multiplied by (y) the sum of (A) his base salary ($705,000 for 2019) and (B) the average annual bonus paid to (or earned by, to the extent not yet paid as of the termination</w:t>
      </w:r>
    </w:p>
    <w:p>
      <w:pPr>
        <w:spacing w:after="0" w:line="1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500"/>
        <w:spacing w:after="0" w:line="261" w:lineRule="auto"/>
        <w:rPr>
          <w:sz w:val="20"/>
          <w:szCs w:val="20"/>
          <w:color w:val="auto"/>
        </w:rPr>
      </w:pPr>
      <w:r>
        <w:rPr>
          <w:rFonts w:ascii="Times New Roman" w:cs="Times New Roman" w:eastAsia="Times New Roman" w:hAnsi="Times New Roman"/>
          <w:sz w:val="18"/>
          <w:szCs w:val="18"/>
          <w:color w:val="auto"/>
        </w:rPr>
        <w:t>date) him under the Executive Team Bonus Plan for the two fiscal years of the Company immediately preceding the fiscal year in which the termination date occurs ($0 for 2017 and $0 for 2018).</w:t>
      </w:r>
    </w:p>
    <w:p>
      <w:pPr>
        <w:ind w:left="540" w:right="40" w:hanging="424"/>
        <w:spacing w:after="0" w:line="250" w:lineRule="auto"/>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the Company terminates Mr. Lawrence’s employment without Cause or Mr. Lawrence resigns for Good Reason, the Company shall pay an amount equal to the product of (x) the annual bonus he has earned under the Executive Team Bonus Plan for the fiscal year immediately preceding the fiscal year in which the termination date occurs ($0 for 2018),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the Company terminates Mr. Lawrence’s employment without Cause or Mr. Lawrence resigns for Good Reason, then during the 24 month period following the termination date, the Company shall provide Mr. Lawrence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Lawrence each month during the 24 month period following the termination date an amount equal to the excess, if any, of the monthly premium under the Company’s benefit plans under which such medical insurance benefits are provided, as in effect from time to time, over the amount of Mr. Lawrence’s portion of such premiums as if Mr. Lawrence was an active employee, which payment shall be paid in advance on the first payroll day of each month during the such 24-month period ($912 per month).</w:t>
      </w:r>
    </w:p>
    <w:p>
      <w:pPr>
        <w:spacing w:after="0" w:line="3"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the Company terminates Mr. Lawrence’s employment without Cause or Mr. Lawrence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$94,592 above represents the value associated with the accelerated vesting of the Time Options upon a Change of Control, which is the product of (A) the difference between the Market Value Per Membership Interest and the exercise price ($5.26), and (B) 411,270 Time Options (the unvested portion under the 2019 Executive Option Agreement immediately prior to February 1, 2020, which is the entire grant).</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$24,578 above represents the value associated with the accelerated vesting of the Performance Options upon a Change of Control, which is the product of (A) the difference between the Market Value Per Membership Interest and the exercise price ($5.26), and (B) 106,865 Performance Options (the unvested portion under the 2019 Executive Option Agreement immediately prior to February 1, 2020, which is the entire grant).</w:t>
      </w:r>
    </w:p>
    <w:p>
      <w:pPr>
        <w:spacing w:after="0" w:line="1" w:lineRule="exact"/>
        <w:rPr>
          <w:rFonts w:ascii="Times New Roman" w:cs="Times New Roman" w:eastAsia="Times New Roman" w:hAnsi="Times New Roman"/>
          <w:sz w:val="18"/>
          <w:szCs w:val="18"/>
          <w:color w:val="auto"/>
        </w:rPr>
      </w:pPr>
    </w:p>
    <w:p>
      <w:pPr>
        <w:ind w:left="540" w:right="240" w:hanging="424"/>
        <w:spacing w:after="0" w:line="253" w:lineRule="auto"/>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2019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142,586 Restricted Units (under the 2019 Executive Restricted Unit Agreement) and the Market Value Per Membership Unit.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Johnson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Johnson may be entitled to receive under the Johnson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Johnson is not entitled to any severance payments or benefits if he is terminated for Cause or resigns without Good Reason.</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Pursuant to the Johnson Employment Agreement, if his employment is terminated due to death or disability, the Company will pay to Mr. Johnson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w:t>
      </w:r>
    </w:p>
    <w:p>
      <w:pPr>
        <w:spacing w:after="0" w:line="3" w:lineRule="exact"/>
        <w:rPr>
          <w:sz w:val="20"/>
          <w:szCs w:val="20"/>
          <w:color w:val="auto"/>
        </w:rPr>
      </w:pPr>
    </w:p>
    <w:p>
      <w:pPr>
        <w:ind w:left="120" w:right="80" w:hanging="4"/>
        <w:spacing w:after="0" w:line="255" w:lineRule="auto"/>
        <w:tabs>
          <w:tab w:leader="none" w:pos="37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Johnson’s employment without Cause or Mr. Johnson resigns for Good Reason, the Company shall pay:</w:t>
      </w:r>
    </w:p>
    <w:p>
      <w:pPr>
        <w:spacing w:after="0" w:line="117" w:lineRule="exact"/>
        <w:rPr>
          <w:sz w:val="20"/>
          <w:szCs w:val="20"/>
          <w:color w:val="auto"/>
        </w:rPr>
      </w:pPr>
    </w:p>
    <w:p>
      <w:pPr>
        <w:ind w:left="560" w:right="80" w:hanging="4"/>
        <w:spacing w:after="0" w:line="255" w:lineRule="auto"/>
        <w:tabs>
          <w:tab w:leader="none" w:pos="77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hanging="4"/>
        <w:spacing w:after="0" w:line="254" w:lineRule="auto"/>
        <w:tabs>
          <w:tab w:leader="none" w:pos="82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40" w:hanging="4"/>
        <w:spacing w:after="0" w:line="253" w:lineRule="auto"/>
        <w:tabs>
          <w:tab w:leader="none" w:pos="87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Johnson and his covered dependents medical insurance benefits, contingent on Mr. Johnson electing continuation coverage under COBRA, no less favorable than those provided to active senior executives of the Company and their dependents at a price equal to the COBRA rate while eligible for COBRA and thereafter at the cost of coverage, and the Company shall pay to Mr. Johnson each month during the 24 month period following the termination date an amount equal to the excess, if any, of the monthly premium under the Company’s benefit plans under which such medical insurance benefits are provided, as in effect from time to time, over the amount of Mr. Johnson’s portion of such premiums as if Mr. Johnson was an active employee, which payment shall be paid in advance on the first payroll day of each month during the such 24-month period. Notwithstanding the foregoing, the payments provided under this clause shall cease at such time as Mr. Johnson commences to receive such benefits from a subsequent employer of</w:t>
      </w: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Johnson during the 24 month period following the termination date; and</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00"/>
          </w:cols>
          <w:pgMar w:left="320" w:top="455" w:right="47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180" w:hanging="4"/>
        <w:spacing w:after="0" w:line="266" w:lineRule="auto"/>
        <w:tabs>
          <w:tab w:leader="none" w:pos="86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Johnson Employment Agreement contains the same definition of “Cause” provided in the Hicks Employment Agreement.</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Johnson Employment Agreement contains the same definition of “Good Reason” provided in the Hicks Employment Agreement, except that Mr. Johnson’s definition does not include clause (i) from Mr. Hicks’ definition and instead includes a material diminution of Mr. Johnson’s position, authority duties or other responsibilities from those as contemplated in his employment agreement. In addition, Mr. Johnson’s definition includes the relocation of the principal place of employment to a location more than 50 miles from the principal place of employment provided in his employment agreement, if a move to such other location materially increases his commute. In addition, Mr. Johnson’s definition provides that he will not be treated as having terminated his employment for a Good Reason event if he incurs a separation from service more than six months (rather than one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192"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Johnson Employment Agreement provides that in the event Mr. Johnson elects not to extend the employment agreement, such nonrenewal shall be deemed a termination by Mr. Johnson without Good Reason, and in the event the Company elects not to extend the employment period, such nonrenewal shall be deemed a termination by the Company of Mr. Johnson’s employment without Cause.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On June 6, 2017, the Company granted 73,892 Time Options and 36,946 Performance Options with an exercise price of $5.30 to Mr. Johnson pursuant to the 2017 Executive Option Agreement. On April 5, 2018, the Company granted 104,670 Time Options with an exercise price of $5.23 to Mr. Johnson pursuant to the 2018 Executive Option Agreement. On March 7, 2019, the Company granted 21,504 Time Options and 59,844 Performance Options with an exercise price of $5.26 to Mr. Johnson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40" w:hanging="545"/>
        <w:spacing w:after="0" w:line="261" w:lineRule="auto"/>
        <w:tabs>
          <w:tab w:leader="none" w:pos="2200"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Johnson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80" w:hanging="545"/>
        <w:spacing w:after="0" w:line="266" w:lineRule="auto"/>
        <w:tabs>
          <w:tab w:leader="none" w:pos="2200"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00"/>
          </w:cols>
          <w:pgMar w:left="320" w:top="455" w:right="47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20" w:hanging="545"/>
        <w:spacing w:after="0" w:line="261" w:lineRule="auto"/>
        <w:tabs>
          <w:tab w:leader="none" w:pos="2200"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60" w:hanging="545"/>
        <w:spacing w:after="0" w:line="266" w:lineRule="auto"/>
        <w:tabs>
          <w:tab w:leader="none" w:pos="2200"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80" w:hanging="545"/>
        <w:spacing w:after="0" w:line="258" w:lineRule="auto"/>
        <w:tabs>
          <w:tab w:leader="none" w:pos="2200"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 June 22, 2018, the Company granted 235,850 Restricted Units to Mr. Johnson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Johnson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3"/>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3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54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60"/>
        </w:trPr>
        <w:tc>
          <w:tcPr>
            <w:tcW w:w="556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112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ind w:left="5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1,316,378</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5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434,125</w:t>
            </w:r>
            <w:r>
              <w:rPr>
                <w:rFonts w:ascii="Times New Roman" w:cs="Times New Roman" w:eastAsia="Times New Roman" w:hAnsi="Times New Roman"/>
                <w:sz w:val="15"/>
                <w:szCs w:val="15"/>
                <w:color w:val="auto"/>
              </w:rPr>
              <w:t>(1)</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87,284</w:t>
            </w:r>
            <w:r>
              <w:rPr>
                <w:rFonts w:ascii="Times New Roman" w:cs="Times New Roman" w:eastAsia="Times New Roman" w:hAnsi="Times New Roman"/>
                <w:sz w:val="15"/>
                <w:szCs w:val="15"/>
                <w:color w:val="auto"/>
              </w:rPr>
              <w:t>(5)</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21,888</w:t>
            </w:r>
            <w:r>
              <w:rPr>
                <w:rFonts w:ascii="Times New Roman" w:cs="Times New Roman" w:eastAsia="Times New Roman" w:hAnsi="Times New Roman"/>
                <w:sz w:val="15"/>
                <w:szCs w:val="15"/>
                <w:color w:val="auto"/>
              </w:rPr>
              <w:t>(6)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5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56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17,299</w:t>
            </w: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55,376</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56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5"/>
                <w:szCs w:val="15"/>
                <w:color w:val="auto"/>
              </w:rPr>
              <w:t>(3)</w:t>
            </w:r>
          </w:p>
        </w:tc>
        <w:tc>
          <w:tcPr>
            <w:tcW w:w="100" w:type="dxa"/>
            <w:vAlign w:val="bottom"/>
          </w:tcPr>
          <w:p>
            <w:pPr>
              <w:spacing w:after="0"/>
              <w:rPr>
                <w:sz w:val="18"/>
                <w:szCs w:val="18"/>
                <w:color w:val="auto"/>
              </w:rPr>
            </w:pPr>
          </w:p>
        </w:tc>
        <w:tc>
          <w:tcPr>
            <w:tcW w:w="1480" w:type="dxa"/>
            <w:vAlign w:val="bottom"/>
            <w:gridSpan w:val="2"/>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15,747</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1,294,816</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$ 452,415</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1,425,910</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1,365,939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line="258" w:lineRule="auto"/>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his employment is terminated due to death or disability, the Company will pay to Mr. Johnson or his designated beneficiary or legal representative (if applicable) a pro rata portion of the annual bonus under the Executive Team Bonus Plan for the partial fiscal year in which the termination date occurs in an amount equal to the product of (x) the annual bonus Mr. Johnson would otherwise have been entitled to had he remained employed on the date such annual bonus is paid (but with the amount of the annual bonus payable calculated based solely on the level of achievement of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60"/>
        <w:spacing w:after="0" w:line="255" w:lineRule="auto"/>
        <w:rPr>
          <w:sz w:val="20"/>
          <w:szCs w:val="20"/>
          <w:color w:val="auto"/>
        </w:rPr>
      </w:pPr>
      <w:r>
        <w:rPr>
          <w:rFonts w:ascii="Times New Roman" w:cs="Times New Roman" w:eastAsia="Times New Roman" w:hAnsi="Times New Roman"/>
          <w:sz w:val="18"/>
          <w:szCs w:val="18"/>
          <w:color w:val="auto"/>
        </w:rPr>
        <w:t>applicable Company financial performance metrics for such fiscal year and not on any personal performance goals) (93.6% of $463,840, which is the percentage of salary earned for the achievement of the combined Company performance goals),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3" w:lineRule="exact"/>
        <w:rPr>
          <w:sz w:val="20"/>
          <w:szCs w:val="20"/>
          <w:color w:val="auto"/>
        </w:rPr>
      </w:pPr>
    </w:p>
    <w:p>
      <w:pPr>
        <w:ind w:left="540" w:right="140" w:hanging="424"/>
        <w:spacing w:after="0" w:line="250"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Time Options upon termination due to death or disability, which is the sum of: (i) $3,509, which is the product of (A) the difference between the Market Value Per Membership Interest and the exercise price ($5.30), and (B) 18,473 Time Options (the portion under the 2017 Executive Option Agreement that would have become vested on the vesting date immediately following termination had Mr. Johnson remained employed); (ii) $6,803, which is the product of (A) the difference between the Market Value Per Membership Interest and the exercise price ($5.23), and (B) 26,167 Time Options (the portion under the 2018 Executive Option Agreement that would have become vested on the vesting date immediately following termination had Mr. Johnson remained employed); and (iii) $6,986, which is the product of (A) the difference between the Market Value Per Membership Interest and the exercise price ($5.26), and (B) 30,376 Time Options (the portion under the 2019 Executive Option Agreement that would have become vested on the vesting date immediately following termination had Mr. Johnson remained employed).</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termination due to death or disability, which is the product of (A) the difference between the Market Value Per Membership Interest and the exercise price ($5.30), and (B) 5,219 Performance Options (the Earned portion under the 2017 Executive Option Agreement that would have become vested on the vesting date immediately following termination had Mr. Johnson remained employed). None of Mr. Johnson’s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 Company shall pay a cash severance payment in an amount equal to the product of (x) two multiplied by (y) the sum of (A) his base salary ($480,000 for 2019) and (B) the average annual bonus paid to (or earned by, to the extent not yet paid as of the termination date) him under the Executive Team Bonus Plan for the two fiscal years of the Company immediately preceding the fiscal year in which the termination date occurs ($269,094 for 2017 and $87,284 for 2018).</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 Company shall pay an amount equal to the product of (x) the annual bonus he has earned under the Executive Team Bonus Plan for the fiscal year immediately preceding the fiscal year in which the termination date occurs ($87,284 for 2018), multiplied by (y) a fraction, the numerator of which is equal to the number of days between and including the first day of the fiscal year in which the termination date occurs and the termination date, and the denominator of which is equal to 365 (assumed to be the entire fiscal year).</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then during the 24 month period following the termination date, the Company shall provide Mr. Johnson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Johnson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2" w:lineRule="exact"/>
        <w:rPr>
          <w:rFonts w:ascii="Times New Roman" w:cs="Times New Roman" w:eastAsia="Times New Roman" w:hAnsi="Times New Roman"/>
          <w:sz w:val="18"/>
          <w:szCs w:val="18"/>
          <w:color w:val="auto"/>
        </w:rPr>
      </w:pPr>
    </w:p>
    <w:p>
      <w:pPr>
        <w:ind w:left="540" w:right="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Johnson’s portion of such premiums as if Mr. Johnson was an active employee, which payment shall be paid in advance on the first payroll day of each month during the such 24-month period ($912 per month).</w:t>
      </w:r>
    </w:p>
    <w:p>
      <w:pPr>
        <w:ind w:left="540" w:hanging="424"/>
        <w:spacing w:after="0" w:line="260"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 Company shall pay an amount equal to the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00"/>
          </w:cols>
          <w:pgMar w:left="320" w:top="455" w:right="47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180"/>
        <w:spacing w:after="0" w:line="261" w:lineRule="auto"/>
        <w:rPr>
          <w:sz w:val="20"/>
          <w:szCs w:val="20"/>
          <w:color w:val="auto"/>
        </w:rPr>
      </w:pPr>
      <w:r>
        <w:rPr>
          <w:rFonts w:ascii="Times New Roman" w:cs="Times New Roman" w:eastAsia="Times New Roman" w:hAnsi="Times New Roman"/>
          <w:sz w:val="18"/>
          <w:szCs w:val="18"/>
          <w:color w:val="auto"/>
        </w:rPr>
        <w:t>product of (x) the monthly basic life insurance premium applicable to his basic life insurance coverage immediately prior to the termination date ($15 per month) and (y) 24 months.</w:t>
      </w:r>
    </w:p>
    <w:p>
      <w:pPr>
        <w:jc w:val="both"/>
        <w:ind w:left="540" w:right="220" w:hanging="424"/>
        <w:spacing w:after="0" w:line="265" w:lineRule="auto"/>
        <w:tabs>
          <w:tab w:leader="none" w:pos="54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$7,019, which is the product of (A) the difference between the Market Value Per Membership Interest and the exercise price ($5.30), and</w:t>
      </w:r>
    </w:p>
    <w:p>
      <w:pPr>
        <w:ind w:left="540"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36,946 Time Options (the unvested portion under the 2017 Executive Option Agreement immediately prior to February 1, 2020); (ii) $20,410, which is the product of (A) the difference between the Market Value Per Membership Interest and the exercise price ($5.23), and (B) 78,503 Time Options (the unvested portion under the 2018 Executive Option Agreement immediately prior to February 1, 2020); and (iii) $27,945, which is the product of (A) the difference between the Market Value Per Membership Interest and the exercise price ($5.26), and (B) 121,504 Time Options (the unvested portion under the 2019 Executive Option Agreement immediately prior to February 1, 2020, which is the entire grant).</w:t>
      </w:r>
    </w:p>
    <w:p>
      <w:pPr>
        <w:spacing w:after="0" w:line="1" w:lineRule="exact"/>
        <w:rPr>
          <w:rFonts w:ascii="Times New Roman" w:cs="Times New Roman" w:eastAsia="Times New Roman" w:hAnsi="Times New Roman"/>
          <w:sz w:val="17"/>
          <w:szCs w:val="17"/>
          <w:color w:val="auto"/>
        </w:rPr>
      </w:pPr>
    </w:p>
    <w:p>
      <w:pPr>
        <w:ind w:left="540" w:hanging="424"/>
        <w:spacing w:after="0" w:line="250"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a Change of Control, which is the sum of: (i) $1,983, which is the product of (A) the difference between the Market Value Per Membership Interest and the exercise price ($5.30), and (B) 10,438 Performance Options (the unvested and Earned portion under the 2017 Executive Option Agreement immediately prior to February 1, 2020); and (ii) $13,764, which is the product of (A) the difference between the Market Value Per Membership Interest and the exercise price ($5.26), and (B) 59,844 Performance Options (the unvested portion under the 2019 Executive Option Agreement immediately prior to February 1, 2020, which is the entire grant because the Change of Control occurs during the Option Grant Year).</w:t>
      </w:r>
    </w:p>
    <w:p>
      <w:pPr>
        <w:spacing w:after="0" w:line="2" w:lineRule="exact"/>
        <w:rPr>
          <w:rFonts w:ascii="Times New Roman" w:cs="Times New Roman" w:eastAsia="Times New Roman" w:hAnsi="Times New Roman"/>
          <w:sz w:val="18"/>
          <w:szCs w:val="18"/>
          <w:color w:val="auto"/>
        </w:rPr>
      </w:pPr>
    </w:p>
    <w:p>
      <w:pPr>
        <w:ind w:left="540" w:right="240" w:hanging="424"/>
        <w:spacing w:after="0" w:line="253"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235,850 Restricted Units (under the 2018 Executive Restricted Unit Agreement) and the Market Value Per Membership Unit.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Attaway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Attaway may be entitled to receive under the Attaway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Attaway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Attaway Employment Agreement, if his employment is terminated due to death or disability, the Company will pay to Mr. Attaway or his designated beneficiary or legal representative (if applicable):</w:t>
      </w:r>
    </w:p>
    <w:p>
      <w:pPr>
        <w:spacing w:after="0" w:line="54" w:lineRule="exact"/>
        <w:rPr>
          <w:sz w:val="20"/>
          <w:szCs w:val="20"/>
          <w:color w:val="auto"/>
        </w:rPr>
      </w:pPr>
    </w:p>
    <w:p>
      <w:pPr>
        <w:ind w:left="560" w:right="20" w:hanging="4"/>
        <w:spacing w:after="0" w:line="261" w:lineRule="auto"/>
        <w:tabs>
          <w:tab w:leader="none" w:pos="77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one times his base salary as in effect on the termination date, payable in equal installments ratably over twelve months following the termination date in accordance with the Company’s normal payroll cycle and procedures; provided, however, that if his death occurs subsequent to the termination date, any unpaid installments shall be paid to his estate or beneficiaries in a lump sum payment within 30 days following the date of death; and</w:t>
      </w:r>
    </w:p>
    <w:p>
      <w:pPr>
        <w:spacing w:after="0" w:line="71" w:lineRule="exact"/>
        <w:rPr>
          <w:rFonts w:ascii="Times New Roman" w:cs="Times New Roman" w:eastAsia="Times New Roman" w:hAnsi="Times New Roman"/>
          <w:sz w:val="18"/>
          <w:szCs w:val="18"/>
          <w:color w:val="auto"/>
        </w:rPr>
      </w:pPr>
    </w:p>
    <w:p>
      <w:pPr>
        <w:ind w:left="560" w:hanging="4"/>
        <w:spacing w:after="0" w:line="261" w:lineRule="auto"/>
        <w:tabs>
          <w:tab w:leader="none" w:pos="82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bonus earned by him under the Executive Team Bonus Plan for the fiscal year of the Company immediately preceding the fiscal year of the Company in which the termination date occurs, payable in equal installments ratably over twelve months following the termination date in accordance with the Company’s normal payroll cycle and procedures; provided, however, that if his death occurs subsequent to the termination date, any unpaid installments shall be paid to his estate or beneficiaries in a lump sum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payment within 30 days following the date of death. Such payment is in lieu of the bonus that would have otherwise been due to him under the Executive Team Bonus Plan for the performance period in which the termination date occurs.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Attaway’s employment without Cause or Mr. Attaway resigns for Good Reason, the Company shall pay:</w:t>
      </w:r>
    </w:p>
    <w:p>
      <w:pPr>
        <w:spacing w:after="0" w:line="117" w:lineRule="exact"/>
        <w:rPr>
          <w:sz w:val="20"/>
          <w:szCs w:val="20"/>
          <w:color w:val="auto"/>
        </w:rPr>
      </w:pPr>
    </w:p>
    <w:p>
      <w:pPr>
        <w:ind w:left="560" w:right="40" w:hanging="4"/>
        <w:spacing w:after="0" w:line="255" w:lineRule="auto"/>
        <w:tabs>
          <w:tab w:leader="none" w:pos="77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(at the rate in effect as of the last day of the year immediately preceding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hanging="4"/>
        <w:spacing w:after="0" w:line="254" w:lineRule="auto"/>
        <w:tabs>
          <w:tab w:leader="none" w:pos="82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40" w:hanging="4"/>
        <w:spacing w:after="0" w:line="253" w:lineRule="auto"/>
        <w:tabs>
          <w:tab w:leader="none" w:pos="87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Attaway and his covered dependents medical insurance benefits, contingent on Mr. Attaway electing continuation coverage under COBRA, no less favorable than those provided to active senior executives of the Company and their dependents at a price equal to the COBRA rate while eligible for COBRA and thereafter at the cost of coverage, and the Company shall pay to Mr. Attaway each month during the 24 month period following the termination date an amount equal to the excess, if any, of the monthly premium under the Company’s benefit plans under which such medical insurance benefits are provided, as in effect from time to time, over the amount of Mr. Attaway’s portion of such premiums as if Mr. Attaway was an active employee, which payment shall be paid in advance on the first payroll day of each month during the such 24-month period. Notwithstanding the foregoing, the payments provided under this clause shall cease at such time as Mr. Attaway commences to receive such benefits from a subsequent employer of</w:t>
      </w: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Attaway during the 24 month period following the termination date; and</w:t>
      </w:r>
    </w:p>
    <w:p>
      <w:pPr>
        <w:spacing w:after="0" w:line="98" w:lineRule="exact"/>
        <w:rPr>
          <w:rFonts w:ascii="Times New Roman" w:cs="Times New Roman" w:eastAsia="Times New Roman" w:hAnsi="Times New Roman"/>
          <w:sz w:val="18"/>
          <w:szCs w:val="18"/>
          <w:color w:val="auto"/>
        </w:rPr>
      </w:pPr>
    </w:p>
    <w:p>
      <w:pPr>
        <w:ind w:left="560" w:right="180" w:hanging="4"/>
        <w:spacing w:after="0" w:line="266" w:lineRule="auto"/>
        <w:tabs>
          <w:tab w:leader="none" w:pos="86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Attaway Employment Agreement contains the same definition of “Cause” provided in the Hicks Employment Agreement.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00"/>
          </w:cols>
          <w:pgMar w:left="320" w:top="455" w:right="47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Attaway Employment Agreement contains the same definition of “Good Reason” provided in the Hicks Employment Agreement, except that clause (i) of Mr. Attaway’s definition also includes any material diminution of his title, authority, duties or reporting lines and clause (ii) is a reduction in base salary and target bonus opportunity, in the aggregate, from Mr. Attaway’s base salary and target bonus opportunity, in the aggregate, for the Company’s 2012 fiscal year, or if greater, from Mr. Attaway’s base salary and target bonus opportunity, in the aggregate, as set by the Board from time to time following the date of Attaway Employment Agreement. In addition, Mr. Attaway’s definition also includes the relocation of the principal place of employment to a location more than thirty-five (35) miles from the principal place of employment provided in his employment agreement, if a move to such other location materially increases his commute.</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Attaway Employment Agreement provides that in the event the Company elects not to extend the employment period, such nonrenewal shall be deemed a termination by the Company of Mr. Attaway’s employment without Cause.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March 27, 2016, the Company granted 118,337 Time Options with an exercise price of $5.30 to Mr. Attaway pursuant to the 2016 Executive Option Agreement. On March 23, 2017, the Company granted 123,154 Time Options and 61,576 Performance Options with an exercise price of $5.30 to Mr. Attaway pursuant to the 2017 Executive Option Agreement. On April 5, 2018, the Company granted 112,722 Time Options with an exercise price of $5.23 to Mr. Attaway pursuant to the 2018 Executive Option Agreement. On March 7, 2019, the Company granted 112,824 Time Options and 55,570 Performance Options with an exercise price of $5.26 to Mr. Attaway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each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20" w:hanging="545"/>
        <w:spacing w:after="0" w:line="261" w:lineRule="auto"/>
        <w:tabs>
          <w:tab w:leader="none" w:pos="2200"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Attaway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80" w:hanging="545"/>
        <w:spacing w:after="0" w:line="266" w:lineRule="auto"/>
        <w:tabs>
          <w:tab w:leader="none" w:pos="2200"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00" w:hanging="545"/>
        <w:spacing w:after="0" w:line="261" w:lineRule="auto"/>
        <w:tabs>
          <w:tab w:leader="none" w:pos="2200"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00"/>
          </w:cols>
          <w:pgMar w:left="320" w:top="455" w:right="47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540" w:hanging="331"/>
        <w:spacing w:after="0"/>
        <w:tabs>
          <w:tab w:leader="none" w:pos="1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60" w:hanging="545"/>
        <w:spacing w:after="0" w:line="266" w:lineRule="auto"/>
        <w:tabs>
          <w:tab w:leader="none" w:pos="220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80" w:hanging="545"/>
        <w:spacing w:after="0" w:line="258" w:lineRule="auto"/>
        <w:tabs>
          <w:tab w:leader="none" w:pos="220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June 22, 2018, the Company granted 141,510 Restricted Units to Mr. Attaway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Attaway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28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280" w:type="dxa"/>
            <w:vAlign w:val="bottom"/>
          </w:tcPr>
          <w:p>
            <w:pPr>
              <w:spacing w:after="0"/>
              <w:rPr>
                <w:sz w:val="12"/>
                <w:szCs w:val="12"/>
                <w:color w:val="auto"/>
              </w:rPr>
            </w:pP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2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60"/>
        </w:trPr>
        <w:tc>
          <w:tcPr>
            <w:tcW w:w="572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98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531,677</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w w:val="91"/>
              </w:rPr>
              <w:t>(1)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1,244,520</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2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83,677</w:t>
            </w:r>
            <w:r>
              <w:rPr>
                <w:rFonts w:ascii="Times New Roman" w:cs="Times New Roman" w:eastAsia="Times New Roman" w:hAnsi="Times New Roman"/>
                <w:sz w:val="15"/>
                <w:szCs w:val="15"/>
                <w:color w:val="auto"/>
              </w:rPr>
              <w:t>(5)</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20,856</w:t>
            </w:r>
            <w:r>
              <w:rPr>
                <w:rFonts w:ascii="Times New Roman" w:cs="Times New Roman" w:eastAsia="Times New Roman" w:hAnsi="Times New Roman"/>
                <w:sz w:val="15"/>
                <w:szCs w:val="15"/>
                <w:color w:val="auto"/>
              </w:rPr>
              <w:t>(6)</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2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25,285</w:t>
            </w:r>
            <w:r>
              <w:rPr>
                <w:rFonts w:ascii="Times New Roman" w:cs="Times New Roman" w:eastAsia="Times New Roman" w:hAnsi="Times New Roman"/>
                <w:sz w:val="15"/>
                <w:szCs w:val="15"/>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65,251</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1,652</w:t>
            </w:r>
            <w:r>
              <w:rPr>
                <w:rFonts w:ascii="Times New Roman" w:cs="Times New Roman" w:eastAsia="Times New Roman" w:hAnsi="Times New Roman"/>
                <w:sz w:val="15"/>
                <w:szCs w:val="15"/>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16,086</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776,889</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$ 558,614</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1,349,413</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858,226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line="253" w:lineRule="auto"/>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his employment is terminated due to death or disability, the Company will pay to Mr. Attaway or his designated beneficiary or legal representative (if applicable) (i) an amount equal to one times his base salary as in effect on the termination date, payable in equal installments ratably over twelve months following the termination date in accordance with the Company’s normal payroll cycle and procedures ($448,000 for 2019); and (ii) an amount equal to the bonus earned by him under the Executive Team Bonus Plan for the fiscal year immediately preceding the fiscal year in which the termination date occurs, payable in equal installments ratably over twelve months following the termination date in accordance with the Company’s normal payroll cycle and procedures ($83,677 for 2018).</w:t>
      </w:r>
    </w:p>
    <w:p>
      <w:pPr>
        <w:spacing w:after="0" w:line="5" w:lineRule="exact"/>
        <w:rPr>
          <w:rFonts w:ascii="Times New Roman" w:cs="Times New Roman" w:eastAsia="Times New Roman" w:hAnsi="Times New Roman"/>
          <w:sz w:val="18"/>
          <w:szCs w:val="18"/>
          <w:color w:val="auto"/>
        </w:rPr>
      </w:pPr>
    </w:p>
    <w:p>
      <w:pPr>
        <w:ind w:left="540" w:right="280" w:hanging="424"/>
        <w:spacing w:after="0" w:line="253" w:lineRule="auto"/>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Time Options upon termination due to death or disability, which is the sum of: (i) $5,621, which is the product of (A) the difference between the Market Value Per Membership Interest and the exercise price ($5.30), and (B) 29,585 Time Options (the portion under the 2016 Executive Option Agreement that would have become vested on the vesting date immediately following termination had Mr. Attaway remained employed); (ii) $5,849, which is the product of (A) the difference between the Market Value Per Membership Interest and</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53" w:lineRule="auto"/>
        <w:rPr>
          <w:sz w:val="20"/>
          <w:szCs w:val="20"/>
          <w:color w:val="auto"/>
        </w:rPr>
      </w:pPr>
      <w:r>
        <w:rPr>
          <w:rFonts w:ascii="Times New Roman" w:cs="Times New Roman" w:eastAsia="Times New Roman" w:hAnsi="Times New Roman"/>
          <w:sz w:val="18"/>
          <w:szCs w:val="18"/>
          <w:color w:val="auto"/>
        </w:rPr>
        <w:t>the exercise price ($5.30), and (B) 30,789 Time Options (the portion under the 2017 Executive Option Agreement that would have become vested on the vesting date immediately following termination had Mr. Attaway remained employed); (iii) $7,326, which is the product of (A) the difference between the Market Value Per Membership Interest and the exercise price ($5.23), and (B) 28,180 Time Options (the portion under the 2018 Executive Option Agreement that would have become vested on the vesting date immediately following termination had Mr. Attaway remained employed); and (iv) $6,487, which is the product of (A) the difference between the Market Value Per Membership Interest and the exercise price ($5.26), and (B) 28,206 Time Options (the portion under the 2019 Executive Option Agreement that would have become vested on the vesting date immediately following termination had Mr. Attaway remained employed).</w:t>
      </w:r>
    </w:p>
    <w:p>
      <w:pPr>
        <w:spacing w:after="0" w:line="3" w:lineRule="exact"/>
        <w:rPr>
          <w:sz w:val="20"/>
          <w:szCs w:val="20"/>
          <w:color w:val="auto"/>
        </w:rPr>
      </w:pPr>
    </w:p>
    <w:p>
      <w:pPr>
        <w:ind w:left="540" w:right="240" w:hanging="424"/>
        <w:spacing w:after="0" w:line="250" w:lineRule="auto"/>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$1,652 above represents the value associated with the accelerated vesting of the Performance Options upon termination due to death or disability, which is the product of (A) the difference between the Market Value Per Membership Interest and the exercise price ($5.30), and (B) 8,698 Performance Options (the Earned portion under the 2017 Executive Option Agreement that would have become vested on the vesting date immediately following termination had Mr. Attaway remained employed). None of Mr. Attaway’s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Times New Roman" w:cs="Times New Roman" w:eastAsia="Times New Roman" w:hAnsi="Times New Roman"/>
          <w:sz w:val="18"/>
          <w:szCs w:val="18"/>
          <w:color w:val="auto"/>
        </w:rPr>
      </w:pPr>
    </w:p>
    <w:p>
      <w:pPr>
        <w:ind w:left="540" w:right="260" w:hanging="424"/>
        <w:spacing w:after="0" w:line="265" w:lineRule="auto"/>
        <w:tabs>
          <w:tab w:leader="none" w:pos="54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Attaway Employment Agreement, if the Company terminates Mr. Attaway’s employment without Cause or Mr. Attaway resigns for Good Reason, the Company shall pay a cash severance payment in an amount equal to the product of (x) two multiplied by (y) the sum of</w:t>
      </w:r>
    </w:p>
    <w:p>
      <w:pPr>
        <w:ind w:left="540" w:firstLine="8"/>
        <w:spacing w:after="0" w:line="250" w:lineRule="auto"/>
        <w:tabs>
          <w:tab w:leader="none" w:pos="835"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base salary at the rate in effect as of the last day of the year immediately preceding the termination date ($448,000 as of the last day of 2018) and (B) the average annual bonus paid to (or earned by, to the extent not yet paid as of the termination date) him under the Executive Team Bonus Plan for the two fiscal years of the Company immediately preceding the fiscal year in which the termination date occurs ($264,844 for 2017 and $83,677 for 2018).</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the Company terminates Mr. Attaway’s employment without Cause or Mr. Attaway resigns for Good Reason, the Company shall pay an amount equal to the product of (x) the annual bonus he has earned under the Executive Team Bonus Plan for the fiscal year immediately preceding the fiscal year in which the termination date occurs ($83,677 for 2018),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the Company terminates Mr. Attaway’s employment without Cause or Mr. Attaway resigns for Good Reason, then during the 24 month period following the termination date, the Company shall provide Mr. Attaway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Attaway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2" w:lineRule="exact"/>
        <w:rPr>
          <w:rFonts w:ascii="Times New Roman" w:cs="Times New Roman" w:eastAsia="Times New Roman" w:hAnsi="Times New Roman"/>
          <w:sz w:val="18"/>
          <w:szCs w:val="18"/>
          <w:color w:val="auto"/>
        </w:rPr>
      </w:pPr>
    </w:p>
    <w:p>
      <w:pPr>
        <w:ind w:left="540" w:right="2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Attaway’s portion of such premiums as if Mr. Attaway was an active employee, which payment shall be paid in advance on the first payroll day of each month during the such 24-month period ($869 per month).</w:t>
      </w:r>
    </w:p>
    <w:p>
      <w:pPr>
        <w:jc w:val="both"/>
        <w:ind w:left="540" w:right="220" w:hanging="424"/>
        <w:spacing w:after="0" w:line="250" w:lineRule="auto"/>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the Company terminates Mr. Attaway’s employment without Cause or Mr. Attaway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Times New Roman" w:cs="Times New Roman" w:eastAsia="Times New Roman" w:hAnsi="Times New Roman"/>
          <w:sz w:val="18"/>
          <w:szCs w:val="18"/>
          <w:color w:val="auto"/>
        </w:rPr>
      </w:pPr>
    </w:p>
    <w:p>
      <w:pPr>
        <w:jc w:val="both"/>
        <w:ind w:left="540" w:right="240" w:hanging="424"/>
        <w:spacing w:after="0" w:line="265" w:lineRule="auto"/>
        <w:tabs>
          <w:tab w:leader="none" w:pos="54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$5,621, which is the product of (A) the difference between the Market Value Per Membership Interest and the exercise price ($5.30), and</w:t>
      </w:r>
    </w:p>
    <w:p>
      <w:pPr>
        <w:ind w:left="840" w:hanging="292"/>
        <w:spacing w:after="0"/>
        <w:tabs>
          <w:tab w:leader="none" w:pos="84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29,585 Time Options (the unvested portion under the 2016 Executive Option Agreement immediately prior to February 1, 2020); (ii)</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40"/>
          </w:cols>
          <w:pgMar w:left="320" w:top="455" w:right="4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40"/>
        <w:spacing w:after="0" w:line="253" w:lineRule="auto"/>
        <w:rPr>
          <w:sz w:val="20"/>
          <w:szCs w:val="20"/>
          <w:color w:val="auto"/>
        </w:rPr>
      </w:pPr>
      <w:r>
        <w:rPr>
          <w:rFonts w:ascii="Times New Roman" w:cs="Times New Roman" w:eastAsia="Times New Roman" w:hAnsi="Times New Roman"/>
          <w:sz w:val="18"/>
          <w:szCs w:val="18"/>
          <w:color w:val="auto"/>
        </w:rPr>
        <w:t>$11,699, which is the product of (A) the difference between the Market Value Per Membership Interest and the exercise price ($5.30), and (B) 61,578 Time Options (the unvested portion under the 2017 Executive Option Agreement immediately prior to February 1, 2020); (iii) $21,980, which is the product of (A) the difference between the Market Value Per Membership Interest and the exercise price ($5.23), and (B) 84,542 Time Options (the unvested portion under the 2018 Executive Option Agreement immediately prior to February 1, 2020); and (iv) $25,949, which is the product of (A) the difference between the Market Value Per Membership Interest and the exercise price ($5.26), and (B) 112,824 Time Options (the unvested portion under the 2019 Executive Option Agreement immediately prior to February 1, 2020, which is the entire grant).</w:t>
      </w:r>
    </w:p>
    <w:p>
      <w:pPr>
        <w:spacing w:after="0" w:line="5" w:lineRule="exact"/>
        <w:rPr>
          <w:sz w:val="20"/>
          <w:szCs w:val="20"/>
          <w:color w:val="auto"/>
        </w:rPr>
      </w:pPr>
    </w:p>
    <w:p>
      <w:pPr>
        <w:ind w:left="540" w:hanging="424"/>
        <w:spacing w:after="0" w:line="250" w:lineRule="auto"/>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a Change of Control, which is the sum of: (i) $3,305, which is the product of (A) the difference between the Market Value Per Membership Interest and the exercise price ($5.30), and (B) 17,396 Performance Options (the unvested and Earned portion under the 2017 Executive Option Agreement immediately prior to February 1, 2020); and (ii) $12,781, which is the product of (A) the difference between the Market Value Per Membership Interest and the exercise price ($5.26), and (B) 55,570 Performance Options (the unvested portion under the 2019 Executive Option Agreement immediately prior to February 1, 2020, which is the entire grant because the Change of Control occurs during the Option Grant Year).</w:t>
      </w:r>
    </w:p>
    <w:p>
      <w:pPr>
        <w:spacing w:after="0" w:line="2" w:lineRule="exact"/>
        <w:rPr>
          <w:rFonts w:ascii="Times New Roman" w:cs="Times New Roman" w:eastAsia="Times New Roman" w:hAnsi="Times New Roman"/>
          <w:sz w:val="18"/>
          <w:szCs w:val="18"/>
          <w:color w:val="auto"/>
        </w:rPr>
      </w:pPr>
    </w:p>
    <w:p>
      <w:pPr>
        <w:ind w:left="540" w:right="240" w:hanging="424"/>
        <w:spacing w:after="0" w:line="253" w:lineRule="auto"/>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141,510 Restricted Units (under the 2018 Executive Restricted Unit Agreement) and the Market Value Per Membership Unit.</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the 2019 Board compensation program, non-employee directors who are not employed by KKR were paid a retainer of $25,000 in cash per fiscal quarter completed. Such non-employee directors also received a grant of $100,000 in Restricted Units with a one (1) year vesting condition in the first quarter of 2019. Directors may request that the Company buy back Membership Units issued upon settlement of the Restricted Units, up to 37% of the fair market value of the Membership Units issued.</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contains information concerning the compensation of Messrs. Simon and Marley, our non-employee directors who are not employed by KKR, in 2019. Mr. Hicks did not receive any additional compensation for his service as Chairman of our Board in 2020 and none of the directors who are employed by KKR are compensated by the Company for their service on the Board.</w:t>
      </w:r>
    </w:p>
    <w:p>
      <w:pPr>
        <w:spacing w:after="0" w:line="2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 Compensation Table for 2019</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20" w:type="dxa"/>
            <w:vAlign w:val="bottom"/>
            <w:vMerge w:val="restart"/>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420" w:type="dxa"/>
            <w:vAlign w:val="bottom"/>
          </w:tcPr>
          <w:p>
            <w:pPr>
              <w:spacing w:after="0"/>
              <w:rPr>
                <w:sz w:val="15"/>
                <w:szCs w:val="15"/>
                <w:color w:val="auto"/>
              </w:rPr>
            </w:pPr>
          </w:p>
        </w:tc>
        <w:tc>
          <w:tcPr>
            <w:tcW w:w="680" w:type="dxa"/>
            <w:vAlign w:val="bottom"/>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($)(2)(3)</w:t>
            </w:r>
          </w:p>
        </w:tc>
        <w:tc>
          <w:tcPr>
            <w:tcW w:w="4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William F. Simon</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9"/>
              </w:rPr>
              <w:t>100,000</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5"/>
              </w:rPr>
              <w:t>200,000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T. Marley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2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100,000</w:t>
            </w:r>
          </w:p>
        </w:tc>
        <w:tc>
          <w:tcPr>
            <w:tcW w:w="420" w:type="dxa"/>
            <w:vAlign w:val="bottom"/>
          </w:tcPr>
          <w:p>
            <w:pPr>
              <w:spacing w:after="0"/>
              <w:rPr>
                <w:sz w:val="20"/>
                <w:szCs w:val="20"/>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200,000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amount of cash retainers paid during 2019.</w:t>
      </w:r>
    </w:p>
    <w:p>
      <w:pPr>
        <w:spacing w:after="0" w:line="27"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reflect the full grant-date fair value of Restricted Units granted during 2019 computed in accordance with ASC Topic 718, rather than the amounts paid to or realized by the named individual. See Note 10, </w:t>
      </w:r>
      <w:r>
        <w:rPr>
          <w:rFonts w:ascii="Times New Roman" w:cs="Times New Roman" w:eastAsia="Times New Roman" w:hAnsi="Times New Roman"/>
          <w:sz w:val="18"/>
          <w:szCs w:val="18"/>
          <w:i w:val="1"/>
          <w:iCs w:val="1"/>
          <w:color w:val="auto"/>
        </w:rPr>
        <w:t>Equity and Unit-Based Compensation</w:t>
      </w:r>
      <w:r>
        <w:rPr>
          <w:rFonts w:ascii="Times New Roman" w:cs="Times New Roman" w:eastAsia="Times New Roman" w:hAnsi="Times New Roman"/>
          <w:sz w:val="18"/>
          <w:szCs w:val="18"/>
          <w:color w:val="auto"/>
        </w:rPr>
        <w:t xml:space="preserve"> to our consolidated financial statements included in this prospectus for the assumptions used in calculating these values.</w:t>
      </w:r>
    </w:p>
    <w:p>
      <w:pPr>
        <w:spacing w:after="0" w:line="1" w:lineRule="exact"/>
        <w:rPr>
          <w:rFonts w:ascii="Times New Roman" w:cs="Times New Roman" w:eastAsia="Times New Roman" w:hAnsi="Times New Roman"/>
          <w:sz w:val="18"/>
          <w:szCs w:val="18"/>
          <w:color w:val="auto"/>
        </w:rPr>
      </w:pPr>
    </w:p>
    <w:p>
      <w:pPr>
        <w:ind w:left="540" w:right="580" w:hanging="424"/>
        <w:spacing w:after="0" w:line="260" w:lineRule="auto"/>
        <w:tabs>
          <w:tab w:leader="none" w:pos="5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has been granted Restricted Units pursuant to a Restricted Unit Agreement under the 2011 Equity Plan, which contains the following vesting terms: subject to the grantee’s continued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18"/>
          <w:szCs w:val="18"/>
          <w:color w:val="auto"/>
        </w:rPr>
        <w:t>service on such date, 100% of the Restricted Units vest on the earliest of (i) the first anniversary of the grant date, (ii) the grantee’s death or disability, or (iii) a Change of Control (as defined in the 2011 Equity Plan). As of the 2019 fiscal year end, each of Messrs. Marley and Simon held 19,012 Restricted Units granted on March 7, 2019 (which vested in full on March 7, 2020). In addition, on March 5, 2020, each of Messrs. Marley and Simon was granted 18,215 Restricted Units, all of which vest on the earliest of (i) the first anniversary of the grant date, (ii) the grantee’s death or disability or (iii) a Change of Control.</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and assesses non-employee director pay levels every year. This process involves a review of competitive market data, including an assessment of our director compensation policy against the director compensation programs of companies in our executive compensation peer group and an update on recent trends in director compensation.</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Effective upon the consummation of this offering, we expect to adopt the following annual compensation policy pursuant to which each of our non-employee directors who are not employed by KKR will be entitled to the following compensation:</w:t>
      </w: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$100,000, payable quarterly in arrears in installments of $25,000;</w:t>
      </w:r>
    </w:p>
    <w:p>
      <w:pPr>
        <w:spacing w:after="0" w:line="112"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serving as chair of the following committees of our Board will receive the following additional annual retainers, each of which is also payable quarterly in arrears:</w:t>
      </w:r>
    </w:p>
    <w:p>
      <w:pPr>
        <w:spacing w:after="0" w:line="54" w:lineRule="exact"/>
        <w:rPr>
          <w:sz w:val="20"/>
          <w:szCs w:val="20"/>
          <w:color w:val="auto"/>
        </w:rPr>
      </w:pPr>
    </w:p>
    <w:p>
      <w:pPr>
        <w:ind w:left="1860" w:hanging="312"/>
        <w:spacing w:after="0"/>
        <w:tabs>
          <w:tab w:leader="none" w:pos="18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Chair: $25,000</w:t>
      </w:r>
    </w:p>
    <w:p>
      <w:pPr>
        <w:spacing w:after="0" w:line="117"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Chair: $20,000</w:t>
      </w:r>
    </w:p>
    <w:p>
      <w:pPr>
        <w:spacing w:after="0" w:line="117"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Governance Chair: $15,000;</w:t>
      </w:r>
    </w:p>
    <w:p>
      <w:pPr>
        <w:spacing w:after="0" w:line="252"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grant of restricted stock units having a grant date fair market value equal to $130,000 to be granted on the first business day following our annual meeting of stockholders and which will be converted into the number of restricted stock units to be granted based on the closing price of our common stock on the grant date and vest 100% on the business day immediately preceding our next annual meeting of stockholders.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directors will also be reimbursed for travel and lodging expenses associated with attendance at Board or committee meetings.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00"/>
          </w:cols>
          <w:pgMar w:left="320" w:top="455" w:right="47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120" w:right="60" w:firstLine="440"/>
        <w:spacing w:after="0" w:line="242" w:lineRule="auto"/>
        <w:rPr>
          <w:sz w:val="20"/>
          <w:szCs w:val="20"/>
          <w:color w:val="auto"/>
        </w:rPr>
      </w:pPr>
      <w:r>
        <w:rPr>
          <w:rFonts w:ascii="Times New Roman" w:cs="Times New Roman" w:eastAsia="Times New Roman" w:hAnsi="Times New Roman"/>
          <w:sz w:val="18"/>
          <w:szCs w:val="18"/>
          <w:color w:val="auto"/>
        </w:rPr>
        <w:t>In connection with this offering, we intend to enter into a stockholders’ agreement with the KKR Stockholders. The stockholders’ agreement will grant the KKR Stockholders the right to nominate to our board of directors a number of designees equal to: (i) at least a majority of the total number of directors comprising our board of directors at such time as long as the KKR Stockholders and their affiliates collectively beneficially own at least 50% of the outstanding shares of our common stock; (ii) at least 40% of the total number of directors comprising our board of directors at such time as long as the KKR Stockholders and their affiliates collectively beneficially own at least 40% but less than 50% of the outstanding shares of our common stock; (iii) at least 30% of the total number of directors comprising our board of directors at such time as long as the KKR Stockholders and their affiliates collectively beneficially own at least 30% but less than 40% of the outstanding shares of our common stock; (iv) at least 20% of the total number of directors comprising our board of directors at such time as long as the KKR Stockholders and their affiliates collectively beneficially own at least 20% but less 30% of the outstanding shares of our common stock; and (v) at least 10% of the total number of directors comprising our board of directors at such time as long as the KKR Stockholders and their affiliates collectively beneficially own at least 5% but less than 20% of the outstanding shares of our common stock. For purposes of calculating the number of directors that the KKR Stockholders will be entitled to nominate pursuant to the formula outlined above, any fractional amounts would be rounded up to the nearest whole number and the calculation would be made on a pro forma basis, taking into account any increase in the size of our board of directors (e.g., one and one quarter (1</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4</w:t>
      </w:r>
      <w:r>
        <w:rPr>
          <w:rFonts w:ascii="Times New Roman" w:cs="Times New Roman" w:eastAsia="Times New Roman" w:hAnsi="Times New Roman"/>
          <w:sz w:val="18"/>
          <w:szCs w:val="18"/>
          <w:color w:val="auto"/>
        </w:rPr>
        <w:t>) directors shall equate to two directors). In addition, in the event a vacancy on the board of directors is created by the death, disability, retirement or resignation of a KKR Stockholders director designee, the KKR Stockholders shall, to the fullest extent permitted by law, have the right to have the vacancy filled by a new KKR Stockholders director-designee.</w:t>
      </w:r>
    </w:p>
    <w:p>
      <w:pPr>
        <w:spacing w:after="0" w:line="20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the stockholders’ agreement will grant the KKR Stockholders with special governance rights, for as long as the KKR Stockholders and their affiliates collectively maintain ownership of at least 25% of our outstanding common stock, including rights of approval over certain corporate and other transactions such as mergers or other transactions involving a change in control and certain rights regarding the appointment of our chief executive officer.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we will amend and restate the registration rights agreement among New Academy Holding Company, LLC, Allstar LLC, Allstar Managers and the Gochman Investors to add Academy Sports and Outdoors, Inc. and other KKR Stockholders as parties and, under certain circumstances and subject to certain restrictions, to require Academy Sports and Outdoors, Inc. to file registration statements under the Securities Act covering resales of our common stock held by them and other stockholders party to the registration rights agreement or to piggyback on such registration statements in certain circumstances. Subject to certain conditions, the registration rights agreement provides KKR Stockholders with an unlimited number of “demand” registrations, and provides the Gochman Investors with three “demand” registrations following an initial public offering. Under the registration rights agreement, all holders of registrable securities party thereto are provided with customary “piggyback” registration rights following an initial public offering,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Monitoring Agreement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 August 3, 2011, or the Effective Date, we entered into a monitoring agreement, or the Monitoring Agreement, with Kohlberg Kravis Roberts &amp; Co. L.P., or the Adviser, pursuant to which the Adviser provides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40"/>
          </w:cols>
          <w:pgMar w:left="320" w:top="455" w:right="43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3" w:lineRule="auto"/>
        <w:rPr>
          <w:sz w:val="20"/>
          <w:szCs w:val="20"/>
          <w:color w:val="auto"/>
        </w:rPr>
      </w:pPr>
      <w:r>
        <w:rPr>
          <w:rFonts w:ascii="Times New Roman" w:cs="Times New Roman" w:eastAsia="Times New Roman" w:hAnsi="Times New Roman"/>
          <w:sz w:val="17"/>
          <w:szCs w:val="17"/>
          <w:color w:val="auto"/>
        </w:rPr>
        <w:t>advisory, consulting and financial services to us. In accordance with the terms of the Monitoring Agreement, we pay an aggregate annual advisory fee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 We recognized advisory fees related to the Monitoring Agreement, including reimbursement of expenses, of approximately $3.6 million, $3.5 million and $3.4 million in 2019, 2018, and 2017, respectively, and approximately $1.8 million in each of the twenty-six weeks ended August 1, 2020 and August 3, 2019. These expenses are included in SG&amp;A expenses in the consolidated statements of income.</w:t>
      </w:r>
    </w:p>
    <w:p>
      <w:pPr>
        <w:spacing w:after="0" w:line="17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Monitoring Agreement terminates automatically upon the consummation of an initial public offering, including this offering, unless we elect otherwise. In the event of such a termination, the Adviser is entitled to all unpaid monitoring fees and expenses plus the net present value of the advisory fees that would have been paid from the termination date through the twelfth anniversary of the Effective Date of the Monitoring Agreement. In connection with this offering, the Monitoring Agreement will terminate automatically in accordance with its terms and we expect to pay termination fees of approximately $12.3 million to Adviser. Pursuant to a separate agreement, the Adviser is expected to share $1.6 million of such termination fee with the Gochman Investors.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Purchases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For 2019, 2018 and 2017, executives and directors of the Company made cash purchases of contingently redeemable membership units, or Redeemable Membership Units, in Allstar Managers, which is 100% owned by certain current and former executives and directors of the Company and was formed to facilitate the purchase of the Redeemable Membership Units in the Company and which in turn also owns Membership Units in New Academy Holding Company, LLC on a one-for-one basis. The cash purchases were for approximately $0.1 million, $1.3 million and $1.2 million, respectively. The cash consideration paid for the Redeemable Membership Units was subsequently contributed to New Academy Holding Company, LLC by Allstar Managers in exchange for a number of New Academy Holding Company, LLC Membership Units equal to the number of Redeemable Membership Units purchased.</w:t>
      </w:r>
    </w:p>
    <w:p>
      <w:pPr>
        <w:spacing w:after="0" w:line="18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During 2019, Allstar Managers repurchased at fair market value approximately $0.5 million of Redeemable Membership Units from a director and an executive of the Company for cash. New Academy Holding Company, LLC concurrently repurchased from Allstar Managers for cash, at fair market value, a number of its membership units equal to the number for Redeemable Membership Units repurchased from the director and executive.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 with KKR Capstone</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have utilized and may continue to utilize KKR Capstone Americas LLC and/or its affiliates, or KKR Capstone, a team of operating professionals who work exclusively with KKR’s investments professionals and portfolio company management teams and have paid to KKR Capstone fees and expenses of $0.9 million and $0.3 million, respectively, during 2018 and 2017.</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Receivable from Member</w:t>
      </w:r>
    </w:p>
    <w:p>
      <w:pPr>
        <w:spacing w:after="0" w:line="12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Under the current limited liability company agreement for New Academy Holding Company, LLC, each of the Gochman Investors may require the Company to provide a tax loan on their behalf under certain circumstances. On April 10, 2019, the Company loaned $4.0 million with a note receivable issued to one of the Gochman Investors. The note receivable bears semi-annual compounding interest at 2.5% per annum with outstanding principal and interest due on April 10, 2022, and is recorded in other non-current assets in the consolidated balance sheet. On April 5, 2018, the Company loaned $4.1 million with a note receivable issued to one of the Gochman Investors. The note receivable bears semi-annual compounding interest at 2.1% per annum,</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with outstanding principal and interest due on April 5, 2021. These notes receivable have been recorded in other non-current assets in the consolidated balance sheets. All of the outstanding notes receivables owed by the Gochman Investors were offset against the special distribution on August 28, 2020 and are no longer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with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certain agreements with our officers which are described in the section entitled “Executive Compensation.”</w:t>
      </w:r>
    </w:p>
    <w:p>
      <w:pPr>
        <w:spacing w:after="0" w:line="225"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We intend to enter into indemnification agreements with our directors and executive officers. These agreements and our amended and restated bylaws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 The indemnification provided under the indemnification agreements will not be exclusive of any other indemnity rights. Insofar as indemnification for liabilities arising under the Securities Act may be permitted to directors and executive officers, we have been informed that in the opinion of the SEC such indemnification is against public policy and is therefore unenforceable.</w:t>
      </w:r>
    </w:p>
    <w:p>
      <w:pPr>
        <w:spacing w:after="0" w:line="18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or executive officers for which indemnification is sought.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Unitholders Agreement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grant of awards under each Option Agreement and Restricted Unit Agreement, New Academy Holding Company, LLC and Allstar Managers entered into a Management Unitholders Agreement with our directors and each of our executive officers.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Management Unitholders Agreement imposes significant restrictions on transfers of shares of our common stock and options to purchase shares of our common stock held by each director and executive officer party to the Management Unitholders Agreement that were issued, or in the case of shares subject to options or restricted units, that were granted during or after March 2016. Such shares of our common stock and the options are nontransferable by any means at any time prior to the earlier of (x) one year following an initial public offering and (y) a “Change of Control”, or the Lapse Date, except (i) upon death or disability, to a director’s or executive officer’s estate or to their beneficiaries, (ii) to any executive trust, (iii) to any member of Allstar Managers, (iv) in accordance with the Amended and Restated Limited Liability Company Agreement of New Academy Holding Company, LLC and (v) in accordance with our registration rights agreement. These transfer restrictions are in addition to those imposed on options under the 2011 Equity Plan.</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Prior to the Lapse Date, the Management Unitholders Agreement provides a put right upon the death or disability of a director or executive officer and provides for our ability to cause a director or executive officer to sell his or her shares of common stock or options back to the Company upon certain termination events.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Additionally, following the initial public offering of our common stock, the directors and executive officers party to the Management Unitholders Agreement will have limited “piggyback” registration rights with respect to their shares of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Distribution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August 28, 2020, New Academy Holding Company, LLC paid a $257.0 million one-time special distribution to its unitholders of record as of August 25, 2020, of which $218.3 million was paid to Allstar LLC, an investment entity owned by KKR, $24.9 million was paid to the Gochman Investors and the remaining $4.8 million was paid to other unitholders. $248.0 million of such one-time special distribution was funded through cash on hand, with the remainder distributed through an offset of outstanding loans receivable from certain unitholders as well as state income tax withholdings made on behalf of our unitholders.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00"/>
          </w:cols>
          <w:pgMar w:left="320" w:top="455" w:right="47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Statement of Policy Regarding Transactions with Related Persons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recognizes the fact that transactions with related persons present a heightened risk of conflicts of interests and/or improper valuation (or the perception thereof). Prior to the completion of this offering, our board of directors will adopt a written statement of policy regarding transactions with related persons, which we refer to as our “related person policy,” that is in conformity with the requirements upon issuers having publicly-held common stock that is listed on Nasdaq.</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related person policy will require that a “related person” (as defined as in paragraph (a) of Item 404 of Regulation S-K) must promptly disclose to our general counsel, or such other person designated by the board of directors, any “related person transaction” (defined as any transaction that we anticipate would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or such other person, will then promptly communicate that information to our board of directors. No related person transaction entered into following this offering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80"/>
          </w:cols>
          <w:pgMar w:left="320" w:top="455" w:right="49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by (1) each person known to us to beneficially own more than 5% of our voting securities, (2) each of our directors and director nominees, (3) each of our named executive officers and (4) all directors and executive officers as a group.</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outstanding and percentage of beneficial ownership before this offering are based on the number of shares to be issued and outstanding immediately prior to the consummation of this offering, including after giving effect to the Reorganization Transactions. The number of shares of common stock and percentage of beneficial ownership after the consummation of this offering set forth below are based on the number of shares to be issued and outstanding immediately after the consummation of this offering.</w:t>
      </w:r>
    </w:p>
    <w:p>
      <w:pPr>
        <w:spacing w:after="0" w:line="180"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In accordance with the rules of the SEC, beneficial ownership includes voting or investment power with respect to securities and includes shares issuable pursuant to exchange or conversion rights that are exercisable within 60 days of the date of this prospectus.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To our knowledge, except as indicated in the footnotes to this table and pursuant to applicable community property laws, the persons named in the table have sole voting and investment power with respect to all shares of common stock.</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70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0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0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0" w:type="dxa"/>
            <w:vAlign w:val="bottom"/>
            <w:tcBorders>
              <w:top w:val="single" w:sz="8" w:color="auto"/>
            </w:tcBorders>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After the</w:t>
            </w: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4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5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5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w:t>
            </w:r>
          </w:p>
        </w:tc>
        <w:tc>
          <w:tcPr>
            <w:tcW w:w="16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 is</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5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to the</w:t>
            </w:r>
          </w:p>
        </w:tc>
        <w:tc>
          <w:tcPr>
            <w:tcW w:w="16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Option is Not</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Exercised</w:t>
            </w:r>
          </w:p>
        </w:tc>
        <w:tc>
          <w:tcPr>
            <w:tcW w:w="0" w:type="dxa"/>
            <w:vAlign w:val="bottom"/>
          </w:tcPr>
          <w:p>
            <w:pPr>
              <w:spacing w:after="0"/>
              <w:rPr>
                <w:sz w:val="1"/>
                <w:szCs w:val="1"/>
                <w:color w:val="auto"/>
              </w:rPr>
            </w:pPr>
          </w:p>
        </w:tc>
      </w:tr>
      <w:tr>
        <w:trPr>
          <w:trHeight w:val="173"/>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2"/>
                <w:szCs w:val="12"/>
                <w:b w:val="1"/>
                <w:bCs w:val="1"/>
                <w:color w:val="auto"/>
              </w:rPr>
              <w:t>(1)</w:t>
            </w:r>
          </w:p>
        </w:tc>
        <w:tc>
          <w:tcPr>
            <w:tcW w:w="3620" w:type="dxa"/>
            <w:vAlign w:val="bottom"/>
            <w:vMerge w:val="restart"/>
          </w:tcPr>
          <w:p>
            <w:pPr>
              <w:spacing w:after="0"/>
              <w:rPr>
                <w:sz w:val="15"/>
                <w:szCs w:val="15"/>
                <w:color w:val="auto"/>
              </w:rPr>
            </w:pPr>
          </w:p>
        </w:tc>
        <w:tc>
          <w:tcPr>
            <w:tcW w:w="14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5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6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Exercised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Full</w:t>
            </w:r>
          </w:p>
        </w:tc>
        <w:tc>
          <w:tcPr>
            <w:tcW w:w="0" w:type="dxa"/>
            <w:vAlign w:val="bottom"/>
          </w:tcPr>
          <w:p>
            <w:pPr>
              <w:spacing w:after="0"/>
              <w:rPr>
                <w:sz w:val="1"/>
                <w:szCs w:val="1"/>
                <w:color w:val="auto"/>
              </w:rPr>
            </w:pPr>
          </w:p>
        </w:tc>
      </w:tr>
      <w:tr>
        <w:trPr>
          <w:trHeight w:val="148"/>
        </w:trPr>
        <w:tc>
          <w:tcPr>
            <w:tcW w:w="1760" w:type="dxa"/>
            <w:vAlign w:val="bottom"/>
            <w:tcBorders>
              <w:bottom w:val="single" w:sz="8" w:color="auto"/>
            </w:tcBorders>
            <w:vMerge w:val="continue"/>
          </w:tcPr>
          <w:p>
            <w:pPr>
              <w:spacing w:after="0"/>
              <w:rPr>
                <w:sz w:val="12"/>
                <w:szCs w:val="12"/>
                <w:color w:val="auto"/>
              </w:rPr>
            </w:pPr>
          </w:p>
        </w:tc>
        <w:tc>
          <w:tcPr>
            <w:tcW w:w="3620" w:type="dxa"/>
            <w:vAlign w:val="bottom"/>
            <w:vMerge w:val="continue"/>
          </w:tcPr>
          <w:p>
            <w:pPr>
              <w:spacing w:after="0"/>
              <w:rPr>
                <w:sz w:val="12"/>
                <w:szCs w:val="12"/>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Pr>
          <w:p>
            <w:pPr>
              <w:spacing w:after="0"/>
              <w:rPr>
                <w:sz w:val="12"/>
                <w:szCs w:val="12"/>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2"/>
                <w:szCs w:val="12"/>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700" w:type="dxa"/>
            <w:vAlign w:val="bottom"/>
          </w:tcPr>
          <w:p>
            <w:pPr>
              <w:spacing w:after="0"/>
              <w:rPr>
                <w:sz w:val="12"/>
                <w:szCs w:val="12"/>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3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Greater than 5% Stockholders</w:t>
            </w:r>
          </w:p>
        </w:tc>
        <w:tc>
          <w:tcPr>
            <w:tcW w:w="8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KKR Stockholders</w:t>
            </w:r>
            <w:r>
              <w:rPr>
                <w:rFonts w:ascii="Times New Roman" w:cs="Times New Roman" w:eastAsia="Times New Roman" w:hAnsi="Times New Roman"/>
                <w:sz w:val="15"/>
                <w:szCs w:val="15"/>
                <w:color w:val="auto"/>
              </w:rPr>
              <w:t>(2)</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61,587,301</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84.97%</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69.90%</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68.09%</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MSI 2011 LLC (a Gochman Investor)</w:t>
            </w:r>
            <w:r>
              <w:rPr>
                <w:rFonts w:ascii="Times New Roman" w:cs="Times New Roman" w:eastAsia="Times New Roman" w:hAnsi="Times New Roman"/>
                <w:sz w:val="15"/>
                <w:szCs w:val="15"/>
                <w:color w:val="auto"/>
              </w:rPr>
              <w:t>(3)</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5,929,249</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8.18%</w:t>
            </w:r>
          </w:p>
        </w:tc>
        <w:tc>
          <w:tcPr>
            <w:tcW w:w="16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6.73%</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Named Executive Officers</w:t>
            </w:r>
            <w:r>
              <w:rPr>
                <w:rFonts w:ascii="Times New Roman" w:cs="Times New Roman" w:eastAsia="Times New Roman" w:hAnsi="Times New Roman"/>
                <w:sz w:val="15"/>
                <w:szCs w:val="15"/>
                <w:color w:val="auto"/>
              </w:rPr>
              <w:t>(4)(5)</w:t>
            </w: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Ken C. Hicks</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614,488</w:t>
            </w:r>
          </w:p>
        </w:tc>
        <w:tc>
          <w:tcPr>
            <w:tcW w:w="15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Michael P. Mullican</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126,879</w:t>
            </w: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Steven P. Lawrence</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52,437</w:t>
            </w:r>
          </w:p>
        </w:tc>
        <w:tc>
          <w:tcPr>
            <w:tcW w:w="15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Samuel J. Johnson</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96,270</w:t>
            </w: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Kenneth D. Attaway</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617,779</w:t>
            </w:r>
          </w:p>
        </w:tc>
        <w:tc>
          <w:tcPr>
            <w:tcW w:w="15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and Director Nominees</w:t>
            </w:r>
            <w:r>
              <w:rPr>
                <w:rFonts w:ascii="Times New Roman" w:cs="Times New Roman" w:eastAsia="Times New Roman" w:hAnsi="Times New Roman"/>
                <w:sz w:val="15"/>
                <w:szCs w:val="15"/>
                <w:color w:val="auto"/>
              </w:rPr>
              <w:t>(4)(5)</w:t>
            </w: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Brian T. Marley</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26,825</w:t>
            </w:r>
          </w:p>
        </w:tc>
        <w:tc>
          <w:tcPr>
            <w:tcW w:w="15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Vishal V. Patel</w:t>
            </w: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Allen I. Questrom</w:t>
            </w:r>
            <w:r>
              <w:rPr>
                <w:rFonts w:ascii="Times New Roman" w:cs="Times New Roman" w:eastAsia="Times New Roman" w:hAnsi="Times New Roman"/>
                <w:sz w:val="15"/>
                <w:szCs w:val="15"/>
                <w:color w:val="auto"/>
              </w:rPr>
              <w:t>(6)</w:t>
            </w: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William S. Simon</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31,007</w:t>
            </w: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Nathaniel H. Taylor</w:t>
            </w: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Jeffrey C. Tweedy</w:t>
            </w:r>
            <w:r>
              <w:rPr>
                <w:rFonts w:ascii="Times New Roman" w:cs="Times New Roman" w:eastAsia="Times New Roman" w:hAnsi="Times New Roman"/>
                <w:sz w:val="15"/>
                <w:szCs w:val="15"/>
                <w:color w:val="auto"/>
              </w:rPr>
              <w:t>(6)</w:t>
            </w: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Aileen X. Yan</w:t>
            </w: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Directors, director nominees and executive officers as a group</w:t>
            </w:r>
            <w:r>
              <w:rPr>
                <w:rFonts w:ascii="Times New Roman" w:cs="Times New Roman" w:eastAsia="Times New Roman" w:hAnsi="Times New Roman"/>
                <w:sz w:val="15"/>
                <w:szCs w:val="15"/>
                <w:color w:val="auto"/>
              </w:rPr>
              <w:t>(4)(5)</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(sixteen persons)</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2,266,437</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3.13%</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2.57%</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percent of common stock outstanding.</w:t>
      </w:r>
    </w:p>
    <w:p>
      <w:pPr>
        <w:spacing w:after="0" w:line="27" w:lineRule="exact"/>
        <w:rPr>
          <w:sz w:val="20"/>
          <w:szCs w:val="20"/>
          <w:color w:val="auto"/>
        </w:rPr>
      </w:pPr>
    </w:p>
    <w:p>
      <w:pPr>
        <w:ind w:left="540" w:right="560" w:hanging="424"/>
        <w:spacing w:after="0" w:line="260" w:lineRule="auto"/>
        <w:tabs>
          <w:tab w:leader="none" w:pos="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in the below, the address of each of the individuals named above is: c/o Academy Sports + Outdoors, Attention: General Counsel, 1800 North Mason Road, Katy, Texas 77449.</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40"/>
          </w:cols>
          <w:pgMar w:left="320" w:top="455" w:right="4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100" w:hanging="424"/>
        <w:spacing w:after="0" w:line="312" w:lineRule="auto"/>
        <w:tabs>
          <w:tab w:leader="none" w:pos="54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Reorganization Transactions, (1) KKR 2006 Allstar Blocker L.P. will hold 11,102,479 shares of our common stock; (2) Allstar Co-Invest Blocker L.P. will hold 22,031,748 shares of our common stock; and (3) Allstar LLC will hold 28,453,074 shares of our common stock.</w:t>
      </w:r>
    </w:p>
    <w:p>
      <w:pPr>
        <w:spacing w:after="0" w:line="45" w:lineRule="exact"/>
        <w:rPr>
          <w:rFonts w:ascii="Times New Roman" w:cs="Times New Roman" w:eastAsia="Times New Roman" w:hAnsi="Times New Roman"/>
          <w:sz w:val="17"/>
          <w:szCs w:val="17"/>
          <w:color w:val="auto"/>
        </w:rPr>
      </w:pPr>
    </w:p>
    <w:p>
      <w:pPr>
        <w:ind w:left="5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of KKR 2006 Fund (Allstar) L.P. (as the managing member of Allstar LLC); KKR Associates 2006 AIV L.P. (as the general partner of KKR 2006 Fund (Allstar) L.P.); Allstar Co-Invest GP LLC (as the general partner of Allstar Co-Invest Blocker L.P.); KKR 2006 AIV GP LLC (as the general partner of each of KKR Associates 2006 AIV L.P. and KKR 2006 Allstar Blocker L.P. and as the sole member of Allstar Co-Invest GP LLC); KKR Group Partnership L.P. (as the sole member of KKR 2006 AIV GP LLC); KKR Group Holdings Corp. (as the general partner of KKR Group Partnership L.P.); KKR &amp; Co. Inc. (as the sole shareholder of KKR Group Holdings Corp.); KKR Management LLP (as the Series I preferred stockholder of KKR &amp; Co. Inc.); and Messrs. Henry R. Kravis and George R. Roberts (as the founding partners of KKR Management LLP) may also be deemed to be the beneficial owners having shared voting power and shared investment power over the securities described in this footnote. The principal business address of each of the entities and persons identified in this footnote, except Mr. Roberts, is c/o Kohlberg Kravis Roberts &amp; Co. L.P., 9 West 57th Street, Suite 4200, New York, NY, 10019. The principal business address for Mr. Roberts is c/o Kohlberg Kravis Roberts &amp; Co. L.P., 2800 Sand Hill Road, Suite 200, Menlo Park, CA 94025.</w:t>
      </w:r>
    </w:p>
    <w:p>
      <w:pPr>
        <w:spacing w:after="0" w:line="99" w:lineRule="exact"/>
        <w:rPr>
          <w:rFonts w:ascii="Times New Roman" w:cs="Times New Roman" w:eastAsia="Times New Roman" w:hAnsi="Times New Roman"/>
          <w:sz w:val="17"/>
          <w:szCs w:val="17"/>
          <w:color w:val="auto"/>
        </w:rPr>
      </w:pPr>
    </w:p>
    <w:p>
      <w:pPr>
        <w:ind w:left="540" w:right="80" w:hanging="424"/>
        <w:spacing w:after="0" w:line="257" w:lineRule="auto"/>
        <w:tabs>
          <w:tab w:leader="none" w:pos="5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MSI 2011 LLC is an entity of which David Gochman is the sole investment manager. The economics of the entity are owned 100% by David Gochman and trusts for the benefit of his immediate family. The principal business address of MSI 2011 LLC and Mr. Gochman is c/o Inclenberg Investments Florida LLC, 350 Royal Palm Way, Suite 501, Palm Beach, Florida 33480.</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owns shares of our common stock indirectly through his or her ownership of membership interests in Allstar Managers, which directly holds shares of our common stock.</w:t>
      </w:r>
    </w:p>
    <w:p>
      <w:pPr>
        <w:ind w:left="540" w:right="120" w:hanging="424"/>
        <w:spacing w:after="0" w:line="250" w:lineRule="auto"/>
        <w:tabs>
          <w:tab w:leader="none" w:pos="5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reported includes shares covered by (i) options that are or will become exercisable and (ii) restricted stock awards that vest or will vest, in each case within 60 days as follows:</w:t>
      </w:r>
    </w:p>
    <w:p>
      <w:pPr>
        <w:ind w:left="540" w:right="3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Hicks,525,055; Mr. Mullican, 126,879; Mr. Lawrence, 52,437; Mr. Johnson, 91,006; Mr. Attaway, 541,589; and all directors and executive officers as a group 1,986,184.</w:t>
      </w:r>
    </w:p>
    <w:p>
      <w:pPr>
        <w:ind w:left="540" w:hanging="424"/>
        <w:spacing w:after="0"/>
        <w:tabs>
          <w:tab w:leader="none" w:pos="5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elected to the board upon or before the consummation of this offering.</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material terms of, and is qualified in its entirety by, our amended and restated certificate of incorporation and amended and restated bylaws, each of which will be in effect upon the consummation of this offering, the forms of which are filed as exhibits to the registration statement of which this prospectus is a part.</w:t>
      </w:r>
    </w:p>
    <w:p>
      <w:pPr>
        <w:spacing w:after="0" w:line="176"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Our purpose is to engage in any lawful act or activity for which corporations may now or hereafter be organized under the DGCL. Upon consummation of this offering, our authorized capital stock will consist of 300 million shares of common stock, par value $0.01 per share, and 50 million shares of preferred stock. Immediately following the completion of this offering, there are expected to be outstanding 88,103,095 shares of common stock (or 90,446,845 shares if the underwriters exercise in full their over-allotment option).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Holders of shares of our common stock are entitled to one vote for each share held of record on all matters submitted to a vote of stockholders. The holders of our common stock vote to elect our directors by a plurality of the votes cast. On all other matters other than those specified in our amended and restated certificate of incorporation and amended and restated by-laws, where a 662 3% vote of the then outstanding shares of our common stock is required, the affirmative vote of a majority in voting power of shares present at a meeting of the holders of our common stock is required.</w:t>
      </w:r>
    </w:p>
    <w:p>
      <w:pPr>
        <w:spacing w:after="0" w:line="164"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Holders of shares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Upon our dissolution or liquidation or the sale of all or substantially all of our assets, after payment in full of all amounts required to be paid to creditors and to the holders of preferred stock having liquidation preferences, if any, the holders of shares of our common stock will be entitled to receive our remaining assets available for distribution.</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Holders of shares of our common stock do not have preemptive, subscription or conversion rights. There are no redemption or sinking fund provisions applicable to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do not currently have any preferred stock outstanding. However, our amended and restated certificate of incorporation will authorize our board of directors to establish one or more series of preferred stock (including convertible preferred stock). Unless required by law or by Nasdaq, the authorized shares of preferred stock will be available for issuance without further action by you. Our board of directors will be able to determine, with respect to any series of preferred stock, the terms and rights of that series, including:</w:t>
      </w:r>
    </w:p>
    <w:p>
      <w:pPr>
        <w:spacing w:after="0" w:line="85" w:lineRule="exact"/>
        <w:rPr>
          <w:sz w:val="20"/>
          <w:szCs w:val="20"/>
          <w:color w:val="auto"/>
        </w:rPr>
      </w:pPr>
    </w:p>
    <w:p>
      <w:pPr>
        <w:ind w:left="1080" w:hanging="532"/>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and the dividend rate of the series;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at which dividends, if any, will be payable;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the series;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amounts of any sinking fund provided for the purchase or redemption of shares of the series;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shares of the series in the event of any voluntary or involuntary liquidation, dissolution or winding-up of the affairs of the Company;</w:t>
      </w:r>
    </w:p>
    <w:p>
      <w:pPr>
        <w:spacing w:after="0" w:line="67"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convertible into shares of any other class or series, or any other security, of the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shares of the same series or of any other class or series;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the series.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be able to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may have an adverse impact on the market price of our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8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284"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Certain Provisions of Delaware Law</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our board of directors will be divided into three classes of directors, with the classes to be as nearly equal in number as possible, and with the directors serving three-year terms.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will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have opted out of Section 203 of the DGCL; however, our amended and restated certificate of incorporation will contain similar provisions providing that we may not engage in certain “business combinations” with any “interested stockholder” for a three-year period following the time that the stockholder became an interested stockholder, unless:</w:t>
      </w:r>
    </w:p>
    <w:p>
      <w:pPr>
        <w:spacing w:after="0" w:line="81" w:lineRule="exact"/>
        <w:rPr>
          <w:sz w:val="20"/>
          <w:szCs w:val="20"/>
          <w:color w:val="auto"/>
        </w:rPr>
      </w:pPr>
    </w:p>
    <w:p>
      <w:pPr>
        <w:ind w:left="1080" w:right="320" w:hanging="532"/>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7"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00"/>
          </w:cols>
          <w:pgMar w:left="320" w:top="455" w:right="47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8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any of KKR Stockholders and their affiliates and any of their respective direct or indirect transferees and any group as to which such persons are a party do not constitute “interested stockholders” for purposes of this provision.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121" w:lineRule="exact"/>
        <w:rPr>
          <w:sz w:val="20"/>
          <w:szCs w:val="20"/>
          <w:color w:val="auto"/>
        </w:rPr>
      </w:pPr>
    </w:p>
    <w:p>
      <w:pPr>
        <w:ind w:left="120" w:firstLine="440"/>
        <w:spacing w:after="0" w:line="241" w:lineRule="auto"/>
        <w:rPr>
          <w:sz w:val="20"/>
          <w:szCs w:val="20"/>
          <w:color w:val="auto"/>
        </w:rPr>
      </w:pPr>
      <w:r>
        <w:rPr>
          <w:rFonts w:ascii="Times New Roman" w:cs="Times New Roman" w:eastAsia="Times New Roman" w:hAnsi="Times New Roman"/>
          <w:sz w:val="18"/>
          <w:szCs w:val="18"/>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will provide that directors may be removed with or without cause upon the affirmative vote of a majority in voting power of all outstanding shares of stock entitled to vote generally in the election of directors, voting together as a single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at any time when KKR Stockholders and their affiliates beneficially own, in the aggregate, less than 40% of the voting power of all outstanding shares of stock entitled to vote generally in the election of directors, directors may only be removed for cause and only by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xml:space="preserve">% in voting power of all the then-outstanding shares of stock entitled to vote generally in the election of directors, voting together as a single class. In addition, our amended and restated certificate of incorporation and our amended and restated bylaws will also provide that, subject to the rights granted to one or more series of preferred stock then outstanding or the rights granted to KKR Stockholders under the stockholders agreement to be entered into in connection with this offering, any vacancies on our board of directors will be filled only by the affirmative vote of a majority of the remaining directors, even if less than a quorum, by a sole remaining director or by the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at any time when KKR Stockholders and their affiliates beneficially own, in the aggregate, less than 40% of the voting power of all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specifically authorizes cumulative voting. Our amended and restated certificate of incorporation will not authorize cumulative voting. Therefore, stockholders holding a majority in voting power of the shares of our stock entitled to vote generally in the election of directors will be able to elect all our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Our amended and restated certificate of incorporation will provide that special meetings of our stockholders may be called at any time only by or at the direction of the board of directors or the chairman of the board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KKR Stockholders and their affiliates are permitted to call special meetings of our stockholders for so long as they hold, in the aggregate, at least 40% of the voting power of all outstanding shares of stock entitled to vote generally in the election of directors.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Director Nominations and Stockholder Proposals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will also specify requirements as to the form and content of a stockholder’s notice. Our amended and restated bylaws will allow the chairman of the meeting at a meeting of the stockholders to adopt rules and regulations for the conduct of meetings which may have the effect of precluding the conduct of certain business at a meeting if the rules and regulations are not followed. These notice requirements will not apply to KKR Stockholders and their affiliates for as long as the stockholders agreement to be entered into in connection with this offering remains in effect. These provisions may defer, delay or discourage a potential acquiror from conducting a solicitation of proxies to elect the acquiror’s own slate of directors or otherwise attempting to influence or obtain control of the Company.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preclude stockholder action by written consent once KKR Stockholders and their affiliates beneficially own, in the aggregate, less than 40% of the voting power of all outstanding shares of stock entitled to vote generally in the election of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Supermajority Provisions</w:t>
      </w:r>
    </w:p>
    <w:p>
      <w:pPr>
        <w:spacing w:after="0" w:line="121" w:lineRule="exact"/>
        <w:rPr>
          <w:sz w:val="20"/>
          <w:szCs w:val="20"/>
          <w:color w:val="auto"/>
        </w:rPr>
      </w:pPr>
    </w:p>
    <w:p>
      <w:pPr>
        <w:ind w:left="120" w:right="40" w:firstLine="440"/>
        <w:spacing w:after="0" w:line="239"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For as long as KKR Stockholders and their affiliates beneficially own, in the aggregate, at least 40% of the voting power of all outstanding shares of stock entitled to vote generally in the election of directors, any amendment, alteration, change, addition,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or repeal. At any time when KKR Stockholders and their affiliates beneficially own, in the aggregate, less than 40% of the voting power of all outstanding shares of stock entitled to vote generally in the election of directors, any amendment, alteration, change, addition, rescission or repeal of our amended and restated bylaws by our stockholders will require 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in voting power of all the then-outstanding shares of stock entitled to vote generally in the election of directors, voting together as a single class.</w:t>
      </w:r>
    </w:p>
    <w:p>
      <w:pPr>
        <w:spacing w:after="0" w:line="19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once KKR Stockholders and their affiliates beneficially own, in the aggregate, less than 40% of the voting power of all outstanding shares of stock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00"/>
          </w:cols>
          <w:pgMar w:left="320" w:top="455" w:right="47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13" w:lineRule="auto"/>
        <w:rPr>
          <w:sz w:val="20"/>
          <w:szCs w:val="20"/>
          <w:color w:val="auto"/>
        </w:rPr>
      </w:pPr>
      <w:r>
        <w:rPr>
          <w:rFonts w:ascii="Times New Roman" w:cs="Times New Roman" w:eastAsia="Times New Roman" w:hAnsi="Times New Roman"/>
          <w:sz w:val="18"/>
          <w:szCs w:val="18"/>
          <w:color w:val="auto"/>
        </w:rPr>
        <w:t>entitled to vote generally in the election of directors, the following provisions in our amended and restated certificate of incorporation may be amended, altered, repealed or rescinded only by 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in the voting power of all outstanding shares of stock entitled to vote generally in the election of directors, voting together as a single class:</w:t>
      </w:r>
    </w:p>
    <w:p>
      <w:pPr>
        <w:spacing w:after="0" w:line="3" w:lineRule="exact"/>
        <w:rPr>
          <w:sz w:val="20"/>
          <w:szCs w:val="20"/>
          <w:color w:val="auto"/>
        </w:rPr>
      </w:pPr>
    </w:p>
    <w:p>
      <w:pPr>
        <w:ind w:left="1080" w:hanging="532"/>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a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supermajority vote for stockholders to amend our amended and restated bylaws;</w:t>
      </w:r>
    </w:p>
    <w:p>
      <w:pPr>
        <w:spacing w:after="0" w:line="12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a classified board of directors (the election and term of our directors);</w:t>
      </w:r>
    </w:p>
    <w:p>
      <w:pPr>
        <w:spacing w:after="0" w:line="11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resignation and removal of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entering into business combinations with interested stockholders;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stockholder action by written consent;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calling special meetings of stockholders;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filling vacancies on our board of directors and newly created directorships;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 and</w:t>
      </w:r>
    </w:p>
    <w:p>
      <w:pPr>
        <w:spacing w:after="0" w:line="2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provision requiring that the above provisions be amended only with a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supermajority vote.</w:t>
      </w:r>
    </w:p>
    <w:p>
      <w:pPr>
        <w:spacing w:after="0" w:line="20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80"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These supermajority provisions may have the effect of deterring hostile takeovers, delaying or preventing changes in control of our management or the Company, such as a merger, reorganization or tender offer. These supermajority provisions are intended to enhance the likelihood of continued stability in the composition of our board of directors and its policies and to discourage certain types of transactions that may involve an actual or threatened acquisition of the Company. These supermajority provisions are designed to reduce our vulnerability to an unsolicited acquisition proposal. The supermajority provisions are also intended to discourage certain tactics that may be used in proxy fights. However, such supermajority provisions could have the effect of discouraging others from making tender offers for our shares and, as a consequence, they also may inhibit fluctuations in the market price of our shares that could result from actual or rumored takeover attempts. Such supermajority provisions may also have the effect of preventing changes in management.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00"/>
          </w:cols>
          <w:pgMar w:left="320" w:top="455" w:right="47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21" w:lineRule="exact"/>
        <w:rPr>
          <w:sz w:val="20"/>
          <w:szCs w:val="20"/>
          <w:color w:val="auto"/>
        </w:rPr>
      </w:pPr>
    </w:p>
    <w:p>
      <w:pPr>
        <w:ind w:left="120" w:right="280" w:firstLine="440"/>
        <w:spacing w:after="0" w:line="276"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subject to limited exceptions, that unless we consent to the selection of an alternative forum, the Court of Chancery of the State of Delaware will, to the fullest extent permitted by law, be the sole and exclusive forum for any</w:t>
      </w:r>
    </w:p>
    <w:p>
      <w:pPr>
        <w:spacing w:after="0" w:line="1" w:lineRule="exact"/>
        <w:rPr>
          <w:sz w:val="20"/>
          <w:szCs w:val="20"/>
          <w:color w:val="auto"/>
        </w:rPr>
      </w:pPr>
    </w:p>
    <w:p>
      <w:pPr>
        <w:ind w:left="120" w:hanging="4"/>
        <w:spacing w:after="0" w:line="251" w:lineRule="auto"/>
        <w:tabs>
          <w:tab w:leader="none" w:pos="33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behalf of the Company, (ii) action asserting a claim of breach of a fiduciary duty owed by any director, officer or other employee or stockholder of the Company to the Company or our stockholders, creditors 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brought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will not relieve us of our duties to comply with the federal securities laws and the rules and regulations thereunder, and our stockholders will not be deemed to have waived our compliance with these laws, rules and regulations. Any person or entity purchasing or otherwise acquiring any interest in shares of capital stock of the Company will be deemed to have notice of and consented to the forum provisions in our amended and restated certificate of incorporation.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will provide that, to the fullest extent permitted by law, any of KKR Stockholders or any of their affiliates or any director who is not employed by us (including any non-employee director who serves as one of our officers in both his or her director and officer capacities) or his or her affiliates will not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any of KKR Stockholders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will include a provision that eliminates the personal liability of directors for monetary damages for any breach of fiduciary duty as a director, except to the extent such exemption from liability or limitation thereof is not permitted under the DGCL. The effect of these provisions will be to eliminate the rights of us and our stockholders, through stockholders’ derivative suits on our 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bylaws will provide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also intend to enter into indemnification agreements with our directors, which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will be useful to attract and retain qualified directors and officers.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officers or employees for which indemnification is sought.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Broadridge Corporate Issuer Solutions,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applied to have our common stock listed on Nasdaq under the symbol “ASO.”</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CERTAIN INDEBTEDNESS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ABL Facility</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July 2, 2015, Academy, Ltd. entered into a five-year $650 million secured asset-based revolving credit facility, or the 2015 ABL Facility, with JPMorgan Chase Bank, N.A., as administrative agent, and other lenders. On May 22, 2018, Academy, Ltd. amended the agreement governing the 2015 ABL Facility, or as amended, the ABL Facility, to increase the commitments under the facility from $650 million to $1 billion. The ABL Facility matures on May 22, 2023, subject to a springing maturity clause which is triggered 91 days before the July 2, 2022 maturity of the Term Loan Facility should it not be paid off or extended at least 91 days beyond the May 22, 2023 maturity date of the ABL Facility. Academy, Ltd. has the option to increase the commitments under the ABL Facility by $250 million, subject to the satisfaction of certain conditions under the credit agreement governing the ABL Facility.</w:t>
      </w:r>
    </w:p>
    <w:p>
      <w:pPr>
        <w:spacing w:after="0" w:line="189"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Availability under the ABL Facility is subject to a borrowing base calculation. The borrowing base consists of 90% of the face amount of our eligible credit card receivables on a consolidated basis,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90% of the net orderly liquidation value percentage of our eligible inventory on a consolidated basis,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then applicable amount of all reserves.</w:t>
      </w:r>
    </w:p>
    <w:p>
      <w:pPr>
        <w:spacing w:after="0" w:line="176"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As of August 1, 2020, we had outstanding letters of credit of approximately $29.7 million, of which $19.9 million were issued under the ABL Facility, and no borrowings outstanding under the ABL Facility, leaving the available borrowing capacity under the ABL Facility of $694.1 million (which is subject to customary borrowing conditions, including a borrowing base).</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Borrowings under the ABL Facility bear interest, at our election, at either of (1) LIBOR plus a margin of 1.25% to 1.75%, or (2) a base rate equal to the highest of (a) the federal funds rate plus 0.50%, (b) JPMorgan Chase Bank, N.A.’s “prime rate”, or (c) the one-month LIBOR rate plus 1.00%, plus a margin of 0.25% to 0.75%. The ABL Facility also provides a fee applicable to the unused commitments of 0.25%. The terms and conditions of the ABL Facility also require that we prepay outstanding loans under the ABL Facility under certain circumstances. As of August 1, 2020, no future prepayments of outstanding loans have been triggered under the terms and conditions of the ABL Facility.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 Loan Facility</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 July 2, 2015, Academy, Ltd. entered into a seven-year $1.8 billion senior secured term loan facility, or the Term Loan Facility, with Morgan Stanley Senior Funding, Inc., as the administrative and collateral agent, and other lenders. The Term Loan Facility matures on July 2, 2022. The Term Loan Facility bears interest, at our election, at either (1) LIBOR rate with a floor of 1.00%, plus a margin of 4.00%, or (2) a base rate equal to the highest of (a) the federal funds rate plus 0.50%, (b) Morgan Stanley Senior Funding, Inc.’s “prime rate”, or (c) the one-month LIBOR rate plus 1.00%, plus a margin of 3.00%. Quarterly principal payments of approximately $4.6 million are required through June 30, 2022, with the balance due in full on the maturity date of July 2, 2022. As of August 1, 2020, the weighted average interest rate was 5.00%, with interest payable monthly. The terms and conditions of the Term Loan Facility also require that outstanding loans under the Term Loan Facility are prepaid under certain circumstances. As of August 1, 2020, no prepayments of outstanding loans have been triggered under the terms and conditions of the Term Loan Facility.</w:t>
      </w:r>
    </w:p>
    <w:p>
      <w:pPr>
        <w:spacing w:after="0" w:line="192"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Beginning in the third quarter of 2017 through the end of 2017, we repurchased a total of $26.2 million of principal of the Term Loan Facility, which was trading at a discount, for $19.7 million in open market transactions and recognized a related net gain of $6.3 million. In 2019, we repurchased $147.7 million of principal of the Term Loan Facility, which was trading at a discount, for $104.6 million in open market transactions and recognized a net gain of $42.3 million. As of August 1, 2020, there was $1,434.0 million of principal outstanding under the Term Loan Facility, net of discount.</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Liens and Guarantees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ABL Facility has a first priority lien on all Academy, Ltd.’s cash, accounts receivable, inventory, deposit and securities accounts and proceeds therefrom, or the ABL Collateral. Additionally, the ABL Facility has a second priority lien on all other collateral securing the Term Loan Facility. All obligations under the Term Loan Facility and the guarantees of those obligations are secured by:</w:t>
      </w:r>
    </w:p>
    <w:p>
      <w:pPr>
        <w:spacing w:after="0" w:line="81" w:lineRule="exact"/>
        <w:rPr>
          <w:sz w:val="20"/>
          <w:szCs w:val="20"/>
          <w:color w:val="auto"/>
        </w:rPr>
      </w:pPr>
    </w:p>
    <w:p>
      <w:pPr>
        <w:ind w:left="1080" w:hanging="532"/>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second-priority security interest in the ABL Collateral;</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security interest in, and mortgages on, substantially all present and after acquired tangible and intangible assets of Academy, Ltd.; and</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pledge of 100% of the capital stock of Academy, Ltd.’s domestic subsidiaries and 66% of the voting capital stock of each of Academy, Ltd.’s foreign subsidiaries, if any, that are directly owned by Academy, Ltd. or a future U.S. guarantor, if any.</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ABL Facility and the Term Loan Facility are each guaranteed on a senior secured basis by New Academy Holding Company, LLC and all of its subsidiaries, except for Academy International Limited, a Hong Kong limited liability company and subsidiary of Academy, Ltd.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credit agreements governing ABL Facility and the Term Loan Facility contain covenants, including, among other things, covenants that restrict Academy, Ltd.’s and its restricted subsidiaries’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certain minimum adjusted fixed charge coverage ratio. These covenants are subject to certain qualifications and limitations. We were in compliance with these covenants as of August 1, 2020.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credit agreements governing the ABL Facility and the Term Loan Facility contain customary events of default including, but not limited to, failure to pay principal or interest, breaches of representations and warranties, violations of affirmative or negative covenants, cross-defaults to other material indebtedness, a bankruptcy or similar proceeding being instituted by or against us, rendering of certain monetary judgments against us, invalidity of collateral documents and changes of control.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shares of our common stock. We cannot predict the effect, if any, future sales of shares of common stock, or the availability for future sale of shares of common stock, will have on the market price of shares of our common stock prevailing from time to time. Future sales of substantial amounts of our common stock in the public market or the perception that such sales might occur may adversely affect market prices of our common stock prevailing from time to time and could impair our future ability to raise capital through the sale of our equity or equity-related securities at a time and price that we deem appropriate. Furthermore, there may be sales of substantial amounts of our common stock in the public market after the existing legal and contractual restrictions lapse. This may adversely affect the prevailing market price and our ability to raise equity capital in the future. See “Risk Factors—Risks Related to this Offering and Ownership of Our Common Stock—Future sales, or the perception of future sales, by us or our existing owners in the public market following this offering could cause the market price of our common stock to decline.”</w:t>
      </w:r>
    </w:p>
    <w:p>
      <w:pPr>
        <w:spacing w:after="0" w:line="18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Upon completion of this offering we will have a total of 88,103,095 shares of our common stock outstanding (or 90,446,845 shares if the underwriters exercise in full their over-allotment option). Of the outstanding shares, the 15,625,000 shares sold in this offering (or 17,968,750 shares if the underwriters exercise in full their over-allotment option) will be freely tradable without restriction or further registration under the Securities Act, except that any shares held by our affiliates, as that term is defined under Rule 144, including our directors, executive officers and other affiliates (including our existing owners), may be sold only in compliance with the limitations described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we, our executive officers, directors and certain of our existing owners will agree, subject to certain exceptions, not to sell, dispose of or hedge any shares of our common stock or securities convertible into or exchangeable for shares of our common stock, without, in each case, the prior written consent of Credit Suisse Securities (USA) LLC and J.P. Morgan Securities LLC, for a period of 180 days after the date of this prospectus. See “Underwriting.”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for at least 90 days,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above, within any three-month period beginning 90 days after the date of this prospectus, a number of shares that does not exceed the greater of:</w:t>
      </w:r>
    </w:p>
    <w:p>
      <w:pPr>
        <w:spacing w:after="0" w:line="85" w:lineRule="exact"/>
        <w:rPr>
          <w:sz w:val="20"/>
          <w:szCs w:val="20"/>
          <w:color w:val="auto"/>
        </w:rPr>
      </w:pPr>
    </w:p>
    <w:p>
      <w:pPr>
        <w:ind w:left="1080" w:right="100" w:hanging="532"/>
        <w:spacing w:after="0" w:line="282"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our common stock then outstanding, which will equal approximately 881,031 shares immediately after this offering (or 904,468 shares if the underwriters exercise in full their over-allotment option); or</w:t>
      </w:r>
    </w:p>
    <w:p>
      <w:pPr>
        <w:spacing w:after="0" w:line="67"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reported weekly trading volume of our common stock on Nasdaq during the four calendar weeks preceding the filing of a notice on Form 144 with respect to such sale.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are unable to estimate the number of shares that will be sold under Rule 144 since this will depend on the market price for our common stock, the personal circumstances of the stockholder and other factors.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general, under Rule 701 as currently in effect, any of our employees, directors, officers, consultants or advisors who received shares of our common stock from us in connection with a compensatory stock or option plan or other written agreement before the effective date of this offering are entitled to sell such shares 90 days after the effective date of this offering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Statements on Form S-8</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shares of our common stock subject to issuance under the existing 2011 Equity Plan and the 2020 Equity Plan and the ESPP to be adopted in connection with this offering. Any such Form S-8 registration statement will automatically become effective upon filing. Accordingly shares of our common stock registered under such registration statements will be available for sale in the open market. We expect that the initial registration statement on Form S-8 will cover 15,983,311 shares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rights some holders of common stock will have to require us to register the shares of common stock they own, see “Certain Relationships and Related Party Transactions—Registration Rights Agreement.” Registration of these shares under the Securities Act would result in these shares becoming freely tradable immediately upon effectiveness of such registration.</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Following completion of this offering, the shares of our common stock covered by registration rights would represent approximately 82% of our outstanding common stock (or approximately 80%, if the underwriters exercise in full their option to purchase additional shares). These shares of common stock also may be sold under Rule 144, depending on their holding period and subject to restrictions in the case of shares held by persons deemed to be our affiliates.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AND ESTATE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20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U.S.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 “non-U.S. holder” means a beneficial owner of our common stock (other than an entity treated as a partnership for U.S. federal income tax purposes) that is not, for U.S. federal income tax purposes, any of the following:</w:t>
      </w:r>
    </w:p>
    <w:p>
      <w:pPr>
        <w:spacing w:after="0" w:line="67" w:lineRule="exact"/>
        <w:rPr>
          <w:sz w:val="20"/>
          <w:szCs w:val="20"/>
          <w:color w:val="auto"/>
        </w:rPr>
      </w:pPr>
    </w:p>
    <w:p>
      <w:pPr>
        <w:ind w:left="1080" w:hanging="532"/>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summary is based upon provisions of the Internal Revenue Code of 1986, as amended, or the Code, and the Treasury Regulations promulgated thereunder, rulings and judicial decisions as of the date hereof. Those authorities may be changed, perhaps retroactively, so as to result in U.S. federal income and estate tax consequences different from those summarized below. We cannot assure you that such a change in law will not alter significantly the tax considerations we describe in this summary. This summary does not address all aspects of U.S. federal income and estate taxes and does not deal with foreign, state, local or other tax considerations that may be relevant to non-U.S. holders in light of their particular circumstances. In addition, it does not represent a detailed description of the U.S. federal income and estate tax consequences applicable to you if you are subject to special treatment under the U.S. federal income tax laws (including if you are a U.S. expatriate, foreign pension fund, financial institution, insurance company, tax-exempt organization, trader, broker or dealer in securities “controlled foreign corporation,” “passive foreign investment company,” a partnership or other pass-through entity for U.S. federal income tax purposes (or an investor in such a pass-through entity), a person who acquired shares of our common stock as compensation or otherwise in connection with the performance of services, or a person who has acquired shares of our common stock as part of a straddle, hedge, conversion transaction or other integrated investment).</w:t>
      </w:r>
    </w:p>
    <w:p>
      <w:pPr>
        <w:spacing w:after="0" w:line="19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7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our common stock, you should consult your own tax advisors concerning the particular U.S. federal income and estate tax consequences to you of the purchase, ownership and disposition of our common stock, as well as the consequences to you arising under other U.S. federal tax laws and the laws of any other taxing jurisdiction.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As discussed above under “Dividend Policy”, we do not currently anticipate paying cash dividends on shares of our common stock in the foreseeable future. If we make distributions of cash or other property (other than certain pro rata distributions of our stock) in respect of our common stock, the distribution will generally be treated as a dividend for U.S. federal income tax purposes to the extent it is paid from our current or accumulated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earnings and profits, as determined under U.S. federal income tax principles. Any portion of a distribution that exceeds our current and accumulated earnings and profits generally will be treated first as a tax-free return of capital to the extent of the non-U.S. holder’s adjusted tax basis in our common stock, causing a reduction in the adjusted tax basis of a non-U.S. holder’s common stock, but not below zero. To the extent the amount of the distribution exceeds a non-U.S. holder’s adjusted basis in our common stock, the excess will be treated as described below under “—Gain on Disposition of Common Stock.”</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Dividends paid to a non-U.S. holder of our common stock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of the non-U.S. holder) are not subject to such withholding tax, provided certain certification and disclosure requirements are satisfied. Instead, such dividends are subject to U.S. federal income tax on a net income basis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89" w:lineRule="exact"/>
        <w:rPr>
          <w:sz w:val="20"/>
          <w:szCs w:val="20"/>
          <w:color w:val="auto"/>
        </w:rPr>
      </w:pPr>
    </w:p>
    <w:p>
      <w:pPr>
        <w:jc w:val="both"/>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 non-U.S. holder of our common stock who wishes to claim the benefit of an applicable treaty rate and avoid backup withholding, as discussed below, for dividends will be required (a) to provide the applicable withholding agent with a properly executed Internal Revenue Service Form W-8BEN or Form W-8BEN-E (or other applicable form) certifying under penalty of perjury that such holder is not a U.S.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8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 non-U.S. holder of our common stock eligible for a reduced rate of U.S. federal withholding tax pursuant to an income tax treaty may obtain a refund of any excess amounts withheld by timely filing an appropriate claim for refund with the Internal Revenue Service. Non-U.S. holders are urged to consult their own tax advisors regarding their entitlement to the benefits under any applicable income tax treaty.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below, any gain realized by a non-U.S. holder on the sale or other taxable disposition of our common stock generally will not be subject to U.S. federal income tax unless:</w:t>
      </w:r>
    </w:p>
    <w:p>
      <w:pPr>
        <w:spacing w:after="0" w:line="67" w:lineRule="exact"/>
        <w:rPr>
          <w:sz w:val="20"/>
          <w:szCs w:val="20"/>
          <w:color w:val="auto"/>
        </w:rPr>
      </w:pPr>
    </w:p>
    <w:p>
      <w:pPr>
        <w:ind w:left="1080" w:right="420" w:hanging="532"/>
        <w:spacing w:after="0" w:line="282"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67"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disposition, and certain other conditions are met;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and certain other conditions are met.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non-U.S. holder described in the first bullet point immediately above will be subject to tax on the gain derived from the sale under regular graduated U.S. federal income tax rates. In addition, if any non-U.S. holder described in the first bullet point immediately above is a foreign corporation, the gain realized by such non-U.S. holder may be subject to the branch profits at a 30% rate (or such lower rate as may be specified by an applicable income tax treaty). An individual non-U.S. holder described in the second bullet point immediately above will be subject to a tax equal to 30% (or such lower rate as may be specified by an applicable income tax treaty) on the gain derived from the sale, which may be offset by U.S. source capital losses, even though the individual is not considered a resident of the United States, provided that the individual has timely filed U.S. federal income tax returns with respect to such losses.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we are not and do not anticipate becoming a “U.S. real property holding corporation” for U.S. federal income tax purposes.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Common stock held by an individual non-U.S. holder at the time of death will be included in such holder’s gross estate for U.S. federal estate tax purposes, unless an applicable estate tax treaty provides otherwise.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must report annually to the Internal Revenue Service and to each non-U.S. holder the amount of distributions paid to such holder and the tax withheld with respect to such distributions, regardless of whether withholding was required. Copies of the information returns reporting such distributions and any withholding may also be made available to the tax authorities in the country in which the non-U.S. holder resides under the provisions of an applicable income tax treaty.</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U.S. person as defined under the Code), or such holder otherwise establishes an exemption.</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will apply to the proceeds of a sale or other disposition of our common stock made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80"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Backup withholding is not an additional tax and any amounts withheld under the backup withholding rules may be allowed as a refund or a credit against a non-U.S. holder’s U.S. federal income tax liability provided the required information is timely furnished to the Internal Revenue Service.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Under Sections 1471 through 1474 of the Code (such Sections commonly referred to as “FATCA”), a 30% U.S.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advisors regarding these requirements and whether they may be relevant to your ownership and disposition of our common stock.</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560"/>
        <w:spacing w:after="0"/>
        <w:tabs>
          <w:tab w:leader="none" w:pos="7920" w:val="left"/>
        </w:tabs>
        <w:rPr>
          <w:sz w:val="20"/>
          <w:szCs w:val="20"/>
          <w:color w:val="auto"/>
        </w:rPr>
      </w:pPr>
      <w:r>
        <w:rPr>
          <w:rFonts w:ascii="Times New Roman" w:cs="Times New Roman" w:eastAsia="Times New Roman" w:hAnsi="Times New Roman"/>
          <w:sz w:val="18"/>
          <w:szCs w:val="18"/>
          <w:color w:val="auto"/>
        </w:rPr>
        <w:t>Under the terms and subject to the conditions contained in an underwriting agreement dated</w:t>
      </w:r>
      <w:r>
        <w:rPr>
          <w:sz w:val="20"/>
          <w:szCs w:val="20"/>
          <w:color w:val="auto"/>
        </w:rPr>
        <w:tab/>
      </w:r>
      <w:r>
        <w:rPr>
          <w:rFonts w:ascii="Times New Roman" w:cs="Times New Roman" w:eastAsia="Times New Roman" w:hAnsi="Times New Roman"/>
          <w:sz w:val="17"/>
          <w:szCs w:val="17"/>
          <w:color w:val="auto"/>
        </w:rPr>
        <w:t>, 2020, we have agreed to sell to the</w:t>
      </w:r>
    </w:p>
    <w:p>
      <w:pPr>
        <w:spacing w:after="0" w:line="27"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underwriters named below, for whom Credit Suisse Securities (USA) LLC and J.P. Morgan Securities LLC are acting as representatives, the following respective numbers of shares of common stock:</w:t>
      </w:r>
    </w:p>
    <w:p>
      <w:pPr>
        <w:spacing w:after="0" w:line="208"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Underwriter</w:t>
            </w:r>
          </w:p>
        </w:tc>
        <w:tc>
          <w:tcPr>
            <w:tcW w:w="2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3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KKR Capital Markets LLC</w:t>
            </w: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Evercore Group L.L.C.</w:t>
            </w: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Stephens Inc.</w:t>
            </w: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One Securities, Inc.</w:t>
            </w: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CastleOak Securities, L.P.</w:t>
            </w: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Blaylock Van, LLC</w:t>
            </w: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Cabrera Capital Markets, LLC</w:t>
            </w: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Ramirez &amp; Company, Inc.</w:t>
            </w: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Seelaus &amp; Co., LLC</w:t>
            </w:r>
          </w:p>
        </w:tc>
        <w:tc>
          <w:tcPr>
            <w:tcW w:w="25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18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15,625,000</w:t>
            </w:r>
          </w:p>
        </w:tc>
        <w:tc>
          <w:tcPr>
            <w:tcW w:w="3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underwriters are obligated to purchase all the shares of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have granted to the underwriters a 30-day option to purchase on a pro rata basis up to 2,343,750 additional shares at the initial public offering price less the underwriting discounts and commissions. The option may be exercised only to cover any over-allotments of common stock.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propose to offer the shares of common stock initially at the public offering price on the cover page of this prospectus and to</w:t>
      </w:r>
    </w:p>
    <w:p>
      <w:pPr>
        <w:spacing w:after="0" w:line="27"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selling group members at that price less a selling concession of up to $ per share. After the initial public offering the representatives may change the public offering price and concession.</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compensation and estimated expenses we will pay:</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60" w:type="dxa"/>
            <w:vAlign w:val="bottom"/>
          </w:tcPr>
          <w:p>
            <w:pPr>
              <w:spacing w:after="0"/>
              <w:rPr>
                <w:sz w:val="15"/>
                <w:szCs w:val="15"/>
                <w:color w:val="auto"/>
              </w:rPr>
            </w:pPr>
          </w:p>
        </w:tc>
        <w:tc>
          <w:tcPr>
            <w:tcW w:w="17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17"/>
        </w:trPr>
        <w:tc>
          <w:tcPr>
            <w:tcW w:w="3900" w:type="dxa"/>
            <w:vAlign w:val="bottom"/>
          </w:tcPr>
          <w:p>
            <w:pPr>
              <w:spacing w:after="0"/>
              <w:rPr>
                <w:sz w:val="10"/>
                <w:szCs w:val="10"/>
                <w:color w:val="auto"/>
              </w:rPr>
            </w:pPr>
          </w:p>
        </w:tc>
        <w:tc>
          <w:tcPr>
            <w:tcW w:w="940" w:type="dxa"/>
            <w:vAlign w:val="bottom"/>
            <w:tcBorders>
              <w:top w:val="single" w:sz="8" w:color="auto"/>
            </w:tcBorders>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8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With</w:t>
            </w:r>
          </w:p>
        </w:tc>
        <w:tc>
          <w:tcPr>
            <w:tcW w:w="800" w:type="dxa"/>
            <w:vAlign w:val="bottom"/>
          </w:tcPr>
          <w:p>
            <w:pPr>
              <w:spacing w:after="0"/>
              <w:rPr>
                <w:sz w:val="10"/>
                <w:szCs w:val="10"/>
                <w:color w:val="auto"/>
              </w:rPr>
            </w:pPr>
          </w:p>
        </w:tc>
        <w:tc>
          <w:tcPr>
            <w:tcW w:w="960" w:type="dxa"/>
            <w:vAlign w:val="bottom"/>
            <w:tcBorders>
              <w:top w:val="single" w:sz="8" w:color="auto"/>
            </w:tcBorders>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7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With</w:t>
            </w:r>
          </w:p>
        </w:tc>
        <w:tc>
          <w:tcPr>
            <w:tcW w:w="40" w:type="dxa"/>
            <w:vAlign w:val="bottom"/>
          </w:tcPr>
          <w:p>
            <w:pPr>
              <w:spacing w:after="0"/>
              <w:rPr>
                <w:sz w:val="10"/>
                <w:szCs w:val="10"/>
                <w:color w:val="auto"/>
              </w:rPr>
            </w:pPr>
          </w:p>
        </w:tc>
      </w:tr>
      <w:tr>
        <w:trPr>
          <w:trHeight w:val="173"/>
        </w:trPr>
        <w:tc>
          <w:tcPr>
            <w:tcW w:w="390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80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7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Over-allotment</w:t>
            </w:r>
          </w:p>
        </w:tc>
      </w:tr>
      <w:tr>
        <w:trPr>
          <w:trHeight w:val="178"/>
        </w:trPr>
        <w:tc>
          <w:tcPr>
            <w:tcW w:w="39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Underwriting Discounts and Commissions</w:t>
            </w:r>
          </w:p>
        </w:tc>
        <w:tc>
          <w:tcPr>
            <w:tcW w:w="9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Expenses payable</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r>
        <w:trPr>
          <w:trHeight w:val="346"/>
        </w:trPr>
        <w:tc>
          <w:tcPr>
            <w:tcW w:w="3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213</w:t>
            </w: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320" w:top="455" w:right="55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have also agreed to reimburse the underwriters for up to $35,000 of expenses related to the review of this offering by the Financial Industry Regulatory Authority, Inc., or FINRA. In accordance with FINRA Rule 5110, this reimbursed fee is deemed underwriting compensation for this offering.</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have agreed that we will not offer, sell, contract to sell, pledge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and J.P. Morgan Securities LLC for a period of 180 days after the date of this prospectus.</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executive officers, directors and certain of our existing owners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w:t>
      </w:r>
    </w:p>
    <w:p>
      <w:pPr>
        <w:spacing w:after="0" w:line="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publicly disclose the intention to make any such offer, sale, pledge or disposition, or to enter into any such transaction, swap, hedge or other arrangement, without, in each case, the prior written consent of Credit Suisse Securities (USA) LLC and J.P. Morgan Securities LLC for a period of 180 days after the date of this prospectus, subject to certain exceptions.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applied to list the shares of common stock on Nasdaq, under the symbol “ASO.”</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was determined by negotiations among us and the representatives and will not necessarily reflect the market price of the common stock following this offering. The principal factors that were considered in determining the initial public offering price included:</w:t>
      </w:r>
    </w:p>
    <w:p>
      <w:pPr>
        <w:spacing w:after="0" w:line="81" w:lineRule="exact"/>
        <w:rPr>
          <w:sz w:val="20"/>
          <w:szCs w:val="20"/>
          <w:color w:val="auto"/>
        </w:rPr>
      </w:pPr>
    </w:p>
    <w:p>
      <w:pPr>
        <w:ind w:left="1080" w:hanging="532"/>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presented in this prospectus and otherwise available to the underwriters;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of, and prospects for, the industry in which we will compete;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for our future earnings;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state of our development, results of operations and our current financial condition;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at the time of this offering;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the demand for, publicly traded common stock of generally comparable companies.</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cannot assure you that the initial public offering price will correspond to the price at which the common stock will trade in the public market subsequent to this offering or that an active trading market for the common stock will develop and continue after this offering.</w:t>
      </w:r>
    </w:p>
    <w:p>
      <w:pPr>
        <w:spacing w:after="0" w:line="162"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67" w:lineRule="exact"/>
        <w:rPr>
          <w:sz w:val="20"/>
          <w:szCs w:val="20"/>
          <w:color w:val="auto"/>
        </w:rPr>
      </w:pPr>
    </w:p>
    <w:p>
      <w:pPr>
        <w:ind w:left="1080" w:hanging="532"/>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130" w:lineRule="exact"/>
        <w:rPr>
          <w:rFonts w:ascii="Times New Roman" w:cs="Times New Roman" w:eastAsia="Times New Roman" w:hAnsi="Times New Roman"/>
          <w:sz w:val="18"/>
          <w:szCs w:val="18"/>
          <w:color w:val="auto"/>
        </w:rPr>
      </w:pPr>
    </w:p>
    <w:p>
      <w:pPr>
        <w:jc w:val="both"/>
        <w:ind w:left="1080" w:right="160" w:hanging="532"/>
        <w:spacing w:after="0" w:line="266"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00"/>
          </w:cols>
          <w:pgMar w:left="320" w:top="455" w:right="47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140"/>
        <w:spacing w:after="0" w:line="266" w:lineRule="auto"/>
        <w:rPr>
          <w:sz w:val="20"/>
          <w:szCs w:val="20"/>
          <w:color w:val="auto"/>
        </w:rPr>
      </w:pPr>
      <w:r>
        <w:rPr>
          <w:rFonts w:ascii="Times New Roman" w:cs="Times New Roman" w:eastAsia="Times New Roman" w:hAnsi="Times New Roman"/>
          <w:sz w:val="18"/>
          <w:szCs w:val="18"/>
          <w:color w:val="auto"/>
        </w:rPr>
        <w:t>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81" w:lineRule="exact"/>
        <w:rPr>
          <w:sz w:val="20"/>
          <w:szCs w:val="20"/>
          <w:color w:val="auto"/>
        </w:rPr>
      </w:pPr>
    </w:p>
    <w:p>
      <w:pPr>
        <w:ind w:left="1080" w:right="80" w:hanging="532"/>
        <w:spacing w:after="0" w:line="255"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94"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representatives to reclaim a selling concession from a syndicate member when the common stock originally sold by the syndicate member is purchased in a stabilizing transaction or a syndicate covering transaction to cover syndicate short positions.</w:t>
      </w:r>
    </w:p>
    <w:p>
      <w:pPr>
        <w:spacing w:after="0" w:line="67"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Nasdaq or otherwise and, if commenced, may be discontinued at any time.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Affiliates of KKR beneficially own in excess of 10% of our issued and outstanding common stock. Because KKR Capital Markets LLC, an affiliate of KKR, is an underwriter in this offering and its affiliates own in excess of 10% of our issued and outstanding common stock, KKR Capital Markets LLC is deemed to have a “conflict of interest” under Rule 5121. Accordingly, this offering is being made in compliance with the requirements of Rule 5121. Pursuant to that rule, the appointment of a “qualified independent underwriter” is not required in connection with this offering as the member primarily responsible for managing the public offering does not have a conflict of interest, is not an affiliate of any member that has a conflict of interest and meets the requirements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of paragraph (f)(12)(E) of Rule 5121. KKR Capital Markets LLC will not confirm sales of the securities to any account over which it exercises discretionary authority without the specific written approval of the account holder.</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22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securities have been offered or will be offered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89" w:lineRule="exact"/>
        <w:rPr>
          <w:sz w:val="20"/>
          <w:szCs w:val="20"/>
          <w:color w:val="auto"/>
        </w:rPr>
      </w:pPr>
    </w:p>
    <w:p>
      <w:pPr>
        <w:ind w:left="1080" w:hanging="532"/>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securities shall require the Issuer or any Manager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38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underwriters severally represents, warrants and agrees as follows:</w:t>
      </w:r>
    </w:p>
    <w:p>
      <w:pPr>
        <w:spacing w:after="0" w:line="131" w:lineRule="exact"/>
        <w:rPr>
          <w:sz w:val="20"/>
          <w:szCs w:val="20"/>
          <w:color w:val="auto"/>
        </w:rPr>
      </w:pPr>
    </w:p>
    <w:p>
      <w:pPr>
        <w:ind w:left="1080" w:right="20" w:hanging="532"/>
        <w:spacing w:after="0" w:line="261"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securities in circumstances in which Section 21 of the FSMA does not apply to us; and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00"/>
          </w:cols>
          <w:pgMar w:left="320" w:top="455" w:right="47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380" w:hanging="532"/>
        <w:spacing w:after="0" w:line="282"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85" w:lineRule="exact"/>
        <w:rPr>
          <w:sz w:val="20"/>
          <w:szCs w:val="20"/>
          <w:color w:val="auto"/>
        </w:rPr>
      </w:pPr>
    </w:p>
    <w:p>
      <w:pPr>
        <w:ind w:left="1080" w:hanging="532"/>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Securities and Futures Act, Chapter 289 of Singapore, or SFA,</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pursuant to Section 275(1), or any person pursuant to Section 275(1A),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1080" w:right="100" w:hanging="532"/>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1" w:lineRule="exact"/>
        <w:rPr>
          <w:sz w:val="20"/>
          <w:szCs w:val="20"/>
          <w:color w:val="auto"/>
        </w:rPr>
      </w:pPr>
    </w:p>
    <w:p>
      <w:pPr>
        <w:ind w:left="1080" w:right="20" w:hanging="532"/>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800" w:hanging="532"/>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(Cth)) for the purposes of Part 6D.2 of the Corporations Act 2001 (Cth) or in a product disclosure statement for the purposes of Part 7.9 of the Corporations Act 2001 (Cth), in either case, in relation to the securities. The securities are not being offered in Australia to “retail clients” as defined in sections 761G and 761GA of the Corporations Act 2001 (Cth). This offering is being made in Australia solely to “wholesale clients” for the purposes of section 761G of the Corporations Act 2001 (Cth) and, as such, no prospectus, product disclosure statement or other disclosure document in relation to the securities has been, or will be, prepared.</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does not constitute an offer in Australia other than to persons who do not require disclosure under Part 6D.2 of the Corporations Act 2001 (Cth) and who are wholesale clients for the purposes of section 761G of the Corporations Act 2001 (Cth). By submitting an application for the securities, you represent and warrant to us that you are a person who does not require disclosure under Part 6D.2 and who is a wholesale client for the purposes of section 761G of the Corporations Act 2001 (Cth). If any recipient of this prospectus is not a wholesale client, no offer of, or invitation to apply for, the securities shall be deemed to be made to such recipient and no applications for such securities will be accepted from such recipient. Any offer to a recipient in Australia, and any agreement arising from acceptance of such offer, is personal and may only be accepted by the recipient. In addition, by applying for the securities you undertake to us that, for a period of twelve months from the date of issue of the securities, you will not transfer any interest in the securities to any person in Australia other than to a person who does not require disclosure under Part 6D.2 and who is a wholesale client.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080"/>
          </w:cols>
          <w:pgMar w:left="320" w:top="455" w:right="49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 validity of the shares of common stock offered by this prospectus will be passed upon for us by Simpson Thacher &amp; Bartlett LLP, New York, New York. Certain legal matters relating to this offering will be passed upon for the underwriters by Latham &amp; Watkins LLP, New York, New York.</w:t>
      </w: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balance sheet of Academy Sports and Outdoors, Inc. as of June 30, 2020 included in this prospectus has been audited by Deloitte &amp; Touche LLP, an independent registered public accounting firm, as stated in their report appearing herein. Such balance sheet is included in reliance on the report of such firm given upon their authority as experts in accounting and auditing.</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financial statements of New Academy Holding Company, LLC as of February 1, 2020 and February 2, 2019, and for each of the three fiscal years in the period ended February 1, 2020, included in this prospectus have been audited by Deloitte &amp; Touche LLP, an independent registered public accounting firm, as stated in their report appearing herein which report expresses an unqualified opinion on the financial statements and includes an explanatory paragraph referring to the adoption of Financial Accounting Standards Board (FASB) Accounting Standards Update (ASU) 2016-02, Leases (Topic 842), using the modified retrospective approach. Such financial statements are included in reliance on the report of such firm given upon their authority as experts in accounting and auditing.</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have filed a registration statement on Form S-1 under the Securities Act with respect to the common stock offered by this prospectus with the SEC.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contained in this prospectus regarding the contents of any contract or other document referred to in those documents are not necessarily complete, and in each instance we refer you to the copy of the contract or other document filed as an exhibit to the registration statement or other document. Each of these statements is qualified in all respects by this reference.</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Following the completion of this offering, we will be subject to the informational reporting requirements of the Exchange Act and, in accordance with the Exchange Act, we will file annual, quarterly and current reports, proxy statements and other information with the SEC. Our filings with the SEC will be available to the public on the SEC’s website at http://www.sec.gov. Those filings will also be available to the public on, or accessible through, our website (www.academy.com) under the heading “Investor Relations.” The information we file with the SEC or contained on or accessible through our corporate website or any other website that we may maintain is not part of this prospectus or the registration statement of which this prospectus is a part.</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intend to make available to our common stockholders annual reports containing consolidated financial statements audited by an independent registered public accounting firm.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20"/>
          </w:cols>
          <w:pgMar w:left="320" w:top="455" w:right="45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238"/>
        </w:trPr>
        <w:tc>
          <w:tcPr>
            <w:tcW w:w="10560" w:type="dxa"/>
            <w:vAlign w:val="bottom"/>
            <w:gridSpan w:val="5"/>
          </w:tcPr>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tc>
        <w:tc>
          <w:tcPr>
            <w:tcW w:w="520" w:type="dxa"/>
            <w:vAlign w:val="bottom"/>
          </w:tcPr>
          <w:p>
            <w:pPr>
              <w:spacing w:after="0"/>
              <w:rPr>
                <w:sz w:val="20"/>
                <w:szCs w:val="20"/>
                <w:color w:val="auto"/>
              </w:rPr>
            </w:pPr>
          </w:p>
        </w:tc>
      </w:tr>
      <w:tr>
        <w:trPr>
          <w:trHeight w:val="513"/>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520" w:type="dxa"/>
            <w:vAlign w:val="bottom"/>
          </w:tcPr>
          <w:p>
            <w:pPr>
              <w:spacing w:after="0"/>
              <w:rPr>
                <w:sz w:val="24"/>
                <w:szCs w:val="24"/>
                <w:color w:val="auto"/>
              </w:rPr>
            </w:pPr>
          </w:p>
        </w:tc>
      </w:tr>
      <w:tr>
        <w:trPr>
          <w:trHeight w:val="441"/>
        </w:trPr>
        <w:tc>
          <w:tcPr>
            <w:tcW w:w="105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tc>
        <w:tc>
          <w:tcPr>
            <w:tcW w:w="520" w:type="dxa"/>
            <w:vAlign w:val="bottom"/>
          </w:tcPr>
          <w:p>
            <w:pPr>
              <w:spacing w:after="0"/>
              <w:rPr>
                <w:sz w:val="24"/>
                <w:szCs w:val="24"/>
                <w:color w:val="auto"/>
              </w:rPr>
            </w:pPr>
          </w:p>
        </w:tc>
      </w:tr>
      <w:tr>
        <w:trPr>
          <w:trHeight w:val="216"/>
        </w:trPr>
        <w:tc>
          <w:tcPr>
            <w:tcW w:w="105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Unaudited Condensed Consolidated Financial Statements:</w:t>
            </w:r>
          </w:p>
        </w:tc>
        <w:tc>
          <w:tcPr>
            <w:tcW w:w="520" w:type="dxa"/>
            <w:vAlign w:val="bottom"/>
          </w:tcPr>
          <w:p>
            <w:pPr>
              <w:spacing w:after="0"/>
              <w:rPr>
                <w:sz w:val="18"/>
                <w:szCs w:val="18"/>
                <w:color w:val="auto"/>
              </w:rPr>
            </w:pP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33">
              <w:r>
                <w:rPr>
                  <w:rFonts w:ascii="Times New Roman" w:cs="Times New Roman" w:eastAsia="Times New Roman" w:hAnsi="Times New Roman"/>
                  <w:sz w:val="18"/>
                  <w:szCs w:val="18"/>
                  <w:u w:val="single" w:color="auto"/>
                  <w:color w:val="0000EE"/>
                </w:rPr>
                <w:t>Unaudited Consolidated Balance Sheets as of August 1, 2020, February 1, 2020 and August 3,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34">
              <w:r>
                <w:rPr>
                  <w:rFonts w:ascii="Times New Roman" w:cs="Times New Roman" w:eastAsia="Times New Roman" w:hAnsi="Times New Roman"/>
                  <w:sz w:val="18"/>
                  <w:szCs w:val="18"/>
                  <w:u w:val="single" w:color="auto"/>
                  <w:color w:val="0000EE"/>
                </w:rPr>
                <w:t>Unaudited Consolidated Statements of Income for thirteen and twenty-six weeks ended August 1, 2020 and August 3,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36">
              <w:r>
                <w:rPr>
                  <w:rFonts w:ascii="Times New Roman" w:cs="Times New Roman" w:eastAsia="Times New Roman" w:hAnsi="Times New Roman"/>
                  <w:sz w:val="18"/>
                  <w:szCs w:val="18"/>
                  <w:u w:val="single" w:color="auto"/>
                  <w:color w:val="0000EE"/>
                </w:rPr>
                <w:t>Unaudited Consolidated Statements of Partners’ Equity for the thirteen and twenty-six weeks ended August 1, 2020 and August 3,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38">
              <w:r>
                <w:rPr>
                  <w:rFonts w:ascii="Times New Roman" w:cs="Times New Roman" w:eastAsia="Times New Roman" w:hAnsi="Times New Roman"/>
                  <w:sz w:val="18"/>
                  <w:szCs w:val="18"/>
                  <w:u w:val="single" w:color="auto"/>
                  <w:color w:val="0000EE"/>
                </w:rPr>
                <w:t>Unaudited Consolidated Statements of Cash Flows for the thirteen and twenty-six weeks ended August 1, 2020 and August 3,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34"/>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39">
              <w:r>
                <w:rPr>
                  <w:rFonts w:ascii="Times New Roman" w:cs="Times New Roman" w:eastAsia="Times New Roman" w:hAnsi="Times New Roman"/>
                  <w:sz w:val="18"/>
                  <w:szCs w:val="18"/>
                  <w:u w:val="single" w:color="auto"/>
                  <w:color w:val="0000EE"/>
                </w:rPr>
                <w:t>Condensed Notes to Consolidated 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306"/>
        </w:trPr>
        <w:tc>
          <w:tcPr>
            <w:tcW w:w="105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Audited Consolidated Financial Statements:</w:t>
            </w:r>
          </w:p>
        </w:tc>
        <w:tc>
          <w:tcPr>
            <w:tcW w:w="520" w:type="dxa"/>
            <w:vAlign w:val="bottom"/>
          </w:tcPr>
          <w:p>
            <w:pPr>
              <w:spacing w:after="0"/>
              <w:rPr>
                <w:sz w:val="24"/>
                <w:szCs w:val="24"/>
                <w:color w:val="auto"/>
              </w:rPr>
            </w:pP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4">
              <w:r>
                <w:rPr>
                  <w:rFonts w:ascii="Times New Roman" w:cs="Times New Roman" w:eastAsia="Times New Roman" w:hAnsi="Times New Roman"/>
                  <w:sz w:val="18"/>
                  <w:szCs w:val="18"/>
                  <w:u w:val="single" w:color="auto"/>
                  <w:color w:val="0000EE"/>
                </w:rPr>
                <w:t>Report of Independent Registered Public Accounting Firm</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5">
              <w:r>
                <w:rPr>
                  <w:rFonts w:ascii="Times New Roman" w:cs="Times New Roman" w:eastAsia="Times New Roman" w:hAnsi="Times New Roman"/>
                  <w:sz w:val="18"/>
                  <w:szCs w:val="18"/>
                  <w:u w:val="single" w:color="auto"/>
                  <w:color w:val="0000EE"/>
                </w:rPr>
                <w:t>Consolidated Balance Sheets as of February 1, 2020 and February 2,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6">
              <w:r>
                <w:rPr>
                  <w:rFonts w:ascii="Times New Roman" w:cs="Times New Roman" w:eastAsia="Times New Roman" w:hAnsi="Times New Roman"/>
                  <w:sz w:val="18"/>
                  <w:szCs w:val="18"/>
                  <w:u w:val="single" w:color="auto"/>
                  <w:color w:val="0000EE"/>
                </w:rPr>
                <w:t>Consolidated Statements of Income for the fiscal year ended February 1, 2020, February 2, 2019 and February 3, 2018</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194"/>
        </w:trPr>
        <w:tc>
          <w:tcPr>
            <w:tcW w:w="10560" w:type="dxa"/>
            <w:vAlign w:val="bottom"/>
            <w:gridSpan w:val="5"/>
          </w:tcPr>
          <w:p>
            <w:pPr>
              <w:ind w:left="480"/>
              <w:spacing w:after="0" w:line="194" w:lineRule="exact"/>
              <w:rPr>
                <w:rFonts w:ascii="Times New Roman" w:cs="Times New Roman" w:eastAsia="Times New Roman" w:hAnsi="Times New Roman"/>
                <w:sz w:val="18"/>
                <w:szCs w:val="18"/>
                <w:color w:val="0000EE"/>
              </w:rPr>
            </w:pPr>
            <w:hyperlink w:anchor="page257">
              <w:r>
                <w:rPr>
                  <w:rFonts w:ascii="Times New Roman" w:cs="Times New Roman" w:eastAsia="Times New Roman" w:hAnsi="Times New Roman"/>
                  <w:sz w:val="18"/>
                  <w:szCs w:val="18"/>
                  <w:color w:val="0000EE"/>
                </w:rPr>
                <w:t>Consolidated Statements of Comprehensive Income (Loss) for the fiscal year ended February 1, 2020, February 2, 2019 and February 3,</w:t>
              </w:r>
            </w:hyperlink>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w:t>
            </w:r>
          </w:p>
        </w:tc>
      </w:tr>
      <w:tr>
        <w:trPr>
          <w:trHeight w:val="196"/>
        </w:trPr>
        <w:tc>
          <w:tcPr>
            <w:tcW w:w="480" w:type="dxa"/>
            <w:vAlign w:val="bottom"/>
          </w:tcPr>
          <w:p>
            <w:pPr>
              <w:spacing w:after="0"/>
              <w:rPr>
                <w:sz w:val="17"/>
                <w:szCs w:val="17"/>
                <w:color w:val="auto"/>
              </w:rPr>
            </w:pPr>
          </w:p>
        </w:tc>
        <w:tc>
          <w:tcPr>
            <w:tcW w:w="54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rPr>
            </w:pPr>
            <w:hyperlink w:anchor="page257">
              <w:r>
                <w:rPr>
                  <w:rFonts w:ascii="Times New Roman" w:cs="Times New Roman" w:eastAsia="Times New Roman" w:hAnsi="Times New Roman"/>
                  <w:sz w:val="18"/>
                  <w:szCs w:val="18"/>
                  <w:color w:val="0000EE"/>
                </w:rPr>
                <w:t>2018</w:t>
              </w:r>
            </w:hyperlink>
          </w:p>
        </w:tc>
        <w:tc>
          <w:tcPr>
            <w:tcW w:w="92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6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8"/>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8">
              <w:r>
                <w:rPr>
                  <w:rFonts w:ascii="Times New Roman" w:cs="Times New Roman" w:eastAsia="Times New Roman" w:hAnsi="Times New Roman"/>
                  <w:sz w:val="18"/>
                  <w:szCs w:val="18"/>
                  <w:u w:val="single" w:color="auto"/>
                  <w:color w:val="0000EE"/>
                </w:rPr>
                <w:t>Consolidated Statements of Partners’ Equity for the fiscal year ended February 1, 2020, February 2, 2019 and February 3, 2018</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9">
              <w:r>
                <w:rPr>
                  <w:rFonts w:ascii="Times New Roman" w:cs="Times New Roman" w:eastAsia="Times New Roman" w:hAnsi="Times New Roman"/>
                  <w:sz w:val="18"/>
                  <w:szCs w:val="18"/>
                  <w:u w:val="single" w:color="auto"/>
                  <w:color w:val="0000EE"/>
                </w:rPr>
                <w:t>Consolidated Statements of Cash Flows for the fiscal year ended February 1, 2020, February 2, 2019 and February 3, 2018</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60">
              <w:r>
                <w:rPr>
                  <w:rFonts w:ascii="Times New Roman" w:cs="Times New Roman" w:eastAsia="Times New Roman" w:hAnsi="Times New Roman"/>
                  <w:sz w:val="18"/>
                  <w:szCs w:val="18"/>
                  <w:u w:val="single" w:color="auto"/>
                  <w:color w:val="0000EE"/>
                </w:rPr>
                <w:t>Notes to Consolidated 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34"/>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6"/>
        </w:trPr>
        <w:tc>
          <w:tcPr>
            <w:tcW w:w="105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tc>
        <w:tc>
          <w:tcPr>
            <w:tcW w:w="520" w:type="dxa"/>
            <w:vAlign w:val="bottom"/>
          </w:tcPr>
          <w:p>
            <w:pPr>
              <w:spacing w:after="0"/>
              <w:rPr>
                <w:sz w:val="24"/>
                <w:szCs w:val="24"/>
                <w:color w:val="auto"/>
              </w:rPr>
            </w:pP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88">
              <w:r>
                <w:rPr>
                  <w:rFonts w:ascii="Times New Roman" w:cs="Times New Roman" w:eastAsia="Times New Roman" w:hAnsi="Times New Roman"/>
                  <w:sz w:val="18"/>
                  <w:szCs w:val="18"/>
                  <w:u w:val="single" w:color="auto"/>
                  <w:color w:val="0000EE"/>
                </w:rPr>
                <w:t>Report of Independent Registered Public Accounting Firm</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89">
              <w:r>
                <w:rPr>
                  <w:rFonts w:ascii="Times New Roman" w:cs="Times New Roman" w:eastAsia="Times New Roman" w:hAnsi="Times New Roman"/>
                  <w:sz w:val="18"/>
                  <w:szCs w:val="18"/>
                  <w:u w:val="single" w:color="auto"/>
                  <w:color w:val="0000EE"/>
                </w:rPr>
                <w:t>Balance Sheet as of June 30, 2020</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90">
              <w:r>
                <w:rPr>
                  <w:rFonts w:ascii="Times New Roman" w:cs="Times New Roman" w:eastAsia="Times New Roman" w:hAnsi="Times New Roman"/>
                  <w:sz w:val="18"/>
                  <w:szCs w:val="18"/>
                  <w:u w:val="single" w:color="auto"/>
                  <w:color w:val="0000EE"/>
                </w:rPr>
                <w:t>Notes to 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34"/>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65"/>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F-1</w:t>
            </w:r>
          </w:p>
        </w:tc>
        <w:tc>
          <w:tcPr>
            <w:tcW w:w="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5"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1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18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3"/>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1480" w:type="dxa"/>
            <w:vAlign w:val="bottom"/>
            <w:gridSpan w:val="3"/>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20" w:type="dxa"/>
            <w:vAlign w:val="bottom"/>
            <w:tcBorders>
              <w:top w:val="single" w:sz="8" w:color="CCEEFF"/>
            </w:tcBorders>
            <w:shd w:val="clear" w:color="auto" w:fill="CCEEFF"/>
          </w:tcPr>
          <w:p>
            <w:pPr>
              <w:ind w:left="242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884,029</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636,024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149,385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52,090</w:t>
            </w:r>
          </w:p>
        </w:tc>
        <w:tc>
          <w:tcPr>
            <w:tcW w:w="0" w:type="dxa"/>
            <w:vAlign w:val="bottom"/>
          </w:tcPr>
          <w:p>
            <w:pPr>
              <w:spacing w:after="0"/>
              <w:rPr>
                <w:sz w:val="1"/>
                <w:szCs w:val="1"/>
                <w:color w:val="auto"/>
              </w:rPr>
            </w:pPr>
          </w:p>
        </w:tc>
      </w:tr>
      <w:tr>
        <w:trPr>
          <w:trHeight w:val="198"/>
        </w:trPr>
        <w:tc>
          <w:tcPr>
            <w:tcW w:w="58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Accounts receivable - less allowance for doubtful accounts of $3,323,</w:t>
            </w:r>
          </w:p>
        </w:tc>
        <w:tc>
          <w:tcPr>
            <w:tcW w:w="160" w:type="dxa"/>
            <w:vAlign w:val="bottom"/>
          </w:tcPr>
          <w:p>
            <w:pPr>
              <w:spacing w:after="0"/>
              <w:rPr>
                <w:sz w:val="17"/>
                <w:szCs w:val="17"/>
                <w:color w:val="auto"/>
              </w:rPr>
            </w:pP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9,181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8,666</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$3,275 and $2,730, respectively</w:t>
            </w:r>
          </w:p>
        </w:tc>
        <w:tc>
          <w:tcPr>
            <w:tcW w:w="16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13,999</w:t>
            </w:r>
          </w:p>
        </w:tc>
        <w:tc>
          <w:tcPr>
            <w:tcW w:w="1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10,215</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899,086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899,086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1,099,749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1,203,806</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30,495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26,143</w:t>
            </w:r>
          </w:p>
        </w:tc>
        <w:tc>
          <w:tcPr>
            <w:tcW w:w="2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24,548</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23,208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1,763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1,763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23"/>
        </w:trPr>
        <w:tc>
          <w:tcPr>
            <w:tcW w:w="58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1,824,554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1,571,682</w:t>
            </w: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1,289,444</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1,291,082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396,559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396,559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441,407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464,323</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1,171,736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1,171,736</w:t>
            </w:r>
          </w:p>
        </w:tc>
        <w:tc>
          <w:tcPr>
            <w:tcW w:w="2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1,145,705</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1,155,072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NAME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577,000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577,000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861,920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861,920</w:t>
            </w:r>
          </w:p>
        </w:tc>
        <w:tc>
          <w:tcPr>
            <w:tcW w:w="2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861,920</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861,920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11,079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6,951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15,845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17,232</w:t>
            </w:r>
          </w:p>
        </w:tc>
        <w:tc>
          <w:tcPr>
            <w:tcW w:w="0" w:type="dxa"/>
            <w:vAlign w:val="bottom"/>
          </w:tcPr>
          <w:p>
            <w:pPr>
              <w:spacing w:after="0"/>
              <w:rPr>
                <w:sz w:val="1"/>
                <w:szCs w:val="1"/>
                <w:color w:val="auto"/>
              </w:rPr>
            </w:pPr>
          </w:p>
        </w:tc>
      </w:tr>
      <w:tr>
        <w:trPr>
          <w:trHeight w:val="223"/>
        </w:trPr>
        <w:tc>
          <w:tcPr>
            <w:tcW w:w="58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4,842,848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4,585,848</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4,331,321</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LIABILITIES AND PARTNERS’ EQUITY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726,666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726,666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428,823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474,275</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245,072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245,072</w:t>
            </w:r>
          </w:p>
        </w:tc>
        <w:tc>
          <w:tcPr>
            <w:tcW w:w="2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211,381</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216,840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76,485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76,485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76,329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86,145</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18,250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18,250</w:t>
            </w:r>
          </w:p>
        </w:tc>
        <w:tc>
          <w:tcPr>
            <w:tcW w:w="2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34,116</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18,250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1,066,473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1,066,473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750,649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795,510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 net of current maturities</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1,412,800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1,412,800</w:t>
            </w:r>
          </w:p>
        </w:tc>
        <w:tc>
          <w:tcPr>
            <w:tcW w:w="2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1,428,542</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1,470,108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LEASE LIABILITIES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1,181,819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1,181,819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1,141,896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1,136,946</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6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29,683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29,683</w:t>
            </w:r>
          </w:p>
        </w:tc>
        <w:tc>
          <w:tcPr>
            <w:tcW w:w="2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19,197</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20,578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3,690,775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3,690,775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3,340,284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3,423,142</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MEMBERSHIP UNITS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2,977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2,818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18,185</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Partners’ equity, membership units authorized, issued and outstanding</w:t>
            </w:r>
          </w:p>
        </w:tc>
        <w:tc>
          <w:tcPr>
            <w:tcW w:w="16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1,157,435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900,435</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228,306,033; 228,274,749 and 228,346,526, respectively</w:t>
            </w:r>
          </w:p>
        </w:tc>
        <w:tc>
          <w:tcPr>
            <w:tcW w:w="160" w:type="dxa"/>
            <w:vAlign w:val="bottom"/>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996,285</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931,586</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(8,339)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(8,339)</w:t>
            </w:r>
          </w:p>
        </w:tc>
        <w:tc>
          <w:tcPr>
            <w:tcW w:w="22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(8,066)</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(6,284)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1,149,096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892,096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988,219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925,302</w:t>
            </w:r>
          </w:p>
        </w:tc>
        <w:tc>
          <w:tcPr>
            <w:tcW w:w="0" w:type="dxa"/>
            <w:vAlign w:val="bottom"/>
          </w:tcPr>
          <w:p>
            <w:pPr>
              <w:spacing w:after="0"/>
              <w:rPr>
                <w:sz w:val="1"/>
                <w:szCs w:val="1"/>
                <w:color w:val="auto"/>
              </w:rPr>
            </w:pPr>
          </w:p>
        </w:tc>
      </w:tr>
      <w:tr>
        <w:trPr>
          <w:trHeight w:val="223"/>
        </w:trPr>
        <w:tc>
          <w:tcPr>
            <w:tcW w:w="58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partners’ equity</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4,842,848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4,585,848</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4,331,321</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5"/>
                <w:szCs w:val="15"/>
                <w:color w:val="auto"/>
              </w:rPr>
            </w:pPr>
          </w:p>
        </w:tc>
        <w:tc>
          <w:tcPr>
            <w:tcW w:w="25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300" w:type="dxa"/>
            <w:vAlign w:val="bottom"/>
            <w:tcBorders>
              <w:top w:val="single" w:sz="8" w:color="auto"/>
            </w:tcBorders>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500" w:type="dxa"/>
            <w:vAlign w:val="bottom"/>
          </w:tcPr>
          <w:p>
            <w:pPr>
              <w:spacing w:after="0"/>
              <w:rPr>
                <w:sz w:val="12"/>
                <w:szCs w:val="12"/>
                <w:color w:val="auto"/>
              </w:rPr>
            </w:pPr>
          </w:p>
        </w:tc>
        <w:tc>
          <w:tcPr>
            <w:tcW w:w="130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1,606,420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1,237,410</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2,742,721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2,314,202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1,109,919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852,206</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1,948,275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1,616,002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496,501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385,204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794,446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698,200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312,713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312,570</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596,636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614,172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183,788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72,634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197,810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84,028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23,566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25,549</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48,088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52,586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(7,831)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168,681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49,225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159,174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75,161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1,005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167,676</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20"/>
                <w:szCs w:val="20"/>
                <w:color w:val="auto"/>
              </w:rPr>
              <w:t>48,347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157,656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73,753</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UNIT: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0.73</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0.69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0.72</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0.67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228,306,033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9"/>
              </w:rPr>
              <w:t>228,326,985</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228,300,128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228,308,074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234,485,451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9"/>
              </w:rPr>
              <w:t>234,700,060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234,635,551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235,511,210</w:t>
            </w: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Unaudited Pro Forma Financial Information (NOTE 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168,681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159,174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income tax expense</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42,332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40,516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 forma net income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126,349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118,658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75,792,106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77,803,352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5"/>
                <w:szCs w:val="15"/>
                <w:color w:val="auto"/>
              </w:rPr>
            </w:pPr>
          </w:p>
        </w:tc>
        <w:tc>
          <w:tcPr>
            <w:tcW w:w="23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5560" w:type="dxa"/>
            <w:vAlign w:val="bottom"/>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3, 2019</w:t>
            </w:r>
          </w:p>
        </w:tc>
        <w:tc>
          <w:tcPr>
            <w:tcW w:w="560" w:type="dxa"/>
            <w:vAlign w:val="bottom"/>
          </w:tcPr>
          <w:p>
            <w:pPr>
              <w:spacing w:after="0"/>
              <w:rPr>
                <w:sz w:val="12"/>
                <w:szCs w:val="12"/>
                <w:color w:val="auto"/>
              </w:rPr>
            </w:pPr>
          </w:p>
        </w:tc>
        <w:tc>
          <w:tcPr>
            <w:tcW w:w="14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9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3, 2019</w:t>
            </w:r>
          </w:p>
        </w:tc>
        <w:tc>
          <w:tcPr>
            <w:tcW w:w="120" w:type="dxa"/>
            <w:vAlign w:val="bottom"/>
          </w:tcPr>
          <w:p>
            <w:pPr>
              <w:spacing w:after="0"/>
              <w:rPr>
                <w:sz w:val="12"/>
                <w:szCs w:val="12"/>
                <w:color w:val="auto"/>
              </w:rPr>
            </w:pP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167,676</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48,347</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157,656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73,753</w:t>
            </w: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interest rate swaps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(606)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(9,632)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(5,040)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(13,142)</w:t>
            </w: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Recognized interest (income) expense on interest rate swaps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(708)</w:t>
            </w:r>
          </w:p>
        </w:tc>
        <w:tc>
          <w:tcPr>
            <w:tcW w:w="22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4,767</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(1,590)</w:t>
            </w:r>
          </w:p>
        </w:tc>
      </w:tr>
      <w:tr>
        <w:trPr>
          <w:trHeight w:val="27"/>
        </w:trPr>
        <w:tc>
          <w:tcPr>
            <w:tcW w:w="5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169,944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38,007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157,383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59,021</w:t>
            </w:r>
          </w:p>
        </w:tc>
      </w:tr>
      <w:tr>
        <w:trPr>
          <w:trHeight w:val="20"/>
        </w:trPr>
        <w:tc>
          <w:tcPr>
            <w:tcW w:w="5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440" w:type="dxa"/>
            <w:vAlign w:val="bottom"/>
            <w:gridSpan w:val="7"/>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440" w:type="dxa"/>
            <w:vAlign w:val="bottom"/>
            <w:gridSpan w:val="7"/>
            <w:vMerge w:val="continue"/>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gridSpan w:val="5"/>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Membership</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Membership Units</w:t>
            </w:r>
          </w:p>
        </w:tc>
        <w:tc>
          <w:tcPr>
            <w:tcW w:w="2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7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6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Pr>
          <w:p>
            <w:pPr>
              <w:spacing w:after="0"/>
              <w:rPr>
                <w:sz w:val="15"/>
                <w:szCs w:val="15"/>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40" w:type="dxa"/>
            <w:vAlign w:val="bottom"/>
            <w:gridSpan w:val="5"/>
            <w:vMerge w:val="continue"/>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5"/>
                <w:szCs w:val="15"/>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98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as of February 1, 2020</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511,524</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2,818</w:t>
            </w: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227,763,225</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996,285</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(8,066)</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988,219</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228,274,749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82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loss</w:t>
            </w:r>
          </w:p>
        </w:tc>
        <w:tc>
          <w:tcPr>
            <w:tcW w:w="5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ind w:lef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60" w:type="dxa"/>
            <w:vAlign w:val="bottom"/>
          </w:tcPr>
          <w:p>
            <w:pPr>
              <w:ind w:left="5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(10,020)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(10,020)</w:t>
            </w:r>
          </w:p>
        </w:tc>
        <w:tc>
          <w:tcPr>
            <w:tcW w:w="200" w:type="dxa"/>
            <w:vAlign w:val="bottom"/>
          </w:tcPr>
          <w:p>
            <w:pPr>
              <w:spacing w:after="0"/>
              <w:rPr>
                <w:sz w:val="13"/>
                <w:szCs w:val="13"/>
                <w:color w:val="auto"/>
              </w:rPr>
            </w:pPr>
          </w:p>
        </w:tc>
        <w:tc>
          <w:tcPr>
            <w:tcW w:w="80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6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82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Adjustment to Redeemable Membership Units for settlement of vested</w:t>
            </w:r>
          </w:p>
        </w:tc>
        <w:tc>
          <w:tcPr>
            <w:tcW w:w="5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38,024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200</w:t>
            </w:r>
          </w:p>
        </w:tc>
        <w:tc>
          <w:tcPr>
            <w:tcW w:w="9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(200)</w:t>
            </w:r>
          </w:p>
        </w:tc>
        <w:tc>
          <w:tcPr>
            <w:tcW w:w="60" w:type="dxa"/>
            <w:vAlign w:val="bottom"/>
          </w:tcPr>
          <w:p>
            <w:pPr>
              <w:spacing w:after="0"/>
              <w:rPr>
                <w:sz w:val="10"/>
                <w:szCs w:val="10"/>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(200)</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38,024</w:t>
            </w:r>
          </w:p>
        </w:tc>
        <w:tc>
          <w:tcPr>
            <w:tcW w:w="0" w:type="dxa"/>
            <w:vAlign w:val="bottom"/>
          </w:tcPr>
          <w:p>
            <w:pPr>
              <w:spacing w:after="0"/>
              <w:rPr>
                <w:sz w:val="1"/>
                <w:szCs w:val="1"/>
                <w:color w:val="auto"/>
              </w:rPr>
            </w:pPr>
          </w:p>
        </w:tc>
      </w:tr>
      <w:tr>
        <w:trPr>
          <w:trHeight w:val="171"/>
        </w:trPr>
        <w:tc>
          <w:tcPr>
            <w:tcW w:w="48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Restricted Units</w:t>
            </w:r>
          </w:p>
        </w:tc>
        <w:tc>
          <w:tcPr>
            <w:tcW w:w="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82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Adjustment to Redeemable Membership Units for repurchase of units from</w:t>
            </w:r>
          </w:p>
        </w:tc>
        <w:tc>
          <w:tcPr>
            <w:tcW w:w="6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(6,740)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(41)</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6,740</w:t>
            </w:r>
          </w:p>
        </w:tc>
        <w:tc>
          <w:tcPr>
            <w:tcW w:w="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41</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Managers</w:t>
            </w:r>
          </w:p>
        </w:tc>
        <w:tc>
          <w:tcPr>
            <w:tcW w:w="6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of Redeemable Membership Units</w:t>
            </w:r>
          </w:p>
        </w:tc>
        <w:tc>
          <w:tcPr>
            <w:tcW w:w="6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(6,740)</w:t>
            </w:r>
          </w:p>
        </w:tc>
        <w:tc>
          <w:tcPr>
            <w:tcW w:w="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6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(6,740)</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6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(4,434)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(4,434)</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48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Recognized interest expense on interest rate swaps</w:t>
            </w: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60" w:type="dxa"/>
            <w:vAlign w:val="bottom"/>
            <w:tcBorders>
              <w:bottom w:val="single" w:sz="8" w:color="auto"/>
            </w:tcBorders>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w:t>
            </w:r>
          </w:p>
        </w:tc>
        <w:tc>
          <w:tcPr>
            <w:tcW w:w="200" w:type="dxa"/>
            <w:vAlign w:val="bottom"/>
          </w:tcPr>
          <w:p>
            <w:pPr>
              <w:spacing w:after="0"/>
              <w:rPr>
                <w:sz w:val="13"/>
                <w:szCs w:val="13"/>
                <w:color w:val="auto"/>
              </w:rPr>
            </w:pPr>
          </w:p>
        </w:tc>
        <w:tc>
          <w:tcPr>
            <w:tcW w:w="80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May 2, 2020</w:t>
            </w: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542,808</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2,977</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227,763,225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988,178</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(10,607)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977,571</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228,306,033</w:t>
            </w:r>
          </w:p>
        </w:tc>
        <w:tc>
          <w:tcPr>
            <w:tcW w:w="0" w:type="dxa"/>
            <w:vAlign w:val="bottom"/>
          </w:tcPr>
          <w:p>
            <w:pPr>
              <w:spacing w:after="0"/>
              <w:rPr>
                <w:sz w:val="1"/>
                <w:szCs w:val="1"/>
                <w:color w:val="auto"/>
              </w:rPr>
            </w:pPr>
          </w:p>
        </w:tc>
      </w:tr>
      <w:tr>
        <w:trPr>
          <w:trHeight w:val="155"/>
        </w:trPr>
        <w:tc>
          <w:tcPr>
            <w:tcW w:w="482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ind w:lef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60" w:type="dxa"/>
            <w:vAlign w:val="bottom"/>
            <w:tcBorders>
              <w:top w:val="single" w:sz="8" w:color="auto"/>
            </w:tcBorders>
          </w:tcPr>
          <w:p>
            <w:pPr>
              <w:ind w:left="5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167,676</w:t>
            </w: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167,676</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6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6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Recognized interest expense on interest rate swaps</w:t>
            </w:r>
          </w:p>
        </w:tc>
        <w:tc>
          <w:tcPr>
            <w:tcW w:w="6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2,874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2,874</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48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Balances as of August 1, 2020</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542,808</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2,977</w:t>
            </w:r>
          </w:p>
        </w:tc>
        <w:tc>
          <w:tcPr>
            <w:tcW w:w="200" w:type="dxa"/>
            <w:vAlign w:val="bottom"/>
          </w:tcPr>
          <w:p>
            <w:pPr>
              <w:spacing w:after="0"/>
              <w:rPr>
                <w:sz w:val="13"/>
                <w:szCs w:val="13"/>
                <w:color w:val="auto"/>
              </w:rPr>
            </w:pPr>
          </w:p>
        </w:tc>
        <w:tc>
          <w:tcPr>
            <w:tcW w:w="760" w:type="dxa"/>
            <w:vAlign w:val="bottom"/>
            <w:tcBorders>
              <w:top w:val="single" w:sz="8" w:color="auto"/>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w w:val="97"/>
              </w:rPr>
              <w:t>227,763,225</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1,157,435</w:t>
            </w: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(8,339)</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1,149,096</w:t>
            </w:r>
          </w:p>
        </w:tc>
        <w:tc>
          <w:tcPr>
            <w:tcW w:w="20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228,306,033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4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Membership</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Membership Units</w:t>
            </w:r>
          </w:p>
        </w:tc>
        <w:tc>
          <w:tcPr>
            <w:tcW w:w="1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4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as of February 2, 2019</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4,289,056</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$ 17,885</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99"/>
              </w:rPr>
              <w:t>224,000,107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848,591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8,448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$ 857,039</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228,289,163</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12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520" w:type="dxa"/>
            <w:vAlign w:val="bottom"/>
          </w:tcPr>
          <w:p>
            <w:pPr>
              <w:ind w:left="3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80" w:type="dxa"/>
            <w:vAlign w:val="bottom"/>
          </w:tcPr>
          <w:p>
            <w:pPr>
              <w:ind w:left="5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25,406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25,406</w:t>
            </w:r>
          </w:p>
        </w:tc>
        <w:tc>
          <w:tcPr>
            <w:tcW w:w="200" w:type="dxa"/>
            <w:vAlign w:val="bottom"/>
          </w:tcPr>
          <w:p>
            <w:pPr>
              <w:spacing w:after="0"/>
              <w:rPr>
                <w:sz w:val="13"/>
                <w:szCs w:val="13"/>
                <w:color w:val="auto"/>
              </w:rPr>
            </w:pPr>
          </w:p>
        </w:tc>
        <w:tc>
          <w:tcPr>
            <w:tcW w:w="80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Cumulative-effect adjustment related to the adoption of the New Lease Standard</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5,075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5,075</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(3,510)</w:t>
            </w:r>
          </w:p>
        </w:tc>
        <w:tc>
          <w:tcPr>
            <w:tcW w:w="8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(3,510)</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Recognized interest income on interest rate swaps</w:t>
            </w: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8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May 4, 2019</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4,289,056</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$ 17,885</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99"/>
              </w:rPr>
              <w:t>224,000,107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881,094</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4,056</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$ 885,150</w:t>
            </w: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228,289,163</w:t>
            </w:r>
          </w:p>
        </w:tc>
        <w:tc>
          <w:tcPr>
            <w:tcW w:w="0" w:type="dxa"/>
            <w:vAlign w:val="bottom"/>
          </w:tcPr>
          <w:p>
            <w:pPr>
              <w:spacing w:after="0"/>
              <w:rPr>
                <w:sz w:val="1"/>
                <w:szCs w:val="1"/>
                <w:color w:val="auto"/>
              </w:rPr>
            </w:pPr>
          </w:p>
        </w:tc>
      </w:tr>
      <w:tr>
        <w:trPr>
          <w:trHeight w:val="155"/>
        </w:trPr>
        <w:tc>
          <w:tcPr>
            <w:tcW w:w="512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520" w:type="dxa"/>
            <w:vAlign w:val="bottom"/>
            <w:tcBorders>
              <w:top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80" w:type="dxa"/>
            <w:vAlign w:val="bottom"/>
            <w:tcBorders>
              <w:top w:val="single" w:sz="8" w:color="auto"/>
            </w:tcBorders>
          </w:tcPr>
          <w:p>
            <w:pPr>
              <w:ind w:left="5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48,347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48,347</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512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Adjustment to Redeemable Membership Units for settlement of vested Restricted</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57,363</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300</w:t>
            </w: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(300)</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57,363</w:t>
            </w:r>
          </w:p>
        </w:tc>
        <w:tc>
          <w:tcPr>
            <w:tcW w:w="0" w:type="dxa"/>
            <w:vAlign w:val="bottom"/>
          </w:tcPr>
          <w:p>
            <w:pPr>
              <w:spacing w:after="0"/>
              <w:rPr>
                <w:sz w:val="1"/>
                <w:szCs w:val="1"/>
                <w:color w:val="auto"/>
              </w:rPr>
            </w:pPr>
          </w:p>
        </w:tc>
      </w:tr>
      <w:tr>
        <w:trPr>
          <w:trHeight w:val="171"/>
        </w:trPr>
        <w:tc>
          <w:tcPr>
            <w:tcW w:w="51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Units</w:t>
            </w:r>
          </w:p>
        </w:tc>
        <w:tc>
          <w:tcPr>
            <w:tcW w:w="7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(9,632)</w:t>
            </w:r>
          </w:p>
        </w:tc>
        <w:tc>
          <w:tcPr>
            <w:tcW w:w="8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(9,632)</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Recognized interest income on interest rate swaps</w:t>
            </w: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8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August 3, 2019</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4,346,419</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$ 18,185</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224,000,107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931,586</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(6,284)</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$ 925,302</w:t>
            </w: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228,346,526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7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20" w:type="dxa"/>
            <w:vAlign w:val="bottom"/>
            <w:tcBorders>
              <w:top w:val="single" w:sz="8" w:color="auto"/>
            </w:tcBorders>
            <w:gridSpan w:val="3"/>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1, 2020</w:t>
            </w:r>
          </w:p>
        </w:tc>
        <w:tc>
          <w:tcPr>
            <w:tcW w:w="9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3, 2019</w:t>
            </w:r>
          </w:p>
        </w:tc>
        <w:tc>
          <w:tcPr>
            <w:tcW w:w="120" w:type="dxa"/>
            <w:vAlign w:val="bottom"/>
          </w:tcPr>
          <w:p>
            <w:pPr>
              <w:spacing w:after="0"/>
              <w:rPr>
                <w:sz w:val="12"/>
                <w:szCs w:val="12"/>
                <w:color w:val="auto"/>
              </w:rPr>
            </w:pPr>
          </w:p>
        </w:tc>
      </w:tr>
      <w:tr>
        <w:trPr>
          <w:trHeight w:val="196"/>
        </w:trPr>
        <w:tc>
          <w:tcPr>
            <w:tcW w:w="7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157,656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73,753</w:t>
            </w: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54,151</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59,097</w:t>
            </w:r>
          </w:p>
        </w:tc>
      </w:tr>
      <w:tr>
        <w:trPr>
          <w:trHeight w:val="216"/>
        </w:trPr>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lease expense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14,049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1,464</w:t>
            </w: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Equity compensation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3,690</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4,467</w:t>
            </w:r>
          </w:p>
        </w:tc>
      </w:tr>
      <w:tr>
        <w:trPr>
          <w:trHeight w:val="216"/>
        </w:trPr>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deferred loan and other costs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1,827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1,874</w:t>
            </w: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gain on early retirement of debt, net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(7,831)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(42,265)</w:t>
            </w: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Casualty loss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4,819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6,260</w:t>
            </w:r>
          </w:p>
        </w:tc>
      </w:tr>
      <w:tr>
        <w:trPr>
          <w:trHeight w:val="216"/>
        </w:trPr>
        <w:tc>
          <w:tcPr>
            <w:tcW w:w="7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200,647</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(69,650)</w:t>
            </w:r>
          </w:p>
        </w:tc>
      </w:tr>
      <w:tr>
        <w:trPr>
          <w:trHeight w:val="216"/>
        </w:trPr>
        <w:tc>
          <w:tcPr>
            <w:tcW w:w="7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(1,623)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(1,656)</w:t>
            </w:r>
          </w:p>
        </w:tc>
      </w:tr>
      <w:tr>
        <w:trPr>
          <w:trHeight w:val="216"/>
        </w:trPr>
        <w:tc>
          <w:tcPr>
            <w:tcW w:w="7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(74)</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302,391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42,773</w:t>
            </w:r>
          </w:p>
        </w:tc>
      </w:tr>
      <w:tr>
        <w:trPr>
          <w:trHeight w:val="216"/>
        </w:trPr>
        <w:tc>
          <w:tcPr>
            <w:tcW w:w="7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32,335</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28,908</w:t>
            </w:r>
          </w:p>
        </w:tc>
      </w:tr>
      <w:tr>
        <w:trPr>
          <w:trHeight w:val="216"/>
        </w:trPr>
        <w:tc>
          <w:tcPr>
            <w:tcW w:w="7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11,568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(767)</w:t>
            </w:r>
          </w:p>
        </w:tc>
      </w:tr>
      <w:tr>
        <w:trPr>
          <w:trHeight w:val="230"/>
        </w:trPr>
        <w:tc>
          <w:tcPr>
            <w:tcW w:w="7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773,621</w:t>
            </w:r>
          </w:p>
        </w:tc>
        <w:tc>
          <w:tcPr>
            <w:tcW w:w="7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103,961</w:t>
            </w:r>
          </w:p>
        </w:tc>
        <w:tc>
          <w:tcPr>
            <w:tcW w:w="120" w:type="dxa"/>
            <w:vAlign w:val="bottom"/>
          </w:tcPr>
          <w:p>
            <w:pPr>
              <w:spacing w:after="0"/>
              <w:rPr>
                <w:sz w:val="20"/>
                <w:szCs w:val="20"/>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(13,850)</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(27,802)</w:t>
            </w: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receivable from member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(3,988)</w:t>
            </w:r>
          </w:p>
        </w:tc>
      </w:tr>
      <w:tr>
        <w:trPr>
          <w:trHeight w:val="27"/>
        </w:trPr>
        <w:tc>
          <w:tcPr>
            <w:tcW w:w="7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(13,850)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(31,767)</w:t>
            </w: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314,900</w:t>
            </w: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(297,000)</w:t>
            </w: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term loan facility</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(25,090)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(113,695)</w:t>
            </w: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 of Redeemable Membership Units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(37)</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(25,127)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(95,795)</w:t>
            </w: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734,644</w:t>
            </w: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(23,601)</w:t>
            </w:r>
          </w:p>
        </w:tc>
        <w:tc>
          <w:tcPr>
            <w:tcW w:w="120" w:type="dxa"/>
            <w:vAlign w:val="bottom"/>
          </w:tcPr>
          <w:p>
            <w:pPr>
              <w:spacing w:after="0"/>
              <w:rPr>
                <w:sz w:val="19"/>
                <w:szCs w:val="19"/>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149,385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75,691</w:t>
            </w: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884,029</w:t>
            </w: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52,090</w:t>
            </w:r>
          </w:p>
        </w:tc>
        <w:tc>
          <w:tcPr>
            <w:tcW w:w="12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12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46,694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50,798</w:t>
            </w: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state and local income taxes</w:t>
            </w:r>
          </w:p>
        </w:tc>
        <w:tc>
          <w:tcPr>
            <w:tcW w:w="1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2,461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2,588</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capital expenditures in accounts payable and accrued liabilities</w:t>
            </w:r>
          </w:p>
        </w:tc>
        <w:tc>
          <w:tcPr>
            <w:tcW w:w="1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4,547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535</w:t>
            </w:r>
          </w:p>
        </w:tc>
      </w:tr>
      <w:tr>
        <w:trPr>
          <w:trHeight w:val="238"/>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leases</w:t>
            </w:r>
          </w:p>
        </w:tc>
        <w:tc>
          <w:tcPr>
            <w:tcW w:w="12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71,118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22,409</w:t>
            </w:r>
          </w:p>
        </w:tc>
      </w:tr>
    </w:tbl>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8" w:lineRule="auto"/>
        <w:rPr>
          <w:sz w:val="20"/>
          <w:szCs w:val="20"/>
          <w:color w:val="auto"/>
        </w:rPr>
      </w:pPr>
      <w:r>
        <w:rPr>
          <w:rFonts w:ascii="Times New Roman" w:cs="Times New Roman" w:eastAsia="Times New Roman" w:hAnsi="Times New Roman"/>
          <w:sz w:val="18"/>
          <w:szCs w:val="18"/>
          <w:b w:val="1"/>
          <w:bCs w:val="1"/>
          <w:color w:val="auto"/>
        </w:rPr>
        <w:t>NEW ACADEMY HOLDING COMPANY, LLC CONDENSED NOTES TO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540" w:hanging="424"/>
        <w:spacing w:after="0"/>
        <w:tabs>
          <w:tab w:leader="none" w:pos="54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21" w:lineRule="exact"/>
        <w:rPr>
          <w:sz w:val="20"/>
          <w:szCs w:val="20"/>
          <w:color w:val="auto"/>
        </w:rPr>
      </w:pPr>
    </w:p>
    <w:p>
      <w:pPr>
        <w:ind w:left="560" w:right="140" w:firstLine="423"/>
        <w:spacing w:after="0" w:line="258" w:lineRule="auto"/>
        <w:rPr>
          <w:sz w:val="20"/>
          <w:szCs w:val="20"/>
          <w:color w:val="auto"/>
        </w:rPr>
      </w:pPr>
      <w:r>
        <w:rPr>
          <w:rFonts w:ascii="Times New Roman" w:cs="Times New Roman" w:eastAsia="Times New Roman" w:hAnsi="Times New Roman"/>
          <w:sz w:val="18"/>
          <w:szCs w:val="18"/>
          <w:color w:val="auto"/>
        </w:rPr>
        <w:t>New Academy Holding Company, LLC, a Delaware limited liability company, or Holdco and, together with its direct and indirect subsidiaries, the Company, we, us or our, is a holding company that conducts its operations through its subsidiaries, including its indirect subsidiary Academy, Ltd., a Texas limited partnership doing business as “Academy Sports + Outdoors”, or Academy, Ltd. Our fiscal year represents the 52 or 53 weeks ending on the Saturday closest to January 31. On August 3, 2011, an investment entity owned by investment funds and other entities affiliated with Kohlberg Kravis Roberts &amp; Co. L.P., or collectively, KKR, acquired a majority interest in the Company.</w:t>
      </w:r>
    </w:p>
    <w:p>
      <w:pPr>
        <w:spacing w:after="0" w:line="183" w:lineRule="exact"/>
        <w:rPr>
          <w:sz w:val="20"/>
          <w:szCs w:val="20"/>
          <w:color w:val="auto"/>
        </w:rPr>
      </w:pPr>
    </w:p>
    <w:p>
      <w:pPr>
        <w:jc w:val="both"/>
        <w:ind w:left="560" w:right="180" w:firstLine="423"/>
        <w:spacing w:after="0" w:line="261" w:lineRule="auto"/>
        <w:rPr>
          <w:sz w:val="20"/>
          <w:szCs w:val="20"/>
          <w:color w:val="auto"/>
        </w:rPr>
      </w:pPr>
      <w:r>
        <w:rPr>
          <w:rFonts w:ascii="Times New Roman" w:cs="Times New Roman" w:eastAsia="Times New Roman" w:hAnsi="Times New Roman"/>
          <w:sz w:val="18"/>
          <w:szCs w:val="18"/>
          <w:color w:val="auto"/>
        </w:rPr>
        <w:t xml:space="preserve">The Company is one of the leading full-line sporting goods and outdoor recreational products retailers in the United States in terms of net sales. As of August 1, 2020, we operated 259 “Academy Sports + Outdoors” retail locations in 16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w:t>
      </w:r>
    </w:p>
    <w:p>
      <w:pPr>
        <w:spacing w:after="0" w:line="324" w:lineRule="exact"/>
        <w:rPr>
          <w:sz w:val="20"/>
          <w:szCs w:val="20"/>
          <w:color w:val="auto"/>
        </w:rPr>
      </w:pPr>
    </w:p>
    <w:p>
      <w:pPr>
        <w:ind w:left="540" w:hanging="424"/>
        <w:spacing w:after="0"/>
        <w:tabs>
          <w:tab w:leader="none" w:pos="54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left="560" w:right="20" w:firstLine="423"/>
        <w:spacing w:after="0" w:line="254" w:lineRule="auto"/>
        <w:rPr>
          <w:sz w:val="20"/>
          <w:szCs w:val="20"/>
          <w:color w:val="auto"/>
        </w:rPr>
      </w:pPr>
      <w:r>
        <w:rPr>
          <w:rFonts w:ascii="Times New Roman" w:cs="Times New Roman" w:eastAsia="Times New Roman" w:hAnsi="Times New Roman"/>
          <w:sz w:val="18"/>
          <w:szCs w:val="18"/>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or GAAP, for complete financial statements. The information furnished herein reflects all normal recurring adjustments which are, in the opinion of management, necessary for a fair presentation of the results for the interim periods presented. The results of operations for the thirteen and twenty-six weeks ended August 1, 2020 are not necessarily indicative of the results that will be realized for the fiscal year ending January 30, 2021 or any other period. The balance sheet as of February 1, 2020 has been derived from our audited financial statements as of that date. For further information, refer to our audited financial statements and notes thereto included for the year ended February 1, 2020.</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jc w:val="both"/>
        <w:ind w:left="560" w:right="200" w:firstLine="423"/>
        <w:spacing w:after="0" w:line="258"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Holdco, its wholly owned subsidiary New Academy Finance Company LLC, or Finco, and the accounts of Finco’s wholly owned subsidiaries Academy Managing Co., LLC, Associated Investors, LLC and New Academy Finance Corporation. Academy Managing Co., LLC and Associated Investors, LLC are holding companies and are the sole general partner and sole limited partner, respectively, of Academy, Ltd., the Company’s operating company. All intercompany balances and transactions have been eliminated in consolidation.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2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289" w:lineRule="auto"/>
        <w:rPr>
          <w:sz w:val="20"/>
          <w:szCs w:val="20"/>
          <w:color w:val="auto"/>
        </w:rPr>
      </w:pPr>
      <w:r>
        <w:rPr>
          <w:rFonts w:ascii="Times New Roman" w:cs="Times New Roman" w:eastAsia="Times New Roman" w:hAnsi="Times New Roman"/>
          <w:sz w:val="17"/>
          <w:szCs w:val="17"/>
          <w:color w:val="auto"/>
        </w:rPr>
        <w:t>the financial statements involve difficult, subjective or complex judgments by management include the valuation of merchandise inventories and performing goodwill, intangible and long-lived asset impairment analyses. Given the global economic climate and additional unforseen effects from the COVID-19 pandemic, these estimates are becoming more challenging, and actual results could differ materially from our estimates.</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21" w:lineRule="exact"/>
        <w:rPr>
          <w:sz w:val="20"/>
          <w:szCs w:val="20"/>
          <w:color w:val="auto"/>
        </w:rPr>
      </w:pPr>
    </w:p>
    <w:p>
      <w:pPr>
        <w:jc w:val="both"/>
        <w:ind w:left="560" w:right="240" w:firstLine="423"/>
        <w:spacing w:after="0" w:line="266" w:lineRule="auto"/>
        <w:rPr>
          <w:sz w:val="20"/>
          <w:szCs w:val="20"/>
          <w:color w:val="auto"/>
        </w:rPr>
      </w:pPr>
      <w:r>
        <w:rPr>
          <w:rFonts w:ascii="Times New Roman" w:cs="Times New Roman" w:eastAsia="Times New Roman" w:hAnsi="Times New Roman"/>
          <w:sz w:val="18"/>
          <w:szCs w:val="18"/>
          <w:color w:val="auto"/>
        </w:rPr>
        <w:t>In connection with the proposed initial public offering, or the IPO, of Academy Sports and Outdoors, Inc., a Delaware corporation, or an IPO issuer, we will undertake a series of reorganization transactions, or the Reorganization Transactions, that will result in, among other things, Holdco being contributed by its unitholders to the IPO issuer and becoming a wholly owned subsidiary of the IPO issuer.</w:t>
      </w:r>
    </w:p>
    <w:p>
      <w:pPr>
        <w:spacing w:after="0" w:line="176" w:lineRule="exact"/>
        <w:rPr>
          <w:sz w:val="20"/>
          <w:szCs w:val="20"/>
          <w:color w:val="auto"/>
        </w:rPr>
      </w:pPr>
    </w:p>
    <w:p>
      <w:pPr>
        <w:ind w:left="560" w:right="40" w:firstLine="423"/>
        <w:spacing w:after="0" w:line="273" w:lineRule="auto"/>
        <w:rPr>
          <w:sz w:val="20"/>
          <w:szCs w:val="20"/>
          <w:color w:val="auto"/>
        </w:rPr>
      </w:pPr>
      <w:r>
        <w:rPr>
          <w:rFonts w:ascii="Times New Roman" w:cs="Times New Roman" w:eastAsia="Times New Roman" w:hAnsi="Times New Roman"/>
          <w:sz w:val="17"/>
          <w:szCs w:val="17"/>
          <w:color w:val="auto"/>
        </w:rPr>
        <w:t>The unaudited pro forma financial information provided on the consolidated statements of income (loss) provides the estimated impact to net income (loss) and earnings per unit based upon the anticipated conversion of the Company to a C corporation in connection with the IPO. We are currently treated as a flow through entity for U.S. federal income tax purposes, and thus no federal income tax expense has been recorded in our consolidated statements of income (loss). After consummation of the IPO, we will become subject to U.S. federal income taxes and additional state income taxes and be taxed at the prevailing corporate rates. The pro forma tax expense assumed in the unaudited pro forma financial information is estimated to be 24.5% plus certain state taxes we currently include in income tax expense as a flow through entity. Our actual income tax rate, and our actual income tax liability, after the IPO may be different from our assumed rate, and such difference may be material.</w:t>
      </w:r>
    </w:p>
    <w:p>
      <w:pPr>
        <w:spacing w:after="0" w:line="171" w:lineRule="exact"/>
        <w:rPr>
          <w:sz w:val="20"/>
          <w:szCs w:val="20"/>
          <w:color w:val="auto"/>
        </w:rPr>
      </w:pPr>
    </w:p>
    <w:p>
      <w:pPr>
        <w:ind w:left="560" w:right="100" w:firstLine="423"/>
        <w:spacing w:after="0" w:line="282" w:lineRule="auto"/>
        <w:rPr>
          <w:sz w:val="20"/>
          <w:szCs w:val="20"/>
          <w:color w:val="auto"/>
        </w:rPr>
      </w:pPr>
      <w:r>
        <w:rPr>
          <w:rFonts w:ascii="Times New Roman" w:cs="Times New Roman" w:eastAsia="Times New Roman" w:hAnsi="Times New Roman"/>
          <w:sz w:val="18"/>
          <w:szCs w:val="18"/>
          <w:color w:val="auto"/>
        </w:rPr>
        <w:t>On August 28, 2020, Holdco distributed a $257.0 million one-time special distribution (the “Distribution”) to existing unitholders of record as of August 25, 2020.</w:t>
      </w:r>
    </w:p>
    <w:p>
      <w:pPr>
        <w:spacing w:after="0" w:line="162" w:lineRule="exact"/>
        <w:rPr>
          <w:sz w:val="20"/>
          <w:szCs w:val="20"/>
          <w:color w:val="auto"/>
        </w:rPr>
      </w:pPr>
    </w:p>
    <w:p>
      <w:pPr>
        <w:ind w:left="560" w:right="120" w:firstLine="423"/>
        <w:spacing w:after="0" w:line="261" w:lineRule="auto"/>
        <w:rPr>
          <w:sz w:val="20"/>
          <w:szCs w:val="20"/>
          <w:color w:val="auto"/>
        </w:rPr>
      </w:pPr>
      <w:r>
        <w:rPr>
          <w:rFonts w:ascii="Times New Roman" w:cs="Times New Roman" w:eastAsia="Times New Roman" w:hAnsi="Times New Roman"/>
          <w:sz w:val="18"/>
          <w:szCs w:val="18"/>
          <w:color w:val="auto"/>
        </w:rPr>
        <w:t>U.S. Securities and Exchange Commission Staff Accounting Bulletin 1.B.3 requires that certain distributions to owners prior to or concurrent with an initial public offering be considered as distributions in contemplation of that offering. The Company is required to present unaudited basic and diluted pro forma net income per share of common stock as a result of the Distribution, which is assumed to have been made in contemplation of the proposed IPO.</w:t>
      </w:r>
    </w:p>
    <w:p>
      <w:pPr>
        <w:spacing w:after="0" w:line="180"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Unaudited basic and diluted pro forma net income per share data presented below assumed that (i) 72,476,231, basic, and 74,487,477, diluted, shares of common stock of the IPO issuer were issued and outstanding for the twenty-six weeks ended August 1, 2020 in connection with the contribution of Holdco by its unitholders and related Reorganization Transactions and related cancellation of all outstanding partners’ equity at Holdco in connection with the IPO and (ii) an additional 3,315,875 of the Company’s shares of common stock were outstanding for the twenty-six weeks ended August 1, 2020, which represents the number of shares of common stock that the Company would have been required to issue to fund the amount of the Distribution in excess of its net income for the twelve months ended August 1, 2020. The number of shares that the Company would have been required to issue to pay the Distribution was calculated by dividing the portion of the total $257.0 million Distribution in excess of the Company’s net income for the twelve months ended August 1, 2020 by an assumed initial public offering price in the IPO of $16.00 per share, representing the midpoint of the estimated price range set forth on the cover page of the prospectus.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120" w:firstLine="423"/>
        <w:spacing w:after="0" w:line="282" w:lineRule="auto"/>
        <w:rPr>
          <w:sz w:val="20"/>
          <w:szCs w:val="20"/>
          <w:color w:val="auto"/>
        </w:rPr>
      </w:pPr>
      <w:r>
        <w:rPr>
          <w:rFonts w:ascii="Times New Roman" w:cs="Times New Roman" w:eastAsia="Times New Roman" w:hAnsi="Times New Roman"/>
          <w:sz w:val="18"/>
          <w:szCs w:val="18"/>
          <w:color w:val="auto"/>
        </w:rPr>
        <w:t>The table below sets forth the computation of the Company’s unaudited basic and diluted pro forma net income per share for the twenty-six week period ended August 1, 2020: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 FORMA NET INCOME PER SHARE:</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180"/>
        </w:trPr>
        <w:tc>
          <w:tcPr>
            <w:tcW w:w="76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 except for share and per share data)</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Pro forma net income</w:t>
            </w:r>
          </w:p>
        </w:tc>
        <w:tc>
          <w:tcPr>
            <w:tcW w:w="45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118,658</w:t>
            </w: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118,658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after giving effect to the Reorganization</w:t>
            </w: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8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72,476,231</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74,487,477</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weighted average shares of common stock outstanding related to the Distribution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3,315,875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3,315,875</w:t>
            </w: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weighted average shares of common stock outstanding</w:t>
            </w:r>
          </w:p>
        </w:tc>
        <w:tc>
          <w:tcPr>
            <w:tcW w:w="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75,792,106</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77,803,352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 per share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1.57</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560" w:right="120" w:firstLine="423"/>
        <w:spacing w:after="0" w:line="261" w:lineRule="auto"/>
        <w:rPr>
          <w:sz w:val="20"/>
          <w:szCs w:val="20"/>
          <w:color w:val="auto"/>
        </w:rPr>
      </w:pPr>
      <w:r>
        <w:rPr>
          <w:rFonts w:ascii="Times New Roman" w:cs="Times New Roman" w:eastAsia="Times New Roman" w:hAnsi="Times New Roman"/>
          <w:sz w:val="18"/>
          <w:szCs w:val="18"/>
          <w:color w:val="auto"/>
        </w:rPr>
        <w:t>The unaudited pro forma financial information provided on the consolidated balance sheet gives effect to the Distribution, including (i) the use of $248.0 million of cash to fund the Distribution, (ii) decreases in each of accounts receivable, prepaid expenses and other current assets and other noncurrent assets due to an offset of outstanding loans receivable from existing unitholders against the Distribution and (iii) the related decrease of $257.0 million in partners’ equity.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560" w:right="60" w:firstLine="423"/>
        <w:spacing w:after="0" w:line="258" w:lineRule="auto"/>
        <w:rPr>
          <w:sz w:val="20"/>
          <w:szCs w:val="20"/>
          <w:color w:val="auto"/>
        </w:rPr>
      </w:pPr>
      <w:r>
        <w:rPr>
          <w:rFonts w:ascii="Times New Roman" w:cs="Times New Roman" w:eastAsia="Times New Roman" w:hAnsi="Times New Roman"/>
          <w:sz w:val="18"/>
          <w:szCs w:val="18"/>
          <w:color w:val="auto"/>
        </w:rPr>
        <w:t>Certain reclassifications have been made in the prior period consolidated financial statements to conform to the current period presentation. 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and twenty-six weeks ended August 3, 2019 for comparability purposes. This reclassification is in divisional presentation only and did not impact the overall net sales balances previously disclosed.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Redeemable Membership Units</w:t>
      </w:r>
    </w:p>
    <w:p>
      <w:pPr>
        <w:spacing w:after="0" w:line="121" w:lineRule="exact"/>
        <w:rPr>
          <w:sz w:val="20"/>
          <w:szCs w:val="20"/>
          <w:color w:val="auto"/>
        </w:rPr>
      </w:pPr>
    </w:p>
    <w:p>
      <w:pPr>
        <w:ind w:left="560" w:right="120" w:firstLine="423"/>
        <w:spacing w:after="0" w:line="253" w:lineRule="auto"/>
        <w:rPr>
          <w:sz w:val="20"/>
          <w:szCs w:val="20"/>
          <w:color w:val="auto"/>
        </w:rPr>
      </w:pPr>
      <w:r>
        <w:rPr>
          <w:rFonts w:ascii="Times New Roman" w:cs="Times New Roman" w:eastAsia="Times New Roman" w:hAnsi="Times New Roman"/>
          <w:sz w:val="18"/>
          <w:szCs w:val="18"/>
          <w:color w:val="auto"/>
        </w:rPr>
        <w:t>Allstar Managers LLC, a Delaware limited liability company, or Managers, owns membership units in Holdco, or each a Holdco Membership Unit. Managers is 100% owned by certain current and former executives and directors of the Company and was formed to facilitate the purchase of indirect contingently redeemable ownership interests in the Company. Certain executives and directors may acquire contingently redeemable membership units in Managers, or the Redeemable Membership Units, either (1) by purchasing the Redeemable Membership Units with cash consideration, which is subsequently contributed to Holdco by Managers in exchange for a number of Holdco Membership Units equal to the number of Redeemable Membership Units purchased, or (2) by receiving the Redeemable Membership Units in settlement of vested restricted units awarded to the executive or director under the Company’s 2011 Unit Incentive Plan (see Note 10). Each outstanding Redeemable Membership Unit in Managers corresponds to an outstanding Holdco Membership Unit, on a unit-for-unit basis. Holdco is the sole managing member of Managers with a controlling voting interest, but no economic interest, in Managers. As the sole managing member of Managers, Holdco operates and controls all business affairs of Managers.</w:t>
      </w:r>
    </w:p>
    <w:p>
      <w:pPr>
        <w:spacing w:after="0" w:line="194" w:lineRule="exact"/>
        <w:rPr>
          <w:sz w:val="20"/>
          <w:szCs w:val="20"/>
          <w:color w:val="auto"/>
        </w:rPr>
      </w:pPr>
    </w:p>
    <w:p>
      <w:pPr>
        <w:ind w:left="560" w:right="100" w:firstLine="423"/>
        <w:spacing w:after="0" w:line="255" w:lineRule="auto"/>
        <w:rPr>
          <w:sz w:val="20"/>
          <w:szCs w:val="20"/>
          <w:color w:val="auto"/>
        </w:rPr>
      </w:pPr>
      <w:r>
        <w:rPr>
          <w:rFonts w:ascii="Times New Roman" w:cs="Times New Roman" w:eastAsia="Times New Roman" w:hAnsi="Times New Roman"/>
          <w:sz w:val="18"/>
          <w:szCs w:val="18"/>
          <w:color w:val="auto"/>
        </w:rPr>
        <w:t>The terms and conditions of the agreements governing the Redeemable Membership Units include provisions by which the holder, or its heirs, has the right to require Managers or the Company to purchase the holder’s Redeemable Membership Units upon the holder’s termination of employment due to death or disability for cash at fair value. The carrying value of the Redeemable Membership Units is classified as temporary equity, initially at fair value, as redemption is an event that is not solely within our control. If redemption becomes probable, we are required to re-measure the Redeemable Membership Units to fair value. Periodically, this right may lapse due to contractual expiration or a holder’s termination of employment for reasons other than death or disability. Due to the lapse of this right for certain issuances, $14.9 million was reclassified from temporary equity to Partners’ Equity during the 2019 third quarter.</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40"/>
          </w:cols>
          <w:pgMar w:left="320" w:top="455" w:right="43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ind w:left="560" w:right="60" w:firstLine="423"/>
        <w:spacing w:after="0" w:line="266" w:lineRule="auto"/>
        <w:rPr>
          <w:sz w:val="20"/>
          <w:szCs w:val="20"/>
          <w:color w:val="auto"/>
        </w:rPr>
      </w:pPr>
      <w:r>
        <w:rPr>
          <w:rFonts w:ascii="Times New Roman" w:cs="Times New Roman" w:eastAsia="Times New Roman" w:hAnsi="Times New Roman"/>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5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40" w:type="dxa"/>
            <w:vAlign w:val="bottom"/>
          </w:tcPr>
          <w:p>
            <w:pPr>
              <w:spacing w:after="0"/>
              <w:rPr>
                <w:sz w:val="10"/>
                <w:szCs w:val="10"/>
                <w:color w:val="auto"/>
              </w:rPr>
            </w:pPr>
          </w:p>
        </w:tc>
      </w:tr>
      <w:tr>
        <w:trPr>
          <w:trHeight w:val="173"/>
        </w:trPr>
        <w:tc>
          <w:tcPr>
            <w:tcW w:w="5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15"/>
                <w:szCs w:val="15"/>
                <w:color w:val="auto"/>
              </w:rPr>
              <w:t>(1)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Outdoors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532,786</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337,584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961,591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637,346</w:t>
            </w: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Sports and recreation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360,828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273,189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656,173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524,882</w:t>
            </w: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Apparel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412,595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358,919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620,662</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629,044</w:t>
            </w: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Footwear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293,146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263,564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489,558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514,213</w:t>
            </w:r>
          </w:p>
        </w:tc>
      </w:tr>
      <w:tr>
        <w:trPr>
          <w:trHeight w:val="223"/>
        </w:trPr>
        <w:tc>
          <w:tcPr>
            <w:tcW w:w="5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1,599,355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1,233,256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2,727,984</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2,305,485</w:t>
            </w:r>
          </w:p>
        </w:tc>
        <w:tc>
          <w:tcPr>
            <w:tcW w:w="40" w:type="dxa"/>
            <w:vAlign w:val="bottom"/>
          </w:tcPr>
          <w:p>
            <w:pPr>
              <w:spacing w:after="0"/>
              <w:rPr>
                <w:sz w:val="19"/>
                <w:szCs w:val="19"/>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15"/>
                <w:szCs w:val="15"/>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7,065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14,737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8,717</w:t>
            </w:r>
          </w:p>
        </w:tc>
      </w:tr>
      <w:tr>
        <w:trPr>
          <w:trHeight w:val="223"/>
        </w:trPr>
        <w:tc>
          <w:tcPr>
            <w:tcW w:w="5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1,606,420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1,237,410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2,742,721</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2,314,202</w:t>
            </w:r>
          </w:p>
        </w:tc>
        <w:tc>
          <w:tcPr>
            <w:tcW w:w="4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224"/>
        <w:spacing w:after="0" w:line="255" w:lineRule="auto"/>
        <w:tabs>
          <w:tab w:leader="none" w:pos="340"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Certain products and categories were recategorized amongst various categories and divisions, respectively, to better align with our current merchandising strategy and view of the business. As a result, we have reclassified sales between divisions in the thirteen and twenty-six weeks ended August 3, 2019 for comparability purposes. This reclassification is in divisional presentation only and did not impact the overall net sales balances previously disclosed (see Note 2).</w:t>
      </w:r>
    </w:p>
    <w:p>
      <w:pPr>
        <w:spacing w:after="0" w:line="2" w:lineRule="exact"/>
        <w:rPr>
          <w:rFonts w:ascii="Times New Roman" w:cs="Times New Roman" w:eastAsia="Times New Roman" w:hAnsi="Times New Roman"/>
          <w:sz w:val="15"/>
          <w:szCs w:val="15"/>
          <w:color w:val="auto"/>
        </w:rPr>
      </w:pPr>
    </w:p>
    <w:p>
      <w:pPr>
        <w:ind w:left="340" w:right="280" w:hanging="224"/>
        <w:spacing w:after="0" w:line="250" w:lineRule="auto"/>
        <w:tabs>
          <w:tab w:leader="none" w:pos="340"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E-commerce sales consist of 9.4% and 10.9% of merchandise sales for the thirteen and twenty-six weeks ended August 1, 2020, respectively, and 3.9% and 3.4% for the thirteen and twenty-six weeks ended August 3, 2019, respectively.</w:t>
      </w:r>
    </w:p>
    <w:p>
      <w:pPr>
        <w:ind w:left="340" w:right="460" w:hanging="224"/>
        <w:spacing w:after="0" w:line="260" w:lineRule="auto"/>
        <w:tabs>
          <w:tab w:leader="none" w:pos="340"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Other sales consists primarily of the sales return allowance, gift card breakage income, credit card bounties and royalties, shipping income, net hunting and fishing license income and other items.</w:t>
      </w:r>
    </w:p>
    <w:p>
      <w:pPr>
        <w:spacing w:after="0" w:line="181" w:lineRule="exact"/>
        <w:rPr>
          <w:sz w:val="20"/>
          <w:szCs w:val="20"/>
          <w:color w:val="auto"/>
        </w:rPr>
      </w:pPr>
    </w:p>
    <w:p>
      <w:pPr>
        <w:ind w:left="560" w:right="180" w:firstLine="423"/>
        <w:spacing w:after="0" w:line="266"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A liability for gift cards, which is recorded in accrued expenses and other liabilities on our balance sheets is established at the time of sale and revenues are recognized as the gift cards are redeemed in stores or on our website.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1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940" w:type="dxa"/>
            <w:vAlign w:val="bottom"/>
            <w:tcBorders>
              <w:top w:val="single" w:sz="8" w:color="auto"/>
            </w:tcBorders>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7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640" w:type="dxa"/>
            <w:vAlign w:val="bottom"/>
            <w:gridSpan w:val="2"/>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5"/>
                <w:szCs w:val="15"/>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19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$ 57,786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$ 54,523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67,993</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1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32,614</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Redeemed</w:t>
            </w:r>
          </w:p>
        </w:tc>
        <w:tc>
          <w:tcPr>
            <w:tcW w:w="2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(22,703)</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(43,713)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19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(681)</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(1,484)</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2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$ 55,410</w:t>
            </w: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$ 50,631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55,410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920" w:type="dxa"/>
            <w:vAlign w:val="bottom"/>
            <w:gridSpan w:val="3"/>
          </w:tcPr>
          <w:p>
            <w:pPr>
              <w:jc w:val="right"/>
              <w:ind w:right="1540"/>
              <w:spacing w:after="0"/>
              <w:rPr>
                <w:sz w:val="20"/>
                <w:szCs w:val="20"/>
                <w:color w:val="auto"/>
              </w:rPr>
            </w:pPr>
            <w:r>
              <w:rPr>
                <w:rFonts w:ascii="Times New Roman" w:cs="Times New Roman" w:eastAsia="Times New Roman" w:hAnsi="Times New Roman"/>
                <w:sz w:val="18"/>
                <w:szCs w:val="18"/>
                <w:color w:val="auto"/>
              </w:rPr>
              <w:t>F-11</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260" w:type="dxa"/>
            <w:vAlign w:val="bottom"/>
          </w:tcPr>
          <w:p>
            <w:pPr>
              <w:spacing w:after="0"/>
              <w:rPr>
                <w:sz w:val="13"/>
                <w:szCs w:val="13"/>
                <w:color w:val="auto"/>
              </w:rPr>
            </w:pP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73"/>
        </w:trPr>
        <w:tc>
          <w:tcPr>
            <w:tcW w:w="53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Asset-Based Revolving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Senior Secured Term Loan Facility, due July 2022 net of discount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1,433,965</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$2.0 million, $2.6 million and $3.1 million, respectively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1,466,402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1,474,986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1,433,965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1,466,402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1,492,886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(18,250)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(2,915)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(4,528)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1,412,800</w:t>
            </w:r>
          </w:p>
        </w:tc>
        <w:tc>
          <w:tcPr>
            <w:tcW w:w="32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1,428,542</w:t>
            </w:r>
          </w:p>
        </w:tc>
        <w:tc>
          <w:tcPr>
            <w:tcW w:w="3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1,470,108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 xml:space="preserve">(1) </w:t>
      </w:r>
      <w:r>
        <w:rPr>
          <w:rFonts w:ascii="Times New Roman" w:cs="Times New Roman" w:eastAsia="Times New Roman" w:hAnsi="Times New Roman"/>
          <w:sz w:val="17"/>
          <w:szCs w:val="17"/>
          <w:color w:val="auto"/>
        </w:rPr>
        <w:t>These costs are related to the 2015 Term Loan Facility.</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2015 Term Loan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July 2, 2015, Academy, Ltd. entered into a seven-year $1.8 billion senior secured term loan facility, or the</w:t>
      </w:r>
    </w:p>
    <w:p>
      <w:pPr>
        <w:spacing w:after="0" w:line="31" w:lineRule="exact"/>
        <w:rPr>
          <w:sz w:val="20"/>
          <w:szCs w:val="20"/>
          <w:color w:val="auto"/>
        </w:rPr>
      </w:pPr>
    </w:p>
    <w:p>
      <w:pPr>
        <w:ind w:left="560" w:right="40"/>
        <w:spacing w:after="0" w:line="252" w:lineRule="auto"/>
        <w:rPr>
          <w:sz w:val="20"/>
          <w:szCs w:val="20"/>
          <w:color w:val="auto"/>
        </w:rPr>
      </w:pPr>
      <w:r>
        <w:rPr>
          <w:rFonts w:ascii="Times New Roman" w:cs="Times New Roman" w:eastAsia="Times New Roman" w:hAnsi="Times New Roman"/>
          <w:sz w:val="18"/>
          <w:szCs w:val="18"/>
          <w:color w:val="auto"/>
        </w:rPr>
        <w:t>2015 Term Loan Facility. The 2015 Term Loan Facility bears interest, at our election, at either (1) LIBOR rate with a floor of 1.00%, plus a margin of 4.00%, or (2) a base rate equal to the highest of (a) the federal funds rate plus 0.50%, (b) Morgan Stanley Senior Funding, Inc.’s “prime rate,” or (c) the one-month LIBOR rate plus 1.00%, plus a margin of 3.00%. Quarterly principal payments of approximately $4.6 million are required through June 30, 2022, with the balance due in full on the maturity date of July 2, 2022. As of August 1, 2020, the weighted average interest rate was 5.00%, with interest payable monthly. The terms and conditions of the 2015 Term Loan Facility also require that we prepay outstanding loans under the 2015 Term Loan Facility under certain circumstances. As of August 1, 2020, no prepayments of outstanding loans have been triggered under the terms and conditions of the 2015 Term Loan Facility.</w:t>
      </w:r>
    </w:p>
    <w:p>
      <w:pPr>
        <w:spacing w:after="0" w:line="188" w:lineRule="exact"/>
        <w:rPr>
          <w:sz w:val="20"/>
          <w:szCs w:val="20"/>
          <w:color w:val="auto"/>
        </w:rPr>
      </w:pPr>
    </w:p>
    <w:p>
      <w:pPr>
        <w:ind w:left="560" w:right="100" w:firstLine="423"/>
        <w:spacing w:after="0" w:line="266" w:lineRule="auto"/>
        <w:rPr>
          <w:sz w:val="20"/>
          <w:szCs w:val="20"/>
          <w:color w:val="auto"/>
        </w:rPr>
      </w:pPr>
      <w:r>
        <w:rPr>
          <w:rFonts w:ascii="Times New Roman" w:cs="Times New Roman" w:eastAsia="Times New Roman" w:hAnsi="Times New Roman"/>
          <w:sz w:val="18"/>
          <w:szCs w:val="18"/>
          <w:color w:val="auto"/>
        </w:rPr>
        <w:t>During the thirteen and twenty-six weeks ended August 1, 2020 and August 3, 2019, we repurchased a portion of our principal on the 2015 Term Loan Facility, which was trading at a discount, in open market transactions. The following table provides further detail regarding these repurchases (amounts in millions):</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4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9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9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3, 2019</w:t>
            </w:r>
          </w:p>
        </w:tc>
        <w:tc>
          <w:tcPr>
            <w:tcW w:w="40" w:type="dxa"/>
            <w:vAlign w:val="bottom"/>
          </w:tcPr>
          <w:p>
            <w:pPr>
              <w:spacing w:after="0"/>
              <w:rPr>
                <w:sz w:val="12"/>
                <w:szCs w:val="12"/>
                <w:color w:val="auto"/>
              </w:rPr>
            </w:pPr>
          </w:p>
        </w:tc>
      </w:tr>
      <w:tr>
        <w:trPr>
          <w:trHeight w:val="209"/>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principal repurchased</w:t>
            </w:r>
          </w:p>
        </w:tc>
        <w:tc>
          <w:tcPr>
            <w:tcW w:w="10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7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7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Reacquisition price of debt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16.0</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16.0</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w:t>
            </w: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recognized</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7.8</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7.8</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w:t>
            </w:r>
          </w:p>
        </w:tc>
      </w:tr>
    </w:tbl>
    <w:p>
      <w:pPr>
        <w:spacing w:after="0" w:line="194"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Amended ABL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July 2, 2015, Academy, Ltd. entered into a five-year $650 million secured asset-based revolving credit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the 2015 ABL Facility. On May 22, 2018, the Company amended the agreement governing the 2015 ABL Facility, or as amended, the Amended ABL Facility, to increase the commitment on the facility from $650 million to $1 billion. The operative terms, conditions, covenants and pricing of the Amended ABL Facility remain the same in all material respects to the 2015 ABL Facility and/or have been sized in approximate proportion to the relative increase in the facility where such operative terms are based upon the commitment level on the facility. The Amended ABL Facility matures on May 22, 2023, subject to a springing maturity clause which is triggered 91 days before the July 2, 2022 maturity of the 2015 Term Loan Facility should it not be paid off or extended at least 91 days beyond the May 22, 2023 maturity date of the Amended ABL Facility. Academy, Ltd. has the option to increase the commitments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55" w:right="47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Amended ABL Facility by $250 million, subject to the satisfaction of certain conditions under the agreement.</w:t>
      </w:r>
    </w:p>
    <w:p>
      <w:pPr>
        <w:spacing w:after="0" w:line="225" w:lineRule="exact"/>
        <w:rPr>
          <w:sz w:val="20"/>
          <w:szCs w:val="20"/>
          <w:color w:val="auto"/>
        </w:rPr>
      </w:pPr>
    </w:p>
    <w:p>
      <w:pPr>
        <w:ind w:left="560" w:right="20" w:firstLine="423"/>
        <w:spacing w:after="0" w:line="256" w:lineRule="auto"/>
        <w:rPr>
          <w:sz w:val="20"/>
          <w:szCs w:val="20"/>
          <w:color w:val="auto"/>
        </w:rPr>
      </w:pPr>
      <w:r>
        <w:rPr>
          <w:rFonts w:ascii="Times New Roman" w:cs="Times New Roman" w:eastAsia="Times New Roman" w:hAnsi="Times New Roman"/>
          <w:sz w:val="18"/>
          <w:szCs w:val="18"/>
          <w:color w:val="auto"/>
        </w:rPr>
        <w:t>The Amended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August 1, 2020, we had outstanding letters of credit of approximately $29.7 million, of which $19.9 million were issued under the Amended ABL Facility, and we had no borrowings outstanding under the Amended ABL Facility, leaving the available borrowing capacity under the Amended ABL Facility of $694.1 million.</w:t>
      </w:r>
    </w:p>
    <w:p>
      <w:pPr>
        <w:spacing w:after="0" w:line="187" w:lineRule="exact"/>
        <w:rPr>
          <w:sz w:val="20"/>
          <w:szCs w:val="20"/>
          <w:color w:val="auto"/>
        </w:rPr>
      </w:pPr>
    </w:p>
    <w:p>
      <w:pPr>
        <w:ind w:left="560" w:right="40" w:firstLine="423"/>
        <w:spacing w:after="0" w:line="256" w:lineRule="auto"/>
        <w:rPr>
          <w:sz w:val="20"/>
          <w:szCs w:val="20"/>
          <w:color w:val="auto"/>
        </w:rPr>
      </w:pPr>
      <w:r>
        <w:rPr>
          <w:rFonts w:ascii="Times New Roman" w:cs="Times New Roman" w:eastAsia="Times New Roman" w:hAnsi="Times New Roman"/>
          <w:sz w:val="18"/>
          <w:szCs w:val="18"/>
          <w:color w:val="auto"/>
        </w:rPr>
        <w:t>Borrowings under the Amended ABL Facility bear interest, at our election, at either (1) LIBOR plus a margin of 1.25% to 1.75%, or (2) a base rate equal to the highest of (a) the federal funds rate plus 0.50%, (b) JPMorgan Chase Bank, N.A.’s “prime rate”, or (c) the one-month LIBOR rate plus 1.00%, plus a margin of 0.25% to 0.75%. The Amended ABL Facility also provides a fee applicable to the unused commitments of 0.25%. The terms and conditions of the Amended ABL Facility also require that we prepay outstanding loans under the Amended ABL Facility under certain circumstances. As of August 1, 2020, no future prepayments of outstanding loans have been triggered under the terms and conditions of the Amended ABL Facility.</w:t>
      </w:r>
    </w:p>
    <w:p>
      <w:pPr>
        <w:spacing w:after="0" w:line="183" w:lineRule="exact"/>
        <w:rPr>
          <w:sz w:val="20"/>
          <w:szCs w:val="20"/>
          <w:color w:val="auto"/>
        </w:rPr>
      </w:pPr>
    </w:p>
    <w:p>
      <w:pPr>
        <w:ind w:left="560" w:right="100" w:firstLine="423"/>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Amended ABL Facility and the 2015 Term Loan Facility agreements contain covenants, including, among other things,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covenants that 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Amended ABL Facility is subject to a certain minimum adjusted fixed charge coverage ratio. These covenants are subject to certain qualifications and limitations. We were in compliance with these covenants as of August 1, 2020.</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Capitalized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capitalized interest primarily related to construction of new stores and store renovations in the amount of</w:t>
      </w:r>
    </w:p>
    <w:p>
      <w:pPr>
        <w:spacing w:after="0" w:line="31" w:lineRule="exact"/>
        <w:rPr>
          <w:sz w:val="20"/>
          <w:szCs w:val="20"/>
          <w:color w:val="auto"/>
        </w:rPr>
      </w:pPr>
    </w:p>
    <w:p>
      <w:pPr>
        <w:ind w:left="560" w:right="160"/>
        <w:spacing w:after="0" w:line="260" w:lineRule="auto"/>
        <w:rPr>
          <w:sz w:val="20"/>
          <w:szCs w:val="20"/>
          <w:color w:val="auto"/>
        </w:rPr>
      </w:pPr>
      <w:r>
        <w:rPr>
          <w:rFonts w:ascii="Times New Roman" w:cs="Times New Roman" w:eastAsia="Times New Roman" w:hAnsi="Times New Roman"/>
          <w:sz w:val="18"/>
          <w:szCs w:val="18"/>
          <w:color w:val="auto"/>
        </w:rPr>
        <w:t>$0.2 million and $0.3 million for the thirteen and twenty-six weeks ended August 1, 2020, respectively, and $0.1 million and $0.3 million for the thirteen and twenty-six weeks ended August 3, 2019, respectively.</w:t>
      </w:r>
    </w:p>
    <w:p>
      <w:pPr>
        <w:spacing w:after="0" w:line="326" w:lineRule="exact"/>
        <w:rPr>
          <w:sz w:val="20"/>
          <w:szCs w:val="20"/>
          <w:color w:val="auto"/>
        </w:rPr>
      </w:pPr>
    </w:p>
    <w:p>
      <w:pPr>
        <w:ind w:left="540" w:hanging="424"/>
        <w:spacing w:after="0"/>
        <w:tabs>
          <w:tab w:leader="none" w:pos="54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left="560" w:right="180" w:firstLine="423"/>
        <w:spacing w:after="0" w:line="282" w:lineRule="auto"/>
        <w:rPr>
          <w:sz w:val="20"/>
          <w:szCs w:val="20"/>
          <w:color w:val="auto"/>
        </w:rPr>
      </w:pPr>
      <w:r>
        <w:rPr>
          <w:rFonts w:ascii="Times New Roman" w:cs="Times New Roman" w:eastAsia="Times New Roman" w:hAnsi="Times New Roman"/>
          <w:sz w:val="18"/>
          <w:szCs w:val="18"/>
          <w:color w:val="auto"/>
        </w:rPr>
        <w:t>We use interest rate swap agreements to hedge market risk relating to possible adverse changes in interest rates. A summary of our interest rate swaps is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78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r>
      <w:tr>
        <w:trPr>
          <w:trHeight w:val="191"/>
        </w:trPr>
        <w:tc>
          <w:tcPr>
            <w:tcW w:w="2620" w:type="dxa"/>
            <w:vAlign w:val="bottom"/>
            <w:tcBorders>
              <w:top w:val="single" w:sz="8" w:color="auto"/>
            </w:tcBorders>
          </w:tcPr>
          <w:p>
            <w:pPr>
              <w:ind w:left="960"/>
              <w:spacing w:after="0" w:line="191" w:lineRule="exact"/>
              <w:rPr>
                <w:sz w:val="20"/>
                <w:szCs w:val="20"/>
                <w:color w:val="auto"/>
              </w:rPr>
            </w:pPr>
            <w:r>
              <w:rPr>
                <w:rFonts w:ascii="Times New Roman" w:cs="Times New Roman" w:eastAsia="Times New Roman" w:hAnsi="Times New Roman"/>
                <w:sz w:val="18"/>
                <w:szCs w:val="18"/>
                <w:color w:val="auto"/>
              </w:rPr>
              <w:t xml:space="preserve">$320,000 </w:t>
            </w:r>
            <w:r>
              <w:rPr>
                <w:rFonts w:ascii="Times New Roman" w:cs="Times New Roman" w:eastAsia="Times New Roman" w:hAnsi="Times New Roman"/>
                <w:sz w:val="15"/>
                <w:szCs w:val="15"/>
                <w:color w:val="auto"/>
              </w:rPr>
              <w:t>(1)</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2.21%</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7, 2016</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3, 2021</w:t>
            </w:r>
          </w:p>
        </w:tc>
      </w:tr>
      <w:tr>
        <w:trPr>
          <w:trHeight w:val="216"/>
        </w:trPr>
        <w:tc>
          <w:tcPr>
            <w:tcW w:w="26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w:t>
            </w:r>
          </w:p>
        </w:tc>
        <w:tc>
          <w:tcPr>
            <w:tcW w:w="120" w:type="dxa"/>
            <w:vAlign w:val="bottom"/>
          </w:tcPr>
          <w:p>
            <w:pPr>
              <w:spacing w:after="0"/>
              <w:rPr>
                <w:sz w:val="18"/>
                <w:szCs w:val="18"/>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1, 2016</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2021</w:t>
            </w:r>
          </w:p>
        </w:tc>
      </w:tr>
      <w:tr>
        <w:trPr>
          <w:trHeight w:val="234"/>
        </w:trPr>
        <w:tc>
          <w:tcPr>
            <w:tcW w:w="26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c>
          <w:tcPr>
            <w:tcW w:w="120" w:type="dxa"/>
            <w:vAlign w:val="bottom"/>
          </w:tcPr>
          <w:p>
            <w:pPr>
              <w:spacing w:after="0"/>
              <w:rPr>
                <w:sz w:val="20"/>
                <w:szCs w:val="20"/>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1, 2018</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2021</w:t>
            </w:r>
          </w:p>
        </w:tc>
      </w:tr>
    </w:tbl>
    <w:p>
      <w:pPr>
        <w:spacing w:after="0" w:line="225" w:lineRule="exact"/>
        <w:rPr>
          <w:sz w:val="20"/>
          <w:szCs w:val="20"/>
          <w:color w:val="auto"/>
        </w:rPr>
      </w:pPr>
    </w:p>
    <w:p>
      <w:pPr>
        <w:ind w:left="340" w:right="220" w:hanging="224"/>
        <w:spacing w:after="0" w:line="282" w:lineRule="auto"/>
        <w:tabs>
          <w:tab w:leader="none" w:pos="34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initial $600,000 notional amount of the swap amortizes to $525,000, $430,000, $320,000 and $250,000 on September 3, 2017, 2018, 2019 and 2020, respectively.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fair value of these interest rate swaps is as follows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78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190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4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0" w:type="dxa"/>
            <w:vAlign w:val="bottom"/>
          </w:tcPr>
          <w:p>
            <w:pPr>
              <w:spacing w:after="0"/>
              <w:rPr>
                <w:sz w:val="1"/>
                <w:szCs w:val="1"/>
                <w:color w:val="auto"/>
              </w:rPr>
            </w:pPr>
          </w:p>
        </w:tc>
      </w:tr>
      <w:tr>
        <w:trPr>
          <w:trHeight w:val="155"/>
        </w:trPr>
        <w:tc>
          <w:tcPr>
            <w:tcW w:w="416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4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current assets</w:t>
            </w: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included in other noncurrent assets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1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16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Amounts included in accrued expenses and</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7,485</w:t>
            </w: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shd w:val="clear" w:color="auto" w:fill="CCEEFF"/>
          </w:tcPr>
          <w:p>
            <w:pPr>
              <w:spacing w:after="0"/>
              <w:rPr>
                <w:sz w:val="20"/>
                <w:szCs w:val="20"/>
                <w:color w:val="auto"/>
              </w:rPr>
            </w:pPr>
          </w:p>
        </w:tc>
        <w:tc>
          <w:tcPr>
            <w:tcW w:w="3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long-term liabilities</w:t>
            </w: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swap net assets (liabilities)</w:t>
            </w: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(8,379)</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(8,106)</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Amounts included in accumulated other comprehensive loss, or AOCI, are reclassified to interest expense in the same period during which the hedged transaction affects earnings, which is as interest expense is recorded on the underlying 2015 Term Loan Facility. As of August 1, 2020, we estimate that approximately $7.9 million of the balance in AOCI will be reclassified as an increase in interest expense during the next 12 months.</w:t>
      </w:r>
    </w:p>
    <w:p>
      <w:pPr>
        <w:spacing w:after="0" w:line="180" w:lineRule="exact"/>
        <w:rPr>
          <w:sz w:val="20"/>
          <w:szCs w:val="20"/>
          <w:color w:val="auto"/>
        </w:rPr>
      </w:pPr>
    </w:p>
    <w:p>
      <w:pPr>
        <w:ind w:left="560" w:right="100" w:firstLine="423"/>
        <w:spacing w:after="0" w:line="282" w:lineRule="auto"/>
        <w:rPr>
          <w:sz w:val="20"/>
          <w:szCs w:val="20"/>
          <w:color w:val="auto"/>
        </w:rPr>
      </w:pPr>
      <w:r>
        <w:rPr>
          <w:rFonts w:ascii="Times New Roman" w:cs="Times New Roman" w:eastAsia="Times New Roman" w:hAnsi="Times New Roman"/>
          <w:sz w:val="18"/>
          <w:szCs w:val="18"/>
          <w:color w:val="auto"/>
        </w:rPr>
        <w:t>The impact of gains and losses related to interest rate swaps that are deferred into AOCI and subsequently reclassified into interest expense is as follows (amounts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4140" w:type="dxa"/>
            <w:vAlign w:val="bottom"/>
          </w:tcPr>
          <w:p>
            <w:pPr>
              <w:spacing w:after="0"/>
              <w:rPr>
                <w:sz w:val="12"/>
                <w:szCs w:val="12"/>
                <w:color w:val="auto"/>
              </w:rPr>
            </w:pPr>
          </w:p>
        </w:tc>
        <w:tc>
          <w:tcPr>
            <w:tcW w:w="166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9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720" w:type="dxa"/>
            <w:vAlign w:val="bottom"/>
          </w:tcPr>
          <w:p>
            <w:pPr>
              <w:spacing w:after="0"/>
              <w:rPr>
                <w:sz w:val="12"/>
                <w:szCs w:val="12"/>
                <w:color w:val="auto"/>
              </w:rPr>
            </w:pPr>
          </w:p>
        </w:tc>
        <w:tc>
          <w:tcPr>
            <w:tcW w:w="13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3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100" w:type="dxa"/>
            <w:vAlign w:val="bottom"/>
          </w:tcPr>
          <w:p>
            <w:pPr>
              <w:spacing w:after="0"/>
              <w:rPr>
                <w:sz w:val="12"/>
                <w:szCs w:val="12"/>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deferred into AOCI</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w:t>
            </w:r>
          </w:p>
        </w:tc>
        <w:tc>
          <w:tcPr>
            <w:tcW w:w="7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(9,632)</w:t>
            </w:r>
          </w:p>
        </w:tc>
        <w:tc>
          <w:tcPr>
            <w:tcW w:w="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(5,040)</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to interest expense</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2,874</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(708)</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4,767</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(1,590)</w:t>
            </w:r>
          </w:p>
        </w:tc>
      </w:tr>
    </w:tbl>
    <w:p>
      <w:pPr>
        <w:spacing w:after="0" w:line="320" w:lineRule="exact"/>
        <w:rPr>
          <w:sz w:val="20"/>
          <w:szCs w:val="20"/>
          <w:color w:val="auto"/>
        </w:rPr>
      </w:pPr>
    </w:p>
    <w:p>
      <w:pPr>
        <w:ind w:left="540" w:hanging="424"/>
        <w:spacing w:after="0"/>
        <w:tabs>
          <w:tab w:leader="none" w:pos="54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560" w:right="200" w:firstLine="423"/>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31" w:lineRule="exact"/>
        <w:rPr>
          <w:sz w:val="20"/>
          <w:szCs w:val="20"/>
          <w:color w:val="auto"/>
        </w:rPr>
      </w:pPr>
    </w:p>
    <w:p>
      <w:pPr>
        <w:ind w:left="1540" w:right="40" w:hanging="331"/>
        <w:spacing w:after="0" w:line="282" w:lineRule="auto"/>
        <w:tabs>
          <w:tab w:leader="none" w:pos="15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67" w:lineRule="exact"/>
        <w:rPr>
          <w:rFonts w:ascii="Times New Roman" w:cs="Times New Roman" w:eastAsia="Times New Roman" w:hAnsi="Times New Roman"/>
          <w:sz w:val="18"/>
          <w:szCs w:val="18"/>
          <w:color w:val="auto"/>
        </w:rPr>
      </w:pPr>
    </w:p>
    <w:p>
      <w:pPr>
        <w:ind w:left="1540" w:right="160" w:hanging="331"/>
        <w:spacing w:after="0" w:line="266" w:lineRule="auto"/>
        <w:tabs>
          <w:tab w:leader="none" w:pos="15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81"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00"/>
          </w:cols>
          <w:pgMar w:left="320" w:top="455" w:right="47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provides the fair value hierarchy for our derivative financial instruments (amounts in thousands) as of:</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380" w:type="dxa"/>
            <w:vAlign w:val="bottom"/>
          </w:tcPr>
          <w:p>
            <w:pPr>
              <w:spacing w:after="0"/>
              <w:rPr>
                <w:sz w:val="13"/>
                <w:szCs w:val="13"/>
                <w:color w:val="auto"/>
              </w:rPr>
            </w:pPr>
          </w:p>
        </w:tc>
        <w:tc>
          <w:tcPr>
            <w:tcW w:w="1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4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3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22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6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Interest rate swap</w:t>
            </w: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176"/>
        </w:trPr>
        <w:tc>
          <w:tcPr>
            <w:tcW w:w="42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6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Interest rate swap</w:t>
            </w: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8,379</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8,106</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60" w:right="80" w:firstLine="423"/>
        <w:spacing w:after="0" w:line="255" w:lineRule="auto"/>
        <w:rPr>
          <w:sz w:val="20"/>
          <w:szCs w:val="20"/>
          <w:color w:val="auto"/>
        </w:rPr>
      </w:pPr>
      <w:r>
        <w:rPr>
          <w:rFonts w:ascii="Times New Roman" w:cs="Times New Roman" w:eastAsia="Times New Roman" w:hAnsi="Times New Roman"/>
          <w:sz w:val="18"/>
          <w:szCs w:val="18"/>
          <w:color w:val="auto"/>
        </w:rPr>
        <w:t>We value our derivative financial instruments using a discounted cash flow analysis based on the expected cash flows of each derivative. This analysis reflects the contractual terms of the derivatives, including the period 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ind w:left="560" w:right="200" w:firstLine="423"/>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redeemable on demand. As of August 1, 2020 and February 1, 2020, we held $781.1 million and $113.3 million in money market funds, respectively. We held no investments in money market funds as of August 3, 2019.</w:t>
      </w:r>
    </w:p>
    <w:p>
      <w:pPr>
        <w:spacing w:after="0" w:line="176" w:lineRule="exact"/>
        <w:rPr>
          <w:sz w:val="20"/>
          <w:szCs w:val="20"/>
          <w:color w:val="auto"/>
        </w:rPr>
      </w:pPr>
    </w:p>
    <w:p>
      <w:pPr>
        <w:ind w:left="560" w:right="80" w:firstLine="423"/>
        <w:spacing w:after="0" w:line="281" w:lineRule="auto"/>
        <w:rPr>
          <w:sz w:val="20"/>
          <w:szCs w:val="20"/>
          <w:color w:val="auto"/>
        </w:rPr>
      </w:pPr>
      <w:r>
        <w:rPr>
          <w:rFonts w:ascii="Times New Roman" w:cs="Times New Roman" w:eastAsia="Times New Roman" w:hAnsi="Times New Roman"/>
          <w:sz w:val="17"/>
          <w:szCs w:val="17"/>
          <w:color w:val="auto"/>
        </w:rPr>
        <w:t>The fair value of the 2015 Term Loan Facility is estimated using a discounted cash flow analysis based on quoted market prices for the instrument in an inactive market and is therefore classified as Level 2 within the fair value hierarchy. As of August 1, 2020, February 1, 2020 and August 3, 2019, the estimated fair value of our 2015 Term Loan Facility was $1.3 billion, $1.2 billion and $1.0 billion, respectively. As borrowings on the Amended ABL Facility are generally repaid in less than 12 months, we believe that fair value approximates the carrying value.</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Property and equipment consists of the following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18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4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August 3, 2019</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434,087</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436,807</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426,190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541,366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537,364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521,742</w:t>
            </w:r>
          </w:p>
        </w:tc>
        <w:tc>
          <w:tcPr>
            <w:tcW w:w="12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316,366</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316,420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308,731</w:t>
            </w:r>
          </w:p>
        </w:tc>
        <w:tc>
          <w:tcPr>
            <w:tcW w:w="12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22,076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17,639</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22,315</w:t>
            </w:r>
          </w:p>
        </w:tc>
        <w:tc>
          <w:tcPr>
            <w:tcW w:w="12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20" w:type="dxa"/>
            <w:vAlign w:val="bottom"/>
            <w:shd w:val="clear" w:color="auto" w:fill="CCEEFF"/>
          </w:tcPr>
          <w:p>
            <w:pPr>
              <w:spacing w:after="0"/>
              <w:rPr>
                <w:sz w:val="18"/>
                <w:szCs w:val="18"/>
                <w:color w:val="auto"/>
              </w:rPr>
            </w:pP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1,317,593</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1,311,928</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1,282,676</w:t>
            </w:r>
          </w:p>
        </w:tc>
        <w:tc>
          <w:tcPr>
            <w:tcW w:w="120" w:type="dxa"/>
            <w:vAlign w:val="bottom"/>
          </w:tcPr>
          <w:p>
            <w:pPr>
              <w:spacing w:after="0"/>
              <w:rPr>
                <w:sz w:val="19"/>
                <w:szCs w:val="19"/>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(921,034)</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(870,521)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(818,353)</w:t>
            </w: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396,559</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441,407</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464,323</w:t>
            </w:r>
          </w:p>
        </w:tc>
        <w:tc>
          <w:tcPr>
            <w:tcW w:w="12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300" w:firstLine="423"/>
        <w:spacing w:after="0" w:line="282" w:lineRule="auto"/>
        <w:rPr>
          <w:sz w:val="20"/>
          <w:szCs w:val="20"/>
          <w:color w:val="auto"/>
        </w:rPr>
      </w:pPr>
      <w:r>
        <w:rPr>
          <w:rFonts w:ascii="Times New Roman" w:cs="Times New Roman" w:eastAsia="Times New Roman" w:hAnsi="Times New Roman"/>
          <w:sz w:val="18"/>
          <w:szCs w:val="18"/>
          <w:color w:val="auto"/>
        </w:rPr>
        <w:t>Depreciation expense was $26.7 million and $54.2 million in the thirteen and twenty-six weeks ended August 1, 2020, respectively, and $29.3 million and $59.1 million in the thirteen and twenty-six weeks ended August 3, 2019, respectively.</w:t>
      </w:r>
    </w:p>
    <w:p>
      <w:pPr>
        <w:spacing w:after="0" w:line="306" w:lineRule="exact"/>
        <w:rPr>
          <w:sz w:val="20"/>
          <w:szCs w:val="20"/>
          <w:color w:val="auto"/>
        </w:rPr>
      </w:pPr>
    </w:p>
    <w:p>
      <w:pPr>
        <w:ind w:left="540" w:hanging="424"/>
        <w:spacing w:after="0"/>
        <w:tabs>
          <w:tab w:leader="none" w:pos="54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 xml:space="preserve">In April 2020, the Financial Accounting Standards Board issued </w:t>
      </w:r>
      <w:r>
        <w:rPr>
          <w:rFonts w:ascii="Times New Roman" w:cs="Times New Roman" w:eastAsia="Times New Roman" w:hAnsi="Times New Roman"/>
          <w:sz w:val="18"/>
          <w:szCs w:val="18"/>
          <w:i w:val="1"/>
          <w:iCs w:val="1"/>
          <w:color w:val="auto"/>
        </w:rPr>
        <w:t>Staff Q&amp;A - Topic 842 and Topic 840: Accounting For Lease Concessions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the Effects of the COVID-19 Pandemic</w:t>
      </w:r>
      <w:r>
        <w:rPr>
          <w:rFonts w:ascii="Times New Roman" w:cs="Times New Roman" w:eastAsia="Times New Roman" w:hAnsi="Times New Roman"/>
          <w:sz w:val="18"/>
          <w:szCs w:val="18"/>
          <w:color w:val="auto"/>
        </w:rPr>
        <w:t>. This guidance provides entities with the option to elect to account for certain lease concessions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 though the enforceable rights and obligations had existed in the original lease. As a result, an entity will not need to reassess each existing contract to determine whether enforceable rights and obligations for concessions exist and an entity can elect to apply or not to apply the lease modification guidance in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those contracts.</w:t>
      </w:r>
    </w:p>
    <w:p>
      <w:pPr>
        <w:spacing w:after="0" w:line="185" w:lineRule="exact"/>
        <w:rPr>
          <w:sz w:val="20"/>
          <w:szCs w:val="20"/>
          <w:color w:val="auto"/>
        </w:rPr>
      </w:pPr>
    </w:p>
    <w:p>
      <w:pPr>
        <w:jc w:val="both"/>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During the thirteen weeks ended August 1, 2020, the Company received $2.0 million in lease expense credit related to landlord abated rent as a result of the elections made under this guidance. Additionally, during the thirteen weeks ended August 1, 2020, the Company signed 40 lease extensions, requiring lease modification accounting treatment.</w:t>
      </w:r>
    </w:p>
    <w:p>
      <w:pPr>
        <w:spacing w:after="0" w:line="176"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The components of lease expense and sublease income included in selling, general and administrative (“SG&amp;A”) expenses on our statement of income is as follows (amounts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4280" w:type="dxa"/>
            <w:vAlign w:val="bottom"/>
          </w:tcPr>
          <w:p>
            <w:pPr>
              <w:spacing w:after="0"/>
              <w:rPr>
                <w:sz w:val="12"/>
                <w:szCs w:val="12"/>
                <w:color w:val="auto"/>
              </w:rPr>
            </w:pPr>
          </w:p>
        </w:tc>
        <w:tc>
          <w:tcPr>
            <w:tcW w:w="13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3, 2019</w:t>
            </w:r>
          </w:p>
        </w:tc>
        <w:tc>
          <w:tcPr>
            <w:tcW w:w="700" w:type="dxa"/>
            <w:vAlign w:val="bottom"/>
          </w:tcPr>
          <w:p>
            <w:pPr>
              <w:spacing w:after="0"/>
              <w:rPr>
                <w:sz w:val="12"/>
                <w:szCs w:val="12"/>
                <w:color w:val="auto"/>
              </w:rPr>
            </w:pPr>
          </w:p>
        </w:tc>
        <w:tc>
          <w:tcPr>
            <w:tcW w:w="12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100" w:type="dxa"/>
            <w:vAlign w:val="bottom"/>
          </w:tcPr>
          <w:p>
            <w:pPr>
              <w:spacing w:after="0"/>
              <w:rPr>
                <w:sz w:val="12"/>
                <w:szCs w:val="12"/>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49,259</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48,570</w:t>
            </w:r>
          </w:p>
        </w:tc>
        <w:tc>
          <w:tcPr>
            <w:tcW w:w="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98,256</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2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(94)</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1,805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1,818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3,849</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(157)</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(396)</w:t>
            </w:r>
          </w:p>
        </w:tc>
        <w:tc>
          <w:tcPr>
            <w:tcW w:w="2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(526)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(802)</w:t>
            </w:r>
          </w:p>
        </w:tc>
      </w:tr>
      <w:tr>
        <w:trPr>
          <w:trHeight w:val="27"/>
        </w:trPr>
        <w:tc>
          <w:tcPr>
            <w:tcW w:w="4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lease expense</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49,008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49,979</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99,548</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99,927</w:t>
            </w:r>
          </w:p>
        </w:tc>
      </w:tr>
      <w:tr>
        <w:trPr>
          <w:trHeight w:val="20"/>
        </w:trPr>
        <w:tc>
          <w:tcPr>
            <w:tcW w:w="4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F-16</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Information about our operating leases is as follows (dollar amounts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7"/>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440" w:type="dxa"/>
            <w:vAlign w:val="bottom"/>
            <w:tcBorders>
              <w:bottom w:val="single" w:sz="8" w:color="CCEEFF"/>
            </w:tcBorders>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54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52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82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Right-of-use assets obtained in exchange for new operating</w:t>
            </w: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vMerge w:val="restart"/>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68,788</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3"/>
            <w:vMerge w:val="restart"/>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71,118</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10,090</w:t>
            </w:r>
          </w:p>
        </w:tc>
        <w:tc>
          <w:tcPr>
            <w:tcW w:w="220" w:type="dxa"/>
            <w:vAlign w:val="bottom"/>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1200" w:type="dxa"/>
            <w:vAlign w:val="bottom"/>
            <w:gridSpan w:val="3"/>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22,409</w:t>
            </w:r>
          </w:p>
        </w:tc>
        <w:tc>
          <w:tcPr>
            <w:tcW w:w="0" w:type="dxa"/>
            <w:vAlign w:val="bottom"/>
          </w:tcPr>
          <w:p>
            <w:pPr>
              <w:spacing w:after="0"/>
              <w:rPr>
                <w:sz w:val="1"/>
                <w:szCs w:val="1"/>
                <w:color w:val="auto"/>
              </w:rPr>
            </w:pPr>
          </w:p>
        </w:tc>
      </w:tr>
      <w:tr>
        <w:trPr>
          <w:trHeight w:val="198"/>
        </w:trPr>
        <w:tc>
          <w:tcPr>
            <w:tcW w:w="4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45,950</w:t>
            </w:r>
          </w:p>
        </w:tc>
        <w:tc>
          <w:tcPr>
            <w:tcW w:w="54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vMerge w:val="restart"/>
          </w:tcPr>
          <w:p>
            <w:pPr>
              <w:spacing w:after="0"/>
              <w:rPr>
                <w:sz w:val="17"/>
                <w:szCs w:val="17"/>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82,182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center"/>
              <w:ind w:left="175"/>
              <w:spacing w:after="0"/>
              <w:rPr>
                <w:sz w:val="20"/>
                <w:szCs w:val="20"/>
                <w:color w:val="auto"/>
              </w:rPr>
            </w:pPr>
            <w:r>
              <w:rPr>
                <w:rFonts w:ascii="Times New Roman" w:cs="Times New Roman" w:eastAsia="Times New Roman" w:hAnsi="Times New Roman"/>
                <w:sz w:val="18"/>
                <w:szCs w:val="18"/>
                <w:color w:val="auto"/>
              </w:rPr>
              <w:t>47,779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200" w:type="dxa"/>
            <w:vAlign w:val="bottom"/>
            <w:gridSpan w:val="3"/>
            <w:vMerge w:val="continue"/>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95,565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11.3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11.5</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8.92%</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160" w:firstLine="423"/>
        <w:spacing w:after="0" w:line="266" w:lineRule="auto"/>
        <w:rPr>
          <w:sz w:val="20"/>
          <w:szCs w:val="20"/>
          <w:color w:val="auto"/>
        </w:rPr>
      </w:pPr>
      <w:r>
        <w:rPr>
          <w:rFonts w:ascii="Times New Roman" w:cs="Times New Roman" w:eastAsia="Times New Roman" w:hAnsi="Times New Roman"/>
          <w:sz w:val="18"/>
          <w:szCs w:val="18"/>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remaining maturities of lease liabilities by fiscal year are as follows (amounts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August 1, 2020</w:t>
            </w:r>
          </w:p>
        </w:tc>
      </w:tr>
      <w:tr>
        <w:trPr>
          <w:trHeight w:val="209"/>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196,617</w:t>
            </w:r>
          </w:p>
        </w:tc>
        <w:tc>
          <w:tcPr>
            <w:tcW w:w="8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193,774</w:t>
            </w:r>
          </w:p>
        </w:tc>
        <w:tc>
          <w:tcPr>
            <w:tcW w:w="8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186,207</w:t>
            </w:r>
          </w:p>
        </w:tc>
        <w:tc>
          <w:tcPr>
            <w:tcW w:w="8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177,773</w:t>
            </w:r>
          </w:p>
        </w:tc>
        <w:tc>
          <w:tcPr>
            <w:tcW w:w="8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171,030</w:t>
            </w:r>
          </w:p>
        </w:tc>
        <w:tc>
          <w:tcPr>
            <w:tcW w:w="8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2025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1,046,324</w:t>
            </w:r>
          </w:p>
        </w:tc>
        <w:tc>
          <w:tcPr>
            <w:tcW w:w="80" w:type="dxa"/>
            <w:vAlign w:val="bottom"/>
            <w:shd w:val="clear" w:color="auto" w:fill="CCEEFF"/>
          </w:tcPr>
          <w:p>
            <w:pPr>
              <w:spacing w:after="0"/>
              <w:rPr>
                <w:sz w:val="18"/>
                <w:szCs w:val="18"/>
                <w:color w:val="auto"/>
              </w:rPr>
            </w:pPr>
          </w:p>
        </w:tc>
      </w:tr>
      <w:tr>
        <w:trPr>
          <w:trHeight w:val="223"/>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Total payments </w:t>
            </w:r>
            <w:r>
              <w:rPr>
                <w:rFonts w:ascii="Times New Roman" w:cs="Times New Roman" w:eastAsia="Times New Roman" w:hAnsi="Times New Roman"/>
                <w:sz w:val="15"/>
                <w:szCs w:val="15"/>
                <w:color w:val="auto"/>
              </w:rPr>
              <w:t>(1)</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2,074,311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(816,007)</w:t>
            </w: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1,258,304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224"/>
        <w:spacing w:after="0" w:line="282" w:lineRule="auto"/>
        <w:tabs>
          <w:tab w:leader="none" w:pos="340"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Minimum lease payments have not been reduced by sublease rentals of $2.0 million as of August 1, 2020 due in the future under non-cancelable subleases.</w:t>
      </w:r>
    </w:p>
    <w:p>
      <w:pPr>
        <w:spacing w:after="0" w:line="306" w:lineRule="exact"/>
        <w:rPr>
          <w:sz w:val="20"/>
          <w:szCs w:val="20"/>
          <w:color w:val="auto"/>
        </w:rPr>
      </w:pPr>
    </w:p>
    <w:p>
      <w:pPr>
        <w:ind w:left="540" w:hanging="424"/>
        <w:spacing w:after="0"/>
        <w:tabs>
          <w:tab w:leader="none" w:pos="540"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182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74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August 3, 2019</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74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7,469</w:t>
            </w:r>
          </w:p>
        </w:tc>
        <w:tc>
          <w:tcPr>
            <w:tcW w:w="7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Accrued personnel costs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62,300</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54,065</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46,208</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use tax</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21,078</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4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Accrued self-insurance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13,554</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14,192</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gift cards and other</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57,621</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70,220</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52,417</w:t>
            </w:r>
          </w:p>
        </w:tc>
        <w:tc>
          <w:tcPr>
            <w:tcW w:w="4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7,485</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39,289</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16,919</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38,505</w:t>
            </w:r>
          </w:p>
        </w:tc>
        <w:tc>
          <w:tcPr>
            <w:tcW w:w="4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6,500</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29,776</w:t>
            </w:r>
          </w:p>
        </w:tc>
        <w:tc>
          <w:tcPr>
            <w:tcW w:w="7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23,955</w:t>
            </w:r>
          </w:p>
        </w:tc>
        <w:tc>
          <w:tcPr>
            <w:tcW w:w="7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36,882</w:t>
            </w:r>
          </w:p>
        </w:tc>
        <w:tc>
          <w:tcPr>
            <w:tcW w:w="40" w:type="dxa"/>
            <w:vAlign w:val="bottom"/>
            <w:shd w:val="clear" w:color="auto" w:fill="CCEEFF"/>
          </w:tcPr>
          <w:p>
            <w:pPr>
              <w:spacing w:after="0"/>
              <w:rPr>
                <w:sz w:val="18"/>
                <w:szCs w:val="18"/>
                <w:color w:val="auto"/>
              </w:rPr>
            </w:pPr>
          </w:p>
        </w:tc>
      </w:tr>
      <w:tr>
        <w:trPr>
          <w:trHeight w:val="223"/>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245,072</w:t>
            </w:r>
          </w:p>
        </w:tc>
        <w:tc>
          <w:tcPr>
            <w:tcW w:w="78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211,381</w:t>
            </w: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216,840</w:t>
            </w:r>
          </w:p>
        </w:tc>
        <w:tc>
          <w:tcPr>
            <w:tcW w:w="4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9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F-17</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740"/>
          </w:cols>
          <w:pgMar w:left="320" w:top="455" w:right="8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Unit-Based Compensation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228,306,033 Membership Units authorized, issued and outstanding as of August 1, 2020.</w:t>
      </w:r>
    </w:p>
    <w:p>
      <w:pPr>
        <w:spacing w:after="0" w:line="225" w:lineRule="exact"/>
        <w:rPr>
          <w:sz w:val="20"/>
          <w:szCs w:val="20"/>
          <w:color w:val="auto"/>
        </w:rPr>
      </w:pPr>
    </w:p>
    <w:p>
      <w:pPr>
        <w:ind w:left="560" w:right="260" w:firstLine="423"/>
        <w:spacing w:after="0" w:line="289" w:lineRule="auto"/>
        <w:rPr>
          <w:sz w:val="20"/>
          <w:szCs w:val="20"/>
          <w:color w:val="auto"/>
        </w:rPr>
      </w:pPr>
      <w:r>
        <w:rPr>
          <w:rFonts w:ascii="Times New Roman" w:cs="Times New Roman" w:eastAsia="Times New Roman" w:hAnsi="Times New Roman"/>
          <w:sz w:val="17"/>
          <w:szCs w:val="17"/>
          <w:color w:val="auto"/>
        </w:rPr>
        <w:t>The New Academy Holding Company LLC 2011 Unit Incentive Plan, or the 2011 Unit Incentive Plan, provides for the grant of certain equity incentive awards, or each, an Award, such as options to purchase Holdco Membership Units, or each, a Unit Option, and restricted units that may settle in Holdco Membership Units, or each, a Restricted Unit, to our directors, executives, and eligible employees of the Company.</w:t>
      </w:r>
    </w:p>
    <w:p>
      <w:pPr>
        <w:spacing w:after="0" w:line="158" w:lineRule="exact"/>
        <w:rPr>
          <w:sz w:val="20"/>
          <w:szCs w:val="20"/>
          <w:color w:val="auto"/>
        </w:rPr>
      </w:pPr>
    </w:p>
    <w:p>
      <w:pPr>
        <w:ind w:left="560" w:right="80" w:firstLine="423"/>
        <w:spacing w:after="0" w:line="266" w:lineRule="auto"/>
        <w:rPr>
          <w:sz w:val="20"/>
          <w:szCs w:val="20"/>
          <w:color w:val="auto"/>
        </w:rPr>
      </w:pPr>
      <w:r>
        <w:rPr>
          <w:rFonts w:ascii="Times New Roman" w:cs="Times New Roman" w:eastAsia="Times New Roman" w:hAnsi="Times New Roman"/>
          <w:sz w:val="18"/>
          <w:szCs w:val="18"/>
          <w:color w:val="auto"/>
        </w:rPr>
        <w:t>Unit Options granted under the 2011 Unit Incentive Plan consist of Unit Options that vest upon the satisfaction of time-based requirements, or each, a Service Option, and Unit Options that vest upon the satisfaction of both time-based requirements and Company performance-based requirements, or each, a Performance Option.</w:t>
      </w:r>
    </w:p>
    <w:p>
      <w:pPr>
        <w:spacing w:after="0" w:line="176"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Restricted Units granted under the 2011 Unit Incentive Plan consist of Restricted Units that vest upon the satisfaction of time-based requirements, or each, a Service Restricted Unit, and Restricted Units that vest upon the satisfaction of liquidity event-based requirements and a time-based requirement and/or performance-based requirement, or each, a Liquidity Event Restricted Unit. In each case, vesting of the Company’s outstanding and unvested Unit Options and Restricted Units is contingent upon the holder’s continued service through the date of each applicable vesting event.</w:t>
      </w:r>
    </w:p>
    <w:p>
      <w:pPr>
        <w:spacing w:after="0" w:line="183" w:lineRule="exact"/>
        <w:rPr>
          <w:sz w:val="20"/>
          <w:szCs w:val="20"/>
          <w:color w:val="auto"/>
        </w:rPr>
      </w:pPr>
    </w:p>
    <w:p>
      <w:pPr>
        <w:ind w:left="560" w:right="260" w:firstLine="423"/>
        <w:spacing w:after="0" w:line="266" w:lineRule="auto"/>
        <w:rPr>
          <w:sz w:val="20"/>
          <w:szCs w:val="20"/>
          <w:color w:val="auto"/>
        </w:rPr>
      </w:pPr>
      <w:r>
        <w:rPr>
          <w:rFonts w:ascii="Times New Roman" w:cs="Times New Roman" w:eastAsia="Times New Roman" w:hAnsi="Times New Roman"/>
          <w:sz w:val="18"/>
          <w:szCs w:val="18"/>
          <w:color w:val="auto"/>
        </w:rPr>
        <w:t>As of August 1, 2020, the number of Holdco Membership Units authorized for the grant of Awards under the 2011 Unit Incentive Plan is 36,933,859 Membership Units. As of August 1, 2020, there are 1,577,837 Holdco Membership Units that are authorized and available for the grant of Awards under the 2011 Unit Incentive Plan.</w:t>
      </w:r>
    </w:p>
    <w:p>
      <w:pPr>
        <w:spacing w:after="0" w:line="176" w:lineRule="exact"/>
        <w:rPr>
          <w:sz w:val="20"/>
          <w:szCs w:val="20"/>
          <w:color w:val="auto"/>
        </w:rPr>
      </w:pPr>
    </w:p>
    <w:p>
      <w:pPr>
        <w:ind w:left="560" w:right="100" w:firstLine="423"/>
        <w:spacing w:after="0" w:line="266" w:lineRule="auto"/>
        <w:rPr>
          <w:sz w:val="20"/>
          <w:szCs w:val="20"/>
          <w:color w:val="auto"/>
        </w:rPr>
      </w:pPr>
      <w:r>
        <w:rPr>
          <w:rFonts w:ascii="Times New Roman" w:cs="Times New Roman" w:eastAsia="Times New Roman" w:hAnsi="Times New Roman"/>
          <w:sz w:val="18"/>
          <w:szCs w:val="18"/>
          <w:color w:val="auto"/>
        </w:rPr>
        <w:t>Equity compensation expense was $1.6 million and $3.7 million in the thirteen and twenty-six weeks ended August 1, 2020, respectively, and $2.5 million and $4.5 million in the thirteen and twenty-six weeks ended August 3, 2019, respectively, and is included in selling, general and administrative expenses in the statements of income.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 Option Fair Value Assumptions</w:t>
      </w:r>
    </w:p>
    <w:p>
      <w:pPr>
        <w:spacing w:after="0" w:line="121" w:lineRule="exact"/>
        <w:rPr>
          <w:sz w:val="20"/>
          <w:szCs w:val="20"/>
          <w:color w:val="auto"/>
        </w:rPr>
      </w:pPr>
    </w:p>
    <w:p>
      <w:pPr>
        <w:ind w:left="560" w:right="60" w:firstLine="423"/>
        <w:spacing w:after="0" w:line="256" w:lineRule="auto"/>
        <w:rPr>
          <w:sz w:val="20"/>
          <w:szCs w:val="20"/>
          <w:color w:val="auto"/>
        </w:rPr>
      </w:pPr>
      <w:r>
        <w:rPr>
          <w:rFonts w:ascii="Times New Roman" w:cs="Times New Roman" w:eastAsia="Times New Roman" w:hAnsi="Times New Roman"/>
          <w:sz w:val="18"/>
          <w:szCs w:val="18"/>
          <w:color w:val="auto"/>
        </w:rPr>
        <w:t>The fair value for Service Options and Performance Options granted was estimated using a Black-Scholes option-pricing model. The expected lives of the Service Options and Performance Options granted were based on the “SEC simplified” method and a mid-point assumption, respectively. Expected price volatility was determined based on the implied volatilities of comparable companies over a historical period that matches the expected life of the Unit Options. The risk-free interest rate was based on the expected U.S. Treasury rate over the expected life. The dividend yield was based on the expectation that no dividends will be paid. The assumptions used to calculate the fair value of Unit Options granted are evaluated and modified, as necessary, to reflect current market conditions and experience.</w:t>
      </w:r>
    </w:p>
    <w:p>
      <w:pPr>
        <w:spacing w:after="0" w:line="187" w:lineRule="exact"/>
        <w:rPr>
          <w:sz w:val="20"/>
          <w:szCs w:val="20"/>
          <w:color w:val="auto"/>
        </w:rPr>
      </w:pPr>
    </w:p>
    <w:p>
      <w:pPr>
        <w:ind w:left="560" w:right="64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assumptions and grant date fair values for Service Options and Performance Options granted in the twenty-six weeks ended August 1, 2020:</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4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4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 to 0.76%</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7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2780" w:type="dxa"/>
            <w:vAlign w:val="bottom"/>
          </w:tcPr>
          <w:p>
            <w:pPr>
              <w:spacing w:after="0"/>
              <w:rPr>
                <w:sz w:val="24"/>
                <w:szCs w:val="24"/>
                <w:color w:val="auto"/>
              </w:rPr>
            </w:pPr>
          </w:p>
        </w:tc>
        <w:tc>
          <w:tcPr>
            <w:tcW w:w="4700" w:type="dxa"/>
            <w:vAlign w:val="bottom"/>
          </w:tcPr>
          <w:p>
            <w:pPr>
              <w:jc w:val="right"/>
              <w:ind w:right="3470"/>
              <w:spacing w:after="0"/>
              <w:rPr>
                <w:sz w:val="20"/>
                <w:szCs w:val="20"/>
                <w:color w:val="auto"/>
              </w:rPr>
            </w:pPr>
            <w:r>
              <w:rPr>
                <w:rFonts w:ascii="Times New Roman" w:cs="Times New Roman" w:eastAsia="Times New Roman" w:hAnsi="Times New Roman"/>
                <w:sz w:val="18"/>
                <w:szCs w:val="18"/>
                <w:color w:val="auto"/>
              </w:rPr>
              <w:t>F-18</w:t>
            </w:r>
          </w:p>
        </w:tc>
      </w:tr>
    </w:tbl>
    <w:p>
      <w:pPr>
        <w:sectPr>
          <w:pgSz w:w="11900" w:h="16838" w:orient="portrait"/>
          <w:cols w:equalWidth="0" w:num="1">
            <w:col w:w="11100"/>
          </w:cols>
          <w:pgMar w:left="320" w:top="455" w:right="47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presents the Unit grants during the twenty-six weeks ended August 1, 2020:</w:t>
      </w:r>
    </w:p>
    <w:p>
      <w:pPr>
        <w:spacing w:after="0" w:line="233"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980" w:type="dxa"/>
            <w:vAlign w:val="bottom"/>
            <w:gridSpan w:val="6"/>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Service Options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Liquidity Event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980" w:type="dxa"/>
            <w:vAlign w:val="bottom"/>
            <w:gridSpan w:val="6"/>
            <w:vMerge w:val="continue"/>
          </w:tcPr>
          <w:p>
            <w:pPr>
              <w:spacing w:after="0"/>
              <w:rPr>
                <w:sz w:val="15"/>
                <w:szCs w:val="15"/>
                <w:color w:val="auto"/>
              </w:rPr>
            </w:pPr>
          </w:p>
        </w:tc>
        <w:tc>
          <w:tcPr>
            <w:tcW w:w="13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Restricted Units</w:t>
            </w:r>
          </w:p>
        </w:tc>
        <w:tc>
          <w:tcPr>
            <w:tcW w:w="580" w:type="dxa"/>
            <w:vAlign w:val="bottom"/>
          </w:tcPr>
          <w:p>
            <w:pPr>
              <w:spacing w:after="0"/>
              <w:rPr>
                <w:sz w:val="15"/>
                <w:szCs w:val="15"/>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Units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4,024,172</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36,430</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992,943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grant date fair value per unit /</w:t>
            </w: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300" w:type="dxa"/>
            <w:vAlign w:val="bottom"/>
          </w:tcPr>
          <w:p>
            <w:pPr>
              <w:spacing w:after="0"/>
              <w:rPr>
                <w:sz w:val="17"/>
                <w:szCs w:val="17"/>
                <w:color w:val="auto"/>
              </w:rPr>
            </w:pPr>
          </w:p>
        </w:tc>
        <w:tc>
          <w:tcPr>
            <w:tcW w:w="780" w:type="dxa"/>
            <w:vAlign w:val="bottom"/>
            <w:gridSpan w:val="3"/>
            <w:vMerge w:val="restart"/>
          </w:tcPr>
          <w:p>
            <w:pPr>
              <w:ind w:left="6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w:t>
            </w:r>
          </w:p>
        </w:tc>
        <w:tc>
          <w:tcPr>
            <w:tcW w:w="300" w:type="dxa"/>
            <w:vAlign w:val="bottom"/>
            <w:gridSpan w:val="2"/>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gridSpan w:val="3"/>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exercise price per unit / option</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32"/>
        </w:trPr>
        <w:tc>
          <w:tcPr>
            <w:tcW w:w="63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The following table presents the unrecognized compensation cost as of August 1, 2020: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Service Options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580" w:type="dxa"/>
            <w:vAlign w:val="bottom"/>
          </w:tcPr>
          <w:p>
            <w:pPr>
              <w:spacing w:after="0"/>
              <w:rPr>
                <w:sz w:val="15"/>
                <w:szCs w:val="15"/>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Units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expense</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97"/>
              </w:rPr>
              <w:t>$20,216,870</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92"/>
              </w:rPr>
              <w:t>$ 1,118,024</w:t>
            </w:r>
          </w:p>
        </w:tc>
        <w:tc>
          <w:tcPr>
            <w:tcW w:w="5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118,357</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life per unit / option remaining in years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540" w:hanging="424"/>
        <w:spacing w:after="0"/>
        <w:tabs>
          <w:tab w:leader="none" w:pos="54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Unit</w:t>
      </w:r>
    </w:p>
    <w:p>
      <w:pPr>
        <w:spacing w:after="0" w:line="121" w:lineRule="exact"/>
        <w:rPr>
          <w:sz w:val="20"/>
          <w:szCs w:val="20"/>
          <w:color w:val="auto"/>
        </w:rPr>
      </w:pPr>
    </w:p>
    <w:p>
      <w:pPr>
        <w:ind w:left="560" w:firstLine="423"/>
        <w:spacing w:after="0" w:line="256" w:lineRule="auto"/>
        <w:rPr>
          <w:sz w:val="20"/>
          <w:szCs w:val="20"/>
          <w:color w:val="auto"/>
        </w:rPr>
      </w:pPr>
      <w:r>
        <w:rPr>
          <w:rFonts w:ascii="Times New Roman" w:cs="Times New Roman" w:eastAsia="Times New Roman" w:hAnsi="Times New Roman"/>
          <w:sz w:val="18"/>
          <w:szCs w:val="18"/>
          <w:color w:val="auto"/>
        </w:rPr>
        <w:t>Basic earnings per unit is calculated based on net income divided by the basic weighted average units outstanding during the period, and diluted earnings per unit is calculated based on net income divided by the diluted weighted average units outstanding. Diluted weighted average units outstanding is based on the basic weighted average units outstanding plus any potential dilutive effect of stock-based awards outstanding during the period using the treasury stock method, which assumes the potential proceeds received from the dilutive Unit Options are used to purchase treasury stock. Anti-dilutive stock-based awards do not include awards which have a performance or liquidity event target which has yet to be achieved.</w:t>
      </w:r>
    </w:p>
    <w:p>
      <w:pPr>
        <w:spacing w:after="0" w:line="187" w:lineRule="exact"/>
        <w:rPr>
          <w:sz w:val="20"/>
          <w:szCs w:val="20"/>
          <w:color w:val="auto"/>
        </w:rPr>
      </w:pPr>
    </w:p>
    <w:p>
      <w:pPr>
        <w:ind w:left="560" w:right="240" w:firstLine="423"/>
        <w:spacing w:after="0" w:line="282" w:lineRule="auto"/>
        <w:rPr>
          <w:sz w:val="20"/>
          <w:szCs w:val="20"/>
          <w:color w:val="auto"/>
        </w:rPr>
      </w:pPr>
      <w:r>
        <w:rPr>
          <w:rFonts w:ascii="Times New Roman" w:cs="Times New Roman" w:eastAsia="Times New Roman" w:hAnsi="Times New Roman"/>
          <w:sz w:val="18"/>
          <w:szCs w:val="18"/>
          <w:color w:val="auto"/>
        </w:rPr>
        <w:t>Basic and diluted weighted average units outstanding and basic and diluted earnings per unit are calculated as follows (dollar amounts in thousands except per unit amounts):</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20" w:type="dxa"/>
            <w:vAlign w:val="bottom"/>
            <w:tcBorders>
              <w:top w:val="single" w:sz="8" w:color="auto"/>
            </w:tcBorders>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167,676</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48,347</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157,656</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units outstanding – basic</w:t>
            </w:r>
          </w:p>
        </w:tc>
        <w:tc>
          <w:tcPr>
            <w:tcW w:w="10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7"/>
              </w:rPr>
              <w:t>228,306,033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228,326,985</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228,300,128</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228,308,074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Restricted Units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10,330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10,796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24,661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1,799,056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2,102,338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1,931,879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2,569,269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Performance Options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4,370,032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4,259,941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4,378,883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4,606,110</w:t>
            </w: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units outstanding – diluted</w:t>
            </w: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234,485,451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234,700,060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234,635,551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235,511,210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unit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0.73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0.21</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0.69</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unit –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0.72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0.21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0.67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Anti-dilutive stock-based awards excluded</w:t>
            </w:r>
          </w:p>
        </w:tc>
        <w:tc>
          <w:tcPr>
            <w:tcW w:w="10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5,206,420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1,342,207</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from diluted calculation</w:t>
            </w:r>
          </w:p>
        </w:tc>
        <w:tc>
          <w:tcPr>
            <w:tcW w:w="10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11,242,896</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1,823,969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F-19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right="8620" w:hanging="444"/>
        <w:spacing w:after="0" w:line="400" w:lineRule="auto"/>
        <w:tabs>
          <w:tab w:leader="none" w:pos="389" w:val="left"/>
        </w:tabs>
        <w:numPr>
          <w:ilvl w:val="0"/>
          <w:numId w:val="2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b w:val="1"/>
          <w:bCs w:val="1"/>
          <w:i w:val="1"/>
          <w:iCs w:val="1"/>
          <w:color w:val="auto"/>
        </w:rPr>
        <w:t>Monitoring Agreement</w:t>
      </w:r>
    </w:p>
    <w:p>
      <w:pPr>
        <w:ind w:left="560" w:right="80" w:firstLine="423"/>
        <w:spacing w:after="0" w:line="253" w:lineRule="auto"/>
        <w:rPr>
          <w:sz w:val="20"/>
          <w:szCs w:val="20"/>
          <w:color w:val="auto"/>
        </w:rPr>
      </w:pPr>
      <w:r>
        <w:rPr>
          <w:rFonts w:ascii="Times New Roman" w:cs="Times New Roman" w:eastAsia="Times New Roman" w:hAnsi="Times New Roman"/>
          <w:sz w:val="18"/>
          <w:szCs w:val="18"/>
          <w:color w:val="auto"/>
        </w:rPr>
        <w:t>On August 3, 2011, or the Effective Date, we entered into a monitoring agreement, or the Monitoring Agreement, with Kohlberg Kravis Roberts &amp; Co. L.P., or the Adviser, pursuant to which the Adviser provides advisory, consulting and financial services to us. In accordance with the terms of the Monitoring Agreement, we pay an aggregate annual advisory fee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 We recognized advisory fees related to the Monitoring Agreement, including reimbursement of expenses, of approximately $0.9 million and $1.8 million in each of the thirteen and twenty-six weeks ended August 1, 2020, respectively, and $0.9 million and $1.8 million in each of the thirteen and twenty-six weeks ended August 3, 2019, respectively. These expenses are included in selling, general and administrative expenses in the statements of income.</w:t>
      </w:r>
    </w:p>
    <w:p>
      <w:pPr>
        <w:spacing w:after="0" w:line="194" w:lineRule="exact"/>
        <w:rPr>
          <w:sz w:val="20"/>
          <w:szCs w:val="20"/>
          <w:color w:val="auto"/>
        </w:rPr>
      </w:pPr>
    </w:p>
    <w:p>
      <w:pPr>
        <w:ind w:left="560" w:right="40" w:firstLine="423"/>
        <w:spacing w:after="0" w:line="256" w:lineRule="auto"/>
        <w:rPr>
          <w:sz w:val="20"/>
          <w:szCs w:val="20"/>
          <w:color w:val="auto"/>
        </w:rPr>
      </w:pPr>
      <w:r>
        <w:rPr>
          <w:rFonts w:ascii="Times New Roman" w:cs="Times New Roman" w:eastAsia="Times New Roman" w:hAnsi="Times New Roman"/>
          <w:sz w:val="18"/>
          <w:szCs w:val="18"/>
          <w:color w:val="auto"/>
        </w:rPr>
        <w:t>In the event the Monitoring Agreement is terminated in connection with certain financing, acquisition, disposition and change of control transactions, an initial public offering or under certain other circumstances, the Adviser is entitled to all unpaid monitoring fees and expenses plus the net present value of the advisory fees that would have been paid from the termination date through the twelfth anniversary of the Effective Date of the Monitoring Agreement, or if terminated after such anniversary, through the first anniversary of the Effective Date occurring after the termination date. Pursuant to a separate agreement, the Adviser would be expected to share a portion of any such termination fee with certain investors who are family descendants of our founder, Max Gochman, or Gochman Investors.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21" w:lineRule="exact"/>
        <w:rPr>
          <w:sz w:val="20"/>
          <w:szCs w:val="20"/>
          <w:color w:val="auto"/>
        </w:rPr>
      </w:pPr>
    </w:p>
    <w:p>
      <w:pPr>
        <w:ind w:left="560" w:right="140" w:firstLine="423"/>
        <w:spacing w:after="0" w:line="282" w:lineRule="auto"/>
        <w:rPr>
          <w:sz w:val="20"/>
          <w:szCs w:val="20"/>
          <w:color w:val="auto"/>
        </w:rPr>
      </w:pPr>
      <w:r>
        <w:rPr>
          <w:rFonts w:ascii="Times New Roman" w:cs="Times New Roman" w:eastAsia="Times New Roman" w:hAnsi="Times New Roman"/>
          <w:sz w:val="18"/>
          <w:szCs w:val="18"/>
          <w:color w:val="auto"/>
        </w:rPr>
        <w:t>KKR has ownership interests in a broad range of portfolio companies and we may enter into commercial transactions for goods or services in the ordinary course of business with these companies. We do not believe such transactions are material to our business.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 Purchases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There were no equity purchases for the thirteen and twenty-six weeks ended August 1, 2020 and August 3, 2019.</w:t>
      </w:r>
    </w:p>
    <w:p>
      <w:pPr>
        <w:spacing w:after="0" w:line="117"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During the twenty-six weeks ended August 1, 2020, Managers repurchased at fair market value approximately $37.0 thousand of Redeemable Membership Units from a director of the Company for cash. Holdco concurrently repurchased from Managers for cash, at fair market value, a number of Holdco membership units equal to the number of Redeemable Membership Units repurchased from the director.</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Note Receivable from Member</w:t>
      </w:r>
    </w:p>
    <w:p>
      <w:pPr>
        <w:spacing w:after="0" w:line="121" w:lineRule="exact"/>
        <w:rPr>
          <w:sz w:val="20"/>
          <w:szCs w:val="20"/>
          <w:color w:val="auto"/>
        </w:rPr>
      </w:pPr>
    </w:p>
    <w:p>
      <w:pPr>
        <w:ind w:left="560" w:right="180" w:firstLine="423"/>
        <w:spacing w:after="0" w:line="261" w:lineRule="auto"/>
        <w:rPr>
          <w:sz w:val="20"/>
          <w:szCs w:val="20"/>
          <w:color w:val="auto"/>
        </w:rPr>
      </w:pPr>
      <w:r>
        <w:rPr>
          <w:rFonts w:ascii="Times New Roman" w:cs="Times New Roman" w:eastAsia="Times New Roman" w:hAnsi="Times New Roman"/>
          <w:sz w:val="18"/>
          <w:szCs w:val="18"/>
          <w:color w:val="auto"/>
        </w:rPr>
        <w:t>Under Holdco’s LLC agreement, certain members may require the Company to provide a tax loan on their behalf under certain circumstances. On April 10, 2019, the Company loaned $4.0 million with a note receivable issued to a member. The note receivable bears semi-annual compounding interest at 2.5% per annum with outstanding principal and interest due on April 10, 2022. This note receivable has been recorded in other non-current assets on the balance sheet.</w:t>
      </w:r>
    </w:p>
    <w:p>
      <w:pPr>
        <w:spacing w:after="0" w:line="72" w:lineRule="exact"/>
        <w:rPr>
          <w:sz w:val="20"/>
          <w:szCs w:val="20"/>
          <w:color w:val="auto"/>
        </w:rPr>
      </w:pPr>
    </w:p>
    <w:p>
      <w:pPr>
        <w:jc w:val="both"/>
        <w:ind w:left="560" w:right="480" w:firstLine="423"/>
        <w:spacing w:after="0" w:line="266" w:lineRule="auto"/>
        <w:rPr>
          <w:sz w:val="20"/>
          <w:szCs w:val="20"/>
          <w:color w:val="auto"/>
        </w:rPr>
      </w:pPr>
      <w:r>
        <w:rPr>
          <w:rFonts w:ascii="Times New Roman" w:cs="Times New Roman" w:eastAsia="Times New Roman" w:hAnsi="Times New Roman"/>
          <w:sz w:val="18"/>
          <w:szCs w:val="18"/>
          <w:color w:val="auto"/>
        </w:rPr>
        <w:t>On April 5, 2018, the Company loaned $4.1 million with a note receivable issued to a member. The note receivable bears semi-annual compounding interest at 2.1%, with outstanding principal and interest due April 5, 2021. This note receivable has been recorded in prepaid expenses and other current assets on the balance sheet.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00"/>
          </w:cols>
          <w:pgMar w:left="320" w:top="455" w:right="47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right="7180" w:hanging="444"/>
        <w:spacing w:after="0" w:line="400" w:lineRule="auto"/>
        <w:tabs>
          <w:tab w:leader="none" w:pos="552" w:val="left"/>
        </w:tabs>
        <w:numPr>
          <w:ilvl w:val="0"/>
          <w:numId w:val="2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Technology Related Commitments and Other</w:t>
      </w:r>
    </w:p>
    <w:p>
      <w:pPr>
        <w:jc w:val="center"/>
        <w:ind w:left="820" w:right="60"/>
        <w:spacing w:after="0" w:line="312" w:lineRule="auto"/>
        <w:rPr>
          <w:sz w:val="20"/>
          <w:szCs w:val="20"/>
          <w:color w:val="auto"/>
        </w:rPr>
      </w:pPr>
      <w:r>
        <w:rPr>
          <w:rFonts w:ascii="Times New Roman" w:cs="Times New Roman" w:eastAsia="Times New Roman" w:hAnsi="Times New Roman"/>
          <w:sz w:val="17"/>
          <w:szCs w:val="17"/>
          <w:color w:val="auto"/>
        </w:rPr>
        <w:t>As of August 1, 2020, we have obligations under technology related contractual commitments as well as other commitments, such as construction commitments, in the amount of $19.2 million. Of such commitments, approximately $16.1 million is payable in the next 12 months.</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Commitments Related to Monitoring Agreements</w:t>
      </w:r>
    </w:p>
    <w:p>
      <w:pPr>
        <w:spacing w:after="0" w:line="121" w:lineRule="exact"/>
        <w:rPr>
          <w:sz w:val="20"/>
          <w:szCs w:val="20"/>
          <w:color w:val="auto"/>
        </w:rPr>
      </w:pPr>
    </w:p>
    <w:p>
      <w:pPr>
        <w:ind w:left="560" w:right="560" w:firstLine="423"/>
        <w:spacing w:after="0" w:line="282" w:lineRule="auto"/>
        <w:rPr>
          <w:sz w:val="20"/>
          <w:szCs w:val="20"/>
          <w:color w:val="auto"/>
        </w:rPr>
      </w:pPr>
      <w:r>
        <w:rPr>
          <w:rFonts w:ascii="Times New Roman" w:cs="Times New Roman" w:eastAsia="Times New Roman" w:hAnsi="Times New Roman"/>
          <w:sz w:val="18"/>
          <w:szCs w:val="18"/>
          <w:color w:val="auto"/>
        </w:rPr>
        <w:t>As of August 1, 2020, we have obligations under the Monitoring Agreement (see Note 12), in the amount of $14.4 million, of which $6.1 million is payable in the next 12 months.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21" w:lineRule="exact"/>
        <w:rPr>
          <w:sz w:val="20"/>
          <w:szCs w:val="20"/>
          <w:color w:val="auto"/>
        </w:rPr>
      </w:pPr>
    </w:p>
    <w:p>
      <w:pPr>
        <w:ind w:left="560" w:right="40" w:firstLine="423"/>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560" w:right="40" w:firstLine="423"/>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 and Intellectual Property Commitments</w:t>
      </w:r>
    </w:p>
    <w:p>
      <w:pPr>
        <w:spacing w:after="0" w:line="121" w:lineRule="exact"/>
        <w:rPr>
          <w:sz w:val="20"/>
          <w:szCs w:val="20"/>
          <w:color w:val="auto"/>
        </w:rPr>
      </w:pPr>
    </w:p>
    <w:p>
      <w:pPr>
        <w:ind w:left="560" w:right="220" w:firstLine="423"/>
        <w:spacing w:after="0" w:line="277" w:lineRule="auto"/>
        <w:rPr>
          <w:sz w:val="20"/>
          <w:szCs w:val="20"/>
          <w:color w:val="auto"/>
        </w:rPr>
      </w:pPr>
      <w:r>
        <w:rPr>
          <w:rFonts w:ascii="Times New Roman" w:cs="Times New Roman" w:eastAsia="Times New Roman" w:hAnsi="Times New Roman"/>
          <w:sz w:val="17"/>
          <w:szCs w:val="17"/>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August 1, 2020, we have $9.6 million in related commitments through 2027, of which $5.8 million is payable in the next 12 months.</w:t>
      </w:r>
    </w:p>
    <w:p>
      <w:pPr>
        <w:spacing w:after="0" w:line="312" w:lineRule="exact"/>
        <w:rPr>
          <w:sz w:val="20"/>
          <w:szCs w:val="20"/>
          <w:color w:val="auto"/>
        </w:rPr>
      </w:pPr>
    </w:p>
    <w:p>
      <w:pPr>
        <w:ind w:left="540" w:hanging="424"/>
        <w:spacing w:after="0"/>
        <w:tabs>
          <w:tab w:leader="none" w:pos="540"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560" w:right="160" w:firstLine="423"/>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August 1, 2020, through September 1, 2020, the issuance date of the financial statements, and identified the following matters to report:</w:t>
      </w:r>
    </w:p>
    <w:p>
      <w:pPr>
        <w:spacing w:after="0" w:line="162"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On August 28, 2020, Holdco paid a $257.0 million Distribution to its unitholders of record as of August 25, 2020, of which $218.3 million was paid to Allstar LLC, an entity owned by KKR, $24.9 million was paid to the Gochman Investors and the remaining $4.8 million was paid to other unitholders. Such Distribution was funded through a combination of cash on hand and an offset of outstanding loans receivable from certain unitholders as well as state income tax withholdings made on behalf of our</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60"/>
          </w:cols>
          <w:pgMar w:left="320" w:top="455" w:right="51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unitholders. Holders of outstanding Company granted equity awards are entitled to receive an adjustment equal to $1.1257 per award, which was made in the form of cash payments, additional Restricted Unit grants and/or exercise price adjustments on Unit Options. The Company made approximately $18.8 million in cash payments to holders of vested outstanding Company granted equity awards in the last week of August 2020 and the first week of September 2020. The payment for the unvested outstanding Company granted equity awards is $15.2 million which will be paid out over time if and when the related awards vest.</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00"/>
          </w:cols>
          <w:pgMar w:left="320" w:top="455" w:right="57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Partners and the Board of Managers of New Academy Holding Company, LLC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New Academy Holding Company, LLC and subsidiaries (the “Company”) as of February 1, 2020 and February 2, 2019, the related consolidated statements of income (loss), comprehensive income (loss), partners’ equity, and cash flows, for each of the three years in the period ended February 1, 2020, and the related notes to the consolidated financial statements (collectively referred to as the “financial statements”). In our opinion, the financial statements present fairly, in all material respects, the financial position of the Company as of February 1, 2020 and February 2, 2019, and the results of its operations and its cash flows for each of the three years in the period ended February 1, 2020,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 xml:space="preserve">As discussed in Notes 2 and 14 to the financial statements, the Company adopted Financial Accounting Standards Board (FASB)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using the modified retrospective approach.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10, 2020</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1996.</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00"/>
          </w:cols>
          <w:pgMar w:left="320" w:top="455" w:right="47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320" w:type="dxa"/>
            <w:vAlign w:val="bottom"/>
            <w:vMerge w:val="restart"/>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149,385</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75,691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 less allowance for doubtful accounts of $3,275 and $3,008, respectively</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13,999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15,725</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1,099,749</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1,134,156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24,548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39,937</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1,763</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1,289,444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1,267,272</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441,407</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496,153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1,145,705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NAME AND OTHER INTANGIBLE ASSETS,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592,067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861,920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861,920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15,845</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21,545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4,331,321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3,238,957</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260"/>
              <w:spacing w:after="0"/>
              <w:rPr>
                <w:sz w:val="20"/>
                <w:szCs w:val="20"/>
                <w:color w:val="auto"/>
              </w:rPr>
            </w:pPr>
            <w:r>
              <w:rPr>
                <w:rFonts w:ascii="Times New Roman" w:cs="Times New Roman" w:eastAsia="Times New Roman" w:hAnsi="Times New Roman"/>
                <w:sz w:val="18"/>
                <w:szCs w:val="18"/>
                <w:b w:val="1"/>
                <w:bCs w:val="1"/>
                <w:color w:val="auto"/>
              </w:rPr>
              <w:t>LIABILITIES AND PARTNERS’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428,823</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432,037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211,381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184,141</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76,329</w:t>
            </w:r>
          </w:p>
        </w:tc>
        <w:tc>
          <w:tcPr>
            <w:tcW w:w="18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34,116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68,305</w:t>
            </w:r>
          </w:p>
        </w:tc>
        <w:tc>
          <w:tcPr>
            <w:tcW w:w="0" w:type="dxa"/>
            <w:vAlign w:val="bottom"/>
          </w:tcPr>
          <w:p>
            <w:pPr>
              <w:spacing w:after="0"/>
              <w:rPr>
                <w:sz w:val="1"/>
                <w:szCs w:val="1"/>
                <w:color w:val="auto"/>
              </w:rPr>
            </w:pPr>
          </w:p>
        </w:tc>
      </w:tr>
      <w:tr>
        <w:trPr>
          <w:trHeight w:val="223"/>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750,649</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684,483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 net of current maturities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1,428,542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1,556,755</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LEASE LIABILITIES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1,141,896</w:t>
            </w:r>
          </w:p>
        </w:tc>
        <w:tc>
          <w:tcPr>
            <w:tcW w:w="18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19,197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122,795</w:t>
            </w:r>
          </w:p>
        </w:tc>
        <w:tc>
          <w:tcPr>
            <w:tcW w:w="0" w:type="dxa"/>
            <w:vAlign w:val="bottom"/>
          </w:tcPr>
          <w:p>
            <w:pPr>
              <w:spacing w:after="0"/>
              <w:rPr>
                <w:sz w:val="1"/>
                <w:szCs w:val="1"/>
                <w:color w:val="auto"/>
              </w:rPr>
            </w:pPr>
          </w:p>
        </w:tc>
      </w:tr>
      <w:tr>
        <w:trPr>
          <w:trHeight w:val="232"/>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3,340,284</w:t>
            </w:r>
          </w:p>
        </w:tc>
        <w:tc>
          <w:tcPr>
            <w:tcW w:w="5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2,364,033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8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MEMBERSHIP UNITS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2,818</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17,885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Partners’ equity, membership units authorized, issued and outstanding 228,274,749 and 228,289,163,</w:t>
            </w:r>
          </w:p>
        </w:tc>
        <w:tc>
          <w:tcPr>
            <w:tcW w:w="180" w:type="dxa"/>
            <w:vAlign w:val="bottom"/>
          </w:tcPr>
          <w:p>
            <w:pPr>
              <w:spacing w:after="0"/>
              <w:rPr>
                <w:sz w:val="17"/>
                <w:szCs w:val="17"/>
                <w:color w:val="auto"/>
              </w:rPr>
            </w:pPr>
          </w:p>
        </w:tc>
        <w:tc>
          <w:tcPr>
            <w:tcW w:w="14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996,285</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848,591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(8,066)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8,448</w:t>
            </w:r>
          </w:p>
        </w:tc>
        <w:tc>
          <w:tcPr>
            <w:tcW w:w="0" w:type="dxa"/>
            <w:vAlign w:val="bottom"/>
          </w:tcPr>
          <w:p>
            <w:pPr>
              <w:spacing w:after="0"/>
              <w:rPr>
                <w:sz w:val="1"/>
                <w:szCs w:val="1"/>
                <w:color w:val="auto"/>
              </w:rPr>
            </w:pPr>
          </w:p>
        </w:tc>
      </w:tr>
      <w:tr>
        <w:trPr>
          <w:trHeight w:val="230"/>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988,219</w:t>
            </w: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partners’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4,331,321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3,238,957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55" w:right="43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earnings per unit)</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2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260" w:type="dxa"/>
            <w:vAlign w:val="bottom"/>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3,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4,829,897</w:t>
            </w: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4,783,893</w:t>
            </w:r>
          </w:p>
        </w:tc>
        <w:tc>
          <w:tcPr>
            <w:tcW w:w="5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4,835,582</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3,398,743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3,415,941</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3,436,618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1,431,154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1,367,952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1,398,964</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1,251,733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1,239,002</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1,241,643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179,421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128,950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157,321</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101,307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108,652</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104,857</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(42,265)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(6,294)</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122,860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23,393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61,282</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2,817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120,043</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20"/>
                <w:szCs w:val="20"/>
                <w:color w:val="auto"/>
              </w:rPr>
              <w:t>21,442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58,501</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unit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0.53</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0.51</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228,303,750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9"/>
              </w:rPr>
              <w:t>228,160,508</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227,942,148</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235,609,118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9"/>
              </w:rPr>
              <w:t>236,873,973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236,804,721</w:t>
            </w:r>
          </w:p>
        </w:tc>
        <w:tc>
          <w:tcPr>
            <w:tcW w:w="0" w:type="dxa"/>
            <w:vAlign w:val="bottom"/>
          </w:tcPr>
          <w:p>
            <w:pPr>
              <w:spacing w:after="0"/>
              <w:rPr>
                <w:sz w:val="1"/>
                <w:szCs w:val="1"/>
                <w:color w:val="auto"/>
              </w:rPr>
            </w:pPr>
          </w:p>
        </w:tc>
      </w:tr>
      <w:tr>
        <w:trPr>
          <w:trHeight w:val="432"/>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Unaudited Pro Forma Financial Information (Note 2)</w:t>
            </w: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122,860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income tax expense</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32,918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 forma net income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89,942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 forma 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81,037,194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83,356,358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38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6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40" w:type="dxa"/>
            <w:vAlign w:val="bottom"/>
          </w:tcPr>
          <w:p>
            <w:pPr>
              <w:spacing w:after="0"/>
              <w:rPr>
                <w:sz w:val="12"/>
                <w:szCs w:val="12"/>
                <w:color w:val="auto"/>
              </w:rPr>
            </w:pP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w:t>
            </w:r>
          </w:p>
        </w:tc>
        <w:tc>
          <w:tcPr>
            <w:tcW w:w="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29"/>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120,043</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21,442</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58,501</w:t>
            </w: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interest rate swaps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(16,096)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(2,625)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5,876</w:t>
            </w:r>
          </w:p>
        </w:tc>
      </w:tr>
      <w:tr>
        <w:trPr>
          <w:trHeight w:val="216"/>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Recognized interest expense (income) on interest rate swaps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(418)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1,106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7,497</w:t>
            </w:r>
          </w:p>
        </w:tc>
      </w:tr>
      <w:tr>
        <w:trPr>
          <w:trHeight w:val="27"/>
        </w:trPr>
        <w:tc>
          <w:tcPr>
            <w:tcW w:w="5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103,529</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20"/>
                <w:szCs w:val="20"/>
                <w:color w:val="auto"/>
              </w:rPr>
              <w:t>19,923</w:t>
            </w: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71,874</w:t>
            </w:r>
          </w:p>
        </w:tc>
      </w:tr>
      <w:tr>
        <w:trPr>
          <w:trHeight w:val="20"/>
        </w:trPr>
        <w:tc>
          <w:tcPr>
            <w:tcW w:w="5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40"/>
          </w:cols>
          <w:pgMar w:left="320" w:top="455" w:right="43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600" w:type="dxa"/>
            <w:vAlign w:val="bottom"/>
            <w:gridSpan w:val="5"/>
          </w:tcPr>
          <w:p>
            <w:pPr>
              <w:jc w:val="right"/>
              <w:ind w:right="580"/>
              <w:spacing w:after="0" w:line="135"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Membership</w:t>
            </w: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160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Membership Units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Partners' Equity</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0" w:type="dxa"/>
            <w:vAlign w:val="bottom"/>
          </w:tcPr>
          <w:p>
            <w:pPr>
              <w:spacing w:after="0"/>
              <w:rPr>
                <w:sz w:val="1"/>
                <w:szCs w:val="1"/>
                <w:color w:val="auto"/>
              </w:rPr>
            </w:pPr>
          </w:p>
        </w:tc>
      </w:tr>
      <w:tr>
        <w:trPr>
          <w:trHeight w:val="108"/>
        </w:trPr>
        <w:tc>
          <w:tcPr>
            <w:tcW w:w="50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3"/>
          </w:tcPr>
          <w:p>
            <w:pPr>
              <w:jc w:val="right"/>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Partners'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7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720" w:type="dxa"/>
            <w:vAlign w:val="bottom"/>
            <w:gridSpan w:val="4"/>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Partners' Equity</w:t>
            </w: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960" w:type="dxa"/>
            <w:vAlign w:val="bottom"/>
            <w:tcBorders>
              <w:top w:val="single" w:sz="8" w:color="auto"/>
            </w:tcBorders>
            <w:gridSpan w:val="2"/>
          </w:tcPr>
          <w:p>
            <w:pPr>
              <w:jc w:val="right"/>
              <w:ind w:right="440"/>
              <w:spacing w:after="0" w:line="129" w:lineRule="exact"/>
              <w:rPr>
                <w:sz w:val="20"/>
                <w:szCs w:val="20"/>
                <w:color w:val="auto"/>
              </w:rPr>
            </w:pPr>
            <w:r>
              <w:rPr>
                <w:rFonts w:ascii="Times New Roman" w:cs="Times New Roman" w:eastAsia="Times New Roman" w:hAnsi="Times New Roman"/>
                <w:sz w:val="13"/>
                <w:szCs w:val="13"/>
                <w:b w:val="1"/>
                <w:bCs w:val="1"/>
                <w:color w:val="auto"/>
              </w:rPr>
              <w:t>Units</w:t>
            </w: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69"/>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0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as of January 28, 2017</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3,813,842</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93"/>
              </w:rPr>
              <w:t>15,231</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224,000,107</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$759,668</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(3,406)</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$756,262</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227,813,949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58,501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58,501</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4,580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4,580</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200,648</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200,648</w:t>
            </w:r>
          </w:p>
        </w:tc>
        <w:tc>
          <w:tcPr>
            <w:tcW w:w="0" w:type="dxa"/>
            <w:vAlign w:val="bottom"/>
          </w:tcPr>
          <w:p>
            <w:pPr>
              <w:spacing w:after="0"/>
              <w:rPr>
                <w:sz w:val="1"/>
                <w:szCs w:val="1"/>
                <w:color w:val="auto"/>
              </w:rPr>
            </w:pPr>
          </w:p>
        </w:tc>
      </w:tr>
      <w:tr>
        <w:trPr>
          <w:trHeight w:val="126"/>
        </w:trPr>
        <w:tc>
          <w:tcPr>
            <w:tcW w:w="50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Units for contributions from Managers and settlement</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8,238</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1,200</w:t>
            </w:r>
          </w:p>
        </w:tc>
        <w:tc>
          <w:tcPr>
            <w:tcW w:w="9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(1,200)</w:t>
            </w: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(1,200)</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8,238</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of vested Restricted Units</w:t>
            </w: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Option Payment adjustment due to forfeitures</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Unrealized gain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5,876</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5,876</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Recognized interest expense on interest rate swaps</w:t>
            </w:r>
          </w:p>
        </w:tc>
        <w:tc>
          <w:tcPr>
            <w:tcW w:w="6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7,497</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7,497</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February 3, 2018</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4,022,728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16,431</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224,000,107</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$822,720</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9,967</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$832,687</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228,022,835</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21,442</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21,442</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4,633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4,633</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231,624</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231,624</w:t>
            </w:r>
          </w:p>
        </w:tc>
        <w:tc>
          <w:tcPr>
            <w:tcW w:w="0" w:type="dxa"/>
            <w:vAlign w:val="bottom"/>
          </w:tcPr>
          <w:p>
            <w:pPr>
              <w:spacing w:after="0"/>
              <w:rPr>
                <w:sz w:val="1"/>
                <w:szCs w:val="1"/>
                <w:color w:val="auto"/>
              </w:rPr>
            </w:pPr>
          </w:p>
        </w:tc>
      </w:tr>
      <w:tr>
        <w:trPr>
          <w:trHeight w:val="126"/>
        </w:trPr>
        <w:tc>
          <w:tcPr>
            <w:tcW w:w="50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Units for contributions from Managers and settlement</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34,704</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1,454</w:t>
            </w:r>
          </w:p>
        </w:tc>
        <w:tc>
          <w:tcPr>
            <w:tcW w:w="9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(1,454)</w:t>
            </w: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(1,454)</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34,704</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of vested Restricted Units</w:t>
            </w: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(2,625)</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(2,625)</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Recognized interest expense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1,106</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1,106</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50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Balances as of February 2, 2019</w:t>
            </w: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4,289,056</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w w:val="93"/>
              </w:rPr>
              <w:t>17,885</w:t>
            </w:r>
          </w:p>
        </w:tc>
        <w:tc>
          <w:tcPr>
            <w:tcW w:w="22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224,000,107</w:t>
            </w:r>
          </w:p>
        </w:tc>
        <w:tc>
          <w:tcPr>
            <w:tcW w:w="20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$848,591</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8,448</w:t>
            </w:r>
          </w:p>
        </w:tc>
        <w:tc>
          <w:tcPr>
            <w:tcW w:w="22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8"/>
              </w:rPr>
              <w:t>$857,039</w:t>
            </w:r>
          </w:p>
        </w:tc>
        <w:tc>
          <w:tcPr>
            <w:tcW w:w="20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228,289,163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120,043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120,043</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7,881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7,881</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19,231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19,231</w:t>
            </w:r>
          </w:p>
        </w:tc>
        <w:tc>
          <w:tcPr>
            <w:tcW w:w="0" w:type="dxa"/>
            <w:vAlign w:val="bottom"/>
          </w:tcPr>
          <w:p>
            <w:pPr>
              <w:spacing w:after="0"/>
              <w:rPr>
                <w:sz w:val="1"/>
                <w:szCs w:val="1"/>
                <w:color w:val="auto"/>
              </w:rPr>
            </w:pPr>
          </w:p>
        </w:tc>
      </w:tr>
      <w:tr>
        <w:trPr>
          <w:trHeight w:val="126"/>
        </w:trPr>
        <w:tc>
          <w:tcPr>
            <w:tcW w:w="502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Units for contributions from Managers and settlement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57,363</w:t>
            </w:r>
          </w:p>
        </w:tc>
        <w:tc>
          <w:tcPr>
            <w:tcW w:w="80" w:type="dxa"/>
            <w:vAlign w:val="bottom"/>
          </w:tcPr>
          <w:p>
            <w:pPr>
              <w:spacing w:after="0"/>
              <w:rPr>
                <w:sz w:val="10"/>
                <w:szCs w:val="10"/>
                <w:color w:val="auto"/>
              </w:rPr>
            </w:pPr>
          </w:p>
        </w:tc>
        <w:tc>
          <w:tcPr>
            <w:tcW w:w="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400</w:t>
            </w: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(400)</w:t>
            </w:r>
          </w:p>
        </w:tc>
        <w:tc>
          <w:tcPr>
            <w:tcW w:w="140" w:type="dxa"/>
            <w:vAlign w:val="bottom"/>
          </w:tcPr>
          <w:p>
            <w:pPr>
              <w:spacing w:after="0"/>
              <w:rPr>
                <w:sz w:val="10"/>
                <w:szCs w:val="10"/>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(400)</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57,363</w:t>
            </w:r>
          </w:p>
        </w:tc>
        <w:tc>
          <w:tcPr>
            <w:tcW w:w="0" w:type="dxa"/>
            <w:vAlign w:val="bottom"/>
          </w:tcPr>
          <w:p>
            <w:pPr>
              <w:spacing w:after="0"/>
              <w:rPr>
                <w:sz w:val="1"/>
                <w:szCs w:val="1"/>
                <w:color w:val="auto"/>
              </w:rPr>
            </w:pPr>
          </w:p>
        </w:tc>
      </w:tr>
      <w:tr>
        <w:trPr>
          <w:trHeight w:val="171"/>
        </w:trPr>
        <w:tc>
          <w:tcPr>
            <w:tcW w:w="5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of vested Restricted Units</w:t>
            </w: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0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Membership Units for repurchase of units from</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(91,008)</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(538)</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91,008</w:t>
            </w: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538</w:t>
            </w: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538</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Managers</w:t>
            </w: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Repurchase of Redeemable Membership Units</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(91,008)</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(91,008)</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Reclassification of membership units with lapsed put rights (Note 2)</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(3,763,118)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(14,929)</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3,763,118</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14,930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14,930</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Cumulative-effect adjustment related to the adoption of the New Lease Standard</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5,075</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5,075</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(16,096)</w:t>
            </w: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(16,096)</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Recognized interest income on interest rate swaps</w:t>
            </w:r>
          </w:p>
        </w:tc>
        <w:tc>
          <w:tcPr>
            <w:tcW w:w="6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February 1, 2020</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511,524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2,818</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227,763,225</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$996,285</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(8,066)</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$988,219</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228,274,749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40"/>
          </w:cols>
          <w:pgMar w:left="320" w:top="455" w:right="43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40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8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100" w:type="dxa"/>
            <w:vAlign w:val="bottom"/>
          </w:tcPr>
          <w:p>
            <w:pPr>
              <w:spacing w:after="0"/>
              <w:rPr>
                <w:sz w:val="12"/>
                <w:szCs w:val="12"/>
                <w:color w:val="auto"/>
              </w:rPr>
            </w:pPr>
          </w:p>
        </w:tc>
      </w:tr>
      <w:tr>
        <w:trPr>
          <w:trHeight w:val="128"/>
        </w:trPr>
        <w:tc>
          <w:tcPr>
            <w:tcW w:w="55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6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120,043</w:t>
            </w:r>
          </w:p>
        </w:tc>
        <w:tc>
          <w:tcPr>
            <w:tcW w:w="7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21,442</w:t>
            </w:r>
          </w:p>
        </w:tc>
        <w:tc>
          <w:tcPr>
            <w:tcW w:w="6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58,501</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117,254</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132,782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133,203</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3,965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7,881</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4,633</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4,580</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Amortization of deferred loan and other costs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3,717</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4,163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4,577</w:t>
            </w:r>
          </w:p>
        </w:tc>
      </w:tr>
      <w:tr>
        <w:trPr>
          <w:trHeight w:val="148"/>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297</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147</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Non-cash gain on early retirement of debt, net</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(42,265)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(6,294)</w:t>
            </w:r>
          </w:p>
        </w:tc>
      </w:tr>
      <w:tr>
        <w:trPr>
          <w:trHeight w:val="149"/>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Gain on disposal of property and equipment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(23)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(801)</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(559)</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Casualty loss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569</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w:t>
            </w:r>
          </w:p>
        </w:tc>
      </w:tr>
      <w:tr>
        <w:trPr>
          <w:trHeight w:val="148"/>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Impairment of long-lived assets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1,408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2,477</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4,476</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2,582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2,934</w:t>
            </w:r>
          </w:p>
        </w:tc>
      </w:tr>
      <w:tr>
        <w:trPr>
          <w:trHeight w:val="149"/>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Merchandise inventories, net</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34,407</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89,284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(132,687)</w:t>
            </w:r>
          </w:p>
        </w:tc>
      </w:tr>
      <w:tr>
        <w:trPr>
          <w:trHeight w:val="148"/>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(3,732)</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2,187</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(3,756)</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398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1,590</w:t>
            </w:r>
          </w:p>
        </w:tc>
      </w:tr>
      <w:tr>
        <w:trPr>
          <w:trHeight w:val="148"/>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(2,904)</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(70,029)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6,976</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20,615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(2,703)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990</w:t>
            </w:r>
          </w:p>
        </w:tc>
      </w:tr>
      <w:tr>
        <w:trPr>
          <w:trHeight w:val="148"/>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Deferred rent/tenant improvement allowances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2,833</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2,297</w:t>
            </w:r>
          </w:p>
        </w:tc>
      </w:tr>
      <w:tr>
        <w:trPr>
          <w:trHeight w:val="149"/>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(1,029)</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10,874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8,220</w:t>
            </w:r>
          </w:p>
        </w:tc>
      </w:tr>
      <w:tr>
        <w:trPr>
          <w:trHeight w:val="163"/>
        </w:trPr>
        <w:tc>
          <w:tcPr>
            <w:tcW w:w="5540" w:type="dxa"/>
            <w:vAlign w:val="bottom"/>
          </w:tcPr>
          <w:p>
            <w:pPr>
              <w:ind w:left="1140"/>
              <w:spacing w:after="0" w:line="155"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6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263,669</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198,481</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83,355</w:t>
            </w:r>
          </w:p>
        </w:tc>
        <w:tc>
          <w:tcPr>
            <w:tcW w:w="100" w:type="dxa"/>
            <w:vAlign w:val="bottom"/>
          </w:tcPr>
          <w:p>
            <w:pPr>
              <w:spacing w:after="0"/>
              <w:rPr>
                <w:sz w:val="14"/>
                <w:szCs w:val="14"/>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(62,818)</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(107,905)</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(132,126)</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insurance claims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2,593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233</w:t>
            </w: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10,429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15,992</w:t>
            </w: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Note receivable from member</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(3,988)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(4,144)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63"/>
        </w:trPr>
        <w:tc>
          <w:tcPr>
            <w:tcW w:w="5540" w:type="dxa"/>
            <w:vAlign w:val="bottom"/>
          </w:tcPr>
          <w:p>
            <w:pPr>
              <w:ind w:left="1140"/>
              <w:spacing w:after="0" w:line="155"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6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(66,783)</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(99,027)</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(115,901)</w:t>
            </w:r>
          </w:p>
        </w:tc>
        <w:tc>
          <w:tcPr>
            <w:tcW w:w="100" w:type="dxa"/>
            <w:vAlign w:val="bottom"/>
          </w:tcPr>
          <w:p>
            <w:pPr>
              <w:spacing w:after="0"/>
              <w:rPr>
                <w:sz w:val="14"/>
                <w:szCs w:val="14"/>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502,500</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526,812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851,400</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Repayment of revolving credit facility</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(502,500)</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(561,812)</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(816,400)</w:t>
            </w:r>
          </w:p>
        </w:tc>
      </w:tr>
      <w:tr>
        <w:trPr>
          <w:trHeight w:val="149"/>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Repayment of term loan facility and capital lease obligations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(122,819)</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(18,250)</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(37,989)</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Debt issuance fees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(2,808)</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Construction allowance receipts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10,353</w:t>
            </w: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1,150</w:t>
            </w: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of Redeemable Membership Units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(473)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7"/>
        </w:trPr>
        <w:tc>
          <w:tcPr>
            <w:tcW w:w="5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5540" w:type="dxa"/>
            <w:vAlign w:val="bottom"/>
            <w:shd w:val="clear" w:color="auto" w:fill="CCEEFF"/>
          </w:tcPr>
          <w:p>
            <w:pPr>
              <w:ind w:left="1140"/>
              <w:spacing w:after="0" w:line="149"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(123,192)</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(54,808)</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8,514</w:t>
            </w:r>
          </w:p>
        </w:tc>
      </w:tr>
      <w:tr>
        <w:trPr>
          <w:trHeight w:val="155"/>
        </w:trPr>
        <w:tc>
          <w:tcPr>
            <w:tcW w:w="55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6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73,694</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44,646</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(24,032)</w:t>
            </w:r>
          </w:p>
        </w:tc>
        <w:tc>
          <w:tcPr>
            <w:tcW w:w="100" w:type="dxa"/>
            <w:vAlign w:val="bottom"/>
          </w:tcPr>
          <w:p>
            <w:pPr>
              <w:spacing w:after="0"/>
              <w:rPr>
                <w:sz w:val="13"/>
                <w:szCs w:val="13"/>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75,691</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31,045</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55,077</w:t>
            </w:r>
          </w:p>
        </w:tc>
      </w:tr>
      <w:tr>
        <w:trPr>
          <w:trHeight w:val="155"/>
        </w:trPr>
        <w:tc>
          <w:tcPr>
            <w:tcW w:w="55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6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149,385</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75,691</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31,045</w:t>
            </w:r>
          </w:p>
        </w:tc>
        <w:tc>
          <w:tcPr>
            <w:tcW w:w="100" w:type="dxa"/>
            <w:vAlign w:val="bottom"/>
          </w:tcPr>
          <w:p>
            <w:pPr>
              <w:spacing w:after="0"/>
              <w:rPr>
                <w:sz w:val="13"/>
                <w:szCs w:val="13"/>
                <w:color w:val="auto"/>
              </w:rPr>
            </w:pPr>
          </w:p>
        </w:tc>
      </w:tr>
      <w:tr>
        <w:trPr>
          <w:trHeight w:val="20"/>
        </w:trPr>
        <w:tc>
          <w:tcPr>
            <w:tcW w:w="5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5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90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93,556</w:t>
            </w:r>
          </w:p>
        </w:tc>
        <w:tc>
          <w:tcPr>
            <w:tcW w:w="7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108,208</w:t>
            </w:r>
          </w:p>
        </w:tc>
        <w:tc>
          <w:tcPr>
            <w:tcW w:w="6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105,661</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for state and local income taxes</w:t>
            </w:r>
          </w:p>
        </w:tc>
        <w:tc>
          <w:tcPr>
            <w:tcW w:w="9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2,588</w:t>
            </w:r>
          </w:p>
        </w:tc>
        <w:tc>
          <w:tcPr>
            <w:tcW w:w="7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2,449</w:t>
            </w:r>
          </w:p>
        </w:tc>
        <w:tc>
          <w:tcPr>
            <w:tcW w:w="6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2,848</w:t>
            </w:r>
          </w:p>
        </w:tc>
      </w:tr>
      <w:tr>
        <w:trPr>
          <w:trHeight w:val="148"/>
        </w:trPr>
        <w:tc>
          <w:tcPr>
            <w:tcW w:w="5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AND FINANCING ACTIVITIES: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De-recognition of construction assets and liabilities, net</w:t>
            </w:r>
          </w:p>
        </w:tc>
        <w:tc>
          <w:tcPr>
            <w:tcW w:w="9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(6,600)</w:t>
            </w:r>
          </w:p>
        </w:tc>
      </w:tr>
      <w:tr>
        <w:trPr>
          <w:trHeight w:val="190"/>
        </w:trPr>
        <w:tc>
          <w:tcPr>
            <w:tcW w:w="5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capital expenditures in accounts payable and accrued liabilities</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309</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128</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7,412</w:t>
            </w:r>
          </w:p>
        </w:tc>
      </w:tr>
    </w:tbl>
    <w:p>
      <w:pPr>
        <w:spacing w:after="0" w:line="1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ACADEMY HOLDING COMPANY, LLC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560" w:right="8940" w:hanging="444"/>
        <w:spacing w:after="0" w:line="400" w:lineRule="auto"/>
        <w:tabs>
          <w:tab w:leader="none" w:pos="552" w:val="left"/>
        </w:tabs>
        <w:numPr>
          <w:ilvl w:val="0"/>
          <w:numId w:val="2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Nature of Operations </w:t>
      </w:r>
      <w:r>
        <w:rPr>
          <w:rFonts w:ascii="Times New Roman" w:cs="Times New Roman" w:eastAsia="Times New Roman" w:hAnsi="Times New Roman"/>
          <w:sz w:val="17"/>
          <w:szCs w:val="17"/>
          <w:b w:val="1"/>
          <w:bCs w:val="1"/>
          <w:i w:val="1"/>
          <w:iCs w:val="1"/>
          <w:color w:val="auto"/>
        </w:rPr>
        <w:t>The Company</w:t>
      </w: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New Academy Holding Company, LLC, a Delaware limited liability company, or Holdco and, together with its direct and indirect subsidiaries, the Company, we, us or our, is a holding company that conducts its operations through its subsidiaries, including its indirect subsidiary Academy, Ltd., a Texas limited partnership doing business as “Academy Sports + Outdoors”, or Academy, Ltd. On August 3, 2011, an investment entity owned by investment funds and other entities affiliated with Kohlberg Kravis Roberts &amp; Co. L.P., or collectively, KKR, acquired a majority interest in the Company.</w:t>
      </w:r>
    </w:p>
    <w:p>
      <w:pPr>
        <w:spacing w:after="0" w:line="183" w:lineRule="exact"/>
        <w:rPr>
          <w:sz w:val="20"/>
          <w:szCs w:val="20"/>
          <w:color w:val="auto"/>
        </w:rPr>
      </w:pPr>
    </w:p>
    <w:p>
      <w:pPr>
        <w:ind w:left="560" w:right="60" w:firstLine="423"/>
        <w:spacing w:after="0" w:line="261" w:lineRule="auto"/>
        <w:rPr>
          <w:sz w:val="20"/>
          <w:szCs w:val="20"/>
          <w:color w:val="auto"/>
        </w:rPr>
      </w:pPr>
      <w:r>
        <w:rPr>
          <w:rFonts w:ascii="Times New Roman" w:cs="Times New Roman" w:eastAsia="Times New Roman" w:hAnsi="Times New Roman"/>
          <w:sz w:val="18"/>
          <w:szCs w:val="18"/>
          <w:color w:val="auto"/>
        </w:rPr>
        <w:t xml:space="preserve">The Company is one of the leading full-line sporting goods and outdoor recreational products retailers in the United States in terms of net sales. As of February 1, 2020, we operated 259 “Academy Sports + Outdoors” retail locations in 16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21" w:lineRule="exact"/>
        <w:rPr>
          <w:sz w:val="20"/>
          <w:szCs w:val="20"/>
          <w:color w:val="auto"/>
        </w:rPr>
      </w:pPr>
    </w:p>
    <w:p>
      <w:pPr>
        <w:jc w:val="both"/>
        <w:ind w:left="560" w:right="80" w:firstLine="423"/>
        <w:spacing w:after="0" w:line="266" w:lineRule="auto"/>
        <w:rPr>
          <w:sz w:val="20"/>
          <w:szCs w:val="20"/>
          <w:color w:val="auto"/>
        </w:rPr>
      </w:pPr>
      <w:r>
        <w:rPr>
          <w:rFonts w:ascii="Times New Roman" w:cs="Times New Roman" w:eastAsia="Times New Roman" w:hAnsi="Times New Roman"/>
          <w:sz w:val="18"/>
          <w:szCs w:val="18"/>
          <w:color w:val="auto"/>
        </w:rPr>
        <w:t>The Company’s fiscal year represents the 52 or 53 weeks ending on the Saturday closest to January 31 each year. References herein to 2019 and 2018 relate to the 52-week fiscal years ended February 1, 2020 and February 2, 2019, respectively, and references herein to 2017 relate to the 53-week fiscal year ended February 3, 2018.</w:t>
      </w:r>
    </w:p>
    <w:p>
      <w:pPr>
        <w:spacing w:after="0" w:line="320" w:lineRule="exact"/>
        <w:rPr>
          <w:sz w:val="20"/>
          <w:szCs w:val="20"/>
          <w:color w:val="auto"/>
        </w:rPr>
      </w:pPr>
    </w:p>
    <w:p>
      <w:pPr>
        <w:ind w:left="540" w:hanging="424"/>
        <w:spacing w:after="0"/>
        <w:tabs>
          <w:tab w:leader="none" w:pos="54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21" w:lineRule="exact"/>
        <w:rPr>
          <w:sz w:val="20"/>
          <w:szCs w:val="20"/>
          <w:color w:val="auto"/>
        </w:rPr>
      </w:pPr>
    </w:p>
    <w:p>
      <w:pPr>
        <w:ind w:left="560" w:right="60" w:firstLine="423"/>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or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left="560" w:right="120" w:firstLine="423"/>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Holdco, its wholly owned subsidiary New Academy Finance Company LLC, or Finco, and the accounts of Finco’s wholly owned subsidiaries Academy Managing Co., LLC, Associated Investors, LLC and New Academy Finance Corporation. Academy Managing Co., LLC and Associated Investors, LLC are holding companies and are the sole general partner and sole limited partner, respectively, of Academy, Ltd., the Company’s operating company. All intercompany balances and transactions have been eliminated in consolidation.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21" w:lineRule="exact"/>
        <w:rPr>
          <w:sz w:val="20"/>
          <w:szCs w:val="20"/>
          <w:color w:val="auto"/>
        </w:rPr>
      </w:pPr>
    </w:p>
    <w:p>
      <w:pPr>
        <w:jc w:val="both"/>
        <w:ind w:left="560" w:right="240" w:firstLine="423"/>
        <w:spacing w:after="0" w:line="266" w:lineRule="auto"/>
        <w:rPr>
          <w:sz w:val="20"/>
          <w:szCs w:val="20"/>
          <w:color w:val="auto"/>
        </w:rPr>
      </w:pPr>
      <w:r>
        <w:rPr>
          <w:rFonts w:ascii="Times New Roman" w:cs="Times New Roman" w:eastAsia="Times New Roman" w:hAnsi="Times New Roman"/>
          <w:sz w:val="18"/>
          <w:szCs w:val="18"/>
          <w:color w:val="auto"/>
        </w:rPr>
        <w:t>In connection with the proposed initial public offering, or the IPO, of Academy Sports and Outdoors, Inc., a Delaware corporation, or an IPO issuer, we will undertake a series of reorganization transactions, or the Reorganization Transactions, that will result in, among other things, Holdco being contributed by its unitholders to the IPO issuer and becoming a wholly owned subsidiary of the IPO issuer.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140" w:firstLine="423"/>
        <w:spacing w:after="0" w:line="255" w:lineRule="auto"/>
        <w:rPr>
          <w:sz w:val="20"/>
          <w:szCs w:val="20"/>
          <w:color w:val="auto"/>
        </w:rPr>
      </w:pPr>
      <w:r>
        <w:rPr>
          <w:rFonts w:ascii="Times New Roman" w:cs="Times New Roman" w:eastAsia="Times New Roman" w:hAnsi="Times New Roman"/>
          <w:sz w:val="18"/>
          <w:szCs w:val="18"/>
          <w:color w:val="auto"/>
        </w:rPr>
        <w:t>The unaudited pro forma financial information provided on the consolidated statements of income provides the estimated impact to net income and earnings per unit based upon the anticipated conversion of the Company to a C corporation in connection with the IPO. We are currently treated as a flow through entity for U.S. federal income tax purposes, and thus no federal income tax expense has been recorded in our consolidated statements of income. After consummation of the IPO, we will become subject to U.S. federal income taxes and additional state income taxes and be taxed at the prevailing corporate rates. The pro forma tax expense assumed in the unaudited pro forma financial information is estimated to be 24.5% plus certain state taxes we currently include in income tax expense as a flow through entity. Our actual income tax rate, and our actual income tax liability, after the IPO may be different from our assumed rate, and such difference may be material.</w:t>
      </w:r>
    </w:p>
    <w:p>
      <w:pPr>
        <w:spacing w:after="0" w:line="189" w:lineRule="exact"/>
        <w:rPr>
          <w:sz w:val="20"/>
          <w:szCs w:val="20"/>
          <w:color w:val="auto"/>
        </w:rPr>
      </w:pPr>
    </w:p>
    <w:p>
      <w:pPr>
        <w:ind w:left="560" w:right="120" w:firstLine="423"/>
        <w:spacing w:after="0" w:line="282" w:lineRule="auto"/>
        <w:rPr>
          <w:sz w:val="20"/>
          <w:szCs w:val="20"/>
          <w:color w:val="auto"/>
        </w:rPr>
      </w:pPr>
      <w:r>
        <w:rPr>
          <w:rFonts w:ascii="Times New Roman" w:cs="Times New Roman" w:eastAsia="Times New Roman" w:hAnsi="Times New Roman"/>
          <w:sz w:val="18"/>
          <w:szCs w:val="18"/>
          <w:color w:val="auto"/>
        </w:rPr>
        <w:t>On August 28, 2020, Holdco distributed a $257.0 million one-time special distribution (the “Distribution”) to existing unitholders of record as of August 25, 2020.</w:t>
      </w:r>
    </w:p>
    <w:p>
      <w:pPr>
        <w:spacing w:after="0" w:line="162" w:lineRule="exact"/>
        <w:rPr>
          <w:sz w:val="20"/>
          <w:szCs w:val="20"/>
          <w:color w:val="auto"/>
        </w:rPr>
      </w:pPr>
    </w:p>
    <w:p>
      <w:pPr>
        <w:ind w:left="560" w:right="140" w:firstLine="423"/>
        <w:spacing w:after="0" w:line="261" w:lineRule="auto"/>
        <w:rPr>
          <w:sz w:val="20"/>
          <w:szCs w:val="20"/>
          <w:color w:val="auto"/>
        </w:rPr>
      </w:pPr>
      <w:r>
        <w:rPr>
          <w:rFonts w:ascii="Times New Roman" w:cs="Times New Roman" w:eastAsia="Times New Roman" w:hAnsi="Times New Roman"/>
          <w:sz w:val="18"/>
          <w:szCs w:val="18"/>
          <w:color w:val="auto"/>
        </w:rPr>
        <w:t>U.S. Securities and Exchange Commission Staff Accounting Bulletin 1.B.3 requires that certain distributions to owners prior to or concurrent with an initial public offering be considered as distributions in contemplation of that offering. The Company is required to present unaudited basic and diluted pro forma net income per share of common stock as a result of the Distribution, which is assumed to have been made in contemplation of the proposed IPO.</w:t>
      </w:r>
    </w:p>
    <w:p>
      <w:pPr>
        <w:spacing w:after="0" w:line="180" w:lineRule="exact"/>
        <w:rPr>
          <w:sz w:val="20"/>
          <w:szCs w:val="20"/>
          <w:color w:val="auto"/>
        </w:rPr>
      </w:pPr>
    </w:p>
    <w:p>
      <w:pPr>
        <w:ind w:left="560" w:right="80" w:firstLine="423"/>
        <w:spacing w:after="0" w:line="254" w:lineRule="auto"/>
        <w:rPr>
          <w:sz w:val="20"/>
          <w:szCs w:val="20"/>
          <w:color w:val="auto"/>
        </w:rPr>
      </w:pPr>
      <w:r>
        <w:rPr>
          <w:rFonts w:ascii="Times New Roman" w:cs="Times New Roman" w:eastAsia="Times New Roman" w:hAnsi="Times New Roman"/>
          <w:sz w:val="18"/>
          <w:szCs w:val="18"/>
          <w:color w:val="auto"/>
        </w:rPr>
        <w:t>Unaudited basic and diluted pro forma net income per share data presented below assumed that (i) 72,477,381, basic, and 74,796,545, diluted, shares of common stock of the IPO issuer were issued and outstanding for 2019 in connection with the contribution of Holdco by its unitholders and related Reorganization Transactions and related cancellation of all outstanding partners’ equity at Holdco in connection with the IPO and (ii) an additional 8,559,813 of the Company’s shares of common stock were outstanding for 2019, which represents the number of shares of common stock that the Company would have been required to issue to fund the amount of the Distribution in excess of its net income for 2019. The number of shares of common stock that the Company would have been required to issue to pay the Distribution was calculated by dividing the portion of the total $257.0 million Distribution in excess of the Company’s net income for 2019 by an assumed initial public offering price in the IPO of $16.00 per share, representing the midpoint of the price range set forth on the cover page of the prospectus.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table below sets forth the computation of the Company’s unaudited basic and diluted pro forma net income per share for 2019:</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 FORMA NET INCOME PER SHARE:</w:t>
            </w:r>
          </w:p>
        </w:tc>
        <w:tc>
          <w:tcPr>
            <w:tcW w:w="100" w:type="dxa"/>
            <w:vAlign w:val="bottom"/>
          </w:tcPr>
          <w:p>
            <w:pPr>
              <w:spacing w:after="0"/>
              <w:rPr>
                <w:sz w:val="13"/>
                <w:szCs w:val="13"/>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173"/>
        </w:trPr>
        <w:tc>
          <w:tcPr>
            <w:tcW w:w="8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for share and per share data)</w:t>
            </w: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89,942</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after giving effect to the Reorganization</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Transactions</w:t>
            </w:r>
          </w:p>
        </w:tc>
        <w:tc>
          <w:tcPr>
            <w:tcW w:w="10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72,477,381</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74,796,545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weighted average shares of common stock outstanding related to the Distribution</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8,559,813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8,559,813</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Pro forma weighted average shares of common stock outstanding</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81,037,194</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83,356,358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560" w:right="660" w:firstLine="423"/>
        <w:spacing w:after="0" w:line="266" w:lineRule="auto"/>
        <w:rPr>
          <w:sz w:val="20"/>
          <w:szCs w:val="20"/>
          <w:color w:val="auto"/>
        </w:rPr>
      </w:pPr>
      <w:r>
        <w:rPr>
          <w:rFonts w:ascii="Times New Roman" w:cs="Times New Roman" w:eastAsia="Times New Roman" w:hAnsi="Times New Roman"/>
          <w:sz w:val="18"/>
          <w:szCs w:val="18"/>
          <w:color w:val="auto"/>
        </w:rPr>
        <w:t>Certain reclassifications have been made in the 2018 and 2017 consolidated financial statements to conform to the current period presentation. Within the merchandise division sales table presented in Note 3, certain products and categories were recategorized amongst categories and divisions during 2019 to better</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40"/>
          </w:cols>
          <w:pgMar w:left="320" w:top="455" w:right="43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280"/>
        <w:spacing w:after="0" w:line="266" w:lineRule="auto"/>
        <w:rPr>
          <w:sz w:val="20"/>
          <w:szCs w:val="20"/>
          <w:color w:val="auto"/>
        </w:rPr>
      </w:pPr>
      <w:r>
        <w:rPr>
          <w:rFonts w:ascii="Times New Roman" w:cs="Times New Roman" w:eastAsia="Times New Roman" w:hAnsi="Times New Roman"/>
          <w:sz w:val="18"/>
          <w:szCs w:val="18"/>
          <w:color w:val="auto"/>
        </w:rPr>
        <w:t>align with our current merchandising strategy and view of the business. As a result, we have reclassified sales between divisions for 2018 and 2017 for comparability purposes. This reclassification is in presentation only and did not impact the overall net sales balances previously disclosed.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Redeemable Membership Units</w:t>
      </w:r>
    </w:p>
    <w:p>
      <w:pPr>
        <w:spacing w:after="0" w:line="121" w:lineRule="exact"/>
        <w:rPr>
          <w:sz w:val="20"/>
          <w:szCs w:val="20"/>
          <w:color w:val="auto"/>
        </w:rPr>
      </w:pPr>
    </w:p>
    <w:p>
      <w:pPr>
        <w:ind w:left="560" w:right="20" w:firstLine="423"/>
        <w:spacing w:after="0" w:line="253" w:lineRule="auto"/>
        <w:rPr>
          <w:sz w:val="20"/>
          <w:szCs w:val="20"/>
          <w:color w:val="auto"/>
        </w:rPr>
      </w:pPr>
      <w:r>
        <w:rPr>
          <w:rFonts w:ascii="Times New Roman" w:cs="Times New Roman" w:eastAsia="Times New Roman" w:hAnsi="Times New Roman"/>
          <w:sz w:val="18"/>
          <w:szCs w:val="18"/>
          <w:color w:val="auto"/>
        </w:rPr>
        <w:t>Allstar Managers LLC, a Delaware limited liability company, or Managers, owns membership units in Holdco, or each a Holdco Membership Unit. Managers is 100% owned by certain current and former executives and directors of the Company and was formed to facilitate the purchase of indirect contingently redeemable ownership interests in the Company. Certain executives and directors may acquire contingently redeemable membership units in Managers, or the Redeemable Membership Units, either (1) by purchasing the Redeemable Membership Units with cash consideration, which is subsequently contributed to Holdco by Managers in exchange for a number of Holdco Membership Units equal to the number of Redeemable Membership Units purchased, or (2) by receiving the Redeemable Membership Units in settlement of vested restricted units awarded to the executive or director under the Company’s 2011 Unit Incentive Plan (see Note 11). Each outstanding Redeemable Membership Unit in Managers corresponds to an outstanding Holdco Membership Unit, on a unit-for-unit basis. Holdco is the sole managing member of Managers with a controlling voting interest, but no economic interest, in Managers. As the sole managing member of Managers, Holdco operates and controls all business affairs of Managers.</w:t>
      </w:r>
    </w:p>
    <w:p>
      <w:pPr>
        <w:spacing w:after="0" w:line="194"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The terms and conditions of the agreements governing the Redeemable Membership Units include provisions by which the holder, or its heirs, has the right to require Managers or the Company to purchase the holder’s Redeemable Membership Units upon the holder’s termination of employment due to death or disability for cash at fair value. The carrying value of the Redeemable Membership Units is classified as temporary equity, initially at fair value, as redemption is an event that is not solely within our control. If redemption becomes probable, we are required to re-measure the Redeemable Membership Units to fair value. Periodically, this right may lapse due to contractual expiration or a holder’s termination of employment for reasons other than death or disability. Due to the lapse of this right for certain issuances, $14.9 million was reclassified from temporary equity to Partners’ Equity during the third quarter 2019.</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60" w:right="60" w:firstLine="423"/>
        <w:spacing w:after="0" w:line="282" w:lineRule="auto"/>
        <w:rPr>
          <w:sz w:val="20"/>
          <w:szCs w:val="20"/>
          <w:color w:val="auto"/>
        </w:rPr>
      </w:pPr>
      <w:r>
        <w:rPr>
          <w:rFonts w:ascii="Times New Roman" w:cs="Times New Roman" w:eastAsia="Times New Roman" w:hAnsi="Times New Roman"/>
          <w:sz w:val="18"/>
          <w:szCs w:val="18"/>
          <w:color w:val="auto"/>
        </w:rPr>
        <w:t>We consider credit and debit card transactions, which typically settle within three business days, demand deposits with banks, and all other highly liquid investments with original maturities of three months or less from the date of purchase to be cash equivalents.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21" w:lineRule="exact"/>
        <w:rPr>
          <w:sz w:val="20"/>
          <w:szCs w:val="20"/>
          <w:color w:val="auto"/>
        </w:rPr>
      </w:pPr>
    </w:p>
    <w:p>
      <w:pPr>
        <w:ind w:left="560" w:firstLine="423"/>
        <w:spacing w:after="0" w:line="256" w:lineRule="auto"/>
        <w:rPr>
          <w:sz w:val="20"/>
          <w:szCs w:val="20"/>
          <w:color w:val="auto"/>
        </w:rPr>
      </w:pPr>
      <w:r>
        <w:rPr>
          <w:rFonts w:ascii="Times New Roman" w:cs="Times New Roman" w:eastAsia="Times New Roman" w:hAnsi="Times New Roman"/>
          <w:sz w:val="18"/>
          <w:szCs w:val="18"/>
          <w:color w:val="auto"/>
        </w:rPr>
        <w:t>Financial instruments are comprised of cash and cash equivalents, accounts receivable, accounts payable, certain accrued liabilities, derivatives and debt. The carrying amounts of cash and cash equivalents, accounts receivable, accounts payable and accrued liabilities approximate their fair values due to the short-term nature of those instruments. We enter into interest rate swaps to reduce the risk that our earnings and cash flows will be affected by changes in interest rates on our debt, and we do not hold any derivative financial instruments for trading or speculative purposes (see Note 4 and Note 5). The fair value of debt is influenced by fluctuations in market conditions for interest rates (see Note 6).</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left="560" w:right="140" w:firstLine="423"/>
        <w:spacing w:after="0" w:line="282" w:lineRule="auto"/>
        <w:rPr>
          <w:sz w:val="20"/>
          <w:szCs w:val="20"/>
          <w:color w:val="auto"/>
        </w:rPr>
      </w:pPr>
      <w:r>
        <w:rPr>
          <w:rFonts w:ascii="Times New Roman" w:cs="Times New Roman" w:eastAsia="Times New Roman" w:hAnsi="Times New Roman"/>
          <w:sz w:val="18"/>
          <w:szCs w:val="18"/>
          <w:color w:val="auto"/>
        </w:rPr>
        <w:t>Accounts receivable consists primarily of amounts due from vendors for vendor allowances and other accounts receivable. We provide an allowance for doubtful accounts based on both historical experience and a specific identification basis.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040"/>
          </w:cols>
          <w:pgMar w:left="320" w:top="455" w:right="539"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ind w:left="560" w:right="140" w:firstLine="423"/>
        <w:spacing w:after="0" w:line="258" w:lineRule="auto"/>
        <w:rPr>
          <w:sz w:val="20"/>
          <w:szCs w:val="20"/>
          <w:color w:val="auto"/>
        </w:rPr>
      </w:pPr>
      <w:r>
        <w:rPr>
          <w:rFonts w:ascii="Times New Roman" w:cs="Times New Roman" w:eastAsia="Times New Roman" w:hAnsi="Times New Roman"/>
          <w:sz w:val="18"/>
          <w:szCs w:val="18"/>
          <w:color w:val="auto"/>
        </w:rPr>
        <w:t>Financial instruments which subject us to potential credit risk consist of cash and cash equivalents and derivative financial instruments. We have established guidelines to limit our exposure to credit risk on cash and cash equivalents by placing investments with high credit quality financial institutions. Deposits with these financial institutions may exceed the amount of insurance provided; however, these deposits typically are redeemable upon demand. We use high credit quality counterparties to transact our derivative transactions. Therefore, we believe that the financial risks associated with these financial instruments are minimal.</w:t>
      </w:r>
    </w:p>
    <w:p>
      <w:pPr>
        <w:spacing w:after="0" w:line="183" w:lineRule="exact"/>
        <w:rPr>
          <w:sz w:val="20"/>
          <w:szCs w:val="20"/>
          <w:color w:val="auto"/>
        </w:rPr>
      </w:pPr>
    </w:p>
    <w:p>
      <w:pPr>
        <w:ind w:left="560" w:right="100" w:firstLine="423"/>
        <w:spacing w:after="0" w:line="261" w:lineRule="auto"/>
        <w:rPr>
          <w:sz w:val="20"/>
          <w:szCs w:val="20"/>
          <w:color w:val="auto"/>
        </w:rPr>
      </w:pPr>
      <w:r>
        <w:rPr>
          <w:rFonts w:ascii="Times New Roman" w:cs="Times New Roman" w:eastAsia="Times New Roman" w:hAnsi="Times New Roman"/>
          <w:sz w:val="18"/>
          <w:szCs w:val="18"/>
          <w:color w:val="auto"/>
        </w:rPr>
        <w:t>We purchase merchandise inventories from approximately 1,300 vendors. In 2019, 2018 and 2017, purchases from our largest vendor represented approximately 14%, 13% and 14% of our total inventory purchases, respectively. No other vendor in any of the aforementioned years exceeded 10% of our purchases. We typically do not enter into long-term inventory purchase commitments and there were none as of February 1, 2020 or February 2, 2019.</w:t>
      </w:r>
    </w:p>
    <w:p>
      <w:pPr>
        <w:spacing w:after="0" w:line="180" w:lineRule="exact"/>
        <w:rPr>
          <w:sz w:val="20"/>
          <w:szCs w:val="20"/>
          <w:color w:val="auto"/>
        </w:rPr>
      </w:pPr>
    </w:p>
    <w:p>
      <w:pPr>
        <w:ind w:left="560" w:right="220" w:firstLine="423"/>
        <w:spacing w:after="0" w:line="261" w:lineRule="auto"/>
        <w:rPr>
          <w:sz w:val="20"/>
          <w:szCs w:val="20"/>
          <w:color w:val="auto"/>
        </w:rPr>
      </w:pPr>
      <w:r>
        <w:rPr>
          <w:rFonts w:ascii="Times New Roman" w:cs="Times New Roman" w:eastAsia="Times New Roman" w:hAnsi="Times New Roman"/>
          <w:sz w:val="18"/>
          <w:szCs w:val="18"/>
          <w:color w:val="auto"/>
        </w:rPr>
        <w:t>A significant portion of our inventory purchases are manufactured outside of the United States, primarily in Asia. While we are not dependent on any single manufacturer outside of the United States, we could be adversely affected by political, health (including pandemic), safety, security, economic, tariff, climate or other disruptions affecting the business or operations of third-party manufacturers located outside of the United States.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Merchandise Inventories, net</w:t>
      </w:r>
    </w:p>
    <w:p>
      <w:pPr>
        <w:spacing w:after="0" w:line="121"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Merchandise inventories are valued at the lower of weighted average cost or net realizable value using the last-in first-out, or LIFO, method. Merchandise inventories include the direct cost of merchandise and capitalized costs related to procurement, warehousing and distribution and are reflected net of shrinkage, vendor allowances and other valuation accounts. We regularly review inventories and record a valuation adjustment when necessary such as for inventory that has a carrying value in excess of the net realizable value or for slow moving or obsolete inventory. As of February 1, 2020 and February 2, 2019, merchandise inventories valued at LIFO, including necessary valuation adjustments, approximated the cost of such inventories using the weighted average inventory method. The application of the LIFO inventory method did not result in any LIFO charges or credits affecting cost of sales in 2019, 2018 or 2017.</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560" w:right="260" w:firstLine="423"/>
        <w:spacing w:after="0" w:line="289" w:lineRule="auto"/>
        <w:rPr>
          <w:sz w:val="20"/>
          <w:szCs w:val="20"/>
          <w:color w:val="auto"/>
        </w:rPr>
      </w:pPr>
      <w:r>
        <w:rPr>
          <w:rFonts w:ascii="Times New Roman" w:cs="Times New Roman" w:eastAsia="Times New Roman" w:hAnsi="Times New Roman"/>
          <w:sz w:val="17"/>
          <w:szCs w:val="17"/>
          <w:color w:val="auto"/>
        </w:rPr>
        <w:t>Property and equipment are recorded at cost less accumulated depreciation and amortization. Cost includes interest capitalized on borrowings used to finance the construction of stores and other significant capital projects while under construction. Depreciation and amortization is computed using the straight-line method over the asset’s useful life, which is generally determined by asset category as follows:</w:t>
      </w:r>
    </w:p>
    <w:p>
      <w:pPr>
        <w:spacing w:after="0" w:line="20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14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Lesser of asset useful life or lease term</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61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2–5 years</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equipment</w:t>
            </w:r>
          </w:p>
        </w:tc>
        <w:tc>
          <w:tcPr>
            <w:tcW w:w="614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5–10 years</w:t>
            </w: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1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7–10 years</w:t>
            </w:r>
          </w:p>
        </w:tc>
      </w:tr>
    </w:tbl>
    <w:p>
      <w:pPr>
        <w:spacing w:after="0" w:line="179" w:lineRule="exact"/>
        <w:rPr>
          <w:sz w:val="20"/>
          <w:szCs w:val="20"/>
          <w:color w:val="auto"/>
        </w:rPr>
      </w:pPr>
    </w:p>
    <w:p>
      <w:pPr>
        <w:ind w:left="560" w:right="40" w:firstLine="423"/>
        <w:spacing w:after="0" w:line="266" w:lineRule="auto"/>
        <w:rPr>
          <w:sz w:val="20"/>
          <w:szCs w:val="20"/>
          <w:color w:val="auto"/>
        </w:rPr>
      </w:pPr>
      <w:r>
        <w:rPr>
          <w:rFonts w:ascii="Times New Roman" w:cs="Times New Roman" w:eastAsia="Times New Roman" w:hAnsi="Times New Roman"/>
          <w:sz w:val="18"/>
          <w:szCs w:val="18"/>
          <w:color w:val="auto"/>
        </w:rPr>
        <w:t>When assets are retired or sold, the cost and accumulated depreciation are removed from our accounts, and the resulting gain or loss is reflected in the consolidated statements of income. Repair and maintenance costs are charged to expense as incurred and significant improvements that substantially enhance the useful life of an asset are capitalized and amortized.</w:t>
      </w:r>
    </w:p>
    <w:p>
      <w:pPr>
        <w:spacing w:after="0" w:line="176" w:lineRule="exact"/>
        <w:rPr>
          <w:sz w:val="20"/>
          <w:szCs w:val="20"/>
          <w:color w:val="auto"/>
        </w:rPr>
      </w:pPr>
    </w:p>
    <w:p>
      <w:pPr>
        <w:ind w:left="560" w:right="240" w:firstLine="423"/>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acquire land and construct new stores to be sold to and leased from third party landlords. New stores completed but not yet sold to and leased from third parties 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classified as assets held for sale and are expected to be sold within one year. Our intent is to sell the stores for approximately the total land and construction costs incurred (which approximate the fair market value of the property, net of selling costs) and simultaneously enter into operating leases.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Capitalized Computer Software Costs</w:t>
      </w:r>
    </w:p>
    <w:p>
      <w:pPr>
        <w:spacing w:after="0" w:line="121"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We capitalize certain costs incurred in connection with developing or obtaining computer software for internal use. Capitalized computer software costs are included in property and equipment on the consolidated balance sheets and amortized on a straight-line basis when placed into service over the estimated useful lives of the software. The amounts capitalized were $12.9 million, $13.8 million and $21.0 million in 2019, 2018 and 2017, respectively.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Interest</w:t>
      </w:r>
    </w:p>
    <w:p>
      <w:pPr>
        <w:spacing w:after="0" w:line="121" w:lineRule="exact"/>
        <w:rPr>
          <w:sz w:val="20"/>
          <w:szCs w:val="20"/>
          <w:color w:val="auto"/>
        </w:rPr>
      </w:pPr>
    </w:p>
    <w:p>
      <w:pPr>
        <w:jc w:val="both"/>
        <w:ind w:left="560" w:right="60" w:firstLine="423"/>
        <w:spacing w:after="0" w:line="266" w:lineRule="auto"/>
        <w:rPr>
          <w:sz w:val="20"/>
          <w:szCs w:val="20"/>
          <w:color w:val="auto"/>
        </w:rPr>
      </w:pPr>
      <w:r>
        <w:rPr>
          <w:rFonts w:ascii="Times New Roman" w:cs="Times New Roman" w:eastAsia="Times New Roman" w:hAnsi="Times New Roman"/>
          <w:sz w:val="18"/>
          <w:szCs w:val="18"/>
          <w:color w:val="auto"/>
        </w:rPr>
        <w:t>We capitalized interest primarily related to construction of new stores, store renovations, distribution centers and IT projects in the amount of $0.6 million, $1.3 million and $1.4 million in 2019, 2018 and 2017, respectively. Interest expense, net on the consolidated statement of income is shown net of capitalized interest.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560" w:right="80" w:firstLine="423"/>
        <w:spacing w:after="0" w:line="254" w:lineRule="auto"/>
        <w:rPr>
          <w:sz w:val="20"/>
          <w:szCs w:val="20"/>
          <w:color w:val="auto"/>
        </w:rPr>
      </w:pPr>
      <w:r>
        <w:rPr>
          <w:rFonts w:ascii="Times New Roman" w:cs="Times New Roman" w:eastAsia="Times New Roman" w:hAnsi="Times New Roman"/>
          <w:sz w:val="18"/>
          <w:szCs w:val="18"/>
          <w:color w:val="auto"/>
        </w:rPr>
        <w:t>We review the carrying value of long-lived assets, including property and equipment and finite-lived intangible assets, for indicators of impairment whenever events and circumstances indicate that the carrying value of an asset may not be recoverable. Recoverability of long-lived assets is measured by a comparison of the carrying amount of the assets to the estimated undiscounted future cash flows expected to be generated by the use of the assets. If such assets are considered to be impaired, the impairment loss recognized is the amount by which the carrying amount of the assets exceeds its estimated fair value, which is typically calculated using discounted expected future cash flows. As a result of our assessment, we did not record an impairment of long-lived store assets in 2019. In 2018 and 2017, we impaired $1.4 million and $2.5 million, respectively, of long-lived store assets. These charges are included in selling, general and administrative expenses on the consolidated statements of income (see Note 6).</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business over the amounts assigned to assets acquired and liabilities assumed in a business combination. Goodwill is tested for impairment annually at the last day of our eleventh fiscal month, or more frequently if events or circumstances indicate that the carrying value of goodwill may not be recoverable. We test for goodwill at the reporting unit level, which is the operating segment level. We operate in one segment with one reporting unit.</w:t>
      </w:r>
    </w:p>
    <w:p>
      <w:pPr>
        <w:spacing w:after="0" w:line="180" w:lineRule="exact"/>
        <w:rPr>
          <w:sz w:val="20"/>
          <w:szCs w:val="20"/>
          <w:color w:val="auto"/>
        </w:rPr>
      </w:pPr>
    </w:p>
    <w:p>
      <w:pPr>
        <w:ind w:left="560" w:right="60" w:firstLine="423"/>
        <w:spacing w:after="0" w:line="258" w:lineRule="auto"/>
        <w:rPr>
          <w:sz w:val="20"/>
          <w:szCs w:val="20"/>
          <w:color w:val="auto"/>
        </w:rPr>
      </w:pPr>
      <w:r>
        <w:rPr>
          <w:rFonts w:ascii="Times New Roman" w:cs="Times New Roman" w:eastAsia="Times New Roman" w:hAnsi="Times New Roman"/>
          <w:sz w:val="18"/>
          <w:szCs w:val="18"/>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183" w:lineRule="exact"/>
        <w:rPr>
          <w:sz w:val="20"/>
          <w:szCs w:val="20"/>
          <w:color w:val="auto"/>
        </w:rPr>
      </w:pPr>
    </w:p>
    <w:p>
      <w:pPr>
        <w:ind w:left="560" w:right="160" w:firstLine="423"/>
        <w:spacing w:after="0" w:line="261" w:lineRule="auto"/>
        <w:rPr>
          <w:sz w:val="20"/>
          <w:szCs w:val="20"/>
          <w:color w:val="auto"/>
        </w:rPr>
      </w:pPr>
      <w:r>
        <w:rPr>
          <w:rFonts w:ascii="Times New Roman" w:cs="Times New Roman" w:eastAsia="Times New Roman" w:hAnsi="Times New Roman"/>
          <w:sz w:val="18"/>
          <w:szCs w:val="18"/>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future income, and the market value approach is based on earnings multiples for a comparable set of public companies.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00"/>
          </w:cols>
          <w:pgMar w:left="320" w:top="455" w:right="479" w:bottom="1440" w:gutter="0" w:footer="0" w:header="0"/>
        </w:sectPr>
      </w:pPr>
    </w:p>
    <w:bookmarkStart w:id="264" w:name="page265"/>
    <w:bookmarkEnd w:id="2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220" w:firstLine="423"/>
        <w:spacing w:after="0" w:line="258" w:lineRule="auto"/>
        <w:rPr>
          <w:sz w:val="20"/>
          <w:szCs w:val="20"/>
          <w:color w:val="auto"/>
        </w:rPr>
      </w:pPr>
      <w:r>
        <w:rPr>
          <w:rFonts w:ascii="Times New Roman" w:cs="Times New Roman" w:eastAsia="Times New Roman" w:hAnsi="Times New Roman"/>
          <w:sz w:val="18"/>
          <w:szCs w:val="18"/>
          <w:color w:val="auto"/>
        </w:rPr>
        <w:t>These approaches use key input assumptions such as our projected future operating results, the discount rate, the weighting for each valuation approach and the comparable set of companies. A history of declining trends in our operating results such as comparable sales, gross margin, net income and cash flow from operations could impact these assumptions and serve as indicators of future impairment. There is significant judgment used in determining these assumptions and variability in the assumptions could cause us to reach a different conclusion on impairment.</w:t>
      </w:r>
    </w:p>
    <w:p>
      <w:pPr>
        <w:spacing w:after="0" w:line="183" w:lineRule="exact"/>
        <w:rPr>
          <w:sz w:val="20"/>
          <w:szCs w:val="20"/>
          <w:color w:val="auto"/>
        </w:rPr>
      </w:pPr>
    </w:p>
    <w:p>
      <w:pPr>
        <w:ind w:left="560" w:right="680" w:firstLine="423"/>
        <w:spacing w:after="0" w:line="282" w:lineRule="auto"/>
        <w:rPr>
          <w:sz w:val="20"/>
          <w:szCs w:val="20"/>
          <w:color w:val="auto"/>
        </w:rPr>
      </w:pPr>
      <w:r>
        <w:rPr>
          <w:rFonts w:ascii="Times New Roman" w:cs="Times New Roman" w:eastAsia="Times New Roman" w:hAnsi="Times New Roman"/>
          <w:sz w:val="18"/>
          <w:szCs w:val="18"/>
          <w:color w:val="auto"/>
        </w:rPr>
        <w:t>In 2019, 2018 and 2017, we performed a quantitative assessment for the determination of impairment. Based on the results of these quantitative assessments, no impairment of goodwill existed for 2019, 2018 or 2017.</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Intangible assets consist of the trade name of “Academy Sports + Outdoors”, or the Trade Name, and our favorable leases. The favorable</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leases are accounted for as finite-lived assets and are amortized over their estimated useful economic lives. With the adoption of ASU 2016-02,</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and a series of related Accounting Standards Updates that followed, or collectively, the New Lease Standard, on February 3,</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2019, the balance of the favorable lease rights, net was netted into the right-of-use assets on the balance sheet (see Note 14). The Trade Name is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expected to generate cash flows indefinitely and, therefore, is accounted for as an indefinite-lived asset not subject to amortization.</w:t>
      </w:r>
    </w:p>
    <w:p>
      <w:pPr>
        <w:spacing w:after="0" w:line="207"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The Trade Name is tested for impairment annually at the last day of our eleventh fiscal month, or whenever events or circumstances indicate that the carrying amount of the Trade Name may not be recoverable. 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revenues over the expected remaining life of the intangible assets to estimate the royalty savings. This approach is dependent on a number of factors, including estimates of future growth and trends, royalty rates, discount rates and other variables. The results of the 2019, 2018 and 2017 annual impairment tests indicated that the fair value of the Trade Name was in excess of its carrying value and no impairments existed.</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Deferred Loan Costs</w:t>
      </w:r>
    </w:p>
    <w:p>
      <w:pPr>
        <w:spacing w:after="0" w:line="121" w:lineRule="exact"/>
        <w:rPr>
          <w:sz w:val="20"/>
          <w:szCs w:val="20"/>
          <w:color w:val="auto"/>
        </w:rPr>
      </w:pPr>
    </w:p>
    <w:p>
      <w:pPr>
        <w:ind w:left="560" w:right="260" w:firstLine="423"/>
        <w:spacing w:after="0" w:line="258" w:lineRule="auto"/>
        <w:rPr>
          <w:sz w:val="20"/>
          <w:szCs w:val="20"/>
          <w:color w:val="auto"/>
        </w:rPr>
      </w:pPr>
      <w:r>
        <w:rPr>
          <w:rFonts w:ascii="Times New Roman" w:cs="Times New Roman" w:eastAsia="Times New Roman" w:hAnsi="Times New Roman"/>
          <w:sz w:val="18"/>
          <w:szCs w:val="18"/>
          <w:color w:val="auto"/>
        </w:rPr>
        <w:t>Costs incurred to issue debt are deferred and recorded in the consolidated balance sheets. Those costs related to the issuance of term loan facilities and senior notes are recorded in long-term debt, net of current maturities and amortized as a component of interest expense over the terms of the related debt agreement using the effective interest method. The costs related to the issuance of our revolving credit facilities are recorded in other noncurrent assets on the consolidated balance sheets and amortized as a component of interest expense over the terms of the related debt agreements using the straight-line method.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primarily related to changes in interest rates on our term loan (see Note 4) and have used interest rate swap agreements, which we have designated as “cash flow” hedges, to hedge against market risks relating to possible adverse changes in interest rates. We assess, both at the inception of the hedge and on an ongoing basis, whether derivatives used as hedging instruments are highly effective in offsetting the changes in the fair value or cash flow of the hedged items. If it is determined that a derivative is not highly effective as a hedge or ceases to be highly effective, we discontinue hedge accounting prospectively.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00"/>
          </w:cols>
          <w:pgMar w:left="320" w:top="455" w:right="479" w:bottom="1440" w:gutter="0" w:footer="0" w:header="0"/>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60" w:firstLine="423"/>
        <w:spacing w:after="0" w:line="266" w:lineRule="auto"/>
        <w:rPr>
          <w:sz w:val="20"/>
          <w:szCs w:val="20"/>
          <w:color w:val="auto"/>
        </w:rPr>
      </w:pPr>
      <w:r>
        <w:rPr>
          <w:rFonts w:ascii="Times New Roman" w:cs="Times New Roman" w:eastAsia="Times New Roman" w:hAnsi="Times New Roman"/>
          <w:sz w:val="18"/>
          <w:szCs w:val="18"/>
          <w:color w:val="auto"/>
        </w:rPr>
        <w:t>Derivative financial instruments are recognized at fair value in the consolidated balance sheets (see Note 5 and Note 6). The changes in the fair value of derivative instruments designated as cash flow hedges are recorded in accumulated other comprehensive income, or AOCI, net of tax effects, and are subsequently reclassified to earnings when the hedged transaction affects earnings.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121" w:lineRule="exact"/>
        <w:rPr>
          <w:sz w:val="20"/>
          <w:szCs w:val="20"/>
          <w:color w:val="auto"/>
        </w:rPr>
      </w:pPr>
    </w:p>
    <w:p>
      <w:pPr>
        <w:ind w:left="560" w:firstLine="423"/>
        <w:spacing w:after="0" w:line="253" w:lineRule="auto"/>
        <w:rPr>
          <w:sz w:val="20"/>
          <w:szCs w:val="20"/>
          <w:color w:val="auto"/>
        </w:rPr>
      </w:pPr>
      <w:r>
        <w:rPr>
          <w:rFonts w:ascii="Times New Roman" w:cs="Times New Roman" w:eastAsia="Times New Roman" w:hAnsi="Times New Roman"/>
          <w:sz w:val="18"/>
          <w:szCs w:val="18"/>
          <w:color w:val="auto"/>
        </w:rPr>
        <w:t>We maintain deductibles or self-insurance retentions for workers’ compensation, general liability and employee health benefits. Additionally, we use the services of an independent actuary to assist in determining losses associated with workers’ compensation, general liability and employee health benefits. Liabilities associated with these losses are actuarially derived and estimated in part by considering historical claims experience, industry factors, severity factors, claim development, as well as other actuarial assumptions. If actual trends, including the severity or frequency of claims, medical cost inflation or fluctuations in premiums, differ from our estimates, it could have a material adverse impact on our results of operations. Changes in legal claims, claim development, trends and interpretations, variability in inflation rates, changes in the nature and method of claims settlement, benefit level changes due to changes in applicable laws, insolvency of insurance carriers and changes in discount rates could all adversely affect our ultimate expected losses. We believe the actuarial valuation provides the best estimate of the ultimate expected losses, and we have recorded the present value of the actuarially determined ultimate losses for the insurance related liabilities mentioned above.</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Lease Incentives</w:t>
      </w:r>
    </w:p>
    <w:p>
      <w:pPr>
        <w:spacing w:after="0" w:line="121" w:lineRule="exact"/>
        <w:rPr>
          <w:sz w:val="20"/>
          <w:szCs w:val="20"/>
          <w:color w:val="auto"/>
        </w:rPr>
      </w:pPr>
    </w:p>
    <w:p>
      <w:pPr>
        <w:ind w:left="560" w:right="100" w:firstLine="423"/>
        <w:spacing w:after="0" w:line="266" w:lineRule="auto"/>
        <w:rPr>
          <w:sz w:val="20"/>
          <w:szCs w:val="20"/>
          <w:color w:val="auto"/>
        </w:rPr>
      </w:pPr>
      <w:r>
        <w:rPr>
          <w:rFonts w:ascii="Times New Roman" w:cs="Times New Roman" w:eastAsia="Times New Roman" w:hAnsi="Times New Roman"/>
          <w:sz w:val="18"/>
          <w:szCs w:val="18"/>
          <w:color w:val="auto"/>
        </w:rPr>
        <w:t>All of our stores, corporate office facilities, and warehouse and distribution centers are leased. We may receive reimbursement from a landlord for some or all of the cost of a construction project, which may be structured as a tenant improvement allowance, construction allowance or landlord reimbursement, or collectively, Lease Incentives.</w:t>
      </w:r>
    </w:p>
    <w:p>
      <w:pPr>
        <w:spacing w:after="0" w:line="176" w:lineRule="exact"/>
        <w:rPr>
          <w:sz w:val="20"/>
          <w:szCs w:val="20"/>
          <w:color w:val="auto"/>
        </w:rPr>
      </w:pPr>
    </w:p>
    <w:p>
      <w:pPr>
        <w:ind w:left="560" w:right="60" w:firstLine="423"/>
        <w:spacing w:after="0" w:line="255" w:lineRule="auto"/>
        <w:rPr>
          <w:sz w:val="20"/>
          <w:szCs w:val="20"/>
          <w:color w:val="auto"/>
        </w:rPr>
      </w:pPr>
      <w:r>
        <w:rPr>
          <w:rFonts w:ascii="Times New Roman" w:cs="Times New Roman" w:eastAsia="Times New Roman" w:hAnsi="Times New Roman"/>
          <w:sz w:val="18"/>
          <w:szCs w:val="18"/>
          <w:color w:val="auto"/>
        </w:rPr>
        <w:t>Prior to the New Lease Standard, if we were the deemed owner of the property during the construction period and the sale-leaseback criteria were met, any differences between fair value of the property and the sales price of the property, are deferred and recognized ratably as an adjustment to selling, general and administrative expenses in the consolidated statements of income over the term of the related lease. Under the New Lease Standard, the losses and gains from sale-leaseback transactions are no longer deferred, but instead recognized immediately. Upon transition to the new standard on February 3, 2019, the remaining deferred gains and losses related to our previous sale-leaseback transactions resulted in a cumulative effect adjustment to retained earnings (see Note 14). To date, the Company has not executed a sale-leaseback transaction under the New Lease Standard.</w:t>
      </w:r>
    </w:p>
    <w:p>
      <w:pPr>
        <w:spacing w:after="0" w:line="189"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Prior to the New Lease Standard, cash received from a landlord for tenant improvement allowances in store lease transactions not considered a sale-leaseback transaction were recorded in other long-term liabilities in the consolidated balance sheets and amortized as a reduction of rent expense in selling, general and administrative expenses in the consolidated statements of income over the term of the related lease. Under the New Lease Standard these receipts are a reduction to the right-of-use assets on the balance sheet (see Note 14), which are amortized ratably over the remaining terms of the corresponding leases.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We sell merchandise under implicit contracts whereby the transaction price is the listed sales price less any discounts or coupons applied. Our typical coupons offer a discount, which is applied immediately at the time of purchase. However, under certain circumstances we may issue a coupon, or similar incentive, which contains a material future right. In such instances, a portion of the revenue is deferred and subsequently recognized when earned.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55" w:right="439" w:bottom="1440" w:gutter="0" w:footer="0" w:header="0"/>
        </w:sectPr>
      </w:pPr>
    </w:p>
    <w:bookmarkStart w:id="266" w:name="page267"/>
    <w:bookmarkEnd w:id="2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100" w:firstLine="423"/>
        <w:spacing w:after="0" w:line="254" w:lineRule="auto"/>
        <w:rPr>
          <w:sz w:val="20"/>
          <w:szCs w:val="20"/>
          <w:color w:val="auto"/>
        </w:rPr>
      </w:pPr>
      <w:r>
        <w:rPr>
          <w:rFonts w:ascii="Times New Roman" w:cs="Times New Roman" w:eastAsia="Times New Roman" w:hAnsi="Times New Roman"/>
          <w:sz w:val="18"/>
          <w:szCs w:val="18"/>
          <w:color w:val="auto"/>
        </w:rPr>
        <w:t xml:space="preserve">Revenue from merchandise sales is recognized, net of sales tax, when the Company’s performance obligation to the customer is met, which is when the Company transfers control of the merchandise to the customer. Store merchandise sales are recognized at the point of sale. For e-commerce sales, significant judgment is applied in determining when the transfer of control occurs, which we believe occurs upon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receipt, and accordingly online merchandise sales are recognized upon delivery of the merchandise to the customer. The Company does not extend a material amount of credit. The sales return allowance, which is our provision for anticipated merchandise returns, is provided through a reduction of sales and cost of goods sold on a gross basis in the period that the related sales are recorded. The sales return allowance and related liability are included in merchandise inventories and in accrued expenses and other liabilities, respectively, in our consolidated balance sheets. Merchandise returns are estimated based on historical experience.</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ind w:left="560" w:right="280" w:firstLine="423"/>
        <w:spacing w:after="0" w:line="282" w:lineRule="auto"/>
        <w:rPr>
          <w:sz w:val="20"/>
          <w:szCs w:val="20"/>
          <w:color w:val="auto"/>
        </w:rPr>
      </w:pPr>
      <w:r>
        <w:rPr>
          <w:rFonts w:ascii="Times New Roman" w:cs="Times New Roman" w:eastAsia="Times New Roman" w:hAnsi="Times New Roman"/>
          <w:sz w:val="18"/>
          <w:szCs w:val="18"/>
          <w:color w:val="auto"/>
        </w:rPr>
        <w:t>Cost of goods sold includes the direct cost of merchandise and costs related to procurement, warehousing and distribution and the related depreciation and amortization. These costs consist primarily of payroll and benefits, occupancy costs and freight.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121"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Shipping and handling costs billed to customers are included in net sales. Shipping and handling costs that we incur associated with shipping products to customers are included in cost of goods sold.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Vendor Allowances</w:t>
      </w:r>
    </w:p>
    <w:p>
      <w:pPr>
        <w:spacing w:after="0" w:line="121" w:lineRule="exact"/>
        <w:rPr>
          <w:sz w:val="20"/>
          <w:szCs w:val="20"/>
          <w:color w:val="auto"/>
        </w:rPr>
      </w:pPr>
    </w:p>
    <w:p>
      <w:pPr>
        <w:ind w:left="560" w:right="20" w:firstLine="423"/>
        <w:spacing w:after="0" w:line="255" w:lineRule="auto"/>
        <w:rPr>
          <w:sz w:val="20"/>
          <w:szCs w:val="20"/>
          <w:color w:val="auto"/>
        </w:rPr>
      </w:pPr>
      <w:r>
        <w:rPr>
          <w:rFonts w:ascii="Times New Roman" w:cs="Times New Roman" w:eastAsia="Times New Roman" w:hAnsi="Times New Roman"/>
          <w:sz w:val="18"/>
          <w:szCs w:val="18"/>
          <w:color w:val="auto"/>
        </w:rPr>
        <w:t>Vendor allowances include volume purchase rebates, promotional and advertising allowances, cooperative advertising funds and support for new store openings. These allowances are generally determined for each fiscal year with the majority of allowances based on quantitative contract terms. Allowances related to the purchase of merchandise inventories are recorded as a reduction of cost of goods sold as the related merchandise is sold. Allowances for cooperative advertising and promotion programs and other expenses are recorded in selling, general and administrative expenses as a reduction of the related costs as the related expense is incurred. Any allowance in excess of actual costs incurred that are included in selling, general and administrative expenses, or that do not require proof of performance, are recorded as a reduction of cost of sales. For volume purchase rebates, we record an estimate of vendor allowances earned based on the latest projected purchase volumes.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left="560" w:right="180" w:firstLine="423"/>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include store and corporate administrative payroll and payroll benefits, store and corporate headquarters occupancy costs, advertising, credit card processing, information technology, pre-opening costs, depreciation and amortization and other store and administrative expenses.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121" w:lineRule="exact"/>
        <w:rPr>
          <w:sz w:val="20"/>
          <w:szCs w:val="20"/>
          <w:color w:val="auto"/>
        </w:rPr>
      </w:pPr>
    </w:p>
    <w:p>
      <w:pPr>
        <w:ind w:left="560" w:right="240" w:firstLine="423"/>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expenses, net of specific vendor allowances, were $142.3 million, $139.1 million and $140.8 million in 2019, 2018 and 2017, respectively.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121" w:lineRule="exact"/>
        <w:rPr>
          <w:sz w:val="20"/>
          <w:szCs w:val="20"/>
          <w:color w:val="auto"/>
        </w:rPr>
      </w:pPr>
    </w:p>
    <w:p>
      <w:pPr>
        <w:ind w:left="560" w:right="320" w:firstLine="423"/>
        <w:spacing w:after="0" w:line="266" w:lineRule="auto"/>
        <w:rPr>
          <w:sz w:val="20"/>
          <w:szCs w:val="20"/>
          <w:color w:val="auto"/>
        </w:rPr>
      </w:pPr>
      <w:r>
        <w:rPr>
          <w:rFonts w:ascii="Times New Roman" w:cs="Times New Roman" w:eastAsia="Times New Roman" w:hAnsi="Times New Roman"/>
          <w:sz w:val="18"/>
          <w:szCs w:val="18"/>
          <w:color w:val="auto"/>
        </w:rPr>
        <w:t>Non-capital expenditures associated with opening new stores and distribution centers, which consist primarily of occupancy costs, marketing, payroll and recruiting costs, are expensed as incurred. Pre-opening expenses for our new stores were $3.2 million, $3.4 million and $10.8 million in 2019, 2018 and 2017, respectively.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320" w:top="455" w:right="459" w:bottom="1440" w:gutter="0" w:footer="0" w:header="0"/>
        </w:sectPr>
      </w:pPr>
    </w:p>
    <w:bookmarkStart w:id="267" w:name="page268"/>
    <w:bookmarkEnd w:id="2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Deferred Rent</w:t>
      </w:r>
    </w:p>
    <w:p>
      <w:pPr>
        <w:spacing w:after="0" w:line="121" w:lineRule="exact"/>
        <w:rPr>
          <w:sz w:val="20"/>
          <w:szCs w:val="20"/>
          <w:color w:val="auto"/>
        </w:rPr>
      </w:pPr>
    </w:p>
    <w:p>
      <w:pPr>
        <w:ind w:left="560" w:right="140" w:firstLine="423"/>
        <w:spacing w:after="0" w:line="261" w:lineRule="auto"/>
        <w:rPr>
          <w:sz w:val="20"/>
          <w:szCs w:val="20"/>
          <w:color w:val="auto"/>
        </w:rPr>
      </w:pPr>
      <w:r>
        <w:rPr>
          <w:rFonts w:ascii="Times New Roman" w:cs="Times New Roman" w:eastAsia="Times New Roman" w:hAnsi="Times New Roman"/>
          <w:sz w:val="18"/>
          <w:szCs w:val="18"/>
          <w:color w:val="auto"/>
        </w:rPr>
        <w:t>Substantially all of our leases contain landlord incentives and escalation clauses. Where a lease contains an escalation clause calling for increased rent, or a landlord incentive such as a rent holiday, rent expense is recognized using the straight-line method over the term of the lease. With the adoption of the New Lease Standard on February 3, 2019, the deferred rent balances were netted into the right-of-use assets on the balance sheet (see Note 14), which are amortized ratably over the remaining terms of the corresponding leases.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 xml:space="preserve">We account for equity compensation in accordance with Financial Accounting Standards Board, or FASB, Accounting Standards Codification, or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which requires the measurement and recognition of compensation expense for all equity awards made to employees based on estimated fair values on the grant date. Option equity award fair values are estimated on the date of grant using an option-pricing model and restricted unit fair values are based on the estimated unit price on the date of the grant. For awards with service-based vesting requirements only, the fair value of the award is recognized as expense over the requisite service period, and for awards with performance-based vesting requirements, the fair value of the award ultimately expected to meet the performance target is recognized as expense over the service period. We have elected to recognize forfeitures as they occur.</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560" w:right="20" w:firstLine="423"/>
        <w:spacing w:after="0" w:line="254" w:lineRule="auto"/>
        <w:rPr>
          <w:sz w:val="20"/>
          <w:szCs w:val="20"/>
          <w:color w:val="auto"/>
        </w:rPr>
      </w:pPr>
      <w:r>
        <w:rPr>
          <w:rFonts w:ascii="Times New Roman" w:cs="Times New Roman" w:eastAsia="Times New Roman" w:hAnsi="Times New Roman"/>
          <w:sz w:val="18"/>
          <w:szCs w:val="18"/>
          <w:color w:val="auto"/>
        </w:rPr>
        <w:t>The Company is a flow through entity for federal income tax purposes, and thus no federal income tax expense has been recorded in the consolidated statements of income. Members of the Company are responsible for federal and state income taxes on their respective share of the Company’s profit and losses. When necessary the Company’s operating agreement requires it to make distributions, or loans under certain circumstances, to fund the tax obligations of its members. There were no distributions made 2019, 2018 and 2017. In 2019 and 2018, the Company loaned $4.0 million and $4.1 million, respectively, with notes receivable issued to a member (see Note 13). The Company is responsible for certain state and foreign income taxes and recognized expense of $2.8 million, $2.0 million and $2.8 million in 2019, 2018 and 2017, respectively. As of February 1, 2020 and February 2, 2019, the Company had no uncertain tax positions that required recognition in the consolidated financial statements.</w:t>
      </w:r>
    </w:p>
    <w:p>
      <w:pPr>
        <w:spacing w:after="0" w:line="192"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We account for deferred income taxes related to state jurisdictions using the asset and liability method. Under this method, deferred tax assets and liabilities are recognized for the future taxes attributable to the difference between financial statement carrying amounts of assets and liabilities and their respective tax basis. Deferred tax assets are also recognized for the future tax benefits attributable to the expected utilization of tax net operating loss carry forwards and tax credits. In the event future utilization is determined to be unlikely, a valuation allowance is provided to reduce the tax benefits from such assets. Deferred tax assets and liabilities are measured using enacted tax rates in effect for the period in which the temporary differences and carry forwards are expected to be recovered or settled. Deferred tax assets and deferred tax liabilities are recorded in other noncurrent assets and other long-term liabilities, respectively, in our consolidated balance sheets. The effect of a change in tax rates is recognized in the period which includes the enactment date. We recognize interest and penalties as a component of income tax expense.</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21" w:lineRule="exact"/>
        <w:rPr>
          <w:sz w:val="20"/>
          <w:szCs w:val="20"/>
          <w:color w:val="auto"/>
        </w:rPr>
      </w:pPr>
    </w:p>
    <w:p>
      <w:pPr>
        <w:jc w:val="both"/>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Comprehensive income represents the net income for the period plus the results of certain changes to partners’ equity (other comprehensive income) that are not reflected in the consolidated statements of income. Other comprehensive income consists of adjustments, net of tax, related to the Company’s interest rate swaps.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20"/>
          </w:cols>
          <w:pgMar w:left="320" w:top="455" w:right="459" w:bottom="1440" w:gutter="0" w:footer="0" w:header="0"/>
        </w:sectPr>
      </w:pPr>
    </w:p>
    <w:bookmarkStart w:id="268" w:name="page269"/>
    <w:bookmarkEnd w:id="2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w:t>
      </w:r>
    </w:p>
    <w:p>
      <w:pPr>
        <w:spacing w:after="0" w:line="121"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 xml:space="preserve">Given the similar business activities, economic characteristics, products sold, customer base and methods of procurement, as well as the similar marketing and promotional activities of our stores and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 we report our financial results as one reportable segment. Substantially all of the Company’s identifiable assets are located in the United States.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119" w:lineRule="exact"/>
        <w:rPr>
          <w:sz w:val="20"/>
          <w:szCs w:val="20"/>
          <w:color w:val="auto"/>
        </w:rPr>
      </w:pPr>
    </w:p>
    <w:p>
      <w:pPr>
        <w:ind w:left="560" w:right="320" w:firstLine="423"/>
        <w:spacing w:after="0" w:line="282" w:lineRule="auto"/>
        <w:rPr>
          <w:sz w:val="20"/>
          <w:szCs w:val="20"/>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and disclose key information about leasing arrangements.</w:t>
      </w:r>
    </w:p>
    <w:p>
      <w:pPr>
        <w:spacing w:after="0" w:line="160" w:lineRule="exact"/>
        <w:rPr>
          <w:sz w:val="20"/>
          <w:szCs w:val="20"/>
          <w:color w:val="auto"/>
        </w:rPr>
      </w:pPr>
    </w:p>
    <w:p>
      <w:pPr>
        <w:ind w:left="560" w:right="380" w:firstLine="423"/>
        <w:spacing w:after="0" w:line="273" w:lineRule="auto"/>
        <w:rPr>
          <w:sz w:val="20"/>
          <w:szCs w:val="20"/>
          <w:color w:val="auto"/>
        </w:rPr>
      </w:pPr>
      <w:r>
        <w:rPr>
          <w:rFonts w:ascii="Times New Roman" w:cs="Times New Roman" w:eastAsia="Times New Roman" w:hAnsi="Times New Roman"/>
          <w:sz w:val="17"/>
          <w:szCs w:val="17"/>
          <w:color w:val="auto"/>
        </w:rPr>
        <w:t xml:space="preserve">We elected the practical expedient available to us under ASU 2018-11, </w:t>
      </w:r>
      <w:r>
        <w:rPr>
          <w:rFonts w:ascii="Times New Roman" w:cs="Times New Roman" w:eastAsia="Times New Roman" w:hAnsi="Times New Roman"/>
          <w:sz w:val="17"/>
          <w:szCs w:val="17"/>
          <w:i w:val="1"/>
          <w:iCs w:val="1"/>
          <w:color w:val="auto"/>
        </w:rPr>
        <w:t>“Leases: Targeted Improvements”</w:t>
      </w:r>
      <w:r>
        <w:rPr>
          <w:rFonts w:ascii="Times New Roman" w:cs="Times New Roman" w:eastAsia="Times New Roman" w:hAnsi="Times New Roman"/>
          <w:sz w:val="17"/>
          <w:szCs w:val="17"/>
          <w:color w:val="auto"/>
        </w:rPr>
        <w:t>, which allows us to apply the transition provision for the New Lease Standard at our adoption date instead of at the earliest comparative period presented in our financial statements. Adoption of the New Lease Standard resulted in approximately $1.2 billion of additional lease obligation and approximately</w:t>
      </w:r>
    </w:p>
    <w:p>
      <w:pPr>
        <w:spacing w:after="0" w:line="1"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$1.2 billion of right-of-use assets, which are reflected in the short-term and long-term liabilities and long-term assets sections of the balance sheet, respectively, as well as an cumulative-effect adjustment increase to the opening balance of retained earnings of approximately $5.1 million (see Note 14). Adoption of the New Lease Standard did not impact our debt-covenant compliance or liquidity under our current agreements.</w:t>
      </w:r>
    </w:p>
    <w:p>
      <w:pPr>
        <w:spacing w:after="0" w:line="330" w:lineRule="exact"/>
        <w:rPr>
          <w:sz w:val="20"/>
          <w:szCs w:val="20"/>
          <w:color w:val="auto"/>
        </w:rPr>
      </w:pPr>
    </w:p>
    <w:p>
      <w:pPr>
        <w:ind w:left="540" w:hanging="424"/>
        <w:spacing w:after="0"/>
        <w:tabs>
          <w:tab w:leader="none" w:pos="54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2120" w:type="dxa"/>
            <w:vAlign w:val="bottom"/>
            <w:gridSpan w:val="4"/>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00" w:type="dxa"/>
            <w:vAlign w:val="bottom"/>
            <w:gridSpan w:val="3"/>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40" w:type="dxa"/>
            <w:vAlign w:val="bottom"/>
          </w:tcPr>
          <w:p>
            <w:pPr>
              <w:spacing w:after="0"/>
              <w:rPr>
                <w:sz w:val="12"/>
                <w:szCs w:val="12"/>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Outdoors</w:t>
            </w:r>
          </w:p>
        </w:tc>
        <w:tc>
          <w:tcPr>
            <w:tcW w:w="2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1,522,985</w:t>
            </w:r>
          </w:p>
        </w:tc>
        <w:tc>
          <w:tcPr>
            <w:tcW w:w="9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1,544,021</w:t>
            </w:r>
          </w:p>
        </w:tc>
        <w:tc>
          <w:tcPr>
            <w:tcW w:w="36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1,583,183</w:t>
            </w:r>
          </w:p>
        </w:tc>
        <w:tc>
          <w:tcPr>
            <w:tcW w:w="40" w:type="dxa"/>
            <w:vAlign w:val="bottom"/>
          </w:tcPr>
          <w:p>
            <w:pPr>
              <w:spacing w:after="0"/>
              <w:rPr>
                <w:sz w:val="18"/>
                <w:szCs w:val="18"/>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Sports and recreation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859,868</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900,347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939,464</w:t>
            </w:r>
          </w:p>
        </w:tc>
        <w:tc>
          <w:tcPr>
            <w:tcW w:w="40" w:type="dxa"/>
            <w:vAlign w:val="bottom"/>
            <w:shd w:val="clear" w:color="auto" w:fill="CCEEFF"/>
          </w:tcPr>
          <w:p>
            <w:pPr>
              <w:spacing w:after="0"/>
              <w:rPr>
                <w:sz w:val="18"/>
                <w:szCs w:val="18"/>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Apparel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1,405,258</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1,321,035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1,311,054</w:t>
            </w:r>
          </w:p>
        </w:tc>
        <w:tc>
          <w:tcPr>
            <w:tcW w:w="40" w:type="dxa"/>
            <w:vAlign w:val="bottom"/>
          </w:tcPr>
          <w:p>
            <w:pPr>
              <w:spacing w:after="0"/>
              <w:rPr>
                <w:sz w:val="18"/>
                <w:szCs w:val="18"/>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Footwear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1,021,603</w:t>
            </w:r>
          </w:p>
        </w:tc>
        <w:tc>
          <w:tcPr>
            <w:tcW w:w="7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997,692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986,887</w:t>
            </w:r>
          </w:p>
        </w:tc>
        <w:tc>
          <w:tcPr>
            <w:tcW w:w="40" w:type="dxa"/>
            <w:vAlign w:val="bottom"/>
            <w:shd w:val="clear" w:color="auto" w:fill="CCEEFF"/>
          </w:tcPr>
          <w:p>
            <w:pPr>
              <w:spacing w:after="0"/>
              <w:rPr>
                <w:sz w:val="18"/>
                <w:szCs w:val="18"/>
                <w:color w:val="auto"/>
              </w:rPr>
            </w:pPr>
          </w:p>
        </w:tc>
      </w:tr>
      <w:tr>
        <w:trPr>
          <w:trHeight w:val="223"/>
        </w:trPr>
        <w:tc>
          <w:tcPr>
            <w:tcW w:w="4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4,809,714</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4,763,095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4,820,588</w:t>
            </w:r>
          </w:p>
        </w:tc>
        <w:tc>
          <w:tcPr>
            <w:tcW w:w="40" w:type="dxa"/>
            <w:vAlign w:val="bottom"/>
          </w:tcPr>
          <w:p>
            <w:pPr>
              <w:spacing w:after="0"/>
              <w:rPr>
                <w:sz w:val="19"/>
                <w:szCs w:val="19"/>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15"/>
                <w:szCs w:val="15"/>
                <w:color w:val="auto"/>
              </w:rPr>
              <w:t>(3)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20,183</w:t>
            </w:r>
          </w:p>
        </w:tc>
        <w:tc>
          <w:tcPr>
            <w:tcW w:w="7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40" w:type="dxa"/>
            <w:vAlign w:val="bottom"/>
            <w:shd w:val="clear" w:color="auto" w:fill="CCEEFF"/>
          </w:tcPr>
          <w:p>
            <w:pPr>
              <w:spacing w:after="0"/>
              <w:rPr>
                <w:sz w:val="18"/>
                <w:szCs w:val="18"/>
                <w:color w:val="auto"/>
              </w:rPr>
            </w:pP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4,829,897</w:t>
            </w:r>
          </w:p>
        </w:tc>
        <w:tc>
          <w:tcPr>
            <w:tcW w:w="70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4,783,893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4,835,582</w:t>
            </w:r>
          </w:p>
        </w:tc>
        <w:tc>
          <w:tcPr>
            <w:tcW w:w="4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480" w:hanging="224"/>
        <w:spacing w:after="0" w:line="272" w:lineRule="auto"/>
        <w:tabs>
          <w:tab w:leader="none" w:pos="34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Certain products and categories were recategorized amongst categories and divisions during 2019 in order to better align with our current merchandising strategy and view of the business. As a result, we have reclassified sales between divisions for 2018 and 2017 for comparability purposes. This reclassification is in presentation only and did not impact the overall net sales balances previously disclosed (see Note 2).</w:t>
      </w:r>
    </w:p>
    <w:p>
      <w:pPr>
        <w:spacing w:after="0" w:line="1" w:lineRule="exact"/>
        <w:rPr>
          <w:rFonts w:ascii="Times New Roman" w:cs="Times New Roman" w:eastAsia="Times New Roman" w:hAnsi="Times New Roman"/>
          <w:sz w:val="14"/>
          <w:szCs w:val="14"/>
          <w:color w:val="auto"/>
        </w:rPr>
      </w:pPr>
    </w:p>
    <w:p>
      <w:pPr>
        <w:ind w:left="340" w:hanging="224"/>
        <w:spacing w:after="0"/>
        <w:tabs>
          <w:tab w:leader="none" w:pos="340"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E-commerce sales consist of 5.1%, 4.9% and 4.0% of merchandise sales for 2019, 2018 and 2017, respectively.</w:t>
      </w:r>
    </w:p>
    <w:p>
      <w:pPr>
        <w:spacing w:after="0" w:line="9" w:lineRule="exact"/>
        <w:rPr>
          <w:rFonts w:ascii="Times New Roman" w:cs="Times New Roman" w:eastAsia="Times New Roman" w:hAnsi="Times New Roman"/>
          <w:sz w:val="15"/>
          <w:szCs w:val="15"/>
          <w:color w:val="auto"/>
        </w:rPr>
      </w:pPr>
    </w:p>
    <w:p>
      <w:pPr>
        <w:ind w:left="340" w:right="500" w:hanging="224"/>
        <w:spacing w:after="0" w:line="260" w:lineRule="auto"/>
        <w:tabs>
          <w:tab w:leader="none" w:pos="340"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Other sales consists primarily of the sales return allowance, gift card breakage income, credit card bounties and royalties, shipping income, net hunting and fishing license income and other items.</w:t>
      </w:r>
    </w:p>
    <w:p>
      <w:pPr>
        <w:spacing w:after="0" w:line="181" w:lineRule="exact"/>
        <w:rPr>
          <w:sz w:val="20"/>
          <w:szCs w:val="20"/>
          <w:color w:val="auto"/>
        </w:rPr>
      </w:pPr>
    </w:p>
    <w:p>
      <w:pPr>
        <w:ind w:left="560" w:right="120" w:firstLine="423"/>
        <w:spacing w:after="0" w:line="266"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The gift cards we sell have no expiration dates. We establish a liability for gift cards, which is recorded in accrued expenses and other liabilities on our consolidated balance sheets, at the time of sale and recognize revenues as the gift cards are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55" w:right="459" w:bottom="1440" w:gutter="0" w:footer="0" w:header="0"/>
        </w:sectPr>
      </w:pPr>
    </w:p>
    <w:bookmarkStart w:id="269" w:name="page270"/>
    <w:bookmarkEnd w:id="2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100"/>
        <w:spacing w:after="0" w:line="266" w:lineRule="auto"/>
        <w:rPr>
          <w:sz w:val="20"/>
          <w:szCs w:val="20"/>
          <w:color w:val="auto"/>
        </w:rPr>
      </w:pPr>
      <w:r>
        <w:rPr>
          <w:rFonts w:ascii="Times New Roman" w:cs="Times New Roman" w:eastAsia="Times New Roman" w:hAnsi="Times New Roman"/>
          <w:sz w:val="18"/>
          <w:szCs w:val="18"/>
          <w:color w:val="auto"/>
        </w:rPr>
        <w:t>redeemed. Based on historical gift card redemption patterns, we can reasonably estimate the amount of gift cards that have a remote likelihood of redemption. These identified amounts are recorded as net sales and recognized in proportion to historical redemption trends, which is referred to as “breakage.”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1940" w:type="dxa"/>
            <w:vAlign w:val="bottom"/>
            <w:gridSpan w:val="4"/>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66,153</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59,724</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134,839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153,429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Redeemed</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(128,638)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(142,742)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(4,361)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(4,258)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9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67,993</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66,153</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Asset-Based Revolving Credit Facility</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Senior Secured Term Loan Facility, due July 2022 net of</w:t>
            </w:r>
          </w:p>
        </w:tc>
        <w:tc>
          <w:tcPr>
            <w:tcW w:w="2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1,466,402</w:t>
            </w:r>
          </w:p>
        </w:tc>
        <w:tc>
          <w:tcPr>
            <w:tcW w:w="20" w:type="dxa"/>
            <w:vAlign w:val="bottom"/>
            <w:vMerge w:val="restart"/>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of $2.6 million and $4.0 million, respectively</w:t>
            </w: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1,630,890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1,466,402</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1,630,890</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(34,116)</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15"/>
                <w:szCs w:val="15"/>
                <w:color w:val="auto"/>
              </w:rPr>
              <w:t>(1)</w:t>
            </w: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(3,744)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(5,830)</w:t>
            </w:r>
          </w:p>
        </w:tc>
        <w:tc>
          <w:tcPr>
            <w:tcW w:w="0" w:type="dxa"/>
            <w:vAlign w:val="bottom"/>
          </w:tcPr>
          <w:p>
            <w:pPr>
              <w:spacing w:after="0"/>
              <w:rPr>
                <w:sz w:val="1"/>
                <w:szCs w:val="1"/>
                <w:color w:val="auto"/>
              </w:rPr>
            </w:pPr>
          </w:p>
        </w:tc>
      </w:tr>
      <w:tr>
        <w:trPr>
          <w:trHeight w:val="223"/>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1,428,542</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224"/>
        <w:spacing w:after="0"/>
        <w:tabs>
          <w:tab w:leader="none" w:pos="340"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These costs are related to the 2015 Term Loan Facility (as defined below).</w:t>
      </w:r>
    </w:p>
    <w:p>
      <w:pPr>
        <w:spacing w:after="0" w:line="225" w:lineRule="exact"/>
        <w:rPr>
          <w:sz w:val="20"/>
          <w:szCs w:val="20"/>
          <w:color w:val="auto"/>
        </w:rPr>
      </w:pPr>
    </w:p>
    <w:p>
      <w:pPr>
        <w:jc w:val="both"/>
        <w:ind w:left="560" w:right="280" w:firstLine="423"/>
        <w:spacing w:after="0" w:line="266" w:lineRule="auto"/>
        <w:rPr>
          <w:sz w:val="20"/>
          <w:szCs w:val="20"/>
          <w:color w:val="auto"/>
        </w:rPr>
      </w:pPr>
      <w:r>
        <w:rPr>
          <w:rFonts w:ascii="Times New Roman" w:cs="Times New Roman" w:eastAsia="Times New Roman" w:hAnsi="Times New Roman"/>
          <w:sz w:val="18"/>
          <w:szCs w:val="18"/>
          <w:color w:val="auto"/>
        </w:rPr>
        <w:t>As of February 1, 2020 and February 2, 2019, the balance in deferred loan costs related to the Amended ABL Facility (as defined below) was approximately $3.4 million and $4.5 million, respectively, and was included in other noncurrent assets on our consolidated balance sheets. Total amortization of deferred loan costs was $2.6 million, $3.0 million and $3.2 million in 2019, 2018 and 2017, respectively.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July 2, 2015, Academy, Ltd. entered into a seven-year $1.8 billion senior secured term loan facility, or the 2015 Term Loan Facility, with Morgan Stanley Senior Funding, Inc., as the administrative and collateral agent, and other lenders, and a five-year $650 million secured asset-based revolving credit facility, or the 2015 ABL Facility, with JPMorgan Chase Bank, N.A., as administrative agent, and other lenders. Academy, Ltd. received proceeds from the 2015 Term Loan Facility of $1.8 billion, which was net of discount of $9.1 million. On May 22, 2018, the Company amended the agreement governing the 2015 ABL Facility, or as amended, the Amended ABL Facility, to increase the commitment on the facility from $650 million to $1 billion. The operative terms, conditions, covenants and pricing of the Amended ABL Facility remain the same in all material respects to the 2015 ABL Facility and/or have been sized in approximate proportion to the relative increase in the facility where such operative terms are based upon the commitment level on the facility. The Amended ABL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Facility matures on May 22, 2023, subject to a springing maturity clause which is triggered 91 days before the July 2, 2022 maturity of the 2015 Term Loan Facility should it not be paid off or extended at least 91 days beyond the May 22, 2023 maturity date of the Amended ABL Facility. In connection with the Amended ABL Facility, the Company capitalized related professional fees of $2.8 million as deferred loan costs and wrote off $0.1 million in previously capitalized deferred loan costs. Academy, Ltd. has the option to increase the commitments under the Amended ABL Facility by $250 million, subject to the satisfaction of certain conditions under the agreement.</w:t>
      </w:r>
    </w:p>
    <w:p>
      <w:pPr>
        <w:spacing w:after="0" w:line="17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2015 Term Loan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2015 Term Loan Facility bears interest, at our election, at either (1) LIBOR rate with a floor of 1.00%, plus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margin of 4.00%, or (2) a base rate equal to the highest of (a) the federal funds rate plus 0.50%, (b) Morgan Stanley Senior Funding, Inc.’s “prime rate”, or (c) the one-month LIBOR rate plus 1.00%, plus a margin of 3.00%. Quarterly principal payments of approximately $4.6 million are required through June 30, 2022, with the balance due in full on the maturity date of July 2, 2022. As of February 1, 2020, the weighted average interest rate was 5.77%, with interest payable monthly. The terms and conditions of the 2015 Term Loan Facility also require that we prepay outstanding loans under the 2015 Term Loan Facility under certain circumstances. As of February 1, 2020, a $15.9 million prepayment was due under the terms and conditions of the 2015 Term Loan Facility.</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2019 and 2017, we repurchased principal on our 2015 Term Loan Facility, which was trading at a discount. The following table provides further detail regarding these repurchases (amounts in millions):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540" w:type="dxa"/>
            <w:vAlign w:val="bottom"/>
          </w:tcPr>
          <w:p>
            <w:pPr>
              <w:spacing w:after="0"/>
              <w:rPr>
                <w:sz w:val="12"/>
                <w:szCs w:val="12"/>
                <w:color w:val="auto"/>
              </w:rPr>
            </w:pPr>
          </w:p>
        </w:tc>
        <w:tc>
          <w:tcPr>
            <w:tcW w:w="1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3, 2018</w:t>
            </w:r>
          </w:p>
        </w:tc>
        <w:tc>
          <w:tcPr>
            <w:tcW w:w="40" w:type="dxa"/>
            <w:vAlign w:val="bottom"/>
          </w:tcPr>
          <w:p>
            <w:pPr>
              <w:spacing w:after="0"/>
              <w:rPr>
                <w:sz w:val="12"/>
                <w:szCs w:val="12"/>
                <w:color w:val="auto"/>
              </w:rPr>
            </w:pP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principal repurchased</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147.7</w:t>
            </w:r>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Reacquisition price of debt</w:t>
            </w: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104.6</w:t>
            </w: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recognized</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42.3</w:t>
            </w: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bl>
    <w:p>
      <w:pPr>
        <w:spacing w:after="0" w:line="194"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Amended ABL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Amended ABL Facility is used to provide financing for working capital and other general corporate purposes,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February 1, 2020, we had outstanding letters of credit of approximately $17.7 million, of which $15.9 million were issued under the Amended ABL Facility, and we had no borrowings outstanding under the Amended ABL Facility, leaving the available borrowing capacity under the Amended ABL Facility of $827.4 million (see Note 19).</w:t>
      </w:r>
    </w:p>
    <w:p>
      <w:pPr>
        <w:spacing w:after="0" w:line="18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Borrowings under the Amended ABL Facility bear interest, at our election, at either of (1) LIBOR plus a margin of 1.25% to 1.75%, or (2) a base rate equal to the highest of (a) the federal funds rate plus 0.50%, (b) JPMorgan Chase Bank, N.A.’s “prime rate”, or (c) the one-month LIBOR rate plus 1.00%, plus a margin of 0.25% to 0.75%. The Amended ABL Facility also provides a fee applicable to the unused commitments of 0.25%. The terms and conditions of the Amended ABL Facility also require that we prepay outstanding loans under the Amended ABL Facility under certain circumstances. As of February 1, 2020, no future prepayments of outstanding loans have been triggered under the terms and conditions of the Amended ABL Facility.</w:t>
      </w:r>
    </w:p>
    <w:p>
      <w:pPr>
        <w:spacing w:after="0" w:line="183" w:lineRule="exact"/>
        <w:rPr>
          <w:sz w:val="20"/>
          <w:szCs w:val="20"/>
          <w:color w:val="auto"/>
        </w:rPr>
      </w:pPr>
    </w:p>
    <w:p>
      <w:pPr>
        <w:ind w:left="120" w:right="18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u w:val="single" w:color="auto"/>
          <w:color w:val="auto"/>
        </w:rPr>
        <w:t>Liens and guarantees.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Amended ABL Facility has a first priority lien on all Academy, Ltd.’s cash, accounts receivable, inventory, deposit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securities accounts and proceeds therefrom, or the ABL Collateral. Additionally, the Amended ABL Facility has a second priority lien on all other collateral of the 2015 Term Loan Facility. All obligations under the 2015 Term Loan Facility and the guarantees of those obligations are secured by:</w:t>
      </w:r>
    </w:p>
    <w:p>
      <w:pPr>
        <w:spacing w:after="0" w:line="62" w:lineRule="exact"/>
        <w:rPr>
          <w:sz w:val="20"/>
          <w:szCs w:val="20"/>
          <w:color w:val="auto"/>
        </w:rPr>
      </w:pPr>
    </w:p>
    <w:p>
      <w:pPr>
        <w:ind w:left="1080" w:hanging="424"/>
        <w:spacing w:after="0"/>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second-priority security interest in the ABL Collateral;</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security interest in, and mortgages on, substantially all present and after acquired tangible and intangible assets of Academy, Ltd.;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20"/>
          </w:cols>
          <w:pgMar w:left="320" w:top="455" w:right="459" w:bottom="1440" w:gutter="0" w:footer="0" w:header="0"/>
        </w:sectPr>
      </w:pPr>
    </w:p>
    <w:bookmarkStart w:id="271" w:name="page272"/>
    <w:bookmarkEnd w:id="2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82"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pledge of 100% of the capital stock of Academy, Ltd.’s domestic subsidiaries and 66% of the voting capital stock of each of Academy, Ltd.’s foreign subsidiaries, if any, that are directly owned by Academy, Ltd. or a future U.S. guarantor, if any.</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Amended ABL Facility and the 2015 Term Loan Facility are each guaranteed by Holdco and all of its subsidiaries except for Academy International Limited, a Hong Kong limited liability company and subsidiary of Academy, Ltd.</w:t>
      </w:r>
    </w:p>
    <w:p>
      <w:pPr>
        <w:spacing w:after="0" w:line="158"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Amended ABL Facility and the 2015 Term Loan Facility agreements contain covenants, including, among other things, covenants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Amended ABL Facility is subject to a minimum adjusted fixed charge coverage ratio. These covenants are subject to certain qualifications and limitations. We were in compliance with these covenants as of February 1, 2020.</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February 1, 2020, scheduled principal payments on our debt are as follows (amounts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5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5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34,116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1,416,627</w:t>
            </w:r>
          </w:p>
        </w:tc>
        <w:tc>
          <w:tcPr>
            <w:tcW w:w="40" w:type="dxa"/>
            <w:vAlign w:val="bottom"/>
            <w:shd w:val="clear" w:color="auto" w:fill="CCEEFF"/>
          </w:tcPr>
          <w:p>
            <w:pPr>
              <w:spacing w:after="0"/>
              <w:rPr>
                <w:sz w:val="18"/>
                <w:szCs w:val="18"/>
                <w:color w:val="auto"/>
              </w:rPr>
            </w:pPr>
          </w:p>
        </w:tc>
      </w:tr>
      <w:tr>
        <w:trPr>
          <w:trHeight w:val="223"/>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1,468,993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use interest rate swap agreements to hedge market risk relating to possible adverse changes in interest rates. A summary of our interest rate swaps is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78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r>
      <w:tr>
        <w:trPr>
          <w:trHeight w:val="191"/>
        </w:trPr>
        <w:tc>
          <w:tcPr>
            <w:tcW w:w="2620" w:type="dxa"/>
            <w:vAlign w:val="bottom"/>
            <w:tcBorders>
              <w:top w:val="single" w:sz="8" w:color="auto"/>
            </w:tcBorders>
          </w:tcPr>
          <w:p>
            <w:pPr>
              <w:ind w:left="960"/>
              <w:spacing w:after="0" w:line="191" w:lineRule="exact"/>
              <w:rPr>
                <w:sz w:val="20"/>
                <w:szCs w:val="20"/>
                <w:color w:val="auto"/>
              </w:rPr>
            </w:pPr>
            <w:r>
              <w:rPr>
                <w:rFonts w:ascii="Times New Roman" w:cs="Times New Roman" w:eastAsia="Times New Roman" w:hAnsi="Times New Roman"/>
                <w:sz w:val="18"/>
                <w:szCs w:val="18"/>
                <w:color w:val="auto"/>
              </w:rPr>
              <w:t xml:space="preserve">$320,000 </w:t>
            </w:r>
            <w:r>
              <w:rPr>
                <w:rFonts w:ascii="Times New Roman" w:cs="Times New Roman" w:eastAsia="Times New Roman" w:hAnsi="Times New Roman"/>
                <w:sz w:val="15"/>
                <w:szCs w:val="15"/>
                <w:color w:val="auto"/>
              </w:rPr>
              <w:t>(1)</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2.21%</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7, 2016</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3, 2021</w:t>
            </w:r>
          </w:p>
        </w:tc>
      </w:tr>
      <w:tr>
        <w:trPr>
          <w:trHeight w:val="216"/>
        </w:trPr>
        <w:tc>
          <w:tcPr>
            <w:tcW w:w="26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w:t>
            </w:r>
          </w:p>
        </w:tc>
        <w:tc>
          <w:tcPr>
            <w:tcW w:w="120" w:type="dxa"/>
            <w:vAlign w:val="bottom"/>
          </w:tcPr>
          <w:p>
            <w:pPr>
              <w:spacing w:after="0"/>
              <w:rPr>
                <w:sz w:val="18"/>
                <w:szCs w:val="18"/>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1, 2016</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2021</w:t>
            </w:r>
          </w:p>
        </w:tc>
      </w:tr>
      <w:tr>
        <w:trPr>
          <w:trHeight w:val="234"/>
        </w:trPr>
        <w:tc>
          <w:tcPr>
            <w:tcW w:w="26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c>
          <w:tcPr>
            <w:tcW w:w="120" w:type="dxa"/>
            <w:vAlign w:val="bottom"/>
          </w:tcPr>
          <w:p>
            <w:pPr>
              <w:spacing w:after="0"/>
              <w:rPr>
                <w:sz w:val="20"/>
                <w:szCs w:val="20"/>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1, 2018</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2021</w:t>
            </w:r>
          </w:p>
        </w:tc>
      </w:tr>
    </w:tbl>
    <w:p>
      <w:pPr>
        <w:spacing w:after="0" w:line="225" w:lineRule="exact"/>
        <w:rPr>
          <w:sz w:val="20"/>
          <w:szCs w:val="20"/>
          <w:color w:val="auto"/>
        </w:rPr>
      </w:pPr>
    </w:p>
    <w:p>
      <w:pPr>
        <w:ind w:left="340" w:right="60" w:hanging="224"/>
        <w:spacing w:after="0" w:line="282" w:lineRule="auto"/>
        <w:tabs>
          <w:tab w:leader="none" w:pos="340"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initial $600,000 notional amount of the swap amortizes to $525,000, $430,000, $320,000 and $250,000 on September 3 of 2017, 2018, 2019 and 2020, respectively.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fair value of the interest rate swaps is as follows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5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176"/>
        </w:trPr>
        <w:tc>
          <w:tcPr>
            <w:tcW w:w="4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w w:val="95"/>
              </w:rPr>
              <w:t>Assets</w:t>
            </w:r>
          </w:p>
        </w:tc>
        <w:tc>
          <w:tcPr>
            <w:tcW w:w="35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3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current assets</w:t>
            </w: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3,386</w:t>
            </w:r>
          </w:p>
        </w:tc>
      </w:tr>
      <w:tr>
        <w:trPr>
          <w:trHeight w:val="216"/>
        </w:trPr>
        <w:tc>
          <w:tcPr>
            <w:tcW w:w="3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included in other noncurrent assets</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5,355</w:t>
            </w:r>
          </w:p>
        </w:tc>
      </w:tr>
      <w:tr>
        <w:trPr>
          <w:trHeight w:val="283"/>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
        </w:trPr>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8"/>
        </w:trPr>
        <w:tc>
          <w:tcPr>
            <w:tcW w:w="396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Amounts included in accrued expenses and other</w:t>
            </w: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46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48"/>
        </w:trPr>
        <w:tc>
          <w:tcPr>
            <w:tcW w:w="3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1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6,130</w:t>
            </w:r>
          </w:p>
        </w:tc>
        <w:tc>
          <w:tcPr>
            <w:tcW w:w="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3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long-term liabilities</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1,976</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r>
      <w:tr>
        <w:trPr>
          <w:trHeight w:val="27"/>
        </w:trPr>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6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swap net assets (liabilities)</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(8,106)</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8,408</w:t>
            </w: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F-41</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72" w:name="page273"/>
    <w:bookmarkEnd w:id="2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Amounts included in AOCI are reclassified to interest expense in the same period during which the hedged transaction affects earnings, which is as interest expense is recorded on the underlying 2015 Term Loan Facility. As of February 1, 2020, we estimate that approximately $6.7 million of the balance in AOCI will be reclassified as an increase in interest expense during the next 12 months.</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impact of gains and losses related to interest rate swaps that are deferred into AOCI and subsequently reclassified into interest expense is as follows (amounts in thousands):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1980" w:type="dxa"/>
            <w:vAlign w:val="bottom"/>
            <w:gridSpan w:val="4"/>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80" w:type="dxa"/>
            <w:vAlign w:val="bottom"/>
            <w:gridSpan w:val="3"/>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40" w:type="dxa"/>
            <w:vAlign w:val="bottom"/>
          </w:tcPr>
          <w:p>
            <w:pPr>
              <w:spacing w:after="0"/>
              <w:rPr>
                <w:sz w:val="12"/>
                <w:szCs w:val="12"/>
                <w:color w:val="auto"/>
              </w:rPr>
            </w:pP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deferred into AOCI</w:t>
            </w:r>
          </w:p>
        </w:tc>
        <w:tc>
          <w:tcPr>
            <w:tcW w:w="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(16,096)</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40" w:type="dxa"/>
            <w:vAlign w:val="bottom"/>
            <w:tcBorders>
              <w:top w:val="single" w:sz="8" w:color="CCEEFF"/>
            </w:tcBorders>
            <w:shd w:val="clear" w:color="auto" w:fill="CCEEFF"/>
          </w:tcPr>
          <w:p>
            <w:pPr>
              <w:spacing w:after="0"/>
              <w:rPr>
                <w:sz w:val="18"/>
                <w:szCs w:val="18"/>
                <w:color w:val="auto"/>
              </w:rPr>
            </w:pP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to interest expense</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(418)</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48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40" w:type="dxa"/>
            <w:vAlign w:val="bottom"/>
          </w:tcPr>
          <w:p>
            <w:pPr>
              <w:spacing w:after="0"/>
              <w:rPr>
                <w:sz w:val="20"/>
                <w:szCs w:val="20"/>
                <w:color w:val="auto"/>
              </w:rPr>
            </w:pPr>
          </w:p>
        </w:tc>
      </w:tr>
    </w:tbl>
    <w:p>
      <w:pPr>
        <w:spacing w:after="0" w:line="320" w:lineRule="exact"/>
        <w:rPr>
          <w:sz w:val="20"/>
          <w:szCs w:val="20"/>
          <w:color w:val="auto"/>
        </w:rPr>
      </w:pPr>
    </w:p>
    <w:p>
      <w:pPr>
        <w:ind w:left="540" w:hanging="424"/>
        <w:spacing w:after="0"/>
        <w:tabs>
          <w:tab w:leader="none" w:pos="540"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31" w:lineRule="exact"/>
        <w:rPr>
          <w:sz w:val="20"/>
          <w:szCs w:val="20"/>
          <w:color w:val="auto"/>
        </w:rPr>
      </w:pPr>
    </w:p>
    <w:p>
      <w:pPr>
        <w:ind w:left="1080" w:right="260" w:hanging="424"/>
        <w:spacing w:after="0" w:line="282"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the fair value hierarchy for our derivative financial instruments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200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204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14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rate swap</w:t>
            </w:r>
          </w:p>
        </w:tc>
        <w:tc>
          <w:tcPr>
            <w:tcW w:w="1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4"/>
              </w:rPr>
              <w:t>Liabilities</w:t>
            </w:r>
          </w:p>
        </w:tc>
        <w:tc>
          <w:tcPr>
            <w:tcW w:w="20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rate swap</w:t>
            </w:r>
          </w:p>
        </w:tc>
        <w:tc>
          <w:tcPr>
            <w:tcW w:w="1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8,106</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value our derivative financial instruments using a discounted cash flow analysis based on the expected cash flows of each derivative. This analysis reflects the contractual terms of the derivatives, including the period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Non-Financial Assets Measured on a Non-Recurring Basis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Certain non-financial assets are subject to periodic impairment tests and are not measured to fair value on a recurring basis. These assets include property and equipment, goodwill, our Trade Name and favorable leases (see Note 8). During 2018, we recorded full property and equipment impairment charges of $1.4 million on one project and one store that we continue to operate. During 2017, we recorded full property and equipment impairment charges of $2.5 million on two stores that we continue to operate. The related charges are included in selling, general and administrative expenses in the consolidated statement of income. The fair value for each store was determined by using a discounted cash flow model of projected store income, which we have classified as Level 3 of the fair value hierarchy.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redeemable on demand. We held investments in money market funds of $113.3 million and $42.6 million as of February 1, 2020 and February 2, 2019, respectively.</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fair value of the 2015 Term Loan Facility is estimated using a discounted cash flow analysis based on quoted market prices for the instrument in an inactive market and is therefore classified as Level 2 within the fair value hierarchy. As of February 1, 2020 and February 2, 2019, the estimated fair value of the 2015 Term Loan Facility was $1.2 billion and $1.1 billion, respectively. As borrowings on the Amended ABL Facility are generally repaid in less than 12 months, we believe that fair value approximates the carrying value.</w:t>
      </w:r>
    </w:p>
    <w:p>
      <w:pPr>
        <w:spacing w:after="0" w:line="324" w:lineRule="exact"/>
        <w:rPr>
          <w:sz w:val="20"/>
          <w:szCs w:val="20"/>
          <w:color w:val="auto"/>
        </w:rPr>
      </w:pPr>
    </w:p>
    <w:p>
      <w:pPr>
        <w:ind w:left="540" w:hanging="424"/>
        <w:spacing w:after="0"/>
        <w:tabs>
          <w:tab w:leader="none" w:pos="540"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consists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436,807</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537,364</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496,089</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316,420</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304,784</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 and land</w:t>
            </w:r>
          </w:p>
        </w:tc>
        <w:tc>
          <w:tcPr>
            <w:tcW w:w="220" w:type="dxa"/>
            <w:vAlign w:val="bottom"/>
          </w:tcPr>
          <w:p>
            <w:pPr>
              <w:spacing w:after="0"/>
              <w:rPr>
                <w:sz w:val="18"/>
                <w:szCs w:val="18"/>
                <w:color w:val="auto"/>
              </w:rPr>
            </w:pPr>
          </w:p>
        </w:tc>
        <w:tc>
          <w:tcPr>
            <w:tcW w:w="16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17,639</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35,533</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3,698</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3,698</w:t>
            </w:r>
          </w:p>
        </w:tc>
      </w:tr>
      <w:tr>
        <w:trPr>
          <w:trHeight w:val="223"/>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1,311,928</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1,259,989</w:t>
            </w:r>
          </w:p>
        </w:tc>
        <w:tc>
          <w:tcPr>
            <w:tcW w:w="100" w:type="dxa"/>
            <w:vAlign w:val="bottom"/>
          </w:tcPr>
          <w:p>
            <w:pPr>
              <w:spacing w:after="0"/>
              <w:rPr>
                <w:sz w:val="19"/>
                <w:szCs w:val="19"/>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(870,521)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(763,836)</w:t>
            </w:r>
          </w:p>
        </w:tc>
      </w:tr>
      <w:tr>
        <w:trPr>
          <w:trHeight w:val="223"/>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441,407</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496,153</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Depreciation expense, which is included in selling, general and administrative expenses in the consolidated statements of income, was $117.3 million, $130.4 million and $130.8 million in 2019, 2018 and 2017, respectively.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20"/>
          </w:cols>
          <w:pgMar w:left="320" w:top="455" w:right="459" w:bottom="1440" w:gutter="0" w:footer="0" w:header="0"/>
        </w:sectPr>
      </w:pPr>
    </w:p>
    <w:bookmarkStart w:id="274" w:name="page275"/>
    <w:bookmarkEnd w:id="2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consist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4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 subject to amortization:</w:t>
            </w:r>
          </w:p>
        </w:tc>
        <w:tc>
          <w:tcPr>
            <w:tcW w:w="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Favorable lease rights, net</w:t>
            </w: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15,067</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not subject to amortization:</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577,000</w:t>
            </w:r>
          </w:p>
        </w:tc>
      </w:tr>
      <w:tr>
        <w:trPr>
          <w:trHeight w:val="27"/>
        </w:trPr>
        <w:tc>
          <w:tcPr>
            <w:tcW w:w="4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 and other intangible assets, net</w:t>
            </w: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592,067</w:t>
            </w:r>
          </w:p>
        </w:tc>
      </w:tr>
      <w:tr>
        <w:trPr>
          <w:trHeight w:val="20"/>
        </w:trPr>
        <w:tc>
          <w:tcPr>
            <w:tcW w:w="4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With the adoption of the New Lease Standard on February 3, 2019, the balance of the favorable lease rights, net was netted into the right-of-use assets on the balance sheet which are amortized ratably over the remaining terms of the corresponding leases (see Note 14).</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Amortization expense on favorable lease rights was $3.5 million in 2018 and 2017, respectively. Favorable lease rights are net of accumulated amortization of $25.0 million as of February 2, 2019.</w:t>
      </w:r>
    </w:p>
    <w:p>
      <w:pPr>
        <w:spacing w:after="0" w:line="306" w:lineRule="exact"/>
        <w:rPr>
          <w:sz w:val="20"/>
          <w:szCs w:val="20"/>
          <w:color w:val="auto"/>
        </w:rPr>
      </w:pPr>
    </w:p>
    <w:p>
      <w:pPr>
        <w:ind w:left="540" w:hanging="424"/>
        <w:spacing w:after="0"/>
        <w:tabs>
          <w:tab w:leader="none" w:pos="540"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36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personnel costs</w:t>
            </w: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54,065</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7,835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3,574</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use tax</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12,651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7,521</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Accrued self-insurance</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14,107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14,632</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16,919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16,941</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revenue—gift cards and other</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70,220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67,527</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5,500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5,800</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30,084</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31,191</w:t>
            </w:r>
          </w:p>
        </w:tc>
      </w:tr>
      <w:tr>
        <w:trPr>
          <w:trHeight w:val="27"/>
        </w:trPr>
        <w:tc>
          <w:tcPr>
            <w:tcW w:w="4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211,381</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184,141</w:t>
            </w:r>
          </w:p>
        </w:tc>
      </w:tr>
      <w:tr>
        <w:trPr>
          <w:trHeight w:val="20"/>
        </w:trPr>
        <w:tc>
          <w:tcPr>
            <w:tcW w:w="4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Unit-Based Compensation</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228,274,749 Membership Units authorized, issued and outstanding as of February 1, 2020.</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New Academy Holding Company, LLC 2011 Unit Incentive Plan, or the 2011 Unit Incentive Plan, provides for the grant of certain equity incentive awards, or each, an Award, such as options to purchase Holdco Membership Units, or each, a Unit Option, and restricted units that may settle in Holdco Membership Units, or each, a Restricted Unit, to our directors, executives, and eligible employees of the Company.</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Unit Options granted under the 2011 Unit Incentive Plan consist of Unit Options that vest upon the satisfaction of time-based requirements, or each, a Service Option, and Unit Options that vest upon the satisfaction of both time-based requirements and Company performance-based requirements, or each, a Performance Option.</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Restricted Units granted under the 2011 Unit Incentive Plan consist of Restricted Units that vest upon the satisfaction of time-based requirements, or each, a Service Restricted Unit, and Restricted Units that vest upon the satisfaction of both time-based requirements and liquidity event-based requirements, or each, a Liquidity</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060"/>
          </w:cols>
          <w:pgMar w:left="320" w:top="455" w:right="519" w:bottom="1440" w:gutter="0" w:footer="0" w:header="0"/>
        </w:sectPr>
      </w:pPr>
    </w:p>
    <w:bookmarkStart w:id="275" w:name="page276"/>
    <w:bookmarkEnd w:id="2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Event Restricted Unit. In each case, vesting of the Company’s outstanding and unvested Unit Options and Restricted Units is contingent upon the holder’s continued service through the date of each applicable vesting event.</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of February 1, 2020, the number of Holdco Membership Units authorized for the grant of Awards under the 2011 Unit Incentive Plan was 33,948,085 Membership Units. As of February 1, 2020, there were 2,051,547 Holdco Membership Units that were authorized and available for the grant of Awards under the 2011 Unit Incentive Plan.</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Equity compensation expense was $7.9 million, $4.6 million and $4.6 million in 2019, 2018 and 2017, respectively, and is included in selling, general and administrative expenses in our consolidated statements of income.</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June 22, 2018, the Company reduced the exercise price on vested and unvested options to fair market value for current employees holding options with exercise prices greater than fair market value. The repricing affected 184 employees and 6,909,475 options. Equity compensation expense incurred at the time of the repricing was $0.7 million.</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As of February 1, 2020, unrecognized compensation cost related to Unit Options and Restricted Units of $16.7 million is expected to be recognized over a weighted average life of 2.7 years. The total fair value of Restricted Units vested was $0.3 million, $0.2 million and $0.2 million for 2019, 2018 and 2017,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 Option Fair Value Assumptions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fair value for Service Options and Performance Options granted was estimated using a Black-Scholes option-pricing model. The expected lives of the Service Options and Performance Options granted were based on the “SEC simplified” method and a mid-point assumption, respectively. Expected price volatility was determined based on the implied volatilities of comparable companies over a historical period that matches the expected life of the Unit Options. The risk-free interest rate was based on the expected U.S. Treasury rate over the expected life. The dividend yield was based on the expectation that no dividends will be paid. The assumptions used to calculate the fair value of Unit Options granted are evaluated and modified, as necessary, to reflect current market conditions and experience.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assumptions and grant date fair values for Service Options and Performance Options granted in 2019, 2018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2017:</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7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1700" w:type="dxa"/>
            <w:vAlign w:val="bottom"/>
            <w:gridSpan w:val="2"/>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2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6.2</w:t>
            </w:r>
          </w:p>
        </w:tc>
        <w:tc>
          <w:tcPr>
            <w:tcW w:w="4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4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52%</w:t>
            </w:r>
          </w:p>
        </w:tc>
        <w:tc>
          <w:tcPr>
            <w:tcW w:w="460" w:type="dxa"/>
            <w:vAlign w:val="bottom"/>
          </w:tcPr>
          <w:p>
            <w:pPr>
              <w:spacing w:after="0"/>
              <w:rPr>
                <w:sz w:val="18"/>
                <w:szCs w:val="18"/>
                <w:color w:val="auto"/>
              </w:rPr>
            </w:pPr>
          </w:p>
        </w:tc>
        <w:tc>
          <w:tcPr>
            <w:tcW w:w="17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50% to 55%</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 to 57%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52.0%</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54.1%</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1.4% to 2.5%</w:t>
            </w:r>
          </w:p>
        </w:tc>
        <w:tc>
          <w:tcPr>
            <w:tcW w:w="17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2.6% to 2.9%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 to 2.2%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grant date fair value - Service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$2.75</w:t>
            </w: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24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$2.85</w:t>
            </w:r>
          </w:p>
        </w:tc>
        <w:tc>
          <w:tcPr>
            <w:tcW w:w="4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grant date fair value - Performance</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$2.74</w:t>
            </w: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240" w:type="dxa"/>
            <w:vAlign w:val="bottom"/>
            <w:vMerge w:val="continue"/>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$2.84</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 Option Activity</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outstanding and unvested Service Options typically vest ratably over a four-year period, on each anniversary of their grant date. In the event of certain Company change of control transactions, the Company’s then-outstanding and unvested Service Options will become fully vested and exercisable.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40"/>
          </w:cols>
          <w:pgMar w:left="320" w:top="455" w:right="439" w:bottom="1440" w:gutter="0" w:footer="0" w:header="0"/>
        </w:sectPr>
      </w:pPr>
    </w:p>
    <w:bookmarkStart w:id="276" w:name="page277"/>
    <w:bookmarkEnd w:id="2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Company’s outstanding and unvested Performance Options typically vest ratably over a four-year period, after the conclusion of each fiscal year and upon our board of managers’ determination that the Company has achieved certain pre-determined annual earnings before interest, taxes, depreciation and amortization, or EBITDA, targets for such fiscal year. The Company’s outstanding and unvested Performance Options may, on a case-by-case basis, also grant certain additional vesting rights, whereby any Performance Options that do not vest due to missed annual EBITDA targets may nevertheless partially or fully vest as a result of certain alternative events, including, as examples, the Company achieving a pre-determined cumulative EBITDA target for a set of fiscal years, or the Company achieving a pre-determined Holdco Membership Unit valuation target on a specified date, or the Company completing a change in control or an initial public offering.</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Unit Option activity is as follows: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Service-Based Unit Options</w:t>
      </w:r>
      <w:r>
        <w:rPr>
          <w:rFonts w:ascii="Times New Roman" w:cs="Times New Roman" w:eastAsia="Times New Roman" w:hAnsi="Times New Roman"/>
          <w:sz w:val="15"/>
          <w:szCs w:val="15"/>
          <w:b w:val="1"/>
          <w:bCs w:val="1"/>
          <w:i w:val="1"/>
          <w:iCs w:val="1"/>
          <w:color w:val="auto"/>
        </w:rPr>
        <w:t>(1)</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7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38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Life (in</w:t>
            </w:r>
          </w:p>
        </w:tc>
        <w:tc>
          <w:tcPr>
            <w:tcW w:w="22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28,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12,049,440</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4,126,204</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5.92</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(533,211)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5.83</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(1,301,531)</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6.00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3, 2018</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14,340,902</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4.02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18,415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9,654,571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(5,898,381)</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5.99</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(2,486,813)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5.52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2, 2019</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15,610,279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3.82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33,157</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4,365,143</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(601,974)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4.60</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(1,133,977)</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5.23</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Outstanding as of February 1, 2020 </w:t>
            </w:r>
            <w:r>
              <w:rPr>
                <w:rFonts w:ascii="Times New Roman" w:cs="Times New Roman" w:eastAsia="Times New Roman" w:hAnsi="Times New Roman"/>
                <w:sz w:val="15"/>
                <w:szCs w:val="15"/>
                <w:b w:val="1"/>
                <w:bCs w:val="1"/>
                <w:color w:val="auto"/>
              </w:rPr>
              <w:t>(2)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18,239,471</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4.05</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28,855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as of February 1, 2020</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11,225,459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3.29</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26,584</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380" w:hanging="224"/>
        <w:spacing w:after="0" w:line="261" w:lineRule="auto"/>
        <w:tabs>
          <w:tab w:leader="none" w:pos="340" w:val="left"/>
        </w:tabs>
        <w:numPr>
          <w:ilvl w:val="0"/>
          <w:numId w:val="22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fair value of a membership unit as of each period end was $6.07, $4.40, $5.91, $5.59, for the fiscal years ended 2016, 2017, 2018, and 2019, respectively.</w:t>
      </w:r>
    </w:p>
    <w:p>
      <w:pPr>
        <w:ind w:left="340" w:right="160" w:hanging="224"/>
        <w:spacing w:after="0" w:line="260" w:lineRule="auto"/>
        <w:tabs>
          <w:tab w:leader="none" w:pos="340" w:val="left"/>
        </w:tabs>
        <w:numPr>
          <w:ilvl w:val="0"/>
          <w:numId w:val="22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Company has elected to recognize forfeitures as they occur. Therefore, the number of awards vested and expected to vest is equal to the awards outstanding.</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40"/>
          </w:cols>
          <w:pgMar w:left="320" w:top="455" w:right="439" w:bottom="1440" w:gutter="0" w:footer="0" w:header="0"/>
        </w:sectPr>
      </w:pPr>
    </w:p>
    <w:bookmarkStart w:id="277" w:name="page278"/>
    <w:bookmarkEnd w:id="2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Unit Options</w:t>
      </w:r>
      <w:r>
        <w:rPr>
          <w:rFonts w:ascii="Times New Roman" w:cs="Times New Roman" w:eastAsia="Times New Roman" w:hAnsi="Times New Roman"/>
          <w:sz w:val="15"/>
          <w:szCs w:val="15"/>
          <w:b w:val="1"/>
          <w:bCs w:val="1"/>
          <w:i w:val="1"/>
          <w:iCs w:val="1"/>
          <w:color w:val="auto"/>
        </w:rPr>
        <w:t>(1)</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7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38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Life (in</w:t>
            </w:r>
          </w:p>
        </w:tc>
        <w:tc>
          <w:tcPr>
            <w:tcW w:w="22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28,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9,959,420</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1,232,128</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5.95</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(436,759)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5.71</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(852,432)</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6.48</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3, 2018</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9,902,357</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3.09</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18,658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3,272,337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(2,258,138)</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5.86</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(1,231,868)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5.59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2, 2019</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9,684,688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2.86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29,960</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1,335,436</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(228,718)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3.90</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(563,830)</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Outstanding as of February 1, 2020 </w:t>
            </w:r>
            <w:r>
              <w:rPr>
                <w:rFonts w:ascii="Times New Roman" w:cs="Times New Roman" w:eastAsia="Times New Roman" w:hAnsi="Times New Roman"/>
                <w:sz w:val="15"/>
                <w:szCs w:val="15"/>
                <w:b w:val="1"/>
                <w:bCs w:val="1"/>
                <w:color w:val="auto"/>
              </w:rPr>
              <w:t>(2)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10,227,576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26,838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as of February 1, 2020</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7,760,964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26,061</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40" w:right="380" w:hanging="224"/>
        <w:spacing w:after="0" w:line="261" w:lineRule="auto"/>
        <w:tabs>
          <w:tab w:leader="none" w:pos="340" w:val="left"/>
        </w:tabs>
        <w:numPr>
          <w:ilvl w:val="0"/>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fair value of a membership unit as of each period end was $6.07, $4.40, $5.91, $5.59, for the fiscal years ended 2016, 2017, 2018, and 2019, respectively.</w:t>
      </w:r>
    </w:p>
    <w:p>
      <w:pPr>
        <w:ind w:left="340" w:right="160" w:hanging="224"/>
        <w:spacing w:after="0" w:line="260" w:lineRule="auto"/>
        <w:tabs>
          <w:tab w:leader="none" w:pos="340" w:val="left"/>
        </w:tabs>
        <w:numPr>
          <w:ilvl w:val="0"/>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Company has elected to recognize forfeitures as they occur. Therefore, the number of awards vested and expected to vest is equal to the awards outstanding.</w:t>
      </w: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Unit Activity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Restricted Unit activity is as follows: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Units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Value Per Unit</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Non-vested as of January 28, 2017</w:t>
            </w:r>
          </w:p>
        </w:tc>
        <w:tc>
          <w:tcPr>
            <w:tcW w:w="25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1,374,348</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37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29,022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37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(8,238)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Non-vested as of February 3, 2018</w:t>
            </w:r>
          </w:p>
        </w:tc>
        <w:tc>
          <w:tcPr>
            <w:tcW w:w="25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1,395,132</w:t>
            </w:r>
          </w:p>
        </w:tc>
        <w:tc>
          <w:tcPr>
            <w:tcW w:w="4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37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2,769,316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37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(34,704)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37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(782,295)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Non-vested as of February 2, 2019</w:t>
            </w:r>
          </w:p>
        </w:tc>
        <w:tc>
          <w:tcPr>
            <w:tcW w:w="25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3,347,449</w:t>
            </w:r>
          </w:p>
        </w:tc>
        <w:tc>
          <w:tcPr>
            <w:tcW w:w="4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37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180,610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37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(57,363)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37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(141,510)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5.30</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Non-vested as of February 1, 2020</w:t>
            </w:r>
          </w:p>
        </w:tc>
        <w:tc>
          <w:tcPr>
            <w:tcW w:w="25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3,329,186</w:t>
            </w:r>
          </w:p>
        </w:tc>
        <w:tc>
          <w:tcPr>
            <w:tcW w:w="4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20" w:type="dxa"/>
            <w:vAlign w:val="bottom"/>
          </w:tcPr>
          <w:p>
            <w:pPr>
              <w:spacing w:after="0"/>
              <w:rPr>
                <w:sz w:val="24"/>
                <w:szCs w:val="24"/>
                <w:color w:val="auto"/>
              </w:rPr>
            </w:pPr>
          </w:p>
        </w:tc>
        <w:tc>
          <w:tcPr>
            <w:tcW w:w="3720" w:type="dxa"/>
            <w:vAlign w:val="bottom"/>
            <w:gridSpan w:val="3"/>
          </w:tcPr>
          <w:p>
            <w:pPr>
              <w:jc w:val="right"/>
              <w:ind w:right="2680"/>
              <w:spacing w:after="0"/>
              <w:rPr>
                <w:sz w:val="20"/>
                <w:szCs w:val="20"/>
                <w:color w:val="auto"/>
              </w:rPr>
            </w:pPr>
            <w:r>
              <w:rPr>
                <w:rFonts w:ascii="Times New Roman" w:cs="Times New Roman" w:eastAsia="Times New Roman" w:hAnsi="Times New Roman"/>
                <w:sz w:val="18"/>
                <w:szCs w:val="18"/>
                <w:color w:val="auto"/>
              </w:rPr>
              <w:t>F-47</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8" w:name="page279"/>
    <w:bookmarkEnd w:id="2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February 1, 2020, there are 38,024 Holdco Membership Units that are subject to outstanding and unvested Service Restricted Units issued during 2019. The Service Restricted Units contain a weighted average grant date fair value of $5.26 per unit. The Company’s outstanding and unvested Service Restricted Units typically vest 100% on the six-month or one-year anniversary of their grant date. In the event of certain Company change of control transactions, the Company’s then-outstanding and unvested Service Restricted Units will become fully vested and exercisable.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of February 1, 2020, there are 3,291,162 Holdco Membership Units that are subject to outstanding and unvested Liquidity Event Restricted Units with a weighted average grant date fair value of $5.51 per unit. The Company’s outstanding and unvested Liquidity Event Restricted Units are currently not being expensed and will not be expensed until the performance objective meets the definition of “probable” in accordance with ASC 718. The Company’s outstanding and unvested Liquidity Event Restricted Units typically vest either (i) over a four-year period at rates of 30%, 30%, 20% and 20% per anniversary of the Liquidity Event Restricted Unit holder’s employment start date, so long as the Company completes an initial public offering prior to the fifth anniversary of their grant date, or (ii) immediately at a rate of 100%, upon the completion of certain Company change of control transactions, so long as the Company completes such change of control transaction prior to the fifth anniversary of their grant date. If the performance objective of the Liquidity Event Restricted Units had been met as the result of the Company completing an initial public offering on February 1, 2020, we would have expensed approximately $10.2 million of stock compensation expense associated with the vesting of the Liquidity Event Restricted Units achieved as of such date.</w:t>
      </w:r>
    </w:p>
    <w:p>
      <w:pPr>
        <w:spacing w:after="0" w:line="339" w:lineRule="exact"/>
        <w:rPr>
          <w:sz w:val="20"/>
          <w:szCs w:val="20"/>
          <w:color w:val="auto"/>
        </w:rPr>
      </w:pPr>
    </w:p>
    <w:p>
      <w:pPr>
        <w:ind w:left="540" w:hanging="424"/>
        <w:spacing w:after="0"/>
        <w:tabs>
          <w:tab w:leader="none" w:pos="54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Unit</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Basic earnings per unit is calculated based on net income divided by the weighted average total number of Membership Units outstanding during the period, and dilutive earnings per unit is calculated based on net income divided by diluted weighted average units outstanding. Dilutive weighted average units outstanding is based on the basic weighted average units outstanding plus any potential dilutive effect of units outstanding during the period using the treasury stock method, which assumes the potential proceeds received from the dilutive Unit Options are used to purchase treasury stock. Anti-dilutive stock-based awards do not include awards which have a performance or liquidity event target which has yet to be achieved.</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Basic and dilutive units outstanding are calculated as follows (dollar amounts in thousands except per unit amounts):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120,043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Weighed average units outstanding - basic</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228,303,750</w:t>
            </w:r>
          </w:p>
        </w:tc>
        <w:tc>
          <w:tcPr>
            <w:tcW w:w="6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228,160,508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227,942,148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Restricted Units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35,376</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2,886,601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4,036,699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Dilutive effect of Performance</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4,383,391</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Options</w:t>
            </w:r>
          </w:p>
        </w:tc>
        <w:tc>
          <w:tcPr>
            <w:tcW w:w="6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4,625,349</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4,780,630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Weighed average units outstanding - diluted</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235,609,118</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236,873,973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236,804,721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unit - basic</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unit - diluted</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Anti-dilutive stock-based awards excluded form diluted</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1,833,855</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calculation</w:t>
            </w:r>
          </w:p>
        </w:tc>
        <w:tc>
          <w:tcPr>
            <w:tcW w:w="6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7,485,706</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10,150,627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F-48</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5" w:right="579" w:bottom="1440" w:gutter="0" w:footer="0" w:header="0"/>
        </w:sectPr>
      </w:pPr>
    </w:p>
    <w:bookmarkStart w:id="279" w:name="page280"/>
    <w:bookmarkEnd w:id="2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income tax provision consists of the following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580" w:type="dxa"/>
            <w:vAlign w:val="bottom"/>
            <w:gridSpan w:val="4"/>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98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56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expense: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Federal</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State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2,501</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expense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2,520</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60" w:type="dxa"/>
            <w:vAlign w:val="bottom"/>
            <w:shd w:val="clear" w:color="auto" w:fill="CCEEFF"/>
          </w:tcPr>
          <w:p>
            <w:pPr>
              <w:spacing w:after="0"/>
              <w:rPr>
                <w:sz w:val="18"/>
                <w:szCs w:val="18"/>
                <w:color w:val="auto"/>
              </w:rPr>
            </w:pPr>
          </w:p>
        </w:tc>
      </w:tr>
      <w:tr>
        <w:trPr>
          <w:trHeight w:val="22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Federal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State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(514)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expense (benefit)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shd w:val="clear" w:color="auto" w:fill="CCEEFF"/>
          </w:tcPr>
          <w:p>
            <w:pPr>
              <w:spacing w:after="0"/>
              <w:rPr>
                <w:sz w:val="18"/>
                <w:szCs w:val="18"/>
                <w:color w:val="auto"/>
              </w:rPr>
            </w:pPr>
          </w:p>
        </w:tc>
      </w:tr>
      <w:tr>
        <w:trPr>
          <w:trHeight w:val="22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120" w:firstLine="423"/>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amounts computed by applying the federal statutory rate (dollar amounts in thousands)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600" w:type="dxa"/>
            <w:vAlign w:val="bottom"/>
            <w:gridSpan w:val="4"/>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040" w:type="dxa"/>
            <w:vAlign w:val="bottom"/>
            <w:gridSpan w:val="3"/>
          </w:tcPr>
          <w:p>
            <w:pPr>
              <w:ind w:left="30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122,860</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 at federal statutory rate (21% for 2019, 21% for 2018 and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25,801</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33.8% for 2017)</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tax expense resulting from:</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2,818</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rates due to pass through entities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(25,801)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2,817</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8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Income tax expense is less than the federal statutory rate since the Company is a flow through entity for federal income tax purposes. As such, no federal income tax expense has been recorded in the consolidated statements of income. Our tax rate is almost entirely the result of state income taxes.</w:t>
      </w:r>
    </w:p>
    <w:p>
      <w:pPr>
        <w:spacing w:after="0" w:line="176" w:lineRule="exact"/>
        <w:rPr>
          <w:sz w:val="20"/>
          <w:szCs w:val="20"/>
          <w:color w:val="auto"/>
        </w:rPr>
      </w:pPr>
    </w:p>
    <w:p>
      <w:pPr>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On December 22, 2017, the Tax Cuts and Jobs Act, or the Act, was signed into law. The Act decreased the U.S. corporate federal tax rate from 35% to 21% effective January 1, 2018. The Company did not have any impact on recorded deferred tax balances as the Company is a pass-through entity and only has deferred items related to state taxes.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000"/>
          </w:cols>
          <w:pgMar w:left="320" w:top="455" w:right="579" w:bottom="1440" w:gutter="0" w:footer="0" w:header="0"/>
        </w:sectPr>
      </w:pPr>
    </w:p>
    <w:bookmarkStart w:id="280" w:name="page281"/>
    <w:bookmarkEnd w:id="2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components that give rise to significant portions of the net deferred tax assets and liabilities are presented below (amounts in thousands)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60" w:type="dxa"/>
            <w:vAlign w:val="bottom"/>
          </w:tcPr>
          <w:p>
            <w:pPr>
              <w:spacing w:after="0"/>
              <w:rPr>
                <w:sz w:val="13"/>
                <w:szCs w:val="13"/>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February 2,</w:t>
            </w:r>
          </w:p>
        </w:tc>
      </w:tr>
      <w:tr>
        <w:trPr>
          <w:trHeight w:val="173"/>
        </w:trPr>
        <w:tc>
          <w:tcPr>
            <w:tcW w:w="428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credits</w:t>
            </w:r>
          </w:p>
        </w:tc>
        <w:tc>
          <w:tcPr>
            <w:tcW w:w="202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2,749</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2,741</w:t>
            </w: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944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985</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40" w:type="dxa"/>
            <w:vAlign w:val="bottom"/>
          </w:tcPr>
          <w:p>
            <w:pPr>
              <w:spacing w:after="0"/>
              <w:rPr>
                <w:sz w:val="20"/>
                <w:szCs w:val="20"/>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Intangibles and depreciation</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2,760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2,767</w:t>
            </w: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and other</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713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442</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40" w:type="dxa"/>
            <w:vAlign w:val="bottom"/>
          </w:tcPr>
          <w:p>
            <w:pPr>
              <w:spacing w:after="0"/>
              <w:rPr>
                <w:sz w:val="20"/>
                <w:szCs w:val="20"/>
                <w:color w:val="auto"/>
              </w:rPr>
            </w:pP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02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220</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517</w:t>
            </w:r>
          </w:p>
        </w:tc>
      </w:tr>
      <w:tr>
        <w:trPr>
          <w:trHeight w:val="20"/>
        </w:trPr>
        <w:tc>
          <w:tcPr>
            <w:tcW w:w="4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560" w:right="160" w:firstLine="423"/>
        <w:spacing w:after="0" w:line="266" w:lineRule="auto"/>
        <w:rPr>
          <w:sz w:val="20"/>
          <w:szCs w:val="20"/>
          <w:color w:val="auto"/>
        </w:rPr>
      </w:pPr>
      <w:r>
        <w:rPr>
          <w:rFonts w:ascii="Times New Roman" w:cs="Times New Roman" w:eastAsia="Times New Roman" w:hAnsi="Times New Roman"/>
          <w:sz w:val="18"/>
          <w:szCs w:val="18"/>
          <w:color w:val="auto"/>
        </w:rPr>
        <w:t>Management evaluates the realizability of the deferred tax assets and the need for additional valuation allowances annually. At February 1, 2020, based on current facts and circumstances, management believes that it is more likely than not that the Company will realize benefit for its gross deferred tax assets.</w:t>
      </w:r>
    </w:p>
    <w:p>
      <w:pPr>
        <w:spacing w:after="0" w:line="176"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As of February 1, 2020, we had no unrecognized tax benefits and we do not anticipate that unrecognized tax benefits will significantly increase or decrease over the next 12 months. There are no tax returns that are currently under examination. Federal and state tax years that remain subject to examination are periods ended January 28, 2017 through February 1, 2020.</w:t>
      </w:r>
    </w:p>
    <w:p>
      <w:pPr>
        <w:spacing w:after="0" w:line="320" w:lineRule="exact"/>
        <w:rPr>
          <w:sz w:val="20"/>
          <w:szCs w:val="20"/>
          <w:color w:val="auto"/>
        </w:rPr>
      </w:pPr>
    </w:p>
    <w:p>
      <w:pPr>
        <w:ind w:left="560" w:right="8480" w:hanging="444"/>
        <w:spacing w:after="0" w:line="400" w:lineRule="auto"/>
        <w:tabs>
          <w:tab w:leader="none" w:pos="552" w:val="left"/>
        </w:tabs>
        <w:numPr>
          <w:ilvl w:val="0"/>
          <w:numId w:val="2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b w:val="1"/>
          <w:bCs w:val="1"/>
          <w:i w:val="1"/>
          <w:iCs w:val="1"/>
          <w:color w:val="auto"/>
        </w:rPr>
        <w:t>Monitoring Agreement</w:t>
      </w:r>
    </w:p>
    <w:p>
      <w:pPr>
        <w:ind w:left="560" w:right="20" w:firstLine="423"/>
        <w:spacing w:after="0" w:line="254" w:lineRule="auto"/>
        <w:rPr>
          <w:sz w:val="20"/>
          <w:szCs w:val="20"/>
          <w:color w:val="auto"/>
        </w:rPr>
      </w:pPr>
      <w:r>
        <w:rPr>
          <w:rFonts w:ascii="Times New Roman" w:cs="Times New Roman" w:eastAsia="Times New Roman" w:hAnsi="Times New Roman"/>
          <w:sz w:val="18"/>
          <w:szCs w:val="18"/>
          <w:color w:val="auto"/>
        </w:rPr>
        <w:t>On August 3, 2011, or the Effective Date, we entered into a monitoring agreement, or the Monitoring Agreement, with Kohlberg Kravis Roberts &amp; Co. L.P., or the Adviser, pursuant to which the Adviser provides advisory, consulting and financial services to us. In accordance with the terms of the Monitoring Agreement, we pay an aggregate annual advisory fee of $3.7 million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 We recognized advisory fees related to the Monitoring Agreement, including reimbursement of expenses, of approximately $3.6 million, $3.5 million and $3.4 million in 2019, 2018 and 2017, respectively. These expenses are included in selling, general and administrative expenses in the consolidated statements of income.</w:t>
      </w:r>
    </w:p>
    <w:p>
      <w:pPr>
        <w:spacing w:after="0" w:line="188" w:lineRule="exact"/>
        <w:rPr>
          <w:sz w:val="20"/>
          <w:szCs w:val="20"/>
          <w:color w:val="auto"/>
        </w:rPr>
      </w:pPr>
    </w:p>
    <w:p>
      <w:pPr>
        <w:ind w:left="560" w:right="140" w:firstLine="423"/>
        <w:spacing w:after="0" w:line="256" w:lineRule="auto"/>
        <w:rPr>
          <w:sz w:val="20"/>
          <w:szCs w:val="20"/>
          <w:color w:val="auto"/>
        </w:rPr>
      </w:pPr>
      <w:r>
        <w:rPr>
          <w:rFonts w:ascii="Times New Roman" w:cs="Times New Roman" w:eastAsia="Times New Roman" w:hAnsi="Times New Roman"/>
          <w:sz w:val="18"/>
          <w:szCs w:val="18"/>
          <w:color w:val="auto"/>
        </w:rPr>
        <w:t>The Monitoring Agreement terminates automatically upon the consummation of an initial public offering, unless we elect otherwise. In the event of such a termination, the Adviser is entitled to all unpaid monitoring fees and expenses plus the net present value of the advisory fees that would have been paid from the termination date through the twelfth anniversary of the Effective Date of the Monitoring Agreement. If an initial public offering was consummated and the Monitoring Agreement was terminated on February 1, 2020, we would have owed approximately $14.2 million of termination fees to the Adviser. Pursuant to a separate agreement, the Adviser would be expected to share a portion of any such termination fee with certain investors who are family descendants of our founder, Max Gochman, or Gochman Investors.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20"/>
          </w:cols>
          <w:pgMar w:left="320" w:top="455" w:right="459" w:bottom="1440" w:gutter="0" w:footer="0" w:header="0"/>
        </w:sectPr>
      </w:pPr>
    </w:p>
    <w:bookmarkStart w:id="281" w:name="page282"/>
    <w:bookmarkEnd w:id="2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Other Fee Arrangements</w:t>
      </w:r>
    </w:p>
    <w:p>
      <w:pPr>
        <w:spacing w:after="0" w:line="121"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In 2015, we paid KKR Capital Markets LLC, or KCM, an affiliate of KKR, $2.1 million in fees in connection with the 2015 Term Loan Facility. These fees are recorded as deferred loan costs, net of amortization, within the long-term debt on the balance sheets. The Company also incurred expenses of $0.9 million and $0.3 million in 2018 and 2017, respectively, related to professional fees owed to an affiliate of KKR. These expenses are included in selling, general and administrative expenses in the statements of income.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21" w:lineRule="exact"/>
        <w:rPr>
          <w:sz w:val="20"/>
          <w:szCs w:val="20"/>
          <w:color w:val="auto"/>
        </w:rPr>
      </w:pPr>
    </w:p>
    <w:p>
      <w:pPr>
        <w:ind w:left="560" w:right="40" w:firstLine="423"/>
        <w:spacing w:after="0" w:line="282" w:lineRule="auto"/>
        <w:rPr>
          <w:sz w:val="20"/>
          <w:szCs w:val="20"/>
          <w:color w:val="auto"/>
        </w:rPr>
      </w:pPr>
      <w:r>
        <w:rPr>
          <w:rFonts w:ascii="Times New Roman" w:cs="Times New Roman" w:eastAsia="Times New Roman" w:hAnsi="Times New Roman"/>
          <w:sz w:val="18"/>
          <w:szCs w:val="18"/>
          <w:color w:val="auto"/>
        </w:rPr>
        <w:t>KKR has ownership interest in a broad range of portfolio companies and we may enter into commercial transactions for goods or services in the ordinary course of business with these companies. We do not believe such transactions are material to our business.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 Purchases</w:t>
      </w:r>
    </w:p>
    <w:p>
      <w:pPr>
        <w:spacing w:after="0" w:line="121" w:lineRule="exact"/>
        <w:rPr>
          <w:sz w:val="20"/>
          <w:szCs w:val="20"/>
          <w:color w:val="auto"/>
        </w:rPr>
      </w:pPr>
    </w:p>
    <w:p>
      <w:pPr>
        <w:ind w:left="560" w:right="260" w:firstLine="423"/>
        <w:spacing w:after="0" w:line="261" w:lineRule="auto"/>
        <w:rPr>
          <w:sz w:val="20"/>
          <w:szCs w:val="20"/>
          <w:color w:val="auto"/>
        </w:rPr>
      </w:pPr>
      <w:r>
        <w:rPr>
          <w:rFonts w:ascii="Times New Roman" w:cs="Times New Roman" w:eastAsia="Times New Roman" w:hAnsi="Times New Roman"/>
          <w:sz w:val="18"/>
          <w:szCs w:val="18"/>
          <w:color w:val="auto"/>
        </w:rPr>
        <w:t>For the years ended February 1, 2020, February 2, 2019 and February 3, 2018, executives and directors of the Company made cash purchases of Redeemable Membership Units in Managers for approximately $0.1 million, $1.3 million and $1.2 million, respectively. The cash consideration paid for the Redeemable Membership Units was subsequently contributed to Holdco by Managers in exchange for a number of Holdco Membership Units equal to the number of Redeemable Membership Units purchased.</w:t>
      </w:r>
    </w:p>
    <w:p>
      <w:pPr>
        <w:spacing w:after="0" w:line="180" w:lineRule="exact"/>
        <w:rPr>
          <w:sz w:val="20"/>
          <w:szCs w:val="20"/>
          <w:color w:val="auto"/>
        </w:rPr>
      </w:pPr>
    </w:p>
    <w:p>
      <w:pPr>
        <w:jc w:val="both"/>
        <w:ind w:left="560" w:firstLine="423"/>
        <w:spacing w:after="0" w:line="289" w:lineRule="auto"/>
        <w:rPr>
          <w:sz w:val="20"/>
          <w:szCs w:val="20"/>
          <w:color w:val="auto"/>
        </w:rPr>
      </w:pPr>
      <w:r>
        <w:rPr>
          <w:rFonts w:ascii="Times New Roman" w:cs="Times New Roman" w:eastAsia="Times New Roman" w:hAnsi="Times New Roman"/>
          <w:sz w:val="17"/>
          <w:szCs w:val="17"/>
          <w:color w:val="auto"/>
        </w:rPr>
        <w:t>During the year ended February 1, 2020, Managers repurchased at fair market value approximately $0.5 million of Redeemable Membership Units from a director and an executive of the Company for cash. Holdco concurrently repurchased from Managers for cash, at fair market value, a number of Holdco membership units equal to the number for Redeemable Membership Units repurchased from the director and executive.</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Note Receivable from Member</w:t>
      </w:r>
    </w:p>
    <w:p>
      <w:pPr>
        <w:spacing w:after="0" w:line="121" w:lineRule="exact"/>
        <w:rPr>
          <w:sz w:val="20"/>
          <w:szCs w:val="20"/>
          <w:color w:val="auto"/>
        </w:rPr>
      </w:pPr>
    </w:p>
    <w:p>
      <w:pPr>
        <w:ind w:left="560" w:right="100" w:firstLine="423"/>
        <w:spacing w:after="0" w:line="256" w:lineRule="auto"/>
        <w:rPr>
          <w:sz w:val="20"/>
          <w:szCs w:val="20"/>
          <w:color w:val="auto"/>
        </w:rPr>
      </w:pPr>
      <w:r>
        <w:rPr>
          <w:rFonts w:ascii="Times New Roman" w:cs="Times New Roman" w:eastAsia="Times New Roman" w:hAnsi="Times New Roman"/>
          <w:sz w:val="18"/>
          <w:szCs w:val="18"/>
          <w:color w:val="auto"/>
        </w:rPr>
        <w:t>Under Holdco’s LLC agreement, certain members may require the Company to provide a tax loan on their behalf under certain circumstances. On April 10, 2019, the Company loaned $4.0 million with a note receivable issued to a member. The note receivable bears semi-annual compounding interest at 2.5% per annum with outstanding principal and interest due on April 10, 2022. On April 5, 2018, the Company loaned $4.1 million with a note receivable issued to a member. The note receivable bears semi-annual compounding interest at 2.1% per annum, with outstanding principal and interest due on April 5, 2021. These notes receivable have been recorded in other non-current assets in the balance sheets.</w:t>
      </w:r>
    </w:p>
    <w:p>
      <w:pPr>
        <w:spacing w:after="0" w:line="332" w:lineRule="exact"/>
        <w:rPr>
          <w:sz w:val="20"/>
          <w:szCs w:val="20"/>
          <w:color w:val="auto"/>
        </w:rPr>
      </w:pPr>
    </w:p>
    <w:p>
      <w:pPr>
        <w:ind w:left="540" w:hanging="424"/>
        <w:spacing w:after="0"/>
        <w:tabs>
          <w:tab w:leader="none" w:pos="54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560" w:right="100" w:firstLine="423"/>
        <w:spacing w:after="0" w:line="258" w:lineRule="auto"/>
        <w:rPr>
          <w:sz w:val="20"/>
          <w:szCs w:val="20"/>
          <w:color w:val="auto"/>
        </w:rPr>
      </w:pPr>
      <w:r>
        <w:rPr>
          <w:rFonts w:ascii="Times New Roman" w:cs="Times New Roman" w:eastAsia="Times New Roman" w:hAnsi="Times New Roman"/>
          <w:sz w:val="18"/>
          <w:szCs w:val="18"/>
          <w:color w:val="auto"/>
        </w:rPr>
        <w:t>We lease all of our retail stores, distribution centers and corporate offices. Our leases primarily relate to building leases, which generally include options to renew at our sole discretion for five years or more. We regularly extend options for our building leases, which constitutes a lease modification and thus requires a re-measurement of the lease liability at current discount rates. The life of leasehold improvement assets are limited by the expected lease term. Additionally, we have certain agreements for equipment rentals, which are typically twelve months or less in duration.</w:t>
      </w:r>
    </w:p>
    <w:p>
      <w:pPr>
        <w:spacing w:after="0" w:line="183" w:lineRule="exact"/>
        <w:rPr>
          <w:sz w:val="20"/>
          <w:szCs w:val="20"/>
          <w:color w:val="auto"/>
        </w:rPr>
      </w:pPr>
    </w:p>
    <w:p>
      <w:pPr>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and disclose key information about leasing arrangements. In conjunction with the adoption of the New Lease Standard, we have elected to utilize the package of practical expedients, which allows us to carry forward our historical lease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55" w:right="459" w:bottom="1440" w:gutter="0" w:footer="0" w:header="0"/>
        </w:sectPr>
      </w:pPr>
    </w:p>
    <w:bookmarkStart w:id="282" w:name="page283"/>
    <w:bookmarkEnd w:id="2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classifications and eliminates the need to assess whether our pre-existing contracts are, or contain, leases. We also elected to utilize the practical expedient to account for each lease and non-lease components for our building leases as a single lease component which allows certain costs such as common area maintenance associated with these leases to be included as rent expense. Finally, we elected to exclude leases with contract terms of twelve months or less from the New Lease Standard accounting treatment, which results in straight-line recognition of the cost over the lease term with no associated balance sheet lease liability or right-of-use asset. As of February 1, 2020, all of our leases are classified as operating leases.</w:t>
      </w:r>
    </w:p>
    <w:p>
      <w:pPr>
        <w:spacing w:after="0" w:line="187" w:lineRule="exact"/>
        <w:rPr>
          <w:sz w:val="20"/>
          <w:szCs w:val="20"/>
          <w:color w:val="auto"/>
        </w:rPr>
      </w:pPr>
    </w:p>
    <w:p>
      <w:pPr>
        <w:ind w:left="560" w:right="70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balance sheet impact of the implementation of the New Lease Standard upon adoption (amounts in thousands):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720" w:type="dxa"/>
            <w:vAlign w:val="bottom"/>
            <w:gridSpan w:val="3"/>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Prepaid expenses and other current assets </w:t>
            </w:r>
            <w:r>
              <w:rPr>
                <w:rFonts w:ascii="Times New Roman" w:cs="Times New Roman" w:eastAsia="Times New Roman" w:hAnsi="Times New Roman"/>
                <w:sz w:val="15"/>
                <w:szCs w:val="15"/>
                <w:color w:val="auto"/>
              </w:rPr>
              <w:t>(1)</w:t>
            </w:r>
          </w:p>
        </w:tc>
        <w:tc>
          <w:tcPr>
            <w:tcW w:w="11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(15,778)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1,173,741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1,173,741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Trade name and other intangible assets, net </w:t>
            </w:r>
            <w:r>
              <w:rPr>
                <w:rFonts w:ascii="Times New Roman" w:cs="Times New Roman" w:eastAsia="Times New Roman" w:hAnsi="Times New Roman"/>
                <w:sz w:val="15"/>
                <w:szCs w:val="15"/>
                <w:color w:val="auto"/>
              </w:rPr>
              <w:t>(1)</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592,067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(15,067)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Other noncurrent assets </w:t>
            </w:r>
            <w:r>
              <w:rPr>
                <w:rFonts w:ascii="Times New Roman" w:cs="Times New Roman" w:eastAsia="Times New Roman" w:hAnsi="Times New Roman"/>
                <w:sz w:val="15"/>
                <w:szCs w:val="15"/>
                <w:color w:val="auto"/>
              </w:rPr>
              <w:t>(1)(2)</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(2,826)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Equity:</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1,154,697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1,154,697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Other long-term liabilities </w:t>
            </w:r>
            <w:r>
              <w:rPr>
                <w:rFonts w:ascii="Times New Roman" w:cs="Times New Roman" w:eastAsia="Times New Roman" w:hAnsi="Times New Roman"/>
                <w:sz w:val="15"/>
                <w:szCs w:val="15"/>
                <w:color w:val="auto"/>
              </w:rPr>
              <w:t>(1) (2)</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122,795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(104,551)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Retained earnings </w:t>
            </w:r>
            <w:r>
              <w:rPr>
                <w:rFonts w:ascii="Times New Roman" w:cs="Times New Roman" w:eastAsia="Times New Roman" w:hAnsi="Times New Roman"/>
                <w:sz w:val="15"/>
                <w:szCs w:val="15"/>
                <w:color w:val="auto"/>
              </w:rPr>
              <w:t>(2)</w:t>
            </w:r>
          </w:p>
        </w:tc>
        <w:tc>
          <w:tcPr>
            <w:tcW w:w="11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553,282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34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320" w:hanging="224"/>
        <w:spacing w:after="0" w:line="276" w:lineRule="auto"/>
        <w:tabs>
          <w:tab w:leader="none" w:pos="340"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difference between the additional lease assets and lease liabilities relates to certain prepaid or deferred rents, lease incentives and purchase accounting related fair market value lease adjustments which were adjusted out of the accounts above and were netted into the right-of-use asset.</w:t>
      </w:r>
    </w:p>
    <w:p>
      <w:pPr>
        <w:ind w:left="340" w:right="400" w:hanging="224"/>
        <w:spacing w:after="0" w:line="260" w:lineRule="auto"/>
        <w:tabs>
          <w:tab w:leader="none" w:pos="340" w:val="left"/>
        </w:tabs>
        <w:numPr>
          <w:ilvl w:val="0"/>
          <w:numId w:val="23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of February 2, 2019 we had a deferred loss in other noncurrent assets and deferred gain in other long-term liabilities related to previous sale-leaseback transactions, which upon transition resulted in a cumulative-effect adjustment to retained earnings.</w:t>
      </w:r>
    </w:p>
    <w:p>
      <w:pPr>
        <w:spacing w:after="0" w:line="181" w:lineRule="exact"/>
        <w:rPr>
          <w:sz w:val="20"/>
          <w:szCs w:val="20"/>
          <w:color w:val="auto"/>
        </w:rPr>
      </w:pPr>
    </w:p>
    <w:p>
      <w:pPr>
        <w:ind w:left="560" w:right="540" w:firstLine="423"/>
        <w:spacing w:after="0" w:line="312" w:lineRule="auto"/>
        <w:rPr>
          <w:sz w:val="20"/>
          <w:szCs w:val="20"/>
          <w:color w:val="auto"/>
        </w:rPr>
      </w:pPr>
      <w:r>
        <w:rPr>
          <w:rFonts w:ascii="Times New Roman" w:cs="Times New Roman" w:eastAsia="Times New Roman" w:hAnsi="Times New Roman"/>
          <w:sz w:val="17"/>
          <w:szCs w:val="17"/>
          <w:color w:val="auto"/>
        </w:rPr>
        <w:t>Adoption of the New Lease Standard resulted in $1.2 billion in right-of-use assets and a combined $1.2 billion between current lease liabilities and long-term lease liabilities ($0.1 billion and $1.2 billion, respectively) included on the balance sheet as of February 3, 2019.</w:t>
      </w:r>
    </w:p>
    <w:p>
      <w:pPr>
        <w:spacing w:after="0" w:line="140" w:lineRule="exact"/>
        <w:rPr>
          <w:sz w:val="20"/>
          <w:szCs w:val="20"/>
          <w:color w:val="auto"/>
        </w:rPr>
      </w:pPr>
    </w:p>
    <w:p>
      <w:pPr>
        <w:ind w:left="560" w:right="200" w:firstLine="423"/>
        <w:spacing w:after="0" w:line="282" w:lineRule="auto"/>
        <w:rPr>
          <w:sz w:val="20"/>
          <w:szCs w:val="20"/>
          <w:color w:val="auto"/>
        </w:rPr>
      </w:pPr>
      <w:r>
        <w:rPr>
          <w:rFonts w:ascii="Times New Roman" w:cs="Times New Roman" w:eastAsia="Times New Roman" w:hAnsi="Times New Roman"/>
          <w:sz w:val="18"/>
          <w:szCs w:val="18"/>
          <w:color w:val="auto"/>
        </w:rPr>
        <w:t>In addition, in certain situations, we may sublease real estate to third parties. Our sublease portfolio consists mainly of operating leases of former store locations for which we are still under lease and existing store leases in which we have excess or unused space.</w:t>
      </w:r>
    </w:p>
    <w:p>
      <w:pPr>
        <w:spacing w:after="0" w:line="162"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The components of lease expense and sublease income included in selling, general and administrative, or SG&amp;A, expenses on our statement of income is as follows (amounts in thousands):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73"/>
        </w:trPr>
        <w:tc>
          <w:tcPr>
            <w:tcW w:w="27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r>
      <w:tr>
        <w:trPr>
          <w:trHeight w:val="223"/>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36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195,301</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7,736</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(1,591)</w:t>
            </w:r>
          </w:p>
        </w:tc>
      </w:tr>
      <w:tr>
        <w:trPr>
          <w:trHeight w:val="27"/>
        </w:trPr>
        <w:tc>
          <w:tcPr>
            <w:tcW w:w="2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lease expense</w:t>
            </w:r>
          </w:p>
        </w:tc>
        <w:tc>
          <w:tcPr>
            <w:tcW w:w="3860" w:type="dxa"/>
            <w:vAlign w:val="bottom"/>
            <w:gridSpan w:val="2"/>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201,446</w:t>
            </w:r>
          </w:p>
        </w:tc>
      </w:tr>
      <w:tr>
        <w:trPr>
          <w:trHeight w:val="372"/>
        </w:trPr>
        <w:tc>
          <w:tcPr>
            <w:tcW w:w="2700" w:type="dxa"/>
            <w:vAlign w:val="bottom"/>
          </w:tcPr>
          <w:p>
            <w:pPr>
              <w:spacing w:after="0"/>
              <w:rPr>
                <w:sz w:val="24"/>
                <w:szCs w:val="24"/>
                <w:color w:val="auto"/>
              </w:rPr>
            </w:pPr>
          </w:p>
        </w:tc>
        <w:tc>
          <w:tcPr>
            <w:tcW w:w="36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F-52</w:t>
            </w: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83" w:name="page284"/>
    <w:bookmarkEnd w:id="2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Information about our operating leases is as follows (dollar amounts in thousands):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73"/>
        </w:trPr>
        <w:tc>
          <w:tcPr>
            <w:tcW w:w="62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2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Right-of-use assets obtained in exchange for new operating lease</w:t>
            </w: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57,383</w:t>
            </w:r>
          </w:p>
        </w:tc>
        <w:tc>
          <w:tcPr>
            <w:tcW w:w="0" w:type="dxa"/>
            <w:vAlign w:val="bottom"/>
          </w:tcPr>
          <w:p>
            <w:pPr>
              <w:spacing w:after="0"/>
              <w:rPr>
                <w:sz w:val="1"/>
                <w:szCs w:val="1"/>
                <w:color w:val="auto"/>
              </w:rPr>
            </w:pPr>
          </w:p>
        </w:tc>
      </w:tr>
      <w:tr>
        <w:trPr>
          <w:trHeight w:val="234"/>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192,849</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620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2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right="440" w:firstLine="423"/>
        <w:spacing w:after="0" w:line="266" w:lineRule="auto"/>
        <w:rPr>
          <w:sz w:val="20"/>
          <w:szCs w:val="20"/>
          <w:color w:val="auto"/>
        </w:rPr>
      </w:pPr>
      <w:r>
        <w:rPr>
          <w:rFonts w:ascii="Times New Roman" w:cs="Times New Roman" w:eastAsia="Times New Roman" w:hAnsi="Times New Roman"/>
          <w:sz w:val="18"/>
          <w:szCs w:val="18"/>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remaining maturities of lease liabilities by fiscal year as of February 1, 2020 are as follows (amounts in thousands):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196,088</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195,323</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190,609</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181,499</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171,720</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164,071</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2025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834,644</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Total lease payments </w:t>
            </w:r>
            <w:r>
              <w:rPr>
                <w:rFonts w:ascii="Times New Roman" w:cs="Times New Roman" w:eastAsia="Times New Roman" w:hAnsi="Times New Roman"/>
                <w:sz w:val="15"/>
                <w:szCs w:val="15"/>
                <w:color w:val="auto"/>
              </w:rPr>
              <w:t>(1)</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1,933,954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(715,729)</w:t>
            </w:r>
          </w:p>
        </w:tc>
      </w:tr>
      <w:tr>
        <w:trPr>
          <w:trHeight w:val="223"/>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1,218,225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340" w:hanging="224"/>
        <w:spacing w:after="0"/>
        <w:tabs>
          <w:tab w:leader="none" w:pos="340" w:val="left"/>
        </w:tabs>
        <w:numPr>
          <w:ilvl w:val="0"/>
          <w:numId w:val="2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Minimum lease payments have not been reduced by sublease rentals of $1.6 million due in the future under non-cancelable subleases.</w:t>
      </w:r>
    </w:p>
    <w:p>
      <w:pPr>
        <w:spacing w:after="0" w:line="117"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Future minimum payments determined under the previous accounting standards for operating lease obligations, including committed leases that had not yet commenced, as of February 2, 2019, were as follows (in thousands):</w:t>
      </w:r>
    </w:p>
    <w:p>
      <w:pPr>
        <w:spacing w:after="0" w:line="206" w:lineRule="exact"/>
        <w:rPr>
          <w:sz w:val="20"/>
          <w:szCs w:val="20"/>
          <w:color w:val="auto"/>
        </w:rPr>
      </w:pPr>
    </w:p>
    <w:tbl>
      <w:tblPr>
        <w:tblLayout w:type="fixed"/>
        <w:tblInd w:w="1880" w:type="dxa"/>
        <w:tblCellMar>
          <w:top w:w="0" w:type="dxa"/>
          <w:left w:w="0" w:type="dxa"/>
          <w:bottom w:w="0" w:type="dxa"/>
          <w:right w:w="0" w:type="dxa"/>
        </w:tblCellMar>
      </w:tblPr>
      <w:tr>
        <w:trPr>
          <w:trHeight w:val="23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192,632</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193,878</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192,610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188,048</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177,750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1,172,506</w:t>
            </w: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Total minimum lease payments </w:t>
            </w: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2,117,424</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Lease minimum sublease income</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(7,719)</w:t>
            </w: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minimum lease payments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w w:val="99"/>
              </w:rPr>
              <w:t>2,109,705</w:t>
            </w:r>
          </w:p>
        </w:tc>
      </w:tr>
      <w:tr>
        <w:trPr>
          <w:trHeight w:val="20"/>
        </w:trPr>
        <w:tc>
          <w:tcPr>
            <w:tcW w:w="6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60" w:right="1040" w:hanging="5344"/>
        <w:spacing w:after="0" w:line="454" w:lineRule="auto"/>
        <w:tabs>
          <w:tab w:leader="none" w:pos="351" w:val="left"/>
        </w:tabs>
        <w:numPr>
          <w:ilvl w:val="0"/>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Minimum lease payments have not been reduced by sublease rentals of $7.7 million due in the future under non-cancelable subleases. F-53</w:t>
      </w:r>
    </w:p>
    <w:p>
      <w:pPr>
        <w:sectPr>
          <w:pgSz w:w="11900" w:h="16838" w:orient="portrait"/>
          <w:cols w:equalWidth="0" w:num="1">
            <w:col w:w="11020"/>
          </w:cols>
          <w:pgMar w:left="320" w:top="455" w:right="559" w:bottom="1440" w:gutter="0" w:footer="0" w:header="0"/>
        </w:sectPr>
      </w:pPr>
    </w:p>
    <w:bookmarkStart w:id="284" w:name="page285"/>
    <w:bookmarkEnd w:id="2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right="7200" w:hanging="444"/>
        <w:spacing w:after="0" w:line="400" w:lineRule="auto"/>
        <w:tabs>
          <w:tab w:leader="none" w:pos="552" w:val="left"/>
        </w:tabs>
        <w:numPr>
          <w:ilvl w:val="0"/>
          <w:numId w:val="2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Technology Related Commitments and Other</w:t>
      </w:r>
    </w:p>
    <w:p>
      <w:pPr>
        <w:ind w:left="560" w:right="80" w:firstLine="423"/>
        <w:spacing w:after="0" w:line="312" w:lineRule="auto"/>
        <w:rPr>
          <w:sz w:val="20"/>
          <w:szCs w:val="20"/>
          <w:color w:val="auto"/>
        </w:rPr>
      </w:pPr>
      <w:r>
        <w:rPr>
          <w:rFonts w:ascii="Times New Roman" w:cs="Times New Roman" w:eastAsia="Times New Roman" w:hAnsi="Times New Roman"/>
          <w:sz w:val="17"/>
          <w:szCs w:val="17"/>
          <w:color w:val="auto"/>
        </w:rPr>
        <w:t>As of February 1, 2020, we have obligations under technology related contractual commitments as well as other commitments, such as construction commitments, in the amount of $29.8 million. Of such commitments, approximately $20.6 million is payable in the next 12 months.</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Commitments Related to Monitoring Agreement</w:t>
      </w:r>
    </w:p>
    <w:p>
      <w:pPr>
        <w:spacing w:after="0" w:line="121" w:lineRule="exact"/>
        <w:rPr>
          <w:sz w:val="20"/>
          <w:szCs w:val="20"/>
          <w:color w:val="auto"/>
        </w:rPr>
      </w:pPr>
    </w:p>
    <w:p>
      <w:pPr>
        <w:ind w:left="560" w:right="480" w:firstLine="423"/>
        <w:spacing w:after="0" w:line="282" w:lineRule="auto"/>
        <w:rPr>
          <w:sz w:val="20"/>
          <w:szCs w:val="20"/>
          <w:color w:val="auto"/>
        </w:rPr>
      </w:pPr>
      <w:r>
        <w:rPr>
          <w:rFonts w:ascii="Times New Roman" w:cs="Times New Roman" w:eastAsia="Times New Roman" w:hAnsi="Times New Roman"/>
          <w:sz w:val="18"/>
          <w:szCs w:val="18"/>
          <w:color w:val="auto"/>
        </w:rPr>
        <w:t>As of February 1, 2020, we have obligations under the Monitoring Agreement (see Note 13) in the amount of $14.4 million, of which $4.1 million is payable in the next 12 months.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21" w:lineRule="exact"/>
        <w:rPr>
          <w:sz w:val="20"/>
          <w:szCs w:val="20"/>
          <w:color w:val="auto"/>
        </w:rPr>
      </w:pPr>
    </w:p>
    <w:p>
      <w:pPr>
        <w:ind w:left="560" w:right="60" w:firstLine="423"/>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560" w:right="100" w:firstLine="423"/>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general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Agreements and Intellectual Property Commitments</w:t>
      </w:r>
    </w:p>
    <w:p>
      <w:pPr>
        <w:spacing w:after="0" w:line="121" w:lineRule="exact"/>
        <w:rPr>
          <w:sz w:val="20"/>
          <w:szCs w:val="20"/>
          <w:color w:val="auto"/>
        </w:rPr>
      </w:pPr>
    </w:p>
    <w:p>
      <w:pPr>
        <w:ind w:left="560" w:right="280" w:firstLine="423"/>
        <w:spacing w:after="0" w:line="277" w:lineRule="auto"/>
        <w:rPr>
          <w:sz w:val="20"/>
          <w:szCs w:val="20"/>
          <w:color w:val="auto"/>
        </w:rPr>
      </w:pPr>
      <w:r>
        <w:rPr>
          <w:rFonts w:ascii="Times New Roman" w:cs="Times New Roman" w:eastAsia="Times New Roman" w:hAnsi="Times New Roman"/>
          <w:sz w:val="17"/>
          <w:szCs w:val="17"/>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February 1, 2020, we have $7.7 million in related commitments through 2027, of which $4.2 million is payable in next 12 months.</w:t>
      </w:r>
    </w:p>
    <w:p>
      <w:pPr>
        <w:spacing w:after="0" w:line="312" w:lineRule="exact"/>
        <w:rPr>
          <w:sz w:val="20"/>
          <w:szCs w:val="20"/>
          <w:color w:val="auto"/>
        </w:rPr>
      </w:pPr>
    </w:p>
    <w:p>
      <w:pPr>
        <w:ind w:left="560" w:right="8720" w:hanging="444"/>
        <w:spacing w:after="0" w:line="378" w:lineRule="auto"/>
        <w:tabs>
          <w:tab w:leader="none" w:pos="552"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Employee Benefit Plans </w:t>
      </w:r>
      <w:r>
        <w:rPr>
          <w:rFonts w:ascii="Times New Roman" w:cs="Times New Roman" w:eastAsia="Times New Roman" w:hAnsi="Times New Roman"/>
          <w:sz w:val="18"/>
          <w:szCs w:val="18"/>
          <w:b w:val="1"/>
          <w:bCs w:val="1"/>
          <w:i w:val="1"/>
          <w:iCs w:val="1"/>
          <w:color w:val="auto"/>
        </w:rPr>
        <w:t>401(k) Plan</w:t>
      </w:r>
    </w:p>
    <w:p>
      <w:pPr>
        <w:ind w:left="560" w:firstLine="423"/>
        <w:spacing w:after="0" w:line="256" w:lineRule="auto"/>
        <w:rPr>
          <w:sz w:val="20"/>
          <w:szCs w:val="20"/>
          <w:color w:val="auto"/>
        </w:rPr>
      </w:pPr>
      <w:r>
        <w:rPr>
          <w:rFonts w:ascii="Times New Roman" w:cs="Times New Roman" w:eastAsia="Times New Roman" w:hAnsi="Times New Roman"/>
          <w:sz w:val="18"/>
          <w:szCs w:val="18"/>
          <w:color w:val="auto"/>
        </w:rPr>
        <w:t>We sponsor a safe harbor defined contribution 401(k) profit sharing plan, or the 401(k) Plan, for our eligible employees. The 401(k) plan includes an eligible employee compensation deferral feature, Company matching contributions and a Company profit sharing component. Eligible employees are permitted to contribute up to 75% of their eligible compensation on a pretax basis to the 401(k) Plan, subject to Internal Revenue Service limitations. We match 100% of amounts contributed by a plan participant to the 401(k) Plan each pay period, on a dollar-for-dollar basis, up to 6% of a plan participant’s eligible compensation during such pay period. Annual Company profit sharing contributions are made at the discretion of our</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080"/>
          </w:cols>
          <w:pgMar w:left="320" w:top="455" w:right="499" w:bottom="1440" w:gutter="0" w:footer="0" w:header="0"/>
        </w:sectPr>
      </w:pPr>
    </w:p>
    <w:bookmarkStart w:id="285" w:name="page286"/>
    <w:bookmarkEnd w:id="2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board of managers, subject to certain limitations. The 401(k) Plan may be amended or terminated at our discretion. Employer contributions related to the 401(k) Plan totaled $12.4 million, $11.9 million and $11.6 million in 2019, 2018 and 2017, respectively.</w:t>
      </w:r>
    </w:p>
    <w:p>
      <w:pPr>
        <w:spacing w:after="0" w:line="306" w:lineRule="exact"/>
        <w:rPr>
          <w:sz w:val="20"/>
          <w:szCs w:val="20"/>
          <w:color w:val="auto"/>
        </w:rPr>
      </w:pPr>
    </w:p>
    <w:p>
      <w:pPr>
        <w:ind w:left="540" w:hanging="424"/>
        <w:spacing w:after="0"/>
        <w:tabs>
          <w:tab w:leader="none" w:pos="54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Valuation and Qualifying Accounts</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 costs and</w:t>
            </w:r>
          </w:p>
        </w:tc>
        <w:tc>
          <w:tcPr>
            <w:tcW w:w="24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73"/>
        </w:trPr>
        <w:tc>
          <w:tcPr>
            <w:tcW w:w="5380" w:type="dxa"/>
            <w:vAlign w:val="bottom"/>
            <w:gridSpan w:val="2"/>
            <w:vMerge w:val="continue"/>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4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February 1, 2020:</w:t>
            </w: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3,008</w:t>
            </w:r>
          </w:p>
        </w:tc>
        <w:tc>
          <w:tcPr>
            <w:tcW w:w="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499</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gridSpan w:val="3"/>
          </w:tcPr>
          <w:p>
            <w:pPr>
              <w:jc w:val="right"/>
              <w:ind w:right="184"/>
              <w:spacing w:after="0"/>
              <w:rPr>
                <w:sz w:val="20"/>
                <w:szCs w:val="20"/>
                <w:color w:val="auto"/>
              </w:rPr>
            </w:pPr>
            <w:r>
              <w:rPr>
                <w:rFonts w:ascii="Times New Roman" w:cs="Times New Roman" w:eastAsia="Times New Roman" w:hAnsi="Times New Roman"/>
                <w:sz w:val="20"/>
                <w:szCs w:val="20"/>
                <w:b w:val="1"/>
                <w:bCs w:val="1"/>
                <w:color w:val="auto"/>
              </w:rPr>
              <w:t xml:space="preserve">(232) </w:t>
            </w:r>
            <w:r>
              <w:rPr>
                <w:rFonts w:ascii="Times New Roman" w:cs="Times New Roman" w:eastAsia="Times New Roman" w:hAnsi="Times New Roman"/>
                <w:sz w:val="16"/>
                <w:szCs w:val="16"/>
                <w:b w:val="1"/>
                <w:bCs w:val="1"/>
                <w:color w:val="auto"/>
              </w:rPr>
              <w:t>(1)</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$ 3,275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5,800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9,400</w:t>
            </w:r>
            <w:r>
              <w:rPr>
                <w:rFonts w:ascii="Times New Roman" w:cs="Times New Roman" w:eastAsia="Times New Roman" w:hAnsi="Times New Roman"/>
                <w:sz w:val="15"/>
                <w:szCs w:val="15"/>
                <w:b w:val="1"/>
                <w:bCs w:val="1"/>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(9,700)</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(2)</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19,271</w:t>
            </w:r>
          </w:p>
        </w:tc>
        <w:tc>
          <w:tcPr>
            <w:tcW w:w="1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62,975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(69,355)</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(3)</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Self-insurance reserves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22,807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61,220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(61,598)</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(4)</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22,429</w:t>
            </w:r>
          </w:p>
        </w:tc>
        <w:tc>
          <w:tcPr>
            <w:tcW w:w="0" w:type="dxa"/>
            <w:vAlign w:val="bottom"/>
          </w:tcPr>
          <w:p>
            <w:pPr>
              <w:spacing w:after="0"/>
              <w:rPr>
                <w:sz w:val="1"/>
                <w:szCs w:val="1"/>
                <w:color w:val="auto"/>
              </w:rPr>
            </w:pPr>
          </w:p>
        </w:tc>
      </w:tr>
      <w:tr>
        <w:trPr>
          <w:trHeight w:val="28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February 2, 2019:</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20"/>
                <w:szCs w:val="20"/>
                <w:color w:val="auto"/>
              </w:rPr>
              <w:t>2,616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20"/>
                <w:szCs w:val="20"/>
                <w:color w:val="auto"/>
              </w:rPr>
              <w:t>1,020</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3"/>
            <w:shd w:val="clear" w:color="auto" w:fill="CCEEFF"/>
          </w:tcPr>
          <w:p>
            <w:pPr>
              <w:jc w:val="right"/>
              <w:ind w:right="184"/>
              <w:spacing w:after="0"/>
              <w:rPr>
                <w:sz w:val="20"/>
                <w:szCs w:val="20"/>
                <w:color w:val="auto"/>
              </w:rPr>
            </w:pPr>
            <w:r>
              <w:rPr>
                <w:rFonts w:ascii="Times New Roman" w:cs="Times New Roman" w:eastAsia="Times New Roman" w:hAnsi="Times New Roman"/>
                <w:sz w:val="20"/>
                <w:szCs w:val="20"/>
                <w:color w:val="auto"/>
              </w:rPr>
              <w:t xml:space="preserve">(628) </w:t>
            </w:r>
            <w:r>
              <w:rPr>
                <w:rFonts w:ascii="Times New Roman" w:cs="Times New Roman" w:eastAsia="Times New Roman" w:hAnsi="Times New Roman"/>
                <w:sz w:val="16"/>
                <w:szCs w:val="16"/>
                <w:color w:val="auto"/>
              </w:rPr>
              <w:t>(1)</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$ 3,008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9,400</w:t>
            </w:r>
            <w:r>
              <w:rPr>
                <w:rFonts w:ascii="Times New Roman" w:cs="Times New Roman" w:eastAsia="Times New Roman" w:hAnsi="Times New Roman"/>
                <w:sz w:val="15"/>
                <w:szCs w:val="15"/>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(10,100)</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(2)</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14,683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69,047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(64,459)</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(3)</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19,271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Self-insurance reserves</w:t>
            </w:r>
          </w:p>
        </w:tc>
        <w:tc>
          <w:tcPr>
            <w:tcW w:w="14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19,942</w:t>
            </w:r>
          </w:p>
        </w:tc>
        <w:tc>
          <w:tcPr>
            <w:tcW w:w="16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62,000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(59,135)</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(4)</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22,807</w:t>
            </w: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5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February 3, 2018: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color w:val="auto"/>
              </w:rPr>
              <w:t>3,410</w:t>
            </w:r>
          </w:p>
        </w:tc>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1,900</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3"/>
          </w:tcPr>
          <w:p>
            <w:pPr>
              <w:jc w:val="right"/>
              <w:ind w:right="184"/>
              <w:spacing w:after="0"/>
              <w:rPr>
                <w:sz w:val="20"/>
                <w:szCs w:val="20"/>
                <w:color w:val="auto"/>
              </w:rPr>
            </w:pPr>
            <w:r>
              <w:rPr>
                <w:rFonts w:ascii="Times New Roman" w:cs="Times New Roman" w:eastAsia="Times New Roman" w:hAnsi="Times New Roman"/>
                <w:sz w:val="20"/>
                <w:szCs w:val="20"/>
                <w:color w:val="auto"/>
              </w:rPr>
              <w:t xml:space="preserve">(2,694) </w:t>
            </w:r>
            <w:r>
              <w:rPr>
                <w:rFonts w:ascii="Times New Roman" w:cs="Times New Roman" w:eastAsia="Times New Roman" w:hAnsi="Times New Roman"/>
                <w:sz w:val="16"/>
                <w:szCs w:val="16"/>
                <w:color w:val="auto"/>
              </w:rPr>
              <w:t>(1)</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$ 2,616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6,100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9,100</w:t>
            </w:r>
            <w:r>
              <w:rPr>
                <w:rFonts w:ascii="Times New Roman" w:cs="Times New Roman" w:eastAsia="Times New Roman" w:hAnsi="Times New Roman"/>
                <w:sz w:val="15"/>
                <w:szCs w:val="15"/>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(8,700)</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(2)</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5,976</w:t>
            </w:r>
          </w:p>
        </w:tc>
        <w:tc>
          <w:tcPr>
            <w:tcW w:w="1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93,248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(84,541)</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(3)</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Self-insurance reserves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18,027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67,419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(65,504)</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(4)</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19,942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hanging="224"/>
        <w:spacing w:after="0"/>
        <w:tabs>
          <w:tab w:leader="none" w:pos="340" w:val="left"/>
        </w:tabs>
        <w:numPr>
          <w:ilvl w:val="0"/>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write-offs to the reserve.</w:t>
      </w:r>
    </w:p>
    <w:p>
      <w:pPr>
        <w:spacing w:after="0" w:line="27" w:lineRule="exact"/>
        <w:rPr>
          <w:rFonts w:ascii="Times New Roman" w:cs="Times New Roman" w:eastAsia="Times New Roman" w:hAnsi="Times New Roman"/>
          <w:sz w:val="15"/>
          <w:szCs w:val="15"/>
          <w:color w:val="auto"/>
        </w:rPr>
      </w:pPr>
    </w:p>
    <w:p>
      <w:pPr>
        <w:ind w:left="340" w:hanging="224"/>
        <w:spacing w:after="0"/>
        <w:tabs>
          <w:tab w:leader="none" w:pos="340" w:val="left"/>
        </w:tabs>
        <w:numPr>
          <w:ilvl w:val="0"/>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monthly increase (decrease) in the required reserve based on the Company’s evaluation of anticipated merchandise returns.</w:t>
      </w:r>
    </w:p>
    <w:p>
      <w:pPr>
        <w:spacing w:after="0" w:line="9" w:lineRule="exact"/>
        <w:rPr>
          <w:rFonts w:ascii="Times New Roman" w:cs="Times New Roman" w:eastAsia="Times New Roman" w:hAnsi="Times New Roman"/>
          <w:sz w:val="15"/>
          <w:szCs w:val="15"/>
          <w:color w:val="auto"/>
        </w:rPr>
      </w:pPr>
    </w:p>
    <w:p>
      <w:pPr>
        <w:ind w:left="340" w:hanging="224"/>
        <w:spacing w:after="0"/>
        <w:tabs>
          <w:tab w:leader="none" w:pos="340" w:val="left"/>
        </w:tabs>
        <w:numPr>
          <w:ilvl w:val="0"/>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actual inventory shrinkage experienced at the time of physical inventories.</w:t>
      </w:r>
    </w:p>
    <w:p>
      <w:pPr>
        <w:spacing w:after="0" w:line="9" w:lineRule="exact"/>
        <w:rPr>
          <w:rFonts w:ascii="Times New Roman" w:cs="Times New Roman" w:eastAsia="Times New Roman" w:hAnsi="Times New Roman"/>
          <w:sz w:val="15"/>
          <w:szCs w:val="15"/>
          <w:color w:val="auto"/>
        </w:rPr>
      </w:pPr>
    </w:p>
    <w:p>
      <w:pPr>
        <w:ind w:left="340" w:hanging="224"/>
        <w:spacing w:after="0"/>
        <w:tabs>
          <w:tab w:leader="none" w:pos="340" w:val="left"/>
        </w:tabs>
        <w:numPr>
          <w:ilvl w:val="0"/>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claim payments for self-insured claims.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00"/>
          </w:cols>
          <w:pgMar w:left="320" w:top="455" w:right="479" w:bottom="1440" w:gutter="0" w:footer="0" w:header="0"/>
        </w:sectPr>
      </w:pPr>
    </w:p>
    <w:bookmarkStart w:id="286" w:name="page287"/>
    <w:bookmarkEnd w:id="2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Quarterly Financial Data (Unaudited)</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00" w:type="dxa"/>
            <w:vAlign w:val="bottom"/>
          </w:tcPr>
          <w:p>
            <w:pPr>
              <w:spacing w:after="0"/>
              <w:rPr>
                <w:sz w:val="13"/>
                <w:szCs w:val="13"/>
                <w:color w:val="auto"/>
              </w:rPr>
            </w:pPr>
          </w:p>
        </w:tc>
        <w:tc>
          <w:tcPr>
            <w:tcW w:w="12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1st</w:t>
            </w:r>
          </w:p>
        </w:tc>
        <w:tc>
          <w:tcPr>
            <w:tcW w:w="100" w:type="dxa"/>
            <w:vAlign w:val="bottom"/>
          </w:tcPr>
          <w:p>
            <w:pPr>
              <w:spacing w:after="0"/>
              <w:rPr>
                <w:sz w:val="13"/>
                <w:szCs w:val="13"/>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2nd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3rd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4th</w:t>
            </w:r>
          </w:p>
        </w:tc>
        <w:tc>
          <w:tcPr>
            <w:tcW w:w="0" w:type="dxa"/>
            <w:vAlign w:val="bottom"/>
          </w:tcPr>
          <w:p>
            <w:pPr>
              <w:spacing w:after="0"/>
              <w:rPr>
                <w:sz w:val="1"/>
                <w:szCs w:val="1"/>
                <w:color w:val="auto"/>
              </w:rPr>
            </w:pPr>
          </w:p>
        </w:tc>
      </w:tr>
      <w:tr>
        <w:trPr>
          <w:trHeight w:val="173"/>
        </w:trPr>
        <w:tc>
          <w:tcPr>
            <w:tcW w:w="4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w w:val="97"/>
              </w:rPr>
              <w:t>1,076,792</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w w:val="97"/>
              </w:rPr>
              <w:t>1,237,410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w w:val="99"/>
              </w:rPr>
              <w:t>1,145,203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1,370,492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312,996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385,204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362,422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370,532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301,602</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312,570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309,246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328,315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11,394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72,634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53,176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27,037</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25,549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24,585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(41,138)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25,406</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48,347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28,552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17,738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w w:val="97"/>
              </w:rPr>
              <w:t>1,119,480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1,262,207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9"/>
              </w:rPr>
              <w:t>1,060,188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1,342,018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320,356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387,130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328,333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295,278</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317,164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300,195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25,078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69,966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26,795</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27,173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20"/>
                <w:szCs w:val="20"/>
                <w:color w:val="auto"/>
              </w:rPr>
              <w:t>(976)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42,103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1,773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(21,458)</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540" w:hanging="424"/>
        <w:spacing w:after="0"/>
        <w:tabs>
          <w:tab w:leader="none" w:pos="540"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560" w:right="200" w:firstLine="423"/>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February 1, 2020 through July 10, 2020. We identified the following matters to report:</w:t>
      </w:r>
    </w:p>
    <w:p>
      <w:pPr>
        <w:spacing w:after="0" w:line="162" w:lineRule="exact"/>
        <w:rPr>
          <w:sz w:val="20"/>
          <w:szCs w:val="20"/>
          <w:color w:val="auto"/>
        </w:rPr>
      </w:pPr>
    </w:p>
    <w:p>
      <w:pPr>
        <w:ind w:left="560" w:right="100" w:firstLine="423"/>
        <w:spacing w:after="0" w:line="254" w:lineRule="auto"/>
        <w:rPr>
          <w:sz w:val="20"/>
          <w:szCs w:val="20"/>
          <w:color w:val="auto"/>
        </w:rPr>
      </w:pPr>
      <w:r>
        <w:rPr>
          <w:rFonts w:ascii="Times New Roman" w:cs="Times New Roman" w:eastAsia="Times New Roman" w:hAnsi="Times New Roman"/>
          <w:sz w:val="18"/>
          <w:szCs w:val="18"/>
          <w:color w:val="auto"/>
        </w:rPr>
        <w:t>The global outbreak of COVID-19, which was recently declared a global pandemic by the World Health Organization, has resulted in federal, state and local authority recommendations or requirements aimed at slowing the spread of the virus such as self-quarantining, avoiding large group gatherings, restricting travel and closing of certain businesses. These measures could potentially have a negative impact on our operations, from lower customer traffic and sales in our brick and mortar stores, to potential supply chain interruptions in our distribution centers and from our third party vendors. The situation is rapidly evolving, and as a result of unpredictability regarding the duration and severity of the pandemic, we cannot reasonably estimate its future impact to our business as of the date of this report. Due to this uncertainty, the Company borrowed $500 million under the Amended ABL Facility in March 2020 as a precautionary measure to ensure financial flexibility, and we subsequently repaid the entire $500 million outstanding balance under our Amended ABL Facility in June 2020.</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On June 30, 2020, New Academy Holding Company, LLC purchased 100 shares of common stock from Academy Sports and Outdoors, Inc.</w:t>
      </w:r>
    </w:p>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purchase price per share equal to the par value per share of such shares, or $1 in the aggregate.</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00"/>
          </w:cols>
          <w:pgMar w:left="320" w:top="455" w:right="479" w:bottom="1440" w:gutter="0" w:footer="0" w:header="0"/>
        </w:sectPr>
      </w:pPr>
    </w:p>
    <w:bookmarkStart w:id="287" w:name="page288"/>
    <w:bookmarkEnd w:id="2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Academy Sports and Outdoors, Inc.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balance sheet of Academy Sports and Outdoors, Inc. (the “Company”) as of June 30, 2020 and the related notes (collectively referred to as the “financial statement”). In our opinion, the financial statement presents fairly, in all material respects, the financial position of the Company as of June 30, 2020, in conformity with accounting principles generally accepted in the United States of America.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assessing the accounting principles used and significant estimates made by management, as well as evaluating the overall presentation of the financial statement. We believe that our audit of the financial statement provides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10, 2020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20"/>
          </w:cols>
          <w:pgMar w:left="320" w:top="455" w:right="459" w:bottom="1440" w:gutter="0" w:footer="0" w:header="0"/>
        </w:sectPr>
      </w:pPr>
    </w:p>
    <w:bookmarkStart w:id="288" w:name="page289"/>
    <w:bookmarkEnd w:id="2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14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140" w:type="dxa"/>
            <w:vAlign w:val="bottom"/>
          </w:tcPr>
          <w:p>
            <w:pPr>
              <w:ind w:left="474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0" w:type="dxa"/>
            <w:vAlign w:val="bottom"/>
          </w:tcPr>
          <w:p>
            <w:pPr>
              <w:spacing w:after="0"/>
              <w:rPr>
                <w:sz w:val="1"/>
                <w:szCs w:val="1"/>
                <w:color w:val="auto"/>
              </w:rPr>
            </w:pPr>
          </w:p>
        </w:tc>
      </w:tr>
      <w:tr>
        <w:trPr>
          <w:trHeight w:val="196"/>
        </w:trPr>
        <w:tc>
          <w:tcPr>
            <w:tcW w:w="10140" w:type="dxa"/>
            <w:vAlign w:val="bottom"/>
            <w:tcBorders>
              <w:top w:val="single" w:sz="8" w:color="CCEEFF"/>
            </w:tcBorders>
            <w:shd w:val="clear" w:color="auto" w:fill="CCEEFF"/>
          </w:tcPr>
          <w:p>
            <w:pPr>
              <w:ind w:left="422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40" w:type="dxa"/>
            <w:vAlign w:val="bottom"/>
            <w:vMerge w:val="restart"/>
          </w:tcPr>
          <w:p>
            <w:pPr>
              <w:ind w:left="340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1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par value $0.01 per share, 1,000 shares authorized, 100 shares issued and outstanding</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40"/>
          </w:cols>
          <w:pgMar w:left="320" w:top="455" w:right="439" w:bottom="1440" w:gutter="0" w:footer="0" w:header="0"/>
        </w:sectPr>
      </w:pPr>
    </w:p>
    <w:bookmarkStart w:id="289" w:name="page290"/>
    <w:bookmarkEnd w:id="2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0" w:lineRule="exact"/>
        <w:rPr>
          <w:sz w:val="20"/>
          <w:szCs w:val="20"/>
          <w:color w:val="auto"/>
        </w:rPr>
      </w:pPr>
    </w:p>
    <w:p>
      <w:pPr>
        <w:ind w:left="540" w:hanging="424"/>
        <w:spacing w:after="0"/>
        <w:tabs>
          <w:tab w:leader="none" w:pos="540"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Academy Sports and Outdoors, Inc., or the Corporation, was organized as a Delaware corporation on June 30, 2020. The Corporation’s fiscal year represents the 52 or 53 weeks ending on the Saturday closest to January 31. Pursuant to a series of reorganization transactions, it is anticipated that the Corporation will be the parent of New Academy Holding Company, LLC, a Delaware limited liability company.</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Following the anticipated reorganization transactions, the Corporation will continue to conduct the business now conducted by New Academy Holding Company, LLC and its subsidiaries.</w:t>
      </w:r>
    </w:p>
    <w:p>
      <w:pPr>
        <w:spacing w:after="0" w:line="306" w:lineRule="exact"/>
        <w:rPr>
          <w:sz w:val="20"/>
          <w:szCs w:val="20"/>
          <w:color w:val="auto"/>
        </w:rPr>
      </w:pPr>
    </w:p>
    <w:p>
      <w:pPr>
        <w:ind w:left="540" w:hanging="424"/>
        <w:spacing w:after="0"/>
        <w:tabs>
          <w:tab w:leader="none" w:pos="540"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Accounting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Balance Sheet has been prepared in accordance with generally accepted accounting principles in the United States, or GAAP. Separate statements of operations, changes in stockholders’ equity and cash flows have not been presented in the financial statements because there have been no activities in this entity or because the single transaction is fully disclosed below.</w:t>
      </w:r>
    </w:p>
    <w:p>
      <w:pPr>
        <w:spacing w:after="0" w:line="320" w:lineRule="exact"/>
        <w:rPr>
          <w:sz w:val="20"/>
          <w:szCs w:val="20"/>
          <w:color w:val="auto"/>
        </w:rPr>
      </w:pPr>
    </w:p>
    <w:p>
      <w:pPr>
        <w:ind w:left="540" w:hanging="424"/>
        <w:spacing w:after="0"/>
        <w:tabs>
          <w:tab w:leader="none" w:pos="540"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Corporation is authorized to issue 1,000 shares of Common Stock, par value $0.01 per share, under the Corporation’s certificate of incorporation in effect as of June 30, 2020. In exchange for $1.00, the Corporation has issued 100 shares of Common Stock, all of which were held by New Academy Holding Company, LLC as of June 30, 2020.</w:t>
      </w:r>
    </w:p>
    <w:p>
      <w:pPr>
        <w:spacing w:after="0" w:line="320" w:lineRule="exact"/>
        <w:rPr>
          <w:sz w:val="20"/>
          <w:szCs w:val="20"/>
          <w:color w:val="auto"/>
        </w:rPr>
      </w:pPr>
    </w:p>
    <w:p>
      <w:pPr>
        <w:ind w:left="540" w:hanging="424"/>
        <w:spacing w:after="0"/>
        <w:tabs>
          <w:tab w:leader="none" w:pos="540"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Events and transactions occurring through July 10, 2020, the date of issuance of the financial statement, have been evaluated by management and, when appropriate, recognized or disclosed in the financial statements or notes to the consolidated financial statements.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080"/>
          </w:cols>
          <w:pgMar w:left="320" w:top="455" w:right="499" w:bottom="1440" w:gutter="0" w:footer="0" w:header="0"/>
        </w:sectPr>
      </w:pPr>
    </w:p>
    <w:bookmarkStart w:id="290" w:name="page291"/>
    <w:bookmarkEnd w:id="29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2898775</wp:posOffset>
            </wp:positionV>
            <wp:extent cx="2760345" cy="677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760345" cy="6775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91" w:name="page292"/>
    <w:bookmarkEnd w:id="2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expenses payable by the Registrant expected to be incurred in connection with the issuance and distribution of common stock being registered hereby (other than the underwriting discounts and commissions). All of such expenses are estimates, except for the Securities and Exchange Commission, or the SEC, registration fee, the Financial Industry Regulatory Authority Inc., or FINRA, filing fee and the Nasdaq listing fee.</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39,650</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46,320</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Nasdaq listing fee</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320,000</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fees and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130,000</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2,000,000</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3,000,000</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Blue Sky fees and expenses (including legal fees)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2,564,030</w:t>
            </w:r>
          </w:p>
        </w:tc>
        <w:tc>
          <w:tcPr>
            <w:tcW w:w="60" w:type="dxa"/>
            <w:vAlign w:val="bottom"/>
          </w:tcPr>
          <w:p>
            <w:pPr>
              <w:spacing w:after="0"/>
              <w:rPr>
                <w:sz w:val="19"/>
                <w:szCs w:val="19"/>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8,125,000</w:t>
            </w: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70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 be completed by amendment.</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will provide for this limitation of liability.</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w:t>
      </w:r>
    </w:p>
    <w:p>
      <w:pPr>
        <w:sectPr>
          <w:pgSz w:w="11900" w:h="16838" w:orient="portrait"/>
          <w:cols w:equalWidth="0" w:num="1">
            <w:col w:w="11120"/>
          </w:cols>
          <w:pgMar w:left="320" w:top="455" w:right="459" w:bottom="1440" w:gutter="0" w:footer="0" w:header="0"/>
        </w:sectPr>
      </w:pPr>
    </w:p>
    <w:bookmarkStart w:id="292" w:name="page293"/>
    <w:bookmarkEnd w:id="2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merits or otherwise in the defense of any action referred to above, the corporation must indemnify him or her against the expenses (including attorneys’ fees) which such officer or director has actually and reasonably incurred.</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76"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bylaws will provide that we must indemnify, and advance expenses to, our directors and officers to the full extent authorized by the DGCL. We also intend to enter into indemnification agreements with our directors, which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 Notwithstanding the foregoing, we shall not be obligated to indemnify a director or officer in respect of a proceeding (or part thereof) instituted by such director or officer, unless such proceeding (or part thereof) has been authorized by our board of directors pursuant to the applicable procedure outlined in the amended and restated bylaws.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for indemnification by the underwriters of us and our officers and directors, and by us of the underwriters, for certain liabilities arising under the Securities Act or otherwise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Securities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Within the past three years, the Registrant has granted or issued the following securities of the Registrant which were not registered under the Securities Act.</w:t>
      </w:r>
    </w:p>
    <w:p>
      <w:pPr>
        <w:spacing w:after="0" w:line="16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On June 30, 2020, the Registrant issued 100 shares of the Registrant’s common stock, par value $0.01 per share, to New Academy Holding Company, LLC for $1.00. The issuance of such shares of common stock was not registered under the Securities Act, because the shares were offered and sold in a transaction by the issuer not involving any public offering exempt from registration under Section 4(a)(2) of the Securities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21" w:lineRule="exact"/>
        <w:rPr>
          <w:sz w:val="20"/>
          <w:szCs w:val="20"/>
          <w:color w:val="auto"/>
        </w:rPr>
      </w:pPr>
    </w:p>
    <w:p>
      <w:pPr>
        <w:ind w:left="560"/>
        <w:spacing w:after="0"/>
        <w:tabs>
          <w:tab w:leader="none" w:pos="9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Exhibits.</w:t>
      </w:r>
    </w:p>
    <w:p>
      <w:pPr>
        <w:sectPr>
          <w:pgSz w:w="11900" w:h="16838" w:orient="portrait"/>
          <w:cols w:equalWidth="0" w:num="1">
            <w:col w:w="11120"/>
          </w:cols>
          <w:pgMar w:left="320" w:top="455" w:right="459" w:bottom="1440" w:gutter="0" w:footer="0" w:header="0"/>
        </w:sectPr>
      </w:pPr>
    </w:p>
    <w:bookmarkStart w:id="293" w:name="page294"/>
    <w:bookmarkEnd w:id="2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pages hereto, which is incorporated by reference as if fully set forth herein.</w:t>
      </w:r>
    </w:p>
    <w:p>
      <w:pPr>
        <w:spacing w:after="0" w:line="225" w:lineRule="exact"/>
        <w:rPr>
          <w:sz w:val="20"/>
          <w:szCs w:val="20"/>
          <w:color w:val="auto"/>
        </w:rPr>
      </w:pPr>
    </w:p>
    <w:p>
      <w:pPr>
        <w:ind w:left="1000" w:hanging="444"/>
        <w:spacing w:after="0"/>
        <w:tabs>
          <w:tab w:leader="none" w:pos="10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120" w:right="20" w:firstLine="436"/>
        <w:spacing w:after="0" w:line="254" w:lineRule="auto"/>
        <w:tabs>
          <w:tab w:leader="none" w:pos="815"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sz w:val="20"/>
          <w:szCs w:val="20"/>
          <w:color w:val="auto"/>
        </w:rPr>
      </w:pPr>
    </w:p>
    <w:p>
      <w:pPr>
        <w:ind w:left="120" w:right="160" w:firstLine="436"/>
        <w:spacing w:after="0" w:line="266" w:lineRule="auto"/>
        <w:tabs>
          <w:tab w:leader="none" w:pos="85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75" w:lineRule="exact"/>
        <w:rPr>
          <w:rFonts w:ascii="Times New Roman" w:cs="Times New Roman" w:eastAsia="Times New Roman" w:hAnsi="Times New Roman"/>
          <w:sz w:val="18"/>
          <w:szCs w:val="18"/>
          <w:color w:val="auto"/>
        </w:rPr>
      </w:pPr>
    </w:p>
    <w:p>
      <w:pPr>
        <w:jc w:val="both"/>
        <w:ind w:left="120" w:firstLine="436"/>
        <w:spacing w:after="0" w:line="266" w:lineRule="auto"/>
        <w:tabs>
          <w:tab w:leader="none" w:pos="84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000"/>
          </w:cols>
          <w:pgMar w:left="320" w:top="455" w:right="579" w:bottom="1440" w:gutter="0" w:footer="0" w:header="0"/>
        </w:sectPr>
      </w:pPr>
    </w:p>
    <w:bookmarkStart w:id="294" w:name="page295"/>
    <w:bookmarkEnd w:id="2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120" w:type="dxa"/>
            <w:vAlign w:val="bottom"/>
            <w:gridSpan w:val="20"/>
          </w:tcPr>
          <w:p>
            <w:pPr>
              <w:ind w:left="1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440" w:type="dxa"/>
            <w:vAlign w:val="bottom"/>
            <w:gridSpan w:val="19"/>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7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5440" w:type="dxa"/>
            <w:vAlign w:val="bottom"/>
            <w:tcBorders>
              <w:bottom w:val="single" w:sz="8" w:color="auto"/>
            </w:tcBorders>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60" w:type="dxa"/>
            <w:vAlign w:val="bottom"/>
          </w:tcPr>
          <w:p>
            <w:pPr>
              <w:spacing w:after="0"/>
              <w:rPr>
                <w:sz w:val="24"/>
                <w:szCs w:val="24"/>
                <w:color w:val="auto"/>
              </w:rPr>
            </w:pPr>
          </w:p>
        </w:tc>
        <w:tc>
          <w:tcPr>
            <w:tcW w:w="9760" w:type="dxa"/>
            <w:vAlign w:val="bottom"/>
            <w:gridSpan w:val="24"/>
          </w:tcPr>
          <w:p>
            <w:pPr>
              <w:spacing w:after="0"/>
              <w:rPr>
                <w:rFonts w:ascii="Times New Roman" w:cs="Times New Roman" w:eastAsia="Times New Roman" w:hAnsi="Times New Roman"/>
                <w:sz w:val="18"/>
                <w:szCs w:val="18"/>
                <w:u w:val="single" w:color="auto"/>
                <w:color w:val="0000EE"/>
              </w:rPr>
            </w:pPr>
            <w:hyperlink w:anchor="page298">
              <w:r>
                <w:rPr>
                  <w:rFonts w:ascii="Times New Roman" w:cs="Times New Roman" w:eastAsia="Times New Roman" w:hAnsi="Times New Roman"/>
                  <w:sz w:val="18"/>
                  <w:szCs w:val="18"/>
                  <w:u w:val="single" w:color="auto"/>
                  <w:color w:val="0000EE"/>
                </w:rPr>
                <w:t>Form of Underwriting Agreement.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tcPr>
          <w:p>
            <w:pPr>
              <w:spacing w:after="0"/>
              <w:rPr>
                <w:sz w:val="24"/>
                <w:szCs w:val="24"/>
                <w:color w:val="auto"/>
              </w:rPr>
            </w:pPr>
          </w:p>
        </w:tc>
        <w:tc>
          <w:tcPr>
            <w:tcW w:w="9760" w:type="dxa"/>
            <w:vAlign w:val="bottom"/>
            <w:gridSpan w:val="24"/>
          </w:tcPr>
          <w:p>
            <w:pPr>
              <w:spacing w:after="0"/>
              <w:rPr>
                <w:rFonts w:ascii="Times New Roman" w:cs="Times New Roman" w:eastAsia="Times New Roman" w:hAnsi="Times New Roman"/>
                <w:sz w:val="18"/>
                <w:szCs w:val="18"/>
                <w:u w:val="single" w:color="auto"/>
                <w:color w:val="0000EE"/>
              </w:rPr>
            </w:pPr>
            <w:hyperlink r:id="rId363">
              <w:r>
                <w:rPr>
                  <w:rFonts w:ascii="Times New Roman" w:cs="Times New Roman" w:eastAsia="Times New Roman" w:hAnsi="Times New Roman"/>
                  <w:sz w:val="18"/>
                  <w:szCs w:val="18"/>
                  <w:u w:val="single" w:color="auto"/>
                  <w:color w:val="0000EE"/>
                </w:rPr>
                <w:t>Form of Amended and Restated Certificate of Incorporation of the Registrant.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60" w:type="dxa"/>
            <w:vAlign w:val="bottom"/>
          </w:tcPr>
          <w:p>
            <w:pPr>
              <w:spacing w:after="0"/>
              <w:rPr>
                <w:sz w:val="24"/>
                <w:szCs w:val="24"/>
                <w:color w:val="auto"/>
              </w:rPr>
            </w:pPr>
          </w:p>
        </w:tc>
        <w:tc>
          <w:tcPr>
            <w:tcW w:w="9760" w:type="dxa"/>
            <w:vAlign w:val="bottom"/>
            <w:gridSpan w:val="24"/>
          </w:tcPr>
          <w:p>
            <w:pPr>
              <w:spacing w:after="0"/>
              <w:rPr>
                <w:rFonts w:ascii="Times New Roman" w:cs="Times New Roman" w:eastAsia="Times New Roman" w:hAnsi="Times New Roman"/>
                <w:sz w:val="18"/>
                <w:szCs w:val="18"/>
                <w:u w:val="single" w:color="auto"/>
                <w:color w:val="0000EE"/>
              </w:rPr>
            </w:pPr>
            <w:hyperlink r:id="rId364">
              <w:r>
                <w:rPr>
                  <w:rFonts w:ascii="Times New Roman" w:cs="Times New Roman" w:eastAsia="Times New Roman" w:hAnsi="Times New Roman"/>
                  <w:sz w:val="18"/>
                  <w:szCs w:val="18"/>
                  <w:u w:val="single" w:color="auto"/>
                  <w:color w:val="0000EE"/>
                </w:rPr>
                <w:t>Form of Amended and Restated Bylaws of the Registrant.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60" w:type="dxa"/>
            <w:vAlign w:val="bottom"/>
          </w:tcPr>
          <w:p>
            <w:pPr>
              <w:spacing w:after="0"/>
              <w:rPr>
                <w:sz w:val="24"/>
                <w:szCs w:val="24"/>
                <w:color w:val="auto"/>
              </w:rPr>
            </w:pPr>
          </w:p>
        </w:tc>
        <w:tc>
          <w:tcPr>
            <w:tcW w:w="9760" w:type="dxa"/>
            <w:vAlign w:val="bottom"/>
            <w:gridSpan w:val="24"/>
          </w:tcPr>
          <w:p>
            <w:pPr>
              <w:spacing w:after="0"/>
              <w:rPr>
                <w:rFonts w:ascii="Times New Roman" w:cs="Times New Roman" w:eastAsia="Times New Roman" w:hAnsi="Times New Roman"/>
                <w:sz w:val="18"/>
                <w:szCs w:val="18"/>
                <w:color w:val="0000EE"/>
              </w:rPr>
            </w:pPr>
            <w:hyperlink w:anchor="page340">
              <w:r>
                <w:rPr>
                  <w:rFonts w:ascii="Times New Roman" w:cs="Times New Roman" w:eastAsia="Times New Roman" w:hAnsi="Times New Roman"/>
                  <w:sz w:val="18"/>
                  <w:szCs w:val="18"/>
                  <w:u w:val="single" w:color="auto"/>
                  <w:color w:val="0000EE"/>
                </w:rPr>
                <w:t>Form of Amendment to the Registration Rights Agreement</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760" w:type="dxa"/>
            <w:vAlign w:val="bottom"/>
          </w:tcPr>
          <w:p>
            <w:pPr>
              <w:spacing w:after="0"/>
              <w:rPr>
                <w:sz w:val="24"/>
                <w:szCs w:val="24"/>
                <w:color w:val="auto"/>
              </w:rPr>
            </w:pPr>
          </w:p>
        </w:tc>
        <w:tc>
          <w:tcPr>
            <w:tcW w:w="9760" w:type="dxa"/>
            <w:vAlign w:val="bottom"/>
            <w:gridSpan w:val="24"/>
          </w:tcPr>
          <w:p>
            <w:pPr>
              <w:spacing w:after="0"/>
              <w:rPr>
                <w:rFonts w:ascii="Times New Roman" w:cs="Times New Roman" w:eastAsia="Times New Roman" w:hAnsi="Times New Roman"/>
                <w:sz w:val="18"/>
                <w:szCs w:val="18"/>
                <w:u w:val="single" w:color="auto"/>
                <w:color w:val="0000EE"/>
              </w:rPr>
            </w:pPr>
            <w:hyperlink w:anchor="page372">
              <w:r>
                <w:rPr>
                  <w:rFonts w:ascii="Times New Roman" w:cs="Times New Roman" w:eastAsia="Times New Roman" w:hAnsi="Times New Roman"/>
                  <w:sz w:val="18"/>
                  <w:szCs w:val="18"/>
                  <w:u w:val="single" w:color="auto"/>
                  <w:color w:val="0000EE"/>
                </w:rPr>
                <w:t>Opinion of Simpson Thacher &amp; Bartlett LLP.</w:t>
              </w:r>
            </w:hyperlink>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60" w:type="dxa"/>
            <w:vAlign w:val="bottom"/>
          </w:tcPr>
          <w:p>
            <w:pPr>
              <w:spacing w:after="0"/>
              <w:rPr>
                <w:sz w:val="24"/>
                <w:szCs w:val="24"/>
                <w:color w:val="auto"/>
              </w:rPr>
            </w:pPr>
          </w:p>
        </w:tc>
        <w:tc>
          <w:tcPr>
            <w:tcW w:w="93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365">
              <w:r>
                <w:rPr>
                  <w:rFonts w:ascii="Times New Roman" w:cs="Times New Roman" w:eastAsia="Times New Roman" w:hAnsi="Times New Roman"/>
                  <w:sz w:val="18"/>
                  <w:szCs w:val="18"/>
                  <w:color w:val="0000EE"/>
                </w:rPr>
                <w:t>First Amended and Restated Credit Agreement, dated July 2, 2015, among Academy, Ltd., as Borrower, New Academy Holding</w:t>
              </w:r>
            </w:hyperlink>
          </w:p>
        </w:tc>
        <w:tc>
          <w:tcPr>
            <w:tcW w:w="4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365">
              <w:r>
                <w:rPr>
                  <w:rFonts w:ascii="Times New Roman" w:cs="Times New Roman" w:eastAsia="Times New Roman" w:hAnsi="Times New Roman"/>
                  <w:sz w:val="18"/>
                  <w:szCs w:val="18"/>
                  <w:color w:val="0000EE"/>
                  <w:w w:val="99"/>
                </w:rPr>
                <w:t>Company, LLC, as Holdings, Associated Investors L.L.C. and Academy Managing Co., L.L.C, as Texas Intermediate Holdcos, the</w:t>
              </w:r>
            </w:hyperlink>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gridSpan w:val="24"/>
          </w:tcPr>
          <w:p>
            <w:pPr>
              <w:spacing w:after="0" w:line="196" w:lineRule="exact"/>
              <w:rPr>
                <w:rFonts w:ascii="Times New Roman" w:cs="Times New Roman" w:eastAsia="Times New Roman" w:hAnsi="Times New Roman"/>
                <w:sz w:val="18"/>
                <w:szCs w:val="18"/>
                <w:color w:val="0000EE"/>
              </w:rPr>
            </w:pPr>
            <w:hyperlink r:id="rId365">
              <w:r>
                <w:rPr>
                  <w:rFonts w:ascii="Times New Roman" w:cs="Times New Roman" w:eastAsia="Times New Roman" w:hAnsi="Times New Roman"/>
                  <w:sz w:val="18"/>
                  <w:szCs w:val="18"/>
                  <w:color w:val="0000EE"/>
                </w:rPr>
                <w:t>lending institutions from time to time party thereto and Morgan Stanley Senior Funding, Inc., as the Administrative Agent and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3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65">
              <w:r>
                <w:rPr>
                  <w:rFonts w:ascii="Times New Roman" w:cs="Times New Roman" w:eastAsia="Times New Roman" w:hAnsi="Times New Roman"/>
                  <w:sz w:val="18"/>
                  <w:szCs w:val="18"/>
                  <w:color w:val="0000EE"/>
                </w:rPr>
                <w:t>Collateral Agent.</w:t>
              </w:r>
            </w:hyperlink>
          </w:p>
        </w:tc>
        <w:tc>
          <w:tcPr>
            <w:tcW w:w="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60" w:type="dxa"/>
            <w:vAlign w:val="bottom"/>
          </w:tcPr>
          <w:p>
            <w:pPr>
              <w:spacing w:after="0"/>
              <w:rPr>
                <w:sz w:val="24"/>
                <w:szCs w:val="24"/>
                <w:color w:val="auto"/>
              </w:rPr>
            </w:pPr>
          </w:p>
        </w:tc>
        <w:tc>
          <w:tcPr>
            <w:tcW w:w="93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66">
              <w:r>
                <w:rPr>
                  <w:rFonts w:ascii="Times New Roman" w:cs="Times New Roman" w:eastAsia="Times New Roman" w:hAnsi="Times New Roman"/>
                  <w:sz w:val="18"/>
                  <w:szCs w:val="18"/>
                  <w:color w:val="0000EE"/>
                  <w:w w:val="99"/>
                </w:rPr>
                <w:t>Amended and Restated Term Loan Security Agreement, dated as of July 2, 2015, among Academy, Ltd., as Borrower, each of the</w:t>
              </w:r>
            </w:hyperlink>
          </w:p>
        </w:tc>
        <w:tc>
          <w:tcPr>
            <w:tcW w:w="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gridSpan w:val="24"/>
          </w:tcPr>
          <w:p>
            <w:pPr>
              <w:spacing w:after="0" w:line="196" w:lineRule="exact"/>
              <w:rPr>
                <w:rFonts w:ascii="Times New Roman" w:cs="Times New Roman" w:eastAsia="Times New Roman" w:hAnsi="Times New Roman"/>
                <w:sz w:val="18"/>
                <w:szCs w:val="18"/>
                <w:color w:val="0000EE"/>
              </w:rPr>
            </w:pPr>
            <w:hyperlink r:id="rId366">
              <w:r>
                <w:rPr>
                  <w:rFonts w:ascii="Times New Roman" w:cs="Times New Roman" w:eastAsia="Times New Roman" w:hAnsi="Times New Roman"/>
                  <w:sz w:val="18"/>
                  <w:szCs w:val="18"/>
                  <w:color w:val="0000EE"/>
                </w:rPr>
                <w:t>subsidiaries listed on the signature pages thereto, and Morgan Stanley Senior Funding, Inc., as collateral agent for the benefit of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66">
              <w:r>
                <w:rPr>
                  <w:rFonts w:ascii="Times New Roman" w:cs="Times New Roman" w:eastAsia="Times New Roman" w:hAnsi="Times New Roman"/>
                  <w:sz w:val="18"/>
                  <w:szCs w:val="18"/>
                  <w:color w:val="0000EE"/>
                </w:rPr>
                <w:t>secured parties.</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760" w:type="dxa"/>
            <w:vAlign w:val="bottom"/>
          </w:tcPr>
          <w:p>
            <w:pPr>
              <w:spacing w:after="0"/>
              <w:rPr>
                <w:sz w:val="24"/>
                <w:szCs w:val="24"/>
                <w:color w:val="auto"/>
              </w:rPr>
            </w:pPr>
          </w:p>
        </w:tc>
        <w:tc>
          <w:tcPr>
            <w:tcW w:w="9760" w:type="dxa"/>
            <w:vAlign w:val="bottom"/>
            <w:gridSpan w:val="24"/>
          </w:tcPr>
          <w:p>
            <w:pPr>
              <w:spacing w:after="0"/>
              <w:rPr>
                <w:rFonts w:ascii="Times New Roman" w:cs="Times New Roman" w:eastAsia="Times New Roman" w:hAnsi="Times New Roman"/>
                <w:sz w:val="18"/>
                <w:szCs w:val="18"/>
                <w:color w:val="0000EE"/>
              </w:rPr>
            </w:pPr>
            <w:hyperlink r:id="rId367">
              <w:r>
                <w:rPr>
                  <w:rFonts w:ascii="Times New Roman" w:cs="Times New Roman" w:eastAsia="Times New Roman" w:hAnsi="Times New Roman"/>
                  <w:sz w:val="18"/>
                  <w:szCs w:val="18"/>
                  <w:color w:val="0000EE"/>
                </w:rPr>
                <w:t>Amended and Restated Term Loan Pledge Agreement, dated as of July 2, 2015, among New Academy Holding Company, LLC, as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1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67">
              <w:r>
                <w:rPr>
                  <w:rFonts w:ascii="Times New Roman" w:cs="Times New Roman" w:eastAsia="Times New Roman" w:hAnsi="Times New Roman"/>
                  <w:sz w:val="18"/>
                  <w:szCs w:val="18"/>
                  <w:color w:val="0000EE"/>
                  <w:w w:val="99"/>
                </w:rPr>
                <w:t>Holdings, Associated Investors L.L.C. and Academy Managing Co., L.L.C, as Texas Intermediate Holdcos, Academy, Ltd., as</w:t>
              </w:r>
            </w:hyperlink>
          </w:p>
        </w:tc>
        <w:tc>
          <w:tcPr>
            <w:tcW w:w="360" w:type="dxa"/>
            <w:vAlign w:val="bottom"/>
            <w:tcBorders>
              <w:top w:val="single" w:sz="8" w:color="0000EE"/>
            </w:tcBorders>
            <w:gridSpan w:val="9"/>
          </w:tcPr>
          <w:p>
            <w:pPr>
              <w:spacing w:after="0"/>
              <w:rPr>
                <w:sz w:val="17"/>
                <w:szCs w:val="17"/>
                <w:color w:val="auto"/>
              </w:rPr>
            </w:pPr>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367">
              <w:r>
                <w:rPr>
                  <w:rFonts w:ascii="Times New Roman" w:cs="Times New Roman" w:eastAsia="Times New Roman" w:hAnsi="Times New Roman"/>
                  <w:sz w:val="18"/>
                  <w:szCs w:val="18"/>
                  <w:color w:val="0000EE"/>
                  <w:w w:val="99"/>
                </w:rPr>
                <w:t>Borrower, each of the subsidiaries listed on the signature pages thereto and Morgan Stanley Senior Funding, Inc., as collateral agent</w:t>
              </w:r>
            </w:hyperlink>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gridSpan w:val="24"/>
          </w:tcPr>
          <w:p>
            <w:pPr>
              <w:spacing w:after="0" w:line="196" w:lineRule="exact"/>
              <w:rPr>
                <w:rFonts w:ascii="Times New Roman" w:cs="Times New Roman" w:eastAsia="Times New Roman" w:hAnsi="Times New Roman"/>
                <w:sz w:val="18"/>
                <w:szCs w:val="18"/>
                <w:color w:val="0000EE"/>
              </w:rPr>
            </w:pPr>
            <w:hyperlink r:id="rId367">
              <w:r>
                <w:rPr>
                  <w:rFonts w:ascii="Times New Roman" w:cs="Times New Roman" w:eastAsia="Times New Roman" w:hAnsi="Times New Roman"/>
                  <w:sz w:val="18"/>
                  <w:szCs w:val="18"/>
                  <w:color w:val="0000EE"/>
                </w:rPr>
                <w:t>for the benefit of the secured parties.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97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368">
              <w:r>
                <w:rPr>
                  <w:rFonts w:ascii="Times New Roman" w:cs="Times New Roman" w:eastAsia="Times New Roman" w:hAnsi="Times New Roman"/>
                  <w:sz w:val="18"/>
                  <w:szCs w:val="18"/>
                  <w:color w:val="0000EE"/>
                </w:rPr>
                <w:t>ABL Intercreditor Agreement, dated July 2, 2015, among JPMorgan Chase Bank, N.A., as agent for the ABL Secured Parties referred</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1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68">
              <w:r>
                <w:rPr>
                  <w:rFonts w:ascii="Times New Roman" w:cs="Times New Roman" w:eastAsia="Times New Roman" w:hAnsi="Times New Roman"/>
                  <w:sz w:val="18"/>
                  <w:szCs w:val="18"/>
                  <w:color w:val="0000EE"/>
                  <w:w w:val="99"/>
                </w:rPr>
                <w:t>to therein, Morgan Stanley Senior Funding, Inc., as administrative agent and collateral agent for the Term Loan Secured Parties</w:t>
              </w:r>
            </w:hyperlink>
          </w:p>
        </w:tc>
        <w:tc>
          <w:tcPr>
            <w:tcW w:w="5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368">
              <w:r>
                <w:rPr>
                  <w:rFonts w:ascii="Times New Roman" w:cs="Times New Roman" w:eastAsia="Times New Roman" w:hAnsi="Times New Roman"/>
                  <w:sz w:val="18"/>
                  <w:szCs w:val="18"/>
                  <w:color w:val="0000EE"/>
                  <w:w w:val="99"/>
                </w:rPr>
                <w:t>referred to therein, New Academy Holding Company, LLC, as Holdings, Associated Investors L.L.C. and Academy Managing Co.,</w:t>
              </w:r>
            </w:hyperlink>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60" w:type="dxa"/>
            <w:vAlign w:val="bottom"/>
            <w:gridSpan w:val="24"/>
          </w:tcPr>
          <w:p>
            <w:pPr>
              <w:spacing w:after="0"/>
              <w:rPr>
                <w:rFonts w:ascii="Times New Roman" w:cs="Times New Roman" w:eastAsia="Times New Roman" w:hAnsi="Times New Roman"/>
                <w:sz w:val="18"/>
                <w:szCs w:val="18"/>
                <w:u w:val="single" w:color="auto"/>
                <w:color w:val="0000EE"/>
              </w:rPr>
            </w:pPr>
            <w:hyperlink r:id="rId368">
              <w:r>
                <w:rPr>
                  <w:rFonts w:ascii="Times New Roman" w:cs="Times New Roman" w:eastAsia="Times New Roman" w:hAnsi="Times New Roman"/>
                  <w:sz w:val="18"/>
                  <w:szCs w:val="18"/>
                  <w:u w:val="single" w:color="auto"/>
                  <w:color w:val="0000EE"/>
                </w:rPr>
                <w:t>L.L.C, as Texas Intermediate Holdcos, Academy, Ltd., as Borrower, and each of the subsidiaries of the Borrower listed on the</w:t>
              </w:r>
            </w:hyperlink>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60" w:type="dxa"/>
            <w:vAlign w:val="bottom"/>
            <w:gridSpan w:val="24"/>
          </w:tcPr>
          <w:p>
            <w:pPr>
              <w:spacing w:after="0"/>
              <w:rPr>
                <w:rFonts w:ascii="Times New Roman" w:cs="Times New Roman" w:eastAsia="Times New Roman" w:hAnsi="Times New Roman"/>
                <w:sz w:val="18"/>
                <w:szCs w:val="18"/>
                <w:u w:val="single" w:color="auto"/>
                <w:color w:val="0000EE"/>
              </w:rPr>
            </w:pPr>
            <w:hyperlink r:id="rId368">
              <w:r>
                <w:rPr>
                  <w:rFonts w:ascii="Times New Roman" w:cs="Times New Roman" w:eastAsia="Times New Roman" w:hAnsi="Times New Roman"/>
                  <w:sz w:val="18"/>
                  <w:szCs w:val="18"/>
                  <w:u w:val="single" w:color="auto"/>
                  <w:color w:val="0000EE"/>
                </w:rPr>
                <w:t>signature pages thereto.</w:t>
              </w:r>
            </w:hyperlink>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760" w:type="dxa"/>
            <w:vAlign w:val="bottom"/>
          </w:tcPr>
          <w:p>
            <w:pPr>
              <w:spacing w:after="0"/>
              <w:rPr>
                <w:sz w:val="24"/>
                <w:szCs w:val="24"/>
                <w:color w:val="auto"/>
              </w:rPr>
            </w:pPr>
          </w:p>
        </w:tc>
        <w:tc>
          <w:tcPr>
            <w:tcW w:w="9760" w:type="dxa"/>
            <w:vAlign w:val="bottom"/>
            <w:gridSpan w:val="24"/>
          </w:tcPr>
          <w:p>
            <w:pPr>
              <w:spacing w:after="0"/>
              <w:rPr>
                <w:rFonts w:ascii="Times New Roman" w:cs="Times New Roman" w:eastAsia="Times New Roman" w:hAnsi="Times New Roman"/>
                <w:sz w:val="18"/>
                <w:szCs w:val="18"/>
                <w:color w:val="0000EE"/>
              </w:rPr>
            </w:pPr>
            <w:hyperlink r:id="rId369">
              <w:r>
                <w:rPr>
                  <w:rFonts w:ascii="Times New Roman" w:cs="Times New Roman" w:eastAsia="Times New Roman" w:hAnsi="Times New Roman"/>
                  <w:sz w:val="18"/>
                  <w:szCs w:val="18"/>
                  <w:color w:val="0000EE"/>
                </w:rPr>
                <w:t>First Amended and Restated ABL Credit Agreement, dated July 2, 2015, among Academy, Ltd., as Borrower, New Academy Holding</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2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369">
              <w:r>
                <w:rPr>
                  <w:rFonts w:ascii="Times New Roman" w:cs="Times New Roman" w:eastAsia="Times New Roman" w:hAnsi="Times New Roman"/>
                  <w:sz w:val="18"/>
                  <w:szCs w:val="18"/>
                  <w:color w:val="0000EE"/>
                  <w:w w:val="99"/>
                </w:rPr>
                <w:t>Company, LLC, as Holdings, Associated Investors L.L.C. and Academy Managing Co., L.L.C, as Texas Intermediate Holdcos, the</w:t>
              </w:r>
            </w:hyperlink>
          </w:p>
        </w:tc>
        <w:tc>
          <w:tcPr>
            <w:tcW w:w="280" w:type="dxa"/>
            <w:vAlign w:val="bottom"/>
            <w:tcBorders>
              <w:top w:val="single" w:sz="8" w:color="0000EE"/>
            </w:tcBorders>
            <w:gridSpan w:val="7"/>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369">
              <w:r>
                <w:rPr>
                  <w:rFonts w:ascii="Times New Roman" w:cs="Times New Roman" w:eastAsia="Times New Roman" w:hAnsi="Times New Roman"/>
                  <w:sz w:val="18"/>
                  <w:szCs w:val="18"/>
                  <w:color w:val="0000EE"/>
                  <w:w w:val="99"/>
                </w:rPr>
                <w:t>lending institutions from time to time party thereto and JPMorgan Chase Bank, N.A., as the Administrative Agent, the Collateral</w:t>
              </w:r>
            </w:hyperlink>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gridSpan w:val="24"/>
          </w:tcPr>
          <w:p>
            <w:pPr>
              <w:spacing w:after="0" w:line="196" w:lineRule="exact"/>
              <w:rPr>
                <w:rFonts w:ascii="Times New Roman" w:cs="Times New Roman" w:eastAsia="Times New Roman" w:hAnsi="Times New Roman"/>
                <w:sz w:val="18"/>
                <w:szCs w:val="18"/>
                <w:color w:val="0000EE"/>
              </w:rPr>
            </w:pPr>
            <w:hyperlink r:id="rId369">
              <w:r>
                <w:rPr>
                  <w:rFonts w:ascii="Times New Roman" w:cs="Times New Roman" w:eastAsia="Times New Roman" w:hAnsi="Times New Roman"/>
                  <w:sz w:val="18"/>
                  <w:szCs w:val="18"/>
                  <w:color w:val="0000EE"/>
                </w:rPr>
                <w:t>Agent, the Letter of Credit Issuer and the Swingline Lender.</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760" w:type="dxa"/>
            <w:vAlign w:val="bottom"/>
          </w:tcPr>
          <w:p>
            <w:pPr>
              <w:spacing w:after="0"/>
              <w:rPr>
                <w:sz w:val="24"/>
                <w:szCs w:val="24"/>
                <w:color w:val="auto"/>
              </w:rPr>
            </w:pPr>
          </w:p>
        </w:tc>
        <w:tc>
          <w:tcPr>
            <w:tcW w:w="9760" w:type="dxa"/>
            <w:vAlign w:val="bottom"/>
            <w:gridSpan w:val="24"/>
          </w:tcPr>
          <w:p>
            <w:pPr>
              <w:spacing w:after="0"/>
              <w:rPr>
                <w:rFonts w:ascii="Times New Roman" w:cs="Times New Roman" w:eastAsia="Times New Roman" w:hAnsi="Times New Roman"/>
                <w:sz w:val="18"/>
                <w:szCs w:val="18"/>
                <w:color w:val="0000EE"/>
              </w:rPr>
            </w:pPr>
            <w:hyperlink r:id="rId370">
              <w:r>
                <w:rPr>
                  <w:rFonts w:ascii="Times New Roman" w:cs="Times New Roman" w:eastAsia="Times New Roman" w:hAnsi="Times New Roman"/>
                  <w:sz w:val="18"/>
                  <w:szCs w:val="18"/>
                  <w:color w:val="0000EE"/>
                </w:rPr>
                <w:t>Amendment No. 1 to First Amended and Restated ABL Credit Agreement, dated as of May 22, 2018, among Academy, Ltd., as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940" w:type="dxa"/>
            <w:vAlign w:val="bottom"/>
            <w:gridSpan w:val="5"/>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370">
              <w:r>
                <w:rPr>
                  <w:rFonts w:ascii="Times New Roman" w:cs="Times New Roman" w:eastAsia="Times New Roman" w:hAnsi="Times New Roman"/>
                  <w:sz w:val="18"/>
                  <w:szCs w:val="18"/>
                  <w:color w:val="0000EE"/>
                  <w:w w:val="99"/>
                </w:rPr>
                <w:t>Borrower, New Academy Holding Company, LLC, as Holdings, Associated Investors L.L.C. and Academy Managing Co., L.L.C, as</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gridSpan w:val="24"/>
          </w:tcPr>
          <w:p>
            <w:pPr>
              <w:spacing w:after="0" w:line="196" w:lineRule="exact"/>
              <w:rPr>
                <w:rFonts w:ascii="Times New Roman" w:cs="Times New Roman" w:eastAsia="Times New Roman" w:hAnsi="Times New Roman"/>
                <w:sz w:val="18"/>
                <w:szCs w:val="18"/>
                <w:color w:val="0000EE"/>
              </w:rPr>
            </w:pPr>
            <w:hyperlink r:id="rId370">
              <w:r>
                <w:rPr>
                  <w:rFonts w:ascii="Times New Roman" w:cs="Times New Roman" w:eastAsia="Times New Roman" w:hAnsi="Times New Roman"/>
                  <w:sz w:val="18"/>
                  <w:szCs w:val="18"/>
                  <w:color w:val="0000EE"/>
                </w:rPr>
                <w:t>Texas Intermediate Holdcos, each of the Guarantors party thereto, each of the lenders party thereto and JPMorgan Chase Bank, N.A.,</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70">
              <w:r>
                <w:rPr>
                  <w:rFonts w:ascii="Times New Roman" w:cs="Times New Roman" w:eastAsia="Times New Roman" w:hAnsi="Times New Roman"/>
                  <w:sz w:val="18"/>
                  <w:szCs w:val="18"/>
                  <w:color w:val="0000EE"/>
                  <w:w w:val="99"/>
                </w:rPr>
                <w:t>as the Administrative Agent, the Collateral Agent, the Letter of Credit Issuer and the Swingline Lender.</w:t>
              </w:r>
            </w:hyperlink>
          </w:p>
        </w:tc>
        <w:tc>
          <w:tcPr>
            <w:tcW w:w="2120" w:type="dxa"/>
            <w:vAlign w:val="bottom"/>
            <w:tcBorders>
              <w:top w:val="single" w:sz="8" w:color="0000EE"/>
            </w:tcBorders>
            <w:gridSpan w:val="15"/>
          </w:tcPr>
          <w:p>
            <w:pPr>
              <w:spacing w:after="0"/>
              <w:rPr>
                <w:sz w:val="17"/>
                <w:szCs w:val="17"/>
                <w:color w:val="auto"/>
              </w:rPr>
            </w:pPr>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60" w:type="dxa"/>
            <w:vAlign w:val="bottom"/>
          </w:tcPr>
          <w:p>
            <w:pPr>
              <w:spacing w:after="0"/>
              <w:rPr>
                <w:sz w:val="24"/>
                <w:szCs w:val="24"/>
                <w:color w:val="auto"/>
              </w:rPr>
            </w:pPr>
          </w:p>
        </w:tc>
        <w:tc>
          <w:tcPr>
            <w:tcW w:w="9760" w:type="dxa"/>
            <w:vAlign w:val="bottom"/>
            <w:gridSpan w:val="24"/>
          </w:tcPr>
          <w:p>
            <w:pPr>
              <w:spacing w:after="0"/>
              <w:rPr>
                <w:rFonts w:ascii="Times New Roman" w:cs="Times New Roman" w:eastAsia="Times New Roman" w:hAnsi="Times New Roman"/>
                <w:sz w:val="18"/>
                <w:szCs w:val="18"/>
                <w:color w:val="0000EE"/>
              </w:rPr>
            </w:pPr>
            <w:hyperlink r:id="rId371">
              <w:r>
                <w:rPr>
                  <w:rFonts w:ascii="Times New Roman" w:cs="Times New Roman" w:eastAsia="Times New Roman" w:hAnsi="Times New Roman"/>
                  <w:sz w:val="18"/>
                  <w:szCs w:val="18"/>
                  <w:color w:val="0000EE"/>
                </w:rPr>
                <w:t>Amended and Restated ABL Security Agreement, dated as of July 2, 2015, among Academy, Ltd., as Borrower, each of the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20" w:type="dxa"/>
            <w:vAlign w:val="bottom"/>
            <w:gridSpan w:val="6"/>
            <w:shd w:val="clear" w:color="auto" w:fill="0000EE"/>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371">
              <w:r>
                <w:rPr>
                  <w:rFonts w:ascii="Times New Roman" w:cs="Times New Roman" w:eastAsia="Times New Roman" w:hAnsi="Times New Roman"/>
                  <w:sz w:val="18"/>
                  <w:szCs w:val="18"/>
                  <w:color w:val="0000EE"/>
                  <w:w w:val="99"/>
                </w:rPr>
                <w:t>subsidiaries listed on the signature pages thereto, and JPMorgan Chase Bank, N.A., as collateral agent for the benefit of the secured</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gridSpan w:val="24"/>
          </w:tcPr>
          <w:p>
            <w:pPr>
              <w:spacing w:after="0" w:line="196" w:lineRule="exact"/>
              <w:rPr>
                <w:rFonts w:ascii="Times New Roman" w:cs="Times New Roman" w:eastAsia="Times New Roman" w:hAnsi="Times New Roman"/>
                <w:sz w:val="18"/>
                <w:szCs w:val="18"/>
                <w:color w:val="0000EE"/>
              </w:rPr>
            </w:pPr>
            <w:hyperlink r:id="rId371">
              <w:r>
                <w:rPr>
                  <w:rFonts w:ascii="Times New Roman" w:cs="Times New Roman" w:eastAsia="Times New Roman" w:hAnsi="Times New Roman"/>
                  <w:sz w:val="18"/>
                  <w:szCs w:val="18"/>
                  <w:color w:val="0000EE"/>
                </w:rPr>
                <w:t>parties.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880" w:type="dxa"/>
            <w:vAlign w:val="bottom"/>
            <w:gridSpan w:val="14"/>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760" w:type="dxa"/>
            <w:vAlign w:val="bottom"/>
          </w:tcPr>
          <w:p>
            <w:pPr>
              <w:spacing w:after="0"/>
              <w:rPr>
                <w:sz w:val="24"/>
                <w:szCs w:val="24"/>
                <w:color w:val="auto"/>
              </w:rPr>
            </w:pPr>
          </w:p>
        </w:tc>
        <w:tc>
          <w:tcPr>
            <w:tcW w:w="94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372">
              <w:r>
                <w:rPr>
                  <w:rFonts w:ascii="Times New Roman" w:cs="Times New Roman" w:eastAsia="Times New Roman" w:hAnsi="Times New Roman"/>
                  <w:sz w:val="18"/>
                  <w:szCs w:val="18"/>
                  <w:color w:val="0000EE"/>
                </w:rPr>
                <w:t>Amended and Restated ABL Pledge Agreement, dated July 2, 2015, among New Academy Holding Company, LLC, as Holdings,</w:t>
              </w:r>
            </w:hyperlink>
          </w:p>
        </w:tc>
        <w:tc>
          <w:tcPr>
            <w:tcW w:w="3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gridSpan w:val="24"/>
          </w:tcPr>
          <w:p>
            <w:pPr>
              <w:spacing w:after="0" w:line="196" w:lineRule="exact"/>
              <w:rPr>
                <w:rFonts w:ascii="Times New Roman" w:cs="Times New Roman" w:eastAsia="Times New Roman" w:hAnsi="Times New Roman"/>
                <w:sz w:val="18"/>
                <w:szCs w:val="18"/>
                <w:color w:val="0000EE"/>
              </w:rPr>
            </w:pPr>
            <w:hyperlink r:id="rId372">
              <w:r>
                <w:rPr>
                  <w:rFonts w:ascii="Times New Roman" w:cs="Times New Roman" w:eastAsia="Times New Roman" w:hAnsi="Times New Roman"/>
                  <w:sz w:val="18"/>
                  <w:szCs w:val="18"/>
                  <w:color w:val="0000EE"/>
                </w:rPr>
                <w:t>Associated Investors L.L.C. and Academy Managing Co., L.L.C, as Texas Intermediate Holdcos, Academy, Ltd., as Borrower, each of</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1380" w:right="60"/>
        <w:spacing w:after="0" w:line="282" w:lineRule="auto"/>
        <w:rPr>
          <w:rFonts w:ascii="Times New Roman" w:cs="Times New Roman" w:eastAsia="Times New Roman" w:hAnsi="Times New Roman"/>
          <w:sz w:val="18"/>
          <w:szCs w:val="18"/>
          <w:u w:val="single" w:color="auto"/>
          <w:color w:val="0000EE"/>
        </w:rPr>
      </w:pPr>
      <w:hyperlink r:id="rId372">
        <w:r>
          <w:rPr>
            <w:rFonts w:ascii="Times New Roman" w:cs="Times New Roman" w:eastAsia="Times New Roman" w:hAnsi="Times New Roman"/>
            <w:sz w:val="18"/>
            <w:szCs w:val="18"/>
            <w:u w:val="single" w:color="auto"/>
            <w:color w:val="0000EE"/>
          </w:rPr>
          <w:t>the subsidiaries listed on the signature pages thereto and JPMorgan Chase Bank, N.A., as collateral agent for the benefit of the secured</w:t>
        </w:r>
      </w:hyperlink>
      <w:r>
        <w:rPr>
          <w:rFonts w:ascii="Times New Roman" w:cs="Times New Roman" w:eastAsia="Times New Roman" w:hAnsi="Times New Roman"/>
          <w:sz w:val="18"/>
          <w:szCs w:val="18"/>
          <w:u w:val="single" w:color="auto"/>
          <w:color w:val="0000EE"/>
        </w:rPr>
        <w:t xml:space="preserve"> </w:t>
      </w:r>
      <w:hyperlink r:id="rId372">
        <w:r>
          <w:rPr>
            <w:rFonts w:ascii="Times New Roman" w:cs="Times New Roman" w:eastAsia="Times New Roman" w:hAnsi="Times New Roman"/>
            <w:sz w:val="18"/>
            <w:szCs w:val="18"/>
            <w:u w:val="single" w:color="auto"/>
            <w:color w:val="0000EE"/>
          </w:rPr>
          <w:t>parties.</w:t>
        </w:r>
      </w:hyperlink>
    </w:p>
    <w:p>
      <w:pPr>
        <w:sectPr>
          <w:pgSz w:w="11900" w:h="16838" w:orient="portrait"/>
          <w:cols w:equalWidth="0" w:num="1">
            <w:col w:w="11140"/>
          </w:cols>
          <w:pgMar w:left="320" w:top="455" w:right="439" w:bottom="1440" w:gutter="0" w:footer="0" w:header="0"/>
        </w:sectPr>
      </w:pPr>
    </w:p>
    <w:bookmarkStart w:id="295" w:name="page296"/>
    <w:bookmarkEnd w:id="2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60" w:type="dxa"/>
            <w:vAlign w:val="bottom"/>
          </w:tcPr>
          <w:p>
            <w:pPr>
              <w:spacing w:after="0"/>
              <w:rPr>
                <w:sz w:val="13"/>
                <w:szCs w:val="13"/>
                <w:color w:val="auto"/>
              </w:rPr>
            </w:pPr>
          </w:p>
        </w:tc>
        <w:tc>
          <w:tcPr>
            <w:tcW w:w="7760" w:type="dxa"/>
            <w:vAlign w:val="bottom"/>
            <w:gridSpan w:val="2"/>
            <w:vMerge w:val="restart"/>
          </w:tcPr>
          <w:p>
            <w:pPr>
              <w:ind w:left="2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60" w:type="dxa"/>
            <w:vAlign w:val="bottom"/>
            <w:tcBorders>
              <w:bottom w:val="single" w:sz="8" w:color="auto"/>
            </w:tcBorders>
          </w:tcPr>
          <w:p>
            <w:pPr>
              <w:spacing w:after="0"/>
              <w:rPr>
                <w:sz w:val="15"/>
                <w:szCs w:val="15"/>
                <w:color w:val="auto"/>
              </w:rPr>
            </w:pPr>
          </w:p>
        </w:tc>
        <w:tc>
          <w:tcPr>
            <w:tcW w:w="77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w:anchor="page375">
              <w:r>
                <w:rPr>
                  <w:rFonts w:ascii="Times New Roman" w:cs="Times New Roman" w:eastAsia="Times New Roman" w:hAnsi="Times New Roman"/>
                  <w:sz w:val="18"/>
                  <w:szCs w:val="18"/>
                  <w:u w:val="single" w:color="auto"/>
                  <w:color w:val="0000EE"/>
                </w:rPr>
                <w:t>Form of 2020 Omnibus Incentive Plan.</w:t>
              </w:r>
            </w:hyperlink>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9820" w:type="dxa"/>
            <w:vAlign w:val="bottom"/>
            <w:gridSpan w:val="3"/>
          </w:tcPr>
          <w:p>
            <w:pPr>
              <w:spacing w:after="0"/>
              <w:rPr>
                <w:rFonts w:ascii="Times New Roman" w:cs="Times New Roman" w:eastAsia="Times New Roman" w:hAnsi="Times New Roman"/>
                <w:sz w:val="18"/>
                <w:szCs w:val="18"/>
                <w:color w:val="0000EE"/>
              </w:rPr>
            </w:pPr>
            <w:hyperlink w:anchor="page401">
              <w:r>
                <w:rPr>
                  <w:rFonts w:ascii="Times New Roman" w:cs="Times New Roman" w:eastAsia="Times New Roman" w:hAnsi="Times New Roman"/>
                  <w:sz w:val="18"/>
                  <w:szCs w:val="18"/>
                  <w:u w:val="single" w:color="auto"/>
                  <w:color w:val="0000EE"/>
                </w:rPr>
                <w:t>Form of Time-Based Option Agreement under 2020 Omnibus Incentive Plan</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3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w:anchor="page411">
              <w:r>
                <w:rPr>
                  <w:rFonts w:ascii="Times New Roman" w:cs="Times New Roman" w:eastAsia="Times New Roman" w:hAnsi="Times New Roman"/>
                  <w:sz w:val="18"/>
                  <w:szCs w:val="18"/>
                  <w:u w:val="single" w:color="auto"/>
                  <w:color w:val="0000EE"/>
                </w:rPr>
                <w:t>Form of Non-Employee Director Restricted Stock Unit Agreement under 2020 Omnibus Incentive Plan.</w:t>
              </w:r>
            </w:hyperlink>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w:anchor="page418">
              <w:r>
                <w:rPr>
                  <w:rFonts w:ascii="Times New Roman" w:cs="Times New Roman" w:eastAsia="Times New Roman" w:hAnsi="Times New Roman"/>
                  <w:sz w:val="18"/>
                  <w:szCs w:val="18"/>
                  <w:u w:val="single" w:color="auto"/>
                  <w:color w:val="0000EE"/>
                </w:rPr>
                <w:t>Form of Performance-Based Restricted Stock Unit Agreement under 2020 Omnibus Incentive Plan.</w:t>
              </w:r>
            </w:hyperlink>
          </w:p>
        </w:tc>
        <w:tc>
          <w:tcPr>
            <w:tcW w:w="0" w:type="dxa"/>
            <w:vAlign w:val="bottom"/>
          </w:tcPr>
          <w:p>
            <w:pPr>
              <w:spacing w:after="0"/>
              <w:rPr>
                <w:sz w:val="1"/>
                <w:szCs w:val="1"/>
                <w:color w:val="auto"/>
              </w:rPr>
            </w:pPr>
          </w:p>
        </w:tc>
      </w:tr>
      <w:tr>
        <w:trPr>
          <w:trHeight w:val="33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9820" w:type="dxa"/>
            <w:vAlign w:val="bottom"/>
            <w:gridSpan w:val="3"/>
          </w:tcPr>
          <w:p>
            <w:pPr>
              <w:spacing w:after="0"/>
              <w:rPr>
                <w:rFonts w:ascii="Times New Roman" w:cs="Times New Roman" w:eastAsia="Times New Roman" w:hAnsi="Times New Roman"/>
                <w:sz w:val="18"/>
                <w:szCs w:val="18"/>
                <w:color w:val="0000EE"/>
              </w:rPr>
            </w:pPr>
            <w:hyperlink r:id="rId374">
              <w:r>
                <w:rPr>
                  <w:rFonts w:ascii="Times New Roman" w:cs="Times New Roman" w:eastAsia="Times New Roman" w:hAnsi="Times New Roman"/>
                  <w:sz w:val="18"/>
                  <w:szCs w:val="18"/>
                  <w:u w:val="single" w:color="auto"/>
                  <w:color w:val="0000EE"/>
                </w:rPr>
                <w:t>2011 Unit Incentive Plan</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3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r:id="rId375">
              <w:r>
                <w:rPr>
                  <w:rFonts w:ascii="Times New Roman" w:cs="Times New Roman" w:eastAsia="Times New Roman" w:hAnsi="Times New Roman"/>
                  <w:sz w:val="18"/>
                  <w:szCs w:val="18"/>
                  <w:u w:val="single" w:color="auto"/>
                  <w:color w:val="0000EE"/>
                </w:rPr>
                <w:t>Form of 2020 CEO Option Agreement under 2011 Unit Incentive Plan.</w:t>
              </w:r>
            </w:hyperlink>
          </w:p>
        </w:tc>
        <w:tc>
          <w:tcPr>
            <w:tcW w:w="0" w:type="dxa"/>
            <w:vAlign w:val="bottom"/>
          </w:tcPr>
          <w:p>
            <w:pPr>
              <w:spacing w:after="0"/>
              <w:rPr>
                <w:sz w:val="1"/>
                <w:szCs w:val="1"/>
                <w:color w:val="auto"/>
              </w:rPr>
            </w:pPr>
          </w:p>
        </w:tc>
      </w:tr>
      <w:tr>
        <w:trPr>
          <w:trHeight w:val="33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r:id="rId376">
              <w:r>
                <w:rPr>
                  <w:rFonts w:ascii="Times New Roman" w:cs="Times New Roman" w:eastAsia="Times New Roman" w:hAnsi="Times New Roman"/>
                  <w:sz w:val="18"/>
                  <w:szCs w:val="18"/>
                  <w:u w:val="single" w:color="auto"/>
                  <w:color w:val="0000EE"/>
                </w:rPr>
                <w:t>Form of 2020 Executive Option Agreement under 2011 Unit Incentive Plan.</w:t>
              </w:r>
            </w:hyperlink>
          </w:p>
        </w:tc>
        <w:tc>
          <w:tcPr>
            <w:tcW w:w="0" w:type="dxa"/>
            <w:vAlign w:val="bottom"/>
          </w:tcPr>
          <w:p>
            <w:pPr>
              <w:spacing w:after="0"/>
              <w:rPr>
                <w:sz w:val="1"/>
                <w:szCs w:val="1"/>
                <w:color w:val="auto"/>
              </w:rPr>
            </w:pPr>
          </w:p>
        </w:tc>
      </w:tr>
      <w:tr>
        <w:trPr>
          <w:trHeight w:val="33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r:id="rId377">
              <w:r>
                <w:rPr>
                  <w:rFonts w:ascii="Times New Roman" w:cs="Times New Roman" w:eastAsia="Times New Roman" w:hAnsi="Times New Roman"/>
                  <w:sz w:val="18"/>
                  <w:szCs w:val="18"/>
                  <w:u w:val="single" w:color="auto"/>
                  <w:color w:val="0000EE"/>
                </w:rPr>
                <w:t>Form of 2019 CEO Option Agreement under 2011 Unit Incentive Plan.</w:t>
              </w:r>
            </w:hyperlink>
          </w:p>
        </w:tc>
        <w:tc>
          <w:tcPr>
            <w:tcW w:w="0" w:type="dxa"/>
            <w:vAlign w:val="bottom"/>
          </w:tcPr>
          <w:p>
            <w:pPr>
              <w:spacing w:after="0"/>
              <w:rPr>
                <w:sz w:val="1"/>
                <w:szCs w:val="1"/>
                <w:color w:val="auto"/>
              </w:rPr>
            </w:pPr>
          </w:p>
        </w:tc>
      </w:tr>
      <w:tr>
        <w:trPr>
          <w:trHeight w:val="33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r:id="rId378">
              <w:r>
                <w:rPr>
                  <w:rFonts w:ascii="Times New Roman" w:cs="Times New Roman" w:eastAsia="Times New Roman" w:hAnsi="Times New Roman"/>
                  <w:sz w:val="18"/>
                  <w:szCs w:val="18"/>
                  <w:u w:val="single" w:color="auto"/>
                  <w:color w:val="0000EE"/>
                </w:rPr>
                <w:t>Form of 2019 Executive Option Agreement under 2011 Unit Incentive Plan.</w:t>
              </w:r>
            </w:hyperlink>
          </w:p>
        </w:tc>
        <w:tc>
          <w:tcPr>
            <w:tcW w:w="0" w:type="dxa"/>
            <w:vAlign w:val="bottom"/>
          </w:tcPr>
          <w:p>
            <w:pPr>
              <w:spacing w:after="0"/>
              <w:rPr>
                <w:sz w:val="1"/>
                <w:szCs w:val="1"/>
                <w:color w:val="auto"/>
              </w:rPr>
            </w:pPr>
          </w:p>
        </w:tc>
      </w:tr>
      <w:tr>
        <w:trPr>
          <w:trHeight w:val="33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r:id="rId379">
              <w:r>
                <w:rPr>
                  <w:rFonts w:ascii="Times New Roman" w:cs="Times New Roman" w:eastAsia="Times New Roman" w:hAnsi="Times New Roman"/>
                  <w:sz w:val="18"/>
                  <w:szCs w:val="18"/>
                  <w:u w:val="single" w:color="auto"/>
                  <w:color w:val="0000EE"/>
                </w:rPr>
                <w:t>Form of 2018 CEO Option Agreement under 2011 Unit Incentive Plan.</w:t>
              </w:r>
            </w:hyperlink>
          </w:p>
        </w:tc>
        <w:tc>
          <w:tcPr>
            <w:tcW w:w="0" w:type="dxa"/>
            <w:vAlign w:val="bottom"/>
          </w:tcPr>
          <w:p>
            <w:pPr>
              <w:spacing w:after="0"/>
              <w:rPr>
                <w:sz w:val="1"/>
                <w:szCs w:val="1"/>
                <w:color w:val="auto"/>
              </w:rPr>
            </w:pPr>
          </w:p>
        </w:tc>
      </w:tr>
      <w:tr>
        <w:trPr>
          <w:trHeight w:val="33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r:id="rId380">
              <w:r>
                <w:rPr>
                  <w:rFonts w:ascii="Times New Roman" w:cs="Times New Roman" w:eastAsia="Times New Roman" w:hAnsi="Times New Roman"/>
                  <w:sz w:val="18"/>
                  <w:szCs w:val="18"/>
                  <w:u w:val="single" w:color="auto"/>
                  <w:color w:val="0000EE"/>
                </w:rPr>
                <w:t>Form of 2018 Executive Option Agreement under 2011 Unit Incentive Plan.</w:t>
              </w:r>
            </w:hyperlink>
          </w:p>
        </w:tc>
        <w:tc>
          <w:tcPr>
            <w:tcW w:w="0" w:type="dxa"/>
            <w:vAlign w:val="bottom"/>
          </w:tcPr>
          <w:p>
            <w:pPr>
              <w:spacing w:after="0"/>
              <w:rPr>
                <w:sz w:val="1"/>
                <w:szCs w:val="1"/>
                <w:color w:val="auto"/>
              </w:rPr>
            </w:pPr>
          </w:p>
        </w:tc>
      </w:tr>
      <w:tr>
        <w:trPr>
          <w:trHeight w:val="33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r:id="rId381">
              <w:r>
                <w:rPr>
                  <w:rFonts w:ascii="Times New Roman" w:cs="Times New Roman" w:eastAsia="Times New Roman" w:hAnsi="Times New Roman"/>
                  <w:sz w:val="18"/>
                  <w:szCs w:val="18"/>
                  <w:u w:val="single" w:color="auto"/>
                  <w:color w:val="0000EE"/>
                </w:rPr>
                <w:t>Form of 2017 Executive Option Agreement under 2011 Unit Incentive Plan.</w:t>
              </w:r>
            </w:hyperlink>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r:id="rId382">
              <w:r>
                <w:rPr>
                  <w:rFonts w:ascii="Times New Roman" w:cs="Times New Roman" w:eastAsia="Times New Roman" w:hAnsi="Times New Roman"/>
                  <w:sz w:val="18"/>
                  <w:szCs w:val="18"/>
                  <w:u w:val="single" w:color="auto"/>
                  <w:color w:val="0000EE"/>
                </w:rPr>
                <w:t>Form of 2016 Executive Option Agreement under 2011 Unit Incentive Plan.</w:t>
              </w:r>
            </w:hyperlink>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r:id="rId383">
              <w:r>
                <w:rPr>
                  <w:rFonts w:ascii="Times New Roman" w:cs="Times New Roman" w:eastAsia="Times New Roman" w:hAnsi="Times New Roman"/>
                  <w:sz w:val="18"/>
                  <w:szCs w:val="18"/>
                  <w:u w:val="single" w:color="auto"/>
                  <w:color w:val="0000EE"/>
                </w:rPr>
                <w:t>Form of August 2020 Restricted Unit Agreement under 2011 Unit Incentive Plan.</w:t>
              </w:r>
            </w:hyperlink>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r:id="rId384">
              <w:r>
                <w:rPr>
                  <w:rFonts w:ascii="Times New Roman" w:cs="Times New Roman" w:eastAsia="Times New Roman" w:hAnsi="Times New Roman"/>
                  <w:sz w:val="18"/>
                  <w:szCs w:val="18"/>
                  <w:u w:val="single" w:color="auto"/>
                  <w:color w:val="0000EE"/>
                </w:rPr>
                <w:t>Form of 2020 CEO Restricted Unit Agreement under 2011 Unit Incentive Plan.</w:t>
              </w:r>
            </w:hyperlink>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r:id="rId385">
              <w:r>
                <w:rPr>
                  <w:rFonts w:ascii="Times New Roman" w:cs="Times New Roman" w:eastAsia="Times New Roman" w:hAnsi="Times New Roman"/>
                  <w:sz w:val="18"/>
                  <w:szCs w:val="18"/>
                  <w:u w:val="single" w:color="auto"/>
                  <w:color w:val="0000EE"/>
                </w:rPr>
                <w:t>Form of 2020 Executive Restricted Unit Agreement under 2011 Unit Incentive Plan.</w:t>
              </w:r>
            </w:hyperlink>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10.25†*</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r:id="rId386">
              <w:r>
                <w:rPr>
                  <w:rFonts w:ascii="Times New Roman" w:cs="Times New Roman" w:eastAsia="Times New Roman" w:hAnsi="Times New Roman"/>
                  <w:sz w:val="18"/>
                  <w:szCs w:val="18"/>
                  <w:u w:val="single" w:color="auto"/>
                  <w:color w:val="0000EE"/>
                </w:rPr>
                <w:t>Form of 2019 Executive Restricted Unit Agreement under 2011 Unit Incentive Plan.</w:t>
              </w:r>
            </w:hyperlink>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10.26†*</w:t>
            </w:r>
          </w:p>
        </w:tc>
        <w:tc>
          <w:tcPr>
            <w:tcW w:w="9820" w:type="dxa"/>
            <w:vAlign w:val="bottom"/>
            <w:gridSpan w:val="3"/>
          </w:tcPr>
          <w:p>
            <w:pPr>
              <w:spacing w:after="0"/>
              <w:rPr>
                <w:rFonts w:ascii="Times New Roman" w:cs="Times New Roman" w:eastAsia="Times New Roman" w:hAnsi="Times New Roman"/>
                <w:sz w:val="18"/>
                <w:szCs w:val="18"/>
                <w:color w:val="0000EE"/>
              </w:rPr>
            </w:pPr>
            <w:hyperlink r:id="rId387">
              <w:r>
                <w:rPr>
                  <w:rFonts w:ascii="Times New Roman" w:cs="Times New Roman" w:eastAsia="Times New Roman" w:hAnsi="Times New Roman"/>
                  <w:sz w:val="18"/>
                  <w:szCs w:val="18"/>
                  <w:u w:val="single" w:color="auto"/>
                  <w:color w:val="0000EE"/>
                </w:rPr>
                <w:t>Form of 2018 CEO Restricted Unit Agreement under 2011 Unit Incentive Plan (as amended)</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10.27†*</w:t>
            </w:r>
          </w:p>
        </w:tc>
        <w:tc>
          <w:tcPr>
            <w:tcW w:w="9820" w:type="dxa"/>
            <w:vAlign w:val="bottom"/>
            <w:gridSpan w:val="3"/>
          </w:tcPr>
          <w:p>
            <w:pPr>
              <w:spacing w:after="0"/>
              <w:rPr>
                <w:rFonts w:ascii="Times New Roman" w:cs="Times New Roman" w:eastAsia="Times New Roman" w:hAnsi="Times New Roman"/>
                <w:sz w:val="18"/>
                <w:szCs w:val="18"/>
                <w:color w:val="0000EE"/>
              </w:rPr>
            </w:pPr>
            <w:hyperlink r:id="rId388">
              <w:r>
                <w:rPr>
                  <w:rFonts w:ascii="Times New Roman" w:cs="Times New Roman" w:eastAsia="Times New Roman" w:hAnsi="Times New Roman"/>
                  <w:sz w:val="18"/>
                  <w:szCs w:val="18"/>
                  <w:u w:val="single" w:color="auto"/>
                  <w:color w:val="0000EE"/>
                </w:rPr>
                <w:t>Form of Independent Non-Employee Director Restricted Unit Agreement under 2011 Unit Incentive Plan</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10.28†*</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r:id="rId389">
              <w:r>
                <w:rPr>
                  <w:rFonts w:ascii="Times New Roman" w:cs="Times New Roman" w:eastAsia="Times New Roman" w:hAnsi="Times New Roman"/>
                  <w:sz w:val="18"/>
                  <w:szCs w:val="18"/>
                  <w:u w:val="single" w:color="auto"/>
                  <w:color w:val="0000EE"/>
                </w:rPr>
                <w:t>Form of 2018 Executive Restricted Unit Agreement under 2011 Unit Incentive Plan.</w:t>
              </w:r>
            </w:hyperlink>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10.29†*</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r:id="rId390">
              <w:r>
                <w:rPr>
                  <w:rFonts w:ascii="Times New Roman" w:cs="Times New Roman" w:eastAsia="Times New Roman" w:hAnsi="Times New Roman"/>
                  <w:sz w:val="18"/>
                  <w:szCs w:val="18"/>
                  <w:u w:val="single" w:color="auto"/>
                  <w:color w:val="0000EE"/>
                </w:rPr>
                <w:t>Ken C. Hicks Employment Agreement, dated August 2, 2018.</w:t>
              </w:r>
            </w:hyperlink>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10.30†*</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r:id="rId391">
              <w:r>
                <w:rPr>
                  <w:rFonts w:ascii="Times New Roman" w:cs="Times New Roman" w:eastAsia="Times New Roman" w:hAnsi="Times New Roman"/>
                  <w:sz w:val="18"/>
                  <w:szCs w:val="18"/>
                  <w:u w:val="single" w:color="auto"/>
                  <w:color w:val="0000EE"/>
                </w:rPr>
                <w:t>Michael P. Mullican Employment Agreement, dated January 6, 2017 and amended on December 21, 2017.</w:t>
              </w:r>
            </w:hyperlink>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r:id="rId392">
              <w:r>
                <w:rPr>
                  <w:rFonts w:ascii="Times New Roman" w:cs="Times New Roman" w:eastAsia="Times New Roman" w:hAnsi="Times New Roman"/>
                  <w:sz w:val="18"/>
                  <w:szCs w:val="18"/>
                  <w:u w:val="single" w:color="auto"/>
                  <w:color w:val="0000EE"/>
                </w:rPr>
                <w:t>Steven (Steve) P. Lawrence Employment Agreement, dated January 29, 2019.</w:t>
              </w:r>
            </w:hyperlink>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10.32†*</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r:id="rId393">
              <w:r>
                <w:rPr>
                  <w:rFonts w:ascii="Times New Roman" w:cs="Times New Roman" w:eastAsia="Times New Roman" w:hAnsi="Times New Roman"/>
                  <w:sz w:val="18"/>
                  <w:szCs w:val="18"/>
                  <w:u w:val="single" w:color="auto"/>
                  <w:color w:val="0000EE"/>
                </w:rPr>
                <w:t>Samuel (Sam) J. Johnson Employment Agreement, dated April 17, 2017.</w:t>
              </w:r>
            </w:hyperlink>
          </w:p>
        </w:tc>
        <w:tc>
          <w:tcPr>
            <w:tcW w:w="0" w:type="dxa"/>
            <w:vAlign w:val="bottom"/>
          </w:tcPr>
          <w:p>
            <w:pPr>
              <w:spacing w:after="0"/>
              <w:rPr>
                <w:sz w:val="1"/>
                <w:szCs w:val="1"/>
                <w:color w:val="auto"/>
              </w:rPr>
            </w:pPr>
          </w:p>
        </w:tc>
      </w:tr>
      <w:tr>
        <w:trPr>
          <w:trHeight w:val="28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10.33†*</w:t>
            </w:r>
          </w:p>
        </w:tc>
        <w:tc>
          <w:tcPr>
            <w:tcW w:w="9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394">
              <w:r>
                <w:rPr>
                  <w:rFonts w:ascii="Times New Roman" w:cs="Times New Roman" w:eastAsia="Times New Roman" w:hAnsi="Times New Roman"/>
                  <w:sz w:val="18"/>
                  <w:szCs w:val="18"/>
                  <w:color w:val="0000EE"/>
                  <w:w w:val="99"/>
                </w:rPr>
                <w:t>Kenneth (Ken) D. Attaway Employment Agreement, dated July 1, 2009, as amended and restated on August 30, 2011 and further</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20" w:type="dxa"/>
            <w:vAlign w:val="bottom"/>
            <w:gridSpan w:val="3"/>
          </w:tcPr>
          <w:p>
            <w:pPr>
              <w:spacing w:after="0" w:line="196" w:lineRule="exact"/>
              <w:rPr>
                <w:rFonts w:ascii="Times New Roman" w:cs="Times New Roman" w:eastAsia="Times New Roman" w:hAnsi="Times New Roman"/>
                <w:sz w:val="18"/>
                <w:szCs w:val="18"/>
                <w:color w:val="0000EE"/>
              </w:rPr>
            </w:pPr>
            <w:hyperlink r:id="rId394">
              <w:r>
                <w:rPr>
                  <w:rFonts w:ascii="Times New Roman" w:cs="Times New Roman" w:eastAsia="Times New Roman" w:hAnsi="Times New Roman"/>
                  <w:sz w:val="18"/>
                  <w:szCs w:val="18"/>
                  <w:color w:val="0000EE"/>
                </w:rPr>
                <w:t>amended on August 6, 2012.</w:t>
              </w:r>
            </w:hyperlink>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7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10.34†**</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w:anchor="page429">
              <w:r>
                <w:rPr>
                  <w:rFonts w:ascii="Times New Roman" w:cs="Times New Roman" w:eastAsia="Times New Roman" w:hAnsi="Times New Roman"/>
                  <w:sz w:val="18"/>
                  <w:szCs w:val="18"/>
                  <w:u w:val="single" w:color="auto"/>
                  <w:color w:val="0000EE"/>
                </w:rPr>
                <w:t>Form of 2020 Employee Stock Purchase Plan</w:t>
              </w:r>
            </w:hyperlink>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10.35**</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w:anchor="page445">
              <w:r>
                <w:rPr>
                  <w:rFonts w:ascii="Times New Roman" w:cs="Times New Roman" w:eastAsia="Times New Roman" w:hAnsi="Times New Roman"/>
                  <w:sz w:val="18"/>
                  <w:szCs w:val="18"/>
                  <w:u w:val="single" w:color="auto"/>
                  <w:color w:val="0000EE"/>
                </w:rPr>
                <w:t>Form of Stockholders Agreement.</w:t>
              </w:r>
            </w:hyperlink>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10.36**</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w:anchor="page465">
              <w:r>
                <w:rPr>
                  <w:rFonts w:ascii="Times New Roman" w:cs="Times New Roman" w:eastAsia="Times New Roman" w:hAnsi="Times New Roman"/>
                  <w:sz w:val="18"/>
                  <w:szCs w:val="18"/>
                  <w:u w:val="single" w:color="auto"/>
                  <w:color w:val="0000EE"/>
                </w:rPr>
                <w:t>Monitoring Agreement, dated as of August 3, 2011, between Academy, Ltd. and Kohlberg Kravis Roberts &amp; Co. L.P.</w:t>
              </w:r>
            </w:hyperlink>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10.37**</w:t>
            </w: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w:anchor="page473">
              <w:r>
                <w:rPr>
                  <w:rFonts w:ascii="Times New Roman" w:cs="Times New Roman" w:eastAsia="Times New Roman" w:hAnsi="Times New Roman"/>
                  <w:sz w:val="18"/>
                  <w:szCs w:val="18"/>
                  <w:u w:val="single" w:color="auto"/>
                  <w:color w:val="0000EE"/>
                </w:rPr>
                <w:t>Form of Director and Officer Indemnification Agreement.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700" w:type="dxa"/>
            <w:vAlign w:val="bottom"/>
          </w:tcPr>
          <w:p>
            <w:pPr>
              <w:spacing w:after="0"/>
              <w:rPr>
                <w:sz w:val="24"/>
                <w:szCs w:val="24"/>
                <w:color w:val="auto"/>
              </w:rPr>
            </w:pP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r:id="rId395">
              <w:r>
                <w:rPr>
                  <w:rFonts w:ascii="Times New Roman" w:cs="Times New Roman" w:eastAsia="Times New Roman" w:hAnsi="Times New Roman"/>
                  <w:sz w:val="18"/>
                  <w:szCs w:val="18"/>
                  <w:u w:val="single" w:color="auto"/>
                  <w:color w:val="0000EE"/>
                </w:rPr>
                <w:t>Subsidiaries of the Registrant.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23.1**</w:t>
            </w:r>
          </w:p>
        </w:tc>
        <w:tc>
          <w:tcPr>
            <w:tcW w:w="700" w:type="dxa"/>
            <w:vAlign w:val="bottom"/>
          </w:tcPr>
          <w:p>
            <w:pPr>
              <w:spacing w:after="0"/>
              <w:rPr>
                <w:sz w:val="24"/>
                <w:szCs w:val="24"/>
                <w:color w:val="auto"/>
              </w:rPr>
            </w:pP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w:anchor="page482">
              <w:r>
                <w:rPr>
                  <w:rFonts w:ascii="Times New Roman" w:cs="Times New Roman" w:eastAsia="Times New Roman" w:hAnsi="Times New Roman"/>
                  <w:sz w:val="18"/>
                  <w:szCs w:val="18"/>
                  <w:u w:val="single" w:color="auto"/>
                  <w:color w:val="0000EE"/>
                </w:rPr>
                <w:t>Consent of Deloitte &amp; Touche LLP (with respect to the financial statements of New Academy Holding Company, LLC).</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23.2**</w:t>
            </w:r>
          </w:p>
        </w:tc>
        <w:tc>
          <w:tcPr>
            <w:tcW w:w="700" w:type="dxa"/>
            <w:vAlign w:val="bottom"/>
          </w:tcPr>
          <w:p>
            <w:pPr>
              <w:spacing w:after="0"/>
              <w:rPr>
                <w:sz w:val="24"/>
                <w:szCs w:val="24"/>
                <w:color w:val="auto"/>
              </w:rPr>
            </w:pPr>
          </w:p>
        </w:tc>
        <w:tc>
          <w:tcPr>
            <w:tcW w:w="9820" w:type="dxa"/>
            <w:vAlign w:val="bottom"/>
            <w:gridSpan w:val="3"/>
          </w:tcPr>
          <w:p>
            <w:pPr>
              <w:spacing w:after="0"/>
              <w:rPr>
                <w:rFonts w:ascii="Times New Roman" w:cs="Times New Roman" w:eastAsia="Times New Roman" w:hAnsi="Times New Roman"/>
                <w:sz w:val="18"/>
                <w:szCs w:val="18"/>
                <w:color w:val="0000EE"/>
              </w:rPr>
            </w:pPr>
            <w:hyperlink w:anchor="page483">
              <w:r>
                <w:rPr>
                  <w:rFonts w:ascii="Times New Roman" w:cs="Times New Roman" w:eastAsia="Times New Roman" w:hAnsi="Times New Roman"/>
                  <w:sz w:val="18"/>
                  <w:szCs w:val="18"/>
                  <w:u w:val="single" w:color="auto"/>
                  <w:color w:val="0000EE"/>
                </w:rPr>
                <w:t>Consent of Deloitte &amp; Touche LLP (with respect to the financial statements of Academy Sports and Outdoors, Inc.)</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23.3**</w:t>
            </w:r>
          </w:p>
        </w:tc>
        <w:tc>
          <w:tcPr>
            <w:tcW w:w="700" w:type="dxa"/>
            <w:vAlign w:val="bottom"/>
          </w:tcPr>
          <w:p>
            <w:pPr>
              <w:spacing w:after="0"/>
              <w:rPr>
                <w:sz w:val="24"/>
                <w:szCs w:val="24"/>
                <w:color w:val="auto"/>
              </w:rPr>
            </w:pP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w:anchor="page372">
              <w:r>
                <w:rPr>
                  <w:rFonts w:ascii="Times New Roman" w:cs="Times New Roman" w:eastAsia="Times New Roman" w:hAnsi="Times New Roman"/>
                  <w:sz w:val="18"/>
                  <w:szCs w:val="18"/>
                  <w:u w:val="single" w:color="auto"/>
                  <w:color w:val="0000EE"/>
                </w:rPr>
                <w:t>Consent of Simpson Thacher &amp; Bartlett LLP (included as part of Exhibit 5.1).</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700" w:type="dxa"/>
            <w:vAlign w:val="bottom"/>
          </w:tcPr>
          <w:p>
            <w:pPr>
              <w:spacing w:after="0"/>
              <w:rPr>
                <w:sz w:val="24"/>
                <w:szCs w:val="24"/>
                <w:color w:val="auto"/>
              </w:rPr>
            </w:pP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r:id="rId396">
              <w:r>
                <w:rPr>
                  <w:rFonts w:ascii="Times New Roman" w:cs="Times New Roman" w:eastAsia="Times New Roman" w:hAnsi="Times New Roman"/>
                  <w:sz w:val="18"/>
                  <w:szCs w:val="18"/>
                  <w:u w:val="single" w:color="auto"/>
                  <w:color w:val="0000EE"/>
                </w:rPr>
                <w:t>Power of Attorney (included on signature pages to this Registration Statement).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99.1**</w:t>
            </w:r>
          </w:p>
        </w:tc>
        <w:tc>
          <w:tcPr>
            <w:tcW w:w="700" w:type="dxa"/>
            <w:vAlign w:val="bottom"/>
          </w:tcPr>
          <w:p>
            <w:pPr>
              <w:spacing w:after="0"/>
              <w:rPr>
                <w:sz w:val="24"/>
                <w:szCs w:val="24"/>
                <w:color w:val="auto"/>
              </w:rPr>
            </w:pP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w:anchor="page484">
              <w:r>
                <w:rPr>
                  <w:rFonts w:ascii="Times New Roman" w:cs="Times New Roman" w:eastAsia="Times New Roman" w:hAnsi="Times New Roman"/>
                  <w:sz w:val="18"/>
                  <w:szCs w:val="18"/>
                  <w:u w:val="single" w:color="auto"/>
                  <w:color w:val="0000EE"/>
                </w:rPr>
                <w:t>Consent of Allen I. Questrom to be named as a director nominee.</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99.2**</w:t>
            </w:r>
          </w:p>
        </w:tc>
        <w:tc>
          <w:tcPr>
            <w:tcW w:w="700" w:type="dxa"/>
            <w:vAlign w:val="bottom"/>
          </w:tcPr>
          <w:p>
            <w:pPr>
              <w:spacing w:after="0"/>
              <w:rPr>
                <w:sz w:val="24"/>
                <w:szCs w:val="24"/>
                <w:color w:val="auto"/>
              </w:rPr>
            </w:pPr>
          </w:p>
        </w:tc>
        <w:tc>
          <w:tcPr>
            <w:tcW w:w="9820" w:type="dxa"/>
            <w:vAlign w:val="bottom"/>
            <w:gridSpan w:val="3"/>
          </w:tcPr>
          <w:p>
            <w:pPr>
              <w:spacing w:after="0"/>
              <w:rPr>
                <w:rFonts w:ascii="Times New Roman" w:cs="Times New Roman" w:eastAsia="Times New Roman" w:hAnsi="Times New Roman"/>
                <w:sz w:val="18"/>
                <w:szCs w:val="18"/>
                <w:u w:val="single" w:color="auto"/>
                <w:color w:val="0000EE"/>
              </w:rPr>
            </w:pPr>
            <w:hyperlink w:anchor="page485">
              <w:r>
                <w:rPr>
                  <w:rFonts w:ascii="Times New Roman" w:cs="Times New Roman" w:eastAsia="Times New Roman" w:hAnsi="Times New Roman"/>
                  <w:sz w:val="18"/>
                  <w:szCs w:val="18"/>
                  <w:u w:val="single" w:color="auto"/>
                  <w:color w:val="0000EE"/>
                </w:rPr>
                <w:t>Consent of Jeffrey C. Tweedy to be named as a director nominee.</w:t>
              </w:r>
            </w:hyperlink>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20" w:right="9400" w:hanging="4"/>
        <w:spacing w:after="0" w:line="276" w:lineRule="auto"/>
        <w:tabs>
          <w:tab w:leader="none" w:pos="552"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 Filed herewith.</w:t>
      </w: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†Compensatory arrangements for director(s) and/or executive officer(s).</w:t>
      </w:r>
    </w:p>
    <w:p>
      <w:pPr>
        <w:sectPr>
          <w:pgSz w:w="11900" w:h="16838" w:orient="portrait"/>
          <w:cols w:equalWidth="0" w:num="1">
            <w:col w:w="11140"/>
          </w:cols>
          <w:pgMar w:left="320" w:top="455" w:right="439" w:bottom="1440" w:gutter="0" w:footer="0" w:header="0"/>
        </w:sectPr>
      </w:pPr>
    </w:p>
    <w:bookmarkStart w:id="296" w:name="page297"/>
    <w:bookmarkEnd w:id="2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Katy, Texas, on September 23, 2020.</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Ken C.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Ken C. Hicks</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Chairman, President and Chief Executive</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indicated on September 23, 2020:</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22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12"/>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Ken C. Hicks</w:t>
            </w: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Ken C. Hicks</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Michael P. Mullican</w:t>
            </w: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P. Mullican</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Heather A. Davis</w:t>
            </w: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Vice President, Controller</w:t>
            </w: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Heather A. Davis</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Brian T. Marley</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Vishal V. Patel</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319"/>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William S. Simon</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Nathaniel H. Taylor</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Aileen X. Yan</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bl>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Ken C.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24860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Ken C. Hicks</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Attorney-in-fact</w:t>
      </w:r>
    </w:p>
    <w:p>
      <w:pPr>
        <w:sectPr>
          <w:pgSz w:w="11900" w:h="16838" w:orient="portrait"/>
          <w:cols w:equalWidth="0" w:num="1">
            <w:col w:w="11140"/>
          </w:cols>
          <w:pgMar w:left="320" w:top="455" w:right="439" w:bottom="1440" w:gutter="0" w:footer="0" w:header="0"/>
        </w:sectPr>
      </w:pPr>
    </w:p>
    <w:bookmarkStart w:id="297" w:name="page298"/>
    <w:bookmarkEnd w:id="297"/>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25" w:lineRule="exact"/>
        <w:rPr>
          <w:sz w:val="20"/>
          <w:szCs w:val="20"/>
          <w:color w:val="auto"/>
        </w:rPr>
      </w:pPr>
    </w:p>
    <w:p>
      <w:pPr>
        <w:ind w:left="5400" w:hanging="273"/>
        <w:spacing w:after="0"/>
        <w:tabs>
          <w:tab w:leader="none" w:pos="54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w:t>
      </w:r>
    </w:p>
    <w:p>
      <w:pPr>
        <w:spacing w:after="0" w:line="27" w:lineRule="exact"/>
        <w:rPr>
          <w:rFonts w:ascii="Times New Roman" w:cs="Times New Roman" w:eastAsia="Times New Roman" w:hAnsi="Times New Roman"/>
          <w:sz w:val="18"/>
          <w:szCs w:val="18"/>
          <w:color w:val="auto"/>
        </w:rPr>
      </w:pPr>
    </w:p>
    <w:p>
      <w:pPr>
        <w:ind w:left="4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($0.01 par value)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Suisse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 named in Schedule I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Credit Suisse Securities (USA)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Eleven Madison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10010-3629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Academy Sports and Outdoors, Inc., a Delaware corporation (the “Company”), proposes to sell to the several underwriters named in Schedule I hereto (the “Underwriters”), for whom you (the “Representatives”) are acting as representatives, [●] shares of Common Stock, $0.01 par value (“Common Stock”), of the Company (said shares to be issued and sold by the Company being hereinafter called the “Underwritten Securities”). The Company also proposes to grant to the Underwriters an option to purchase up to [●] additional shares of Common Stock to cover overallotments, if any (the “Option Securities”; the Option Securities, together with the Underwritten Securities, being hereinafter called the “Securities”). Certain capitalized terms used herein are defined in Section 22 hereof.</w:t>
      </w:r>
    </w:p>
    <w:p>
      <w:pPr>
        <w:spacing w:after="0" w:line="187" w:lineRule="exact"/>
        <w:rPr>
          <w:sz w:val="20"/>
          <w:szCs w:val="20"/>
          <w:color w:val="auto"/>
        </w:rPr>
      </w:pPr>
    </w:p>
    <w:p>
      <w:pPr>
        <w:ind w:right="180" w:firstLine="991"/>
        <w:spacing w:after="0" w:line="289" w:lineRule="auto"/>
        <w:rPr>
          <w:sz w:val="20"/>
          <w:szCs w:val="20"/>
          <w:color w:val="auto"/>
        </w:rPr>
      </w:pPr>
      <w:r>
        <w:rPr>
          <w:rFonts w:ascii="Times New Roman" w:cs="Times New Roman" w:eastAsia="Times New Roman" w:hAnsi="Times New Roman"/>
          <w:sz w:val="17"/>
          <w:szCs w:val="17"/>
          <w:color w:val="auto"/>
        </w:rPr>
        <w:t>In connection with the offering of the Securities, the unitholders of New Academy Holding Company, LLC will contribute their interests in New Academy Holding Company, LLC in exchange for shares of Common Stock of the Company (such contribution, together with the series of reorganization transactions that will take place prior to the consummation of the offering of the Securities, the “Reorganization Transactions.”</w:t>
      </w:r>
    </w:p>
    <w:p>
      <w:pPr>
        <w:spacing w:after="0" w:line="158"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For the purposes of this Agreement, the term “Transaction” means, collectively, the Reorganization Transactions, the offering of the Securities and the use of proceeds therefrom as described herein and in the Disclosure Package.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each Underwriter as set forth below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298" w:name="page299"/>
    <w:bookmarkEnd w:id="298"/>
    <w:p>
      <w:pPr>
        <w:ind w:firstLine="436"/>
        <w:spacing w:after="0" w:line="253" w:lineRule="auto"/>
        <w:tabs>
          <w:tab w:leader="none" w:pos="68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prepared and filed with the Commission a registration statement (file number 333-248683) on Form S-1, including a related preliminary prospectus, for registration under the Act of the offering and sale of the Securities. Such Registration Statement, including any amendments thereto filed prior to the Execution Time, has become effective. No order suspending the effectiveness of the Registration Statement has been issued by the Commission, and no proceeding for that purpose or pursuant to Section 8A of the Act against the Company or related to the offering of the Securities has been initiated or threatened by the Commission. The Company may have filed one or more amendments thereto, including a related preliminary prospectus, each of which has previously been furnished to you. The Company will file with the Commission a final prospectus in accordance with Rule 424(b). As filed, such final prospectus shall contain all information required by the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Company has advised you, prior to the Execution Time, will be included or made therein.</w:t>
      </w:r>
    </w:p>
    <w:p>
      <w:pPr>
        <w:spacing w:after="0" w:line="194" w:lineRule="exact"/>
        <w:rPr>
          <w:rFonts w:ascii="Times New Roman" w:cs="Times New Roman" w:eastAsia="Times New Roman" w:hAnsi="Times New Roman"/>
          <w:sz w:val="18"/>
          <w:szCs w:val="18"/>
          <w:color w:val="auto"/>
        </w:rPr>
      </w:pPr>
    </w:p>
    <w:p>
      <w:pPr>
        <w:ind w:right="20" w:firstLine="436"/>
        <w:spacing w:after="0" w:line="253" w:lineRule="auto"/>
        <w:tabs>
          <w:tab w:leader="none" w:pos="69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Effective Date, the Registration Statement did, and when the Prospectus is first filed in accordance with Rule 424(b) and on the Closing Date (as defined below) and on any date on which Option Securities are purchased, if such date is not the Closing Date (a “settlement date”), the Prospectus (and any supplement thereto) will, comply in all material respects with the applicable requirements of the Act and the rules thereunder; on the Effective Date, at the Execution Time and on the Closing Date and any settlement date, the Registration Statement did not and will not contain any untrue statement of a material fact or omit to state any material fact required to be stated therein or necessary to make the statements therein not misleading; and on the date of any filing pursuant to Rule 424(b) and on the Closing Date and any settlement date, the Prospectus (together with any supplement thereto) will not include any untrue statement of a material fact or omit to state any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through the Representatives specifically for inclusion in the Registration Statement or the Prospectus (or any supplement thereto).</w:t>
      </w:r>
    </w:p>
    <w:p>
      <w:pPr>
        <w:spacing w:after="0" w:line="191" w:lineRule="exact"/>
        <w:rPr>
          <w:rFonts w:ascii="Times New Roman" w:cs="Times New Roman" w:eastAsia="Times New Roman" w:hAnsi="Times New Roman"/>
          <w:sz w:val="18"/>
          <w:szCs w:val="18"/>
          <w:color w:val="auto"/>
        </w:rPr>
      </w:pPr>
    </w:p>
    <w:p>
      <w:pPr>
        <w:ind w:right="120" w:firstLine="436"/>
        <w:spacing w:after="0" w:line="256" w:lineRule="auto"/>
        <w:tabs>
          <w:tab w:leader="none" w:pos="68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Disclosure Package, (ii) any individual Written Testing-the-Waters Communication, when taken together as a whole with the Disclosure Package, and (iii) each electronic road show, when taken together as a whole with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any Written Testing-the-Waters Communication or any electronic roadshow based upon and in conformity with written information furnished to the Company by or on behalf of any Underwriter through the Representatives specifically for use therein.</w:t>
      </w:r>
    </w:p>
    <w:p>
      <w:pPr>
        <w:spacing w:after="0" w:line="187" w:lineRule="exact"/>
        <w:rPr>
          <w:rFonts w:ascii="Times New Roman" w:cs="Times New Roman" w:eastAsia="Times New Roman" w:hAnsi="Times New Roman"/>
          <w:sz w:val="18"/>
          <w:szCs w:val="18"/>
          <w:color w:val="auto"/>
        </w:rPr>
      </w:pPr>
    </w:p>
    <w:p>
      <w:pPr>
        <w:ind w:right="240" w:firstLine="436"/>
        <w:spacing w:after="0" w:line="282" w:lineRule="auto"/>
        <w:tabs>
          <w:tab w:leader="none" w:pos="69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At the time of filing the Registration Statement and (ii) as of the Execution Time (with such date being used as the determination date for purposes of this clause (ii)),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299" w:name="page300"/>
    <w:bookmarkEnd w:id="299"/>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was not and is not an Ineligible Issuer (as defined in Rule 405), without taking account of any determination by the Commission pursuant to Rule 405 that it is not necessary that the Company be considered an Ineligible Issuer.</w:t>
      </w:r>
    </w:p>
    <w:p>
      <w:pPr>
        <w:spacing w:after="0" w:line="162" w:lineRule="exact"/>
        <w:rPr>
          <w:sz w:val="20"/>
          <w:szCs w:val="20"/>
          <w:color w:val="auto"/>
        </w:rPr>
      </w:pPr>
    </w:p>
    <w:p>
      <w:pPr>
        <w:ind w:right="120" w:firstLine="436"/>
        <w:spacing w:after="0" w:line="289" w:lineRule="auto"/>
        <w:tabs>
          <w:tab w:leader="none" w:pos="685"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Issuer Free Writing Prospectus does not include any information that conflicts with the information contained in the Registration Statement. The foregoing sentence does not apply to statements in or omissions from any Issuer Free Writing Prospectus based upon and in conformity with written information furnished to the Company by or on behalf of any Underwriter through the Representatives specifically for use therein.</w:t>
      </w:r>
    </w:p>
    <w:p>
      <w:pPr>
        <w:spacing w:after="0" w:line="157" w:lineRule="exact"/>
        <w:rPr>
          <w:rFonts w:ascii="Times New Roman" w:cs="Times New Roman" w:eastAsia="Times New Roman" w:hAnsi="Times New Roman"/>
          <w:sz w:val="17"/>
          <w:szCs w:val="17"/>
          <w:color w:val="auto"/>
        </w:rPr>
      </w:pPr>
    </w:p>
    <w:p>
      <w:pPr>
        <w:ind w:right="60" w:firstLine="436"/>
        <w:spacing w:after="0" w:line="289" w:lineRule="auto"/>
        <w:tabs>
          <w:tab w:leader="none" w:pos="665"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 has not alone engaged in any Testing-the-Waters Communication (other than Testing-the-Waters Communications with the consent of the Representatives) and (b) has not authorized anyone other than the Representatives to engage in Testing-the-Waters Communications. The Company reconfirms that the Representatives have been authorized to act on the Company’s behalf in undertaking Testing-the-Waters Communication.</w:t>
      </w:r>
    </w:p>
    <w:p>
      <w:pPr>
        <w:spacing w:after="0" w:line="157" w:lineRule="exact"/>
        <w:rPr>
          <w:rFonts w:ascii="Times New Roman" w:cs="Times New Roman" w:eastAsia="Times New Roman" w:hAnsi="Times New Roman"/>
          <w:sz w:val="17"/>
          <w:szCs w:val="17"/>
          <w:color w:val="auto"/>
        </w:rPr>
      </w:pPr>
    </w:p>
    <w:p>
      <w:pPr>
        <w:ind w:right="240" w:firstLine="436"/>
        <w:spacing w:after="0" w:line="266" w:lineRule="auto"/>
        <w:tabs>
          <w:tab w:leader="none" w:pos="69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Significant Subsidiary (as defined below) is or, after giving effect to the offering and sale of the Securities and the application of the proceeds thereof as described in the Prospectus, will be an “investment company” as defined in the Investment Company Act, without taking account of any exemption arising out of the number of holders of the Company’s securities.</w:t>
      </w:r>
    </w:p>
    <w:p>
      <w:pPr>
        <w:spacing w:after="0" w:line="175" w:lineRule="exact"/>
        <w:rPr>
          <w:rFonts w:ascii="Times New Roman" w:cs="Times New Roman" w:eastAsia="Times New Roman" w:hAnsi="Times New Roman"/>
          <w:sz w:val="18"/>
          <w:szCs w:val="18"/>
          <w:color w:val="auto"/>
        </w:rPr>
      </w:pPr>
    </w:p>
    <w:p>
      <w:pPr>
        <w:ind w:right="240" w:firstLine="436"/>
        <w:spacing w:after="0" w:line="282" w:lineRule="auto"/>
        <w:tabs>
          <w:tab w:leader="none" w:pos="69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paid or agreed to pay to any person any compensation for soliciting another to purchase any Securities (except as contemplated in this Agreement).</w:t>
      </w:r>
    </w:p>
    <w:p>
      <w:pPr>
        <w:spacing w:after="0" w:line="161" w:lineRule="exact"/>
        <w:rPr>
          <w:rFonts w:ascii="Times New Roman" w:cs="Times New Roman" w:eastAsia="Times New Roman" w:hAnsi="Times New Roman"/>
          <w:sz w:val="18"/>
          <w:szCs w:val="18"/>
          <w:color w:val="auto"/>
        </w:rPr>
      </w:pPr>
    </w:p>
    <w:p>
      <w:pPr>
        <w:jc w:val="both"/>
        <w:ind w:right="420" w:firstLine="436"/>
        <w:spacing w:after="0" w:line="266" w:lineRule="auto"/>
        <w:tabs>
          <w:tab w:leader="none" w:pos="65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or any of their respective Affiliates has taken or will take, directly or indirectly, any action designed to or that has constituted or that would reasonably be expected to cause or result, under the Exchange Act or otherwise, in stabilization or manipulation of the price of any security of the Company or any of its subsidiaries to facilitate the sale or resale of the Securities.</w:t>
      </w:r>
    </w:p>
    <w:p>
      <w:pPr>
        <w:spacing w:after="0" w:line="175" w:lineRule="exact"/>
        <w:rPr>
          <w:rFonts w:ascii="Times New Roman" w:cs="Times New Roman" w:eastAsia="Times New Roman" w:hAnsi="Times New Roman"/>
          <w:sz w:val="18"/>
          <w:szCs w:val="18"/>
          <w:color w:val="auto"/>
        </w:rPr>
      </w:pPr>
    </w:p>
    <w:p>
      <w:pPr>
        <w:ind w:firstLine="436"/>
        <w:spacing w:after="0" w:line="254" w:lineRule="auto"/>
        <w:tabs>
          <w:tab w:leader="none" w:pos="65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(i) has been duly organized and is validly existing as an entity in good standing under the laws of the jurisdiction in which it is chartered or organized, (ii) has full corporate or other organizational power and authority to own or lease, as the case may be, and to operate its properties and conduct its business as described in the Disclosure Package and the Prospectus, and (iii) is duly qualified to do business as a foreign corporation or other entity and is in good standing under the laws of each jurisdiction where the ownership or leasing of its properties or the conduct of its business requires such qualification except, in the case of its subsidiaries, and solely with respect to clause (iii), the Company, where the failure to be so organized or qualified, have such power or authority or be in good standing would not have a material adverse effect, or reasonably be expected to have a prospective material adverse effect, on the condition (financial or otherwise), business or results of operations of the Company and its subsidiaries, taken as a whole and after giving effect to the Transaction (a “Material Adverse Effect”).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00" w:name="page301"/>
    <w:bookmarkEnd w:id="300"/>
    <w:p>
      <w:pPr>
        <w:ind w:left="4" w:right="80" w:firstLine="436"/>
        <w:spacing w:after="0" w:line="282" w:lineRule="auto"/>
        <w:tabs>
          <w:tab w:leader="none" w:pos="699"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no “significant subsidiary,” as defined in Rule 1-02(w) of Regulation S-X under the Act, other than those subsidiaries listed on Schedule III (each, a “Significant Subsidiary”).</w:t>
      </w:r>
    </w:p>
    <w:p>
      <w:pPr>
        <w:spacing w:after="0" w:line="161" w:lineRule="exact"/>
        <w:rPr>
          <w:rFonts w:ascii="Times New Roman" w:cs="Times New Roman" w:eastAsia="Times New Roman" w:hAnsi="Times New Roman"/>
          <w:sz w:val="18"/>
          <w:szCs w:val="18"/>
          <w:color w:val="auto"/>
        </w:rPr>
      </w:pPr>
    </w:p>
    <w:p>
      <w:pPr>
        <w:ind w:left="4" w:firstLine="436"/>
        <w:spacing w:after="0" w:line="268" w:lineRule="auto"/>
        <w:tabs>
          <w:tab w:leader="none" w:pos="659" w:val="left"/>
        </w:tabs>
        <w:numPr>
          <w:ilvl w:val="1"/>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August 1, 2020, after giving effect to the consummation of the Transaction (but without giving effect to the issuance of any Option Securities), the Company and its subsidiaries would have had the issued and outstanding pro forma capitalization as set forth in the Disclosure Package and the Prospectus under the heading “Capitalization”, and all the outstanding membership interests or shares of capital stock, as applicable, of the Company and each subsidiary listed on Exhibit 21 of the Registration Statement have been duly authorized and validly issued, are fully paid and nonassessable, if applicable, and were not issued in violation of any preemptive or similar rights and, except as otherwise set forth in the Disclosure Package and the Prospectus, as of the Closing Date, all outstanding shares of capital stock or membership interests of the subsidiaries held by the Company are owned either directly or indirectly free and clear of any security interest, claim, lien or encumbrance (other than liens, encumbrances and restrictions imposed in connection with (A) that certain First Amended and Restated Credit Agreement, dated July 2, 2015, among Academy, Ltd., as Borrower, New Academy Holding Company, LLC, as Holdings, Associated Investors L.L.C. and Academy Managing Co., L.L.C, as Texas Intermediate Holdcos, the lending institutions from time to time party thereto and Morgan Stanley Senior Funding, Inc., as the Administrative Agent and the Collateral Agent (as amended, the “Term Loan Facility) and (B) that certain First Amended and Restated ABL Credit Agreement, dated July 2, 2015, among Academy, Ltd., as Borrower, New Academy Holding Company, LLC, as Holdings, Associated Investors L.L.C. and Academy Managing Co., L.L.C, as Texas Intermediate Holdcos, the lending institutions from time to time party thereto and JPMorgan Chase Bank, N.A., as the Administrative Agent, the Collateral Agent, the Letter of Credit Issuer and the Swingline Lender (as amended, the “ABL Facility” and, together with the Term Loan Facility, the “Credit Facilities”) or permitted under the Credit Facilities or by the Act). Except as disclosed in the Disclosure Package and the Prospectus, or except in connection with equity investments by, or awards of stock options or other equity-based awards to, members of management or other employees of the Company, or any directors, contractors or agents of the Company, as described in the Disclosure Package and the Prospectus, there will be, on the Closing Date and after giving effect to the consummation of the Transaction, no (i) outstanding options, warrants or other rights to purchase,</w:t>
      </w:r>
    </w:p>
    <w:p>
      <w:pPr>
        <w:spacing w:after="0" w:line="195" w:lineRule="exact"/>
        <w:rPr>
          <w:rFonts w:ascii="Times New Roman" w:cs="Times New Roman" w:eastAsia="Times New Roman" w:hAnsi="Times New Roman"/>
          <w:sz w:val="17"/>
          <w:szCs w:val="17"/>
          <w:color w:val="auto"/>
        </w:rPr>
      </w:pPr>
    </w:p>
    <w:p>
      <w:pPr>
        <w:ind w:left="4" w:right="20" w:hanging="4"/>
        <w:spacing w:after="0" w:line="260" w:lineRule="auto"/>
        <w:tabs>
          <w:tab w:leader="none" w:pos="269"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or other obligations to issue or (iii) other rights to convert any obligation into, or exchange any securities for, shares of capital stock of or ownership interests in the Company or any of its subsidiaries.</w:t>
      </w:r>
    </w:p>
    <w:p>
      <w:pPr>
        <w:spacing w:after="0" w:line="181"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left="4" w:right="20" w:firstLine="436"/>
        <w:spacing w:after="0" w:line="277" w:lineRule="auto"/>
        <w:tabs>
          <w:tab w:leader="none" w:pos="699" w:val="left"/>
        </w:tabs>
        <w:numPr>
          <w:ilvl w:val="1"/>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consent, approval, authorization, filing with or order of any United States (or any political subdivision thereof) court or governmental agency or body, or to the knowledge of the Company, any non-United States court or governmental agency or body, in either case is required in connection with the execution, delivery and performance of this Agreement (including, without limitation, the issuance of the Securities) or the consummation of the transactions contemplated hereby, including the Transaction, except (i) registration of the Securities under the Act, (ii) such as may be required under the blue sky laws of any jurisdiction in which the Securities are offered and sold in connection with the transactions contemplated</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301" w:name="page302"/>
    <w:bookmarkEnd w:id="301"/>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hereby or under the Conduct Rules of the Financial Industry Regulatory Authority, Inc. (“FINRA”), (iii) filings with the Commission pursuant to Rule 424(b), (iv) filings with the Commission under the Exchange Act, (v) the filing of the Amended and Restated Certificate of Incorporation of the Company with the Secretary of State for the State of Delaware or (vi) as shall have been obtained or made prior to the Closing Date.</w:t>
      </w:r>
    </w:p>
    <w:p>
      <w:pPr>
        <w:spacing w:after="0" w:line="176" w:lineRule="exact"/>
        <w:rPr>
          <w:sz w:val="20"/>
          <w:szCs w:val="20"/>
          <w:color w:val="auto"/>
        </w:rPr>
      </w:pPr>
    </w:p>
    <w:p>
      <w:pPr>
        <w:ind w:firstLine="436"/>
        <w:spacing w:after="0" w:line="254" w:lineRule="auto"/>
        <w:tabs>
          <w:tab w:leader="none" w:pos="69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issue and sale of the Securities nor the consummation of the transactions contemplated hereby, including the Transaction, nor the fulfillment of the terms hereof or thereof, will conflict with, result in a breach or violation of or imposition of any lien, charge or encumbrance upon any property or assets of the Company or any of its subsidiaries pursuant to (i) the terms of any indenture, contract, lease, mortgage, deed of trust, note agreement, loan agreement or other agreement, obligation, condition, covenant or instrument to which the Company or any of its subsidiaries is a party or bound or to which its or their property is subject; or (ii) any statute, law, rule, regulation, judgment, order or decree of any court, regulatory body, administrative agency, governmental body, arbitrator or other authority having jurisdiction over the Company or any of its subsidiaries or any of its or their properties, other than in the cases of clauses (i) and (ii), such breaches, violations, liens, charges, or encumbrances that would not reasonably be expected to, individually or in the aggregate, have a Material Adverse Effect; or result in the violation of the charter, bylaws or any equivalent organizational document of the Company or any of its subsidiaries.</w:t>
      </w:r>
    </w:p>
    <w:p>
      <w:pPr>
        <w:spacing w:after="0" w:line="188"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contract or other document of a character required to be described in the Registration Statement or Prospectus, or to be filed as an exhibit thereto, which is not described or filed as required. The statements in the Preliminary Prospectus and the Prospectus under the headings “Material U.S. Federal Income and Estate Tax Consequences to Non-U.S. Holders,” “Business—Governmental Regulations,” “Business—Legal Proceedings” and “Business—Intellectual Property” insofar as such statements summarize legal matters, agreements, documents or proceedings discussed therein, are accurate and fair summaries of such legal matters, agreements, documents or proceedings.</w:t>
      </w:r>
    </w:p>
    <w:p>
      <w:pPr>
        <w:spacing w:after="0" w:line="183" w:lineRule="exact"/>
        <w:rPr>
          <w:rFonts w:ascii="Times New Roman" w:cs="Times New Roman" w:eastAsia="Times New Roman" w:hAnsi="Times New Roman"/>
          <w:sz w:val="18"/>
          <w:szCs w:val="18"/>
          <w:color w:val="auto"/>
        </w:rPr>
      </w:pPr>
    </w:p>
    <w:p>
      <w:pPr>
        <w:jc w:val="both"/>
        <w:ind w:right="480" w:firstLine="436"/>
        <w:spacing w:after="0" w:line="266" w:lineRule="auto"/>
        <w:tabs>
          <w:tab w:leader="none" w:pos="69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holders of securities of the Company have rights to the registration of such securities under the Registration Statement, other than as required by the Registration Rights Agreement, dated as of August 3, 2011, among the Company and the shareholders party thereto (as amended, supplemented or otherwise modified from time to time prior to the date hereof).</w:t>
      </w:r>
    </w:p>
    <w:p>
      <w:pPr>
        <w:spacing w:after="0" w:line="175" w:lineRule="exact"/>
        <w:rPr>
          <w:rFonts w:ascii="Times New Roman" w:cs="Times New Roman" w:eastAsia="Times New Roman" w:hAnsi="Times New Roman"/>
          <w:sz w:val="18"/>
          <w:szCs w:val="18"/>
          <w:color w:val="auto"/>
        </w:rPr>
      </w:pPr>
    </w:p>
    <w:p>
      <w:pPr>
        <w:ind w:firstLine="436"/>
        <w:spacing w:after="0" w:line="254" w:lineRule="auto"/>
        <w:tabs>
          <w:tab w:leader="none" w:pos="66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Disclosure Package and the Prospectus, the consolidated historical financial statements included in the Disclosure Package and the Prospectus present fairly in all material respects the consolidated financial position, results of operations and cash flows of the entities to which they relate as of the dates and for the periods indicated and have been prepared in conformity with United States generally accepted accounting principles applied on a consistent basis throughout the periods involved (except as otherwise noted therein); the selected financial data set forth under the heading “Selected Historical Consolidated Financial Data” in the Disclosure Package and the Prospectus fairly presents in all material respects, on the basis stated in the Disclosure Package and the Prospectus, the information included therein; the summary historical financial data set forth under the heading “Summary—Summary Historical Consolidated Financial and Other Data” in the Disclosure Package and the Prospectus fairly presents in all material respects, on the basis stated in the Disclosure Package and the Prospectus, the information included therein.</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302" w:name="page303"/>
    <w:bookmarkEnd w:id="302"/>
    <w:p>
      <w:pPr>
        <w:ind w:left="684" w:hanging="244"/>
        <w:spacing w:after="0"/>
        <w:tabs>
          <w:tab w:leader="none" w:pos="684"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otherwise set forth therein, since the respective dates as of which information is given in the Disclosure Package or the Prospectus,</w:t>
      </w:r>
    </w:p>
    <w:p>
      <w:pPr>
        <w:spacing w:after="0" w:line="27" w:lineRule="exact"/>
        <w:rPr>
          <w:rFonts w:ascii="Times New Roman" w:cs="Times New Roman" w:eastAsia="Times New Roman" w:hAnsi="Times New Roman"/>
          <w:sz w:val="18"/>
          <w:szCs w:val="18"/>
          <w:color w:val="auto"/>
        </w:rPr>
      </w:pPr>
    </w:p>
    <w:p>
      <w:pPr>
        <w:ind w:left="4" w:right="100" w:hanging="4"/>
        <w:spacing w:after="0" w:line="253" w:lineRule="auto"/>
        <w:tabs>
          <w:tab w:leader="none" w:pos="219"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adverse change or development that could reasonably be expected to involve a prospective material adverse change, in the condition (financial or otherwise), business or results of operations of the Company and its subsidiaries, taken as a whole, (ii) there have been no transactions entered into by the Company or any of its subsidiaries, other than those in the ordinary course of business, which are material with respect to the Company and its subsidiaries, taken as a whole, and (iii) there has been no dividend or distribution of any kind declared, paid or made by the Company on any class of its capital stock.</w:t>
      </w:r>
    </w:p>
    <w:p>
      <w:pPr>
        <w:spacing w:after="0" w:line="186" w:lineRule="exact"/>
        <w:rPr>
          <w:rFonts w:ascii="Times New Roman" w:cs="Times New Roman" w:eastAsia="Times New Roman" w:hAnsi="Times New Roman"/>
          <w:sz w:val="18"/>
          <w:szCs w:val="18"/>
          <w:color w:val="auto"/>
        </w:rPr>
      </w:pPr>
    </w:p>
    <w:p>
      <w:pPr>
        <w:ind w:left="4" w:right="180" w:firstLine="436"/>
        <w:spacing w:after="0" w:line="258" w:lineRule="auto"/>
        <w:tabs>
          <w:tab w:leader="none" w:pos="659"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or contemplated in the Disclosure Package and the Prospectus (exclusive of any supplement thereto), no action, suit, proceeding, investigation or audit by or before any court or governmental agency, authority or body or any arbitrator involving the Company or any of its subsidiaries or their respective property is pending or, to the knowledge of the Company, threatened or contemplated that (i) would reasonably be expected to have a material adverse effect on the performance of this Agreement or the consummation of any of the transactions contemplated hereby, including the Transaction, or (ii) would reasonably be expected to have a Material Adverse Effect.</w:t>
      </w:r>
    </w:p>
    <w:p>
      <w:pPr>
        <w:spacing w:after="0" w:line="183"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good and marketable title in fee simple to all real property owned by them and good and marketable title to all personal property owned by them, in each case free and clear of all liens, encumbrances and defects except (i) pursuant to the Credit Facilities or (ii) where failure to have such good and marketable title or free and clear title would not reasonably be expected to have a Material Adverse Effect; and any real property and buildings held under lease by the Company and its subsidiaries are held by them under valid, subsisting and enforceable leases with such exceptions as would not reasonably be expected to have a Material Adverse Effect.</w:t>
      </w:r>
    </w:p>
    <w:p>
      <w:pPr>
        <w:spacing w:after="0" w:line="183"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699"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or contemplated in the Disclosure Package and the Prospectus (exclusive of any supplement thereto), none of the Company or any of its subsidiaries is in violation or default of (i) any provision of its charter, bylaws or any equivalent organizational document;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applicable to the Company or any its subsidiaries of any court, regulatory body, administrative agency, governmental body, arbitrator or other authority having jurisdiction over the Company, its subsidiaries or any of their respective properties, as applicable, other than in the cases of clauses (i) (if such entity is not the Company or a Significant Subsidiary), (ii) and (iii), such violations and defaults that would not reasonably be expected to have a Material Adverse Effect.</w:t>
      </w:r>
    </w:p>
    <w:p>
      <w:pPr>
        <w:spacing w:after="0" w:line="191"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739"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Deloitte &amp; Touche LLP, who has audited the consolidated financial statements of New Academy Holding Company, LLC and its subsidiaries as of February 1, 2020 and February 2, 2019 and for each of the three years in the period ended February 1, 2020 and the consolidated</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303" w:name="page304"/>
    <w:bookmarkEnd w:id="303"/>
    <w:p>
      <w:pPr>
        <w:ind w:right="2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balance sheet of the Company as of June 30, 2020, each included in the Disclosure Package and the Prospectus, are independent registered public accountants with respect to the Company within the meaning of the Exchange Act and the rules of the Public Company Accounting Oversight Board.</w:t>
      </w:r>
    </w:p>
    <w:p>
      <w:pPr>
        <w:spacing w:after="0" w:line="140" w:lineRule="exact"/>
        <w:rPr>
          <w:sz w:val="20"/>
          <w:szCs w:val="20"/>
          <w:color w:val="auto"/>
        </w:rPr>
      </w:pPr>
    </w:p>
    <w:p>
      <w:pPr>
        <w:ind w:firstLine="436"/>
        <w:spacing w:after="0" w:line="256" w:lineRule="auto"/>
        <w:tabs>
          <w:tab w:leader="none" w:pos="69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or contemplated in the Disclosure Package and the Prospectus (exclusive of any supplement thereto), the Company and its subsidiaries (i) have filed all non-U.S., U.S. federal, state and local tax returns that are required to be filed or have requested extensions thereof except in any case in which the failure so to file would not reasonably be expected to have a Material Adverse Effect and (ii) have paid all taxes required to be paid by them and any other tax assessment, fine or penalty levied against them, to the extent that any of the foregoing is due and payable, except for any such tax, tax assessment, fine or penalty that is currently being contested in good faith or as would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right="220" w:firstLine="436"/>
        <w:spacing w:after="0" w:line="266" w:lineRule="auto"/>
        <w:tabs>
          <w:tab w:leader="none" w:pos="69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problem or dispute with the employees of the Company or any of its subsidiaries exists or to the Company’s knowledge, is threatened, and the Company is unaware of any existing labor problem or dispute, that, in each case, would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right="20" w:firstLine="436"/>
        <w:spacing w:after="0" w:line="261" w:lineRule="auto"/>
        <w:tabs>
          <w:tab w:leader="none" w:pos="68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take as a whole, have insurance in amounts and against such losses and risks as such party believes to be customary for companies engaged in similar business in similar industries and markets; and neither the Company nor any of its subsidiaries has received written notice from any insurer or agent of such insurer that capital improvements or other expenditures are required or necessary to be made in order to continue such insurance, except, in each case, that would not reasonably be expected to have a Material Adverse Effect.</w:t>
      </w:r>
    </w:p>
    <w:p>
      <w:pPr>
        <w:spacing w:after="0" w:line="180" w:lineRule="exact"/>
        <w:rPr>
          <w:sz w:val="20"/>
          <w:szCs w:val="20"/>
          <w:color w:val="auto"/>
        </w:rPr>
      </w:pPr>
    </w:p>
    <w:p>
      <w:pPr>
        <w:ind w:firstLine="436"/>
        <w:spacing w:after="0" w:line="254" w:lineRule="auto"/>
        <w:tabs>
          <w:tab w:leader="none" w:pos="76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subsidiary of the Company will be prohibited, directly or indirectly, from paying any dividends to the Company or any other subsidiary (except as may be limited by applicable state or foreign corporation, limited liability company, limited partnership, partnership, insurance or other applicable regulatory law), from making any other distribution on such subsidiary’s capital stock or membership interests (except as may be limited by applicable state or foreign corporation, limited liability company, limited partnership, partnership, insurance or other applicable regulatory law), from repaying to the Company or any other subsidiary any loans or advances to such subsidiary from the Company or any other subsidiary or from transferring any of such subsidiary’s property or assets to the Company or any other subsidiary of the Company, except as described in the Disclosure Package and the Prospectus (exclusive of any supplement thereto) or contemplated pursuant to the Credit Facilities.</w:t>
      </w:r>
    </w:p>
    <w:p>
      <w:pPr>
        <w:spacing w:after="0" w:line="191" w:lineRule="exact"/>
        <w:rPr>
          <w:rFonts w:ascii="Times New Roman" w:cs="Times New Roman" w:eastAsia="Times New Roman" w:hAnsi="Times New Roman"/>
          <w:sz w:val="18"/>
          <w:szCs w:val="18"/>
          <w:color w:val="auto"/>
        </w:rPr>
      </w:pPr>
    </w:p>
    <w:p>
      <w:pPr>
        <w:ind w:right="60" w:firstLine="436"/>
        <w:spacing w:after="0" w:line="261" w:lineRule="auto"/>
        <w:tabs>
          <w:tab w:leader="none" w:pos="78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or contemplated in the Disclosure Package and the Prospectus (exclusive of any supplement thereto), (i) the Company and its subsidiaries possess all licenses, certificates, permits and other authorizations issued by the appropriate U.S. federal, state or non-U.S. regulatory authorities necessary to conduct their respective businesses, except where the failure to possess such licenses, certificates, permits and other authorizations would not reasonably be expected to have a Material Adverse Effect, and (ii) none of the Company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04" w:name="page305"/>
    <w:bookmarkEnd w:id="304"/>
    <w:p>
      <w:pPr>
        <w:ind w:left="4"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of its subsidiaries has received any notice of proceedings relating to the revocation or modification of any such certificate, authorization or permit that, individually or in the aggregate, if the subject of an unfavorable decision, ruling or finding, would reasonably be expected to have a Material Adverse Effect.</w:t>
      </w:r>
    </w:p>
    <w:p>
      <w:pPr>
        <w:spacing w:after="0" w:line="176" w:lineRule="exact"/>
        <w:rPr>
          <w:sz w:val="20"/>
          <w:szCs w:val="20"/>
          <w:color w:val="auto"/>
        </w:rPr>
      </w:pPr>
    </w:p>
    <w:p>
      <w:pPr>
        <w:ind w:left="764" w:hanging="324"/>
        <w:spacing w:after="0"/>
        <w:tabs>
          <w:tab w:leader="none" w:pos="764"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maintain a system of internal accounting controls sufficient to provide reasonable assurance that</w:t>
      </w:r>
    </w:p>
    <w:p>
      <w:pPr>
        <w:spacing w:after="0" w:line="27" w:lineRule="exact"/>
        <w:rPr>
          <w:rFonts w:ascii="Times New Roman" w:cs="Times New Roman" w:eastAsia="Times New Roman" w:hAnsi="Times New Roman"/>
          <w:sz w:val="18"/>
          <w:szCs w:val="18"/>
          <w:color w:val="auto"/>
        </w:rPr>
      </w:pPr>
    </w:p>
    <w:p>
      <w:pPr>
        <w:ind w:left="4" w:hanging="4"/>
        <w:spacing w:after="0" w:line="271" w:lineRule="auto"/>
        <w:tabs>
          <w:tab w:leader="none" w:pos="219"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Disclosure Package and the Prospectus, the Company is not aware of any material weakness in the Company and its subsidiaries’ internal controls over financial reporting.</w:t>
      </w:r>
    </w:p>
    <w:p>
      <w:pPr>
        <w:spacing w:after="0" w:line="173" w:lineRule="exact"/>
        <w:rPr>
          <w:rFonts w:ascii="Times New Roman" w:cs="Times New Roman" w:eastAsia="Times New Roman" w:hAnsi="Times New Roman"/>
          <w:sz w:val="17"/>
          <w:szCs w:val="17"/>
          <w:color w:val="auto"/>
        </w:rPr>
      </w:pPr>
    </w:p>
    <w:p>
      <w:pPr>
        <w:ind w:left="4" w:right="620" w:firstLine="436"/>
        <w:spacing w:after="0" w:line="282" w:lineRule="auto"/>
        <w:tabs>
          <w:tab w:leader="none" w:pos="789"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maintain “disclosure controls and procedures” (as such term is defined in Rule 13a-15(e) under the Exchange Act); such disclosure controls and procedures are effective.</w:t>
      </w:r>
    </w:p>
    <w:p>
      <w:pPr>
        <w:spacing w:after="0" w:line="161" w:lineRule="exact"/>
        <w:rPr>
          <w:rFonts w:ascii="Times New Roman" w:cs="Times New Roman" w:eastAsia="Times New Roman" w:hAnsi="Times New Roman"/>
          <w:sz w:val="18"/>
          <w:szCs w:val="18"/>
          <w:color w:val="auto"/>
        </w:rPr>
      </w:pPr>
    </w:p>
    <w:p>
      <w:pPr>
        <w:jc w:val="both"/>
        <w:ind w:left="4" w:right="80" w:firstLine="436"/>
        <w:spacing w:after="0" w:line="270" w:lineRule="auto"/>
        <w:tabs>
          <w:tab w:leader="none" w:pos="769" w:val="left"/>
        </w:tabs>
        <w:numPr>
          <w:ilvl w:val="1"/>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in or contemplated in the Disclosure Package and the Prospectus (exclusive of any supplement thereto), the Company and its subsidiaries (i) are in compliance with any and all applicable non-U.S., U.S. federal, state and local laws and regulations relating to the protection of human health and safety (as such is affected by hazardous or toxic substances or wastes (including, without limitation, medical waste), pollutants or contaminants), or of the environment or the release of hazardous or toxic substances or wastes, pollutants or contaminants (“Environmental Laws”);</w:t>
      </w:r>
    </w:p>
    <w:p>
      <w:pPr>
        <w:spacing w:after="0" w:line="2" w:lineRule="exact"/>
        <w:rPr>
          <w:rFonts w:ascii="Times New Roman" w:cs="Times New Roman" w:eastAsia="Times New Roman" w:hAnsi="Times New Roman"/>
          <w:sz w:val="17"/>
          <w:szCs w:val="17"/>
          <w:color w:val="auto"/>
        </w:rPr>
      </w:pPr>
    </w:p>
    <w:p>
      <w:pPr>
        <w:ind w:left="4" w:right="20" w:hanging="4"/>
        <w:spacing w:after="0" w:line="252" w:lineRule="auto"/>
        <w:tabs>
          <w:tab w:leader="none" w:pos="26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received and are in compliance with all permits, licenses or other approvals required of them under applicable Environmental Laws to conduct their respective businesses; (iii) have not received notice of any actual or potential liability under any Environmental Law; and (iv) have not been named as a “potentially responsible party” under the Comprehensive Environmental Response, Compensation, and Liability Act of 1980, as amended, except where such non-compliance with Environmental Laws, failure to receive or comply with such required permits, licenses or other approvals, such liability or status as a potentially responsible party would not reasonably be expected to, individually or in the aggregate, have a Material Adverse Effect.</w:t>
      </w:r>
    </w:p>
    <w:p>
      <w:pPr>
        <w:spacing w:after="0" w:line="189" w:lineRule="exact"/>
        <w:rPr>
          <w:rFonts w:ascii="Times New Roman" w:cs="Times New Roman" w:eastAsia="Times New Roman" w:hAnsi="Times New Roman"/>
          <w:sz w:val="18"/>
          <w:szCs w:val="18"/>
          <w:color w:val="auto"/>
        </w:rPr>
      </w:pPr>
    </w:p>
    <w:p>
      <w:pPr>
        <w:jc w:val="both"/>
        <w:ind w:left="4" w:right="300" w:firstLine="436"/>
        <w:spacing w:after="0" w:line="266" w:lineRule="auto"/>
        <w:tabs>
          <w:tab w:leader="none" w:pos="72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established or maintains a “pension plan” (as defined in Section 3(2) of the Employee Retirement Income Security Act of 1974, as amended (“ERISA”)) that is subject to Title IV of ERISA or Section 412 or Section 4971 of the Internal Revenue Code of 1986, as amended.</w:t>
      </w:r>
    </w:p>
    <w:p>
      <w:pPr>
        <w:spacing w:after="0" w:line="175" w:lineRule="exact"/>
        <w:rPr>
          <w:rFonts w:ascii="Times New Roman" w:cs="Times New Roman" w:eastAsia="Times New Roman" w:hAnsi="Times New Roman"/>
          <w:sz w:val="18"/>
          <w:szCs w:val="18"/>
          <w:color w:val="auto"/>
        </w:rPr>
      </w:pPr>
    </w:p>
    <w:p>
      <w:pPr>
        <w:jc w:val="both"/>
        <w:ind w:left="4" w:right="100" w:firstLine="436"/>
        <w:spacing w:after="0" w:line="261" w:lineRule="auto"/>
        <w:tabs>
          <w:tab w:leader="none" w:pos="789"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possess, license or have other rights to use all patents, trademarks and service marks, trade names, copyrights, domain names (in each case including all registrations and applications to register same), inventions, trade secrets, technology, know-how and other intellectual property (collectively, the “Intellectual Property”) necessary for the conduct of their respective businesses as now conducted or as proposed in the Disclosure Package and the Prospectus to be conducted, except where the failure to own,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305" w:name="page306"/>
    <w:bookmarkEnd w:id="30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possess, license or otherwise have such rights would not reasonably be expected to have a Material Adverse Effect. Except as set forth in the Disclosure Package and the Prospectus, or except as would not reasonably be expected to have a Material Adverse Effect, (i) the Company and its subsidiaries own, or have rights to use under license or otherwise, all such Intellectual Property free and clear in all respects of all adverse claims, liens or other encumbrances, except for claims, liens or other encumbrances pursuant to the Credit Facilities; (ii) to the knowledge of the Company, there is no infringement by third parties of any such Intellectual Property; (iii) there is no pending or, to the Company’s knowledge, threatened action, suit, proceeding or claim by any third party challenging the Company’s or its subsidiaries’ rights in or to any such Intellectual Property; (iv) there is no pending or, to the Company’s knowledge, threatened action, suit, proceeding or claim by any third party challenging the validity, scope or enforceability of any such Intellectual Property; and (v) there is no pending or, to the Company’s knowledge, threatened action, suit, proceeding or claim by any third party that the Company or any of its subsidiaries infringes or otherwise violates any patent, trademark, copyright, trade secret or other proprietary rights of any third party.</w:t>
      </w:r>
    </w:p>
    <w:p>
      <w:pPr>
        <w:spacing w:after="0" w:line="194" w:lineRule="exact"/>
        <w:rPr>
          <w:sz w:val="20"/>
          <w:szCs w:val="20"/>
          <w:color w:val="auto"/>
        </w:rPr>
      </w:pPr>
    </w:p>
    <w:p>
      <w:pPr>
        <w:ind w:right="120" w:firstLine="436"/>
        <w:spacing w:after="0" w:line="266" w:lineRule="auto"/>
        <w:tabs>
          <w:tab w:leader="none" w:pos="78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issuance, sale and delivery of the Securities nor the application of the proceeds thereof by the Company as described in the Disclosure Package and Prospectus will violate Regulation T, U or X of the Board of Governors of the Federal Reserve System, as the same is in effect on the Closing Date.</w:t>
      </w:r>
    </w:p>
    <w:p>
      <w:pPr>
        <w:spacing w:after="0" w:line="175" w:lineRule="exact"/>
        <w:rPr>
          <w:rFonts w:ascii="Times New Roman" w:cs="Times New Roman" w:eastAsia="Times New Roman" w:hAnsi="Times New Roman"/>
          <w:sz w:val="18"/>
          <w:szCs w:val="18"/>
          <w:color w:val="auto"/>
        </w:rPr>
      </w:pPr>
    </w:p>
    <w:p>
      <w:pPr>
        <w:ind w:right="120" w:firstLine="436"/>
        <w:spacing w:after="0" w:line="266" w:lineRule="auto"/>
        <w:tabs>
          <w:tab w:leader="none" w:pos="70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all necessary actions such that, upon the effectiveness of the Registration Statement, it will be in compliance with all provisions of the Sarbanes-Oxley Act of 2002, as amended, and the rules and regulations promulgated in connection therewith (the “Sarbanes-Oxley Act”), with which the Company is required to comply as of such time.</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70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forward-looking statement (within the meaning of Section 27A of the Act and Section 21E of the Exchange Act) or presentation of market-related or statistical data contained in the Disclosure Package, any Written Testing-the-Waters Communication or the Prospectus has been made or reaffirmed without a reasonable basis or has been disclosed other than in good faith.</w:t>
      </w:r>
    </w:p>
    <w:p>
      <w:pPr>
        <w:spacing w:after="0" w:line="175" w:lineRule="exact"/>
        <w:rPr>
          <w:rFonts w:ascii="Times New Roman" w:cs="Times New Roman" w:eastAsia="Times New Roman" w:hAnsi="Times New Roman"/>
          <w:sz w:val="18"/>
          <w:szCs w:val="18"/>
          <w:color w:val="auto"/>
        </w:rPr>
      </w:pPr>
    </w:p>
    <w:p>
      <w:pPr>
        <w:ind w:right="140" w:firstLine="436"/>
        <w:spacing w:after="0" w:line="255" w:lineRule="auto"/>
        <w:tabs>
          <w:tab w:leader="none" w:pos="78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all jurisdictions, the rules and regulations thereunder and any related or similar rules, regulations or guidelines, issued, administered or enforced by any governmental or regulatory agency (collectively, the “Anti-Money Laundering Laws”), and no action, suit or proceeding by or before any court or governmental or regulatory agency, authority or body or any arbitrator involving the Company or any of its subsidiaries with respect to the Anti-Money Laundering Laws is pending or, to the knowledge of the Company and its subsidiaries, threatened.</w:t>
      </w:r>
    </w:p>
    <w:p>
      <w:pPr>
        <w:spacing w:after="0" w:line="188" w:lineRule="exact"/>
        <w:rPr>
          <w:rFonts w:ascii="Times New Roman" w:cs="Times New Roman" w:eastAsia="Times New Roman" w:hAnsi="Times New Roman"/>
          <w:sz w:val="18"/>
          <w:szCs w:val="18"/>
          <w:color w:val="auto"/>
        </w:rPr>
      </w:pPr>
    </w:p>
    <w:p>
      <w:pPr>
        <w:ind w:right="20" w:firstLine="436"/>
        <w:spacing w:after="0" w:line="282" w:lineRule="auto"/>
        <w:tabs>
          <w:tab w:leader="none" w:pos="70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or, to the knowledge of the Company, any director, officer or controlled Affiliate of the Company or any of its subsidiaries is currently subject or target of any U.S. sanctions administered or enforced by the U.S.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06" w:name="page307"/>
    <w:bookmarkEnd w:id="306"/>
    <w:p>
      <w:pPr>
        <w:ind w:left="4"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Her Majesty’s Treasury, the Swiss Secretariat of Economic Affairs, the Hong Kong Monetary Authority, the Monetary Authority of Singapore, or other relevant sanctions authority (collectively, “Sanctions”), nor is the Company or any of its subsidiaries located, organized or resident in a country or territory that is the subject or target of Sanctions including, without limitation, Cuba, Iran, North Korea, Syria and Crimea (each a “Sanctioned Country”); and the Company will not, directly or indirectly, use the proceeds of the offering, or lend, contribute or otherwise make available such proceeds to any subsidiary, joint venture partner or other Person: (i) to fund or facilitate any activities or business of or with any individual or entity (“Person”) or in any country or territory that, at the time of such funding or facilitation, is the subject or target of any Sanctions;</w:t>
      </w:r>
    </w:p>
    <w:p>
      <w:pPr>
        <w:spacing w:after="0" w:line="1" w:lineRule="exact"/>
        <w:rPr>
          <w:sz w:val="20"/>
          <w:szCs w:val="20"/>
          <w:color w:val="auto"/>
        </w:rPr>
      </w:pPr>
    </w:p>
    <w:p>
      <w:pPr>
        <w:ind w:left="4" w:right="20" w:hanging="4"/>
        <w:spacing w:after="0" w:line="253" w:lineRule="auto"/>
        <w:tabs>
          <w:tab w:leader="none" w:pos="26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of or business in any Sanctioned Country or (iii) in any other manner that will result in a violation of Sanctions by any Person (including any Person participating in the offering, whether as underwriter, advisor, investor or otherwise). For the past five years, the Company and its subsidiaries have not knowingly engaged in and are not now knowingly engaged in, any dealings or transactions with any Person, or in any country or territory, that at the time of the dealing or transaction is or was the subject or target of Sanctions.</w:t>
      </w:r>
    </w:p>
    <w:p>
      <w:pPr>
        <w:spacing w:after="0" w:line="188" w:lineRule="exact"/>
        <w:rPr>
          <w:rFonts w:ascii="Times New Roman" w:cs="Times New Roman" w:eastAsia="Times New Roman" w:hAnsi="Times New Roman"/>
          <w:sz w:val="18"/>
          <w:szCs w:val="18"/>
          <w:color w:val="auto"/>
        </w:rPr>
      </w:pPr>
    </w:p>
    <w:p>
      <w:pPr>
        <w:ind w:left="4" w:firstLine="436"/>
        <w:spacing w:after="0" w:line="252" w:lineRule="auto"/>
        <w:tabs>
          <w:tab w:leader="none" w:pos="889"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or any of its subsidiaries, any director, officer, agent, employee, controlled affiliate or other person acting on behalf of the Company or of any of its subsidiaries, has (i) used any corporate funds for any unlawful contribution, gift, entertainment or other unlawful expense relating to political activity; (ii) taken or will take any action in furtherance of an offer, payment, promise to pay, or authorization or approval of the payment or giving of money, property, gifts or anything else of value, directly or, knowingly,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(“Governmental Official”) to influence official action or secure an improper advantage;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to any Governmental Official or other person or entity. The Company and its subsidiaries have conducted their businesses in compliance with applicable anti-corruption laws and have instituted and maintain and will continue to maintain policies and procedures designed to promote and achieve compliance with all applicable anti-bribery and anti-corruption laws.</w:t>
      </w:r>
    </w:p>
    <w:p>
      <w:pPr>
        <w:spacing w:after="0" w:line="197" w:lineRule="exact"/>
        <w:rPr>
          <w:rFonts w:ascii="Times New Roman" w:cs="Times New Roman" w:eastAsia="Times New Roman" w:hAnsi="Times New Roman"/>
          <w:sz w:val="18"/>
          <w:szCs w:val="18"/>
          <w:color w:val="auto"/>
        </w:rPr>
      </w:pPr>
    </w:p>
    <w:p>
      <w:pPr>
        <w:ind w:left="4" w:right="340" w:firstLine="436"/>
        <w:spacing w:after="0" w:line="266" w:lineRule="auto"/>
        <w:tabs>
          <w:tab w:leader="none" w:pos="789"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(i) conducts its business and is in compliance with all federal, state and local laws governing or otherwise regulating the importation, transportation, purchase or other acquisition, possession or sale or other transfer of firearms, ammunition or explosives, including without limitation the Gun Control Act of 1968</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307" w:name="page308"/>
    <w:bookmarkEnd w:id="307"/>
    <w:p>
      <w:pPr>
        <w:ind w:left="4"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(Chapter 44 of Title 18, United States Code), the National Firearms Act of 1934 (Chapter 53 of Title 26, United States Code), and the Arms Export Control Act (22 U.S.C. § 2778), as well as all applicable rules and regulations of the Bureau of Alcohol, Tobacco, Firearms and Explosives (the “ATF”)) (collectively, the “Firearms, Ammunition and Explosives Laws”); and (ii) possesses, and is in compliance with the terms of, all licenses, registrations and permits required in order for the Company and its subsidiaries to conduct their respective businesses (as currently conducted and as proposed to be conducted) with respect to the sale of firearms, ammunition and explosives, except, in the case of each of clause (i) or (ii), where the failure to so comply or be in possession would not reasonably be expected to have a Material Adverse Effect. Neither the Company nor any of its subsidiaries has received, during the three year period preceding the date of this Agreement, from the ATF or any other regulatory authority any notice of revocation of any such license, registration or permit and has no reason to believe that the ATF or any other regulatory authority may issue any such notice, except for any such notice or revocation that would not reasonably be expected to have a Material Adverse Effect. Neither the Company nor any of its subsidiaries</w:t>
      </w:r>
    </w:p>
    <w:p>
      <w:pPr>
        <w:spacing w:after="0" w:line="5" w:lineRule="exact"/>
        <w:rPr>
          <w:sz w:val="20"/>
          <w:szCs w:val="20"/>
          <w:color w:val="auto"/>
        </w:rPr>
      </w:pPr>
    </w:p>
    <w:p>
      <w:pPr>
        <w:jc w:val="both"/>
        <w:ind w:left="4" w:right="40" w:hanging="4"/>
        <w:spacing w:after="0" w:line="255" w:lineRule="auto"/>
        <w:tabs>
          <w:tab w:leader="none" w:pos="259"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received from the ATF or any other regulatory authority any notice of violation of any Firearms, Ammunition and Explosives Law or (2) has any reason to believe that the ATF or any other regulatory authority may issue any such notice, except, in the case of clauses (1) and (2), where such notices or violations would not reasonably be expected to have a Material Adverse Effect.</w:t>
      </w:r>
    </w:p>
    <w:p>
      <w:pPr>
        <w:spacing w:after="0" w:line="185" w:lineRule="exact"/>
        <w:rPr>
          <w:rFonts w:ascii="Times New Roman" w:cs="Times New Roman" w:eastAsia="Times New Roman" w:hAnsi="Times New Roman"/>
          <w:sz w:val="18"/>
          <w:szCs w:val="18"/>
          <w:color w:val="auto"/>
        </w:rPr>
      </w:pPr>
    </w:p>
    <w:p>
      <w:pPr>
        <w:ind w:left="4" w:firstLine="436"/>
        <w:spacing w:after="0" w:line="253" w:lineRule="auto"/>
        <w:tabs>
          <w:tab w:leader="none" w:pos="789"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the Company and its subsidiaries’ information technology assets and equipment, computers, systems, networks, hardware, software, websites, applications, and databases (collectively, “IT Systems”) are adequate for, and operate and perform in all respects as required in connection with the operation of the business of the Company and its subsidiaries as currently conducted and, to the knowledge of the Company, is free and clear of all material bugs, errors, defects, Trojan horses, time bombs, malware and other corruptants. Except as would not reasonably be expected to have a Material Adverse Effect,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Except as would not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89" w:lineRule="exact"/>
        <w:rPr>
          <w:rFonts w:ascii="Times New Roman" w:cs="Times New Roman" w:eastAsia="Times New Roman" w:hAnsi="Times New Roman"/>
          <w:sz w:val="18"/>
          <w:szCs w:val="18"/>
          <w:color w:val="auto"/>
        </w:rPr>
      </w:pPr>
    </w:p>
    <w:p>
      <w:pPr>
        <w:ind w:left="4" w:right="1000" w:firstLine="436"/>
        <w:spacing w:after="0" w:line="282" w:lineRule="auto"/>
        <w:tabs>
          <w:tab w:leader="none" w:pos="789"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debt securities outstanding that have been rated by any “nationally recognized statistical rating organization” as defined in Section 3(a)(62) of the Exchange Act.</w:t>
      </w:r>
    </w:p>
    <w:p>
      <w:pPr>
        <w:spacing w:after="0" w:line="162" w:lineRule="exact"/>
        <w:rPr>
          <w:sz w:val="20"/>
          <w:szCs w:val="20"/>
          <w:color w:val="auto"/>
        </w:rPr>
      </w:pPr>
    </w:p>
    <w:p>
      <w:pPr>
        <w:jc w:val="both"/>
        <w:ind w:left="4" w:right="200" w:firstLine="991"/>
        <w:spacing w:after="0" w:line="312" w:lineRule="auto"/>
        <w:rPr>
          <w:sz w:val="20"/>
          <w:szCs w:val="20"/>
          <w:color w:val="auto"/>
        </w:rPr>
      </w:pPr>
      <w:r>
        <w:rPr>
          <w:rFonts w:ascii="Times New Roman" w:cs="Times New Roman" w:eastAsia="Times New Roman" w:hAnsi="Times New Roman"/>
          <w:sz w:val="17"/>
          <w:szCs w:val="17"/>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308" w:name="page309"/>
    <w:bookmarkEnd w:id="308"/>
    <w:p>
      <w:pPr>
        <w:ind w:left="1160" w:hanging="173"/>
        <w:spacing w:after="0"/>
        <w:tabs>
          <w:tab w:leader="none" w:pos="11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Purchase and Sale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and in reliance upon the representations and warranties herein set forth, the Company agrees to issue and sell to each Underwriter, and each Underwriter agrees, severally and not jointly, to purchase from the Company, at a purchase price of $[●] per share, the amount of the Underwritten Securities set forth opposite such Underwriter’s name in Schedule I hereto.</w:t>
      </w:r>
    </w:p>
    <w:p>
      <w:pPr>
        <w:spacing w:after="0" w:line="175"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and in reliance upon the representations and warranties herein set forth, the Company hereby grants an option to the several Underwriters to purchase, severally and not jointly, up to [●] Option Securities at the same purchase price per share as the Underwriters shall pay for the Underwritten Securities, less an amount per share equal to any dividends or distributions declared by the Company and payable on the Underwritten Securities but not payable on the Option Securities. Said option may be exercised only to cover over-allotments in the sale of the Underwritten Securities by the Underwriters. Said option may be exercised in whole or in part at any time (but not more than twice) on or before the 30th day after the date of the Prospectus upon written or telegraphic notice by the Representatives to the Company setting forth the number of shares of the Option Securities as to which the several Underwriters are exercising the option and the settlement date. The number of Option Securities to be purchased by each Underwriter shall be the same percentage of the total number of shares of the Option Securities to be purchased by the several Underwriters as such Underwriter is purchasing of the Underwritten Securities, subject to such adjustments as you in your absolute discretion shall make to eliminate any fractional shares.</w:t>
      </w:r>
    </w:p>
    <w:p>
      <w:pPr>
        <w:spacing w:after="0" w:line="194" w:lineRule="exact"/>
        <w:rPr>
          <w:rFonts w:ascii="Times New Roman" w:cs="Times New Roman" w:eastAsia="Times New Roman" w:hAnsi="Times New Roman"/>
          <w:sz w:val="18"/>
          <w:szCs w:val="18"/>
          <w:color w:val="auto"/>
        </w:rPr>
      </w:pPr>
    </w:p>
    <w:p>
      <w:pPr>
        <w:ind w:right="80" w:firstLine="987"/>
        <w:spacing w:after="0" w:line="253" w:lineRule="auto"/>
        <w:tabs>
          <w:tab w:leader="none" w:pos="1171"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and Payment</w:t>
      </w:r>
      <w:r>
        <w:rPr>
          <w:rFonts w:ascii="Times New Roman" w:cs="Times New Roman" w:eastAsia="Times New Roman" w:hAnsi="Times New Roman"/>
          <w:sz w:val="18"/>
          <w:szCs w:val="18"/>
          <w:color w:val="auto"/>
        </w:rPr>
        <w:t>. Delivery of and payment for the Underwritten Securities and the Option Securities (if the option provided for in Section 2(b) hereof shall have been exercised on or before the second Business Day immediately preceding the Closing Date) shall be made at the offices of Simpson Thacher &amp; Bartlett LLP, 425 Lexington Avenue, New York, New York 10017 at 10:00 AM, New York City time, on [●], 2020, or at such time on such later date not more than two Business Days after the foregoing date as the Representatives shall designate, which date and time may be postponed by agreement between the Representatives and the Company or as provided in Section 9 hereof (such date and time of delivery and payment for the Securities being herein called the “Closing Date”).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in writing to the Representatives. Delivery of the Underwritten Securities and the Option Securities shall be made through the facilities of The Depository Trust Company unless the Representatives shall otherwise instruct.</w:t>
      </w:r>
    </w:p>
    <w:p>
      <w:pPr>
        <w:spacing w:after="0" w:line="194"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If the option provided for in Section 2(b) hereof is exercised after the second Business Day immediately preceding the Closing Date, the Company will deliver the Option Securities to the Representatives on the date specified by the Representatives (which shall be within two Business Days after exercise of said option, which date may be postponed by agreement between the Representatives and the Company) for the respective accounts of the several Underwriters, against payment by the several Underwriters through the Representatives of the purchase price thereof to or upon the order of the Company by wire transfer payable 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09" w:name="page310"/>
    <w:bookmarkEnd w:id="309"/>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same-day funds to an account specified by the Company. If settlement for the Option Securities occurs after the Closing Date, the Company will deliver to the Representatives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6 hereof.</w:t>
      </w:r>
    </w:p>
    <w:p>
      <w:pPr>
        <w:spacing w:after="0" w:line="180" w:lineRule="exact"/>
        <w:rPr>
          <w:sz w:val="20"/>
          <w:szCs w:val="20"/>
          <w:color w:val="auto"/>
        </w:rPr>
      </w:pPr>
    </w:p>
    <w:p>
      <w:pPr>
        <w:ind w:right="100" w:firstLine="987"/>
        <w:spacing w:after="0" w:line="282" w:lineRule="auto"/>
        <w:tabs>
          <w:tab w:leader="none" w:pos="1171"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by Underwriters</w:t>
      </w:r>
      <w:r>
        <w:rPr>
          <w:rFonts w:ascii="Times New Roman" w:cs="Times New Roman" w:eastAsia="Times New Roman" w:hAnsi="Times New Roman"/>
          <w:sz w:val="18"/>
          <w:szCs w:val="18"/>
          <w:color w:val="auto"/>
        </w:rPr>
        <w:t>. It is understood that the several Underwriters propose to offer the Securities for sale to the public as set forth in the Prospectus.</w:t>
      </w:r>
    </w:p>
    <w:p>
      <w:pPr>
        <w:spacing w:after="0" w:line="161"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The Company agrees with the several Underwriters as follows:</w:t>
      </w:r>
    </w:p>
    <w:p>
      <w:pPr>
        <w:spacing w:after="0" w:line="225" w:lineRule="exact"/>
        <w:rPr>
          <w:rFonts w:ascii="Times New Roman" w:cs="Times New Roman" w:eastAsia="Times New Roman" w:hAnsi="Times New Roman"/>
          <w:sz w:val="18"/>
          <w:szCs w:val="18"/>
          <w:color w:val="auto"/>
        </w:rPr>
      </w:pPr>
    </w:p>
    <w:p>
      <w:pPr>
        <w:ind w:firstLine="436"/>
        <w:spacing w:after="0" w:line="268" w:lineRule="auto"/>
        <w:tabs>
          <w:tab w:leader="none" w:pos="685"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termination of the offering of the Securities, the Company will not file any amendment of the Registration Statement or supplement to the Prospectus or any Rule 462(b) Registration Statement unless the Company has furnished you a copy for your review prior to filing and will not file any such proposed amendment or supplement to which you reasonably object. The Company will cause the Prospectus, properly completed, and any supplement thereto to be filed in a form approved by the Representatives with the Commission pursuant to the applicable paragraph of Rule 424(b) within the time period prescribed and will provide evidence satisfactory to the Representatives of such timely filing. The Company will promptly advise the Representatives (i) when the Prospectus, and any supplement thereto, shall have been filed (if required) with the Commission pursuant to</w:t>
      </w:r>
    </w:p>
    <w:p>
      <w:pPr>
        <w:spacing w:after="0" w:line="4" w:lineRule="exact"/>
        <w:rPr>
          <w:rFonts w:ascii="Times New Roman" w:cs="Times New Roman" w:eastAsia="Times New Roman" w:hAnsi="Times New Roman"/>
          <w:sz w:val="17"/>
          <w:szCs w:val="17"/>
          <w:color w:val="auto"/>
        </w:rPr>
      </w:pPr>
    </w:p>
    <w:p>
      <w:pPr>
        <w:ind w:right="1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of the Registration Statement, or any Rule 462(b)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or pursuant to Section 8A under the Act and (v) of the receipt by the Company of any notification with respect to the suspension of the qualification of the Securities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192" w:lineRule="exact"/>
        <w:rPr>
          <w:rFonts w:ascii="Times New Roman" w:cs="Times New Roman" w:eastAsia="Times New Roman" w:hAnsi="Times New Roman"/>
          <w:sz w:val="17"/>
          <w:szCs w:val="17"/>
          <w:color w:val="auto"/>
        </w:rPr>
      </w:pPr>
    </w:p>
    <w:p>
      <w:pPr>
        <w:ind w:right="60" w:firstLine="436"/>
        <w:spacing w:after="0" w:line="261" w:lineRule="auto"/>
        <w:tabs>
          <w:tab w:leader="none" w:pos="69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filing of the Prospectus pursuant to Rule 424(b), there occurs an event, the result of which, in the opinion of counsel for the Underwriters, or counsel for the Company, the Disclosure Package would include any untrue statement of a material fact or omit to state any material fact necessary in order to make the statements therein in the light of the circumstances under which they were made not misleading, the Company will (i) notify promptly the Representatives so that any use of the Disclosure Package may cease until it is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310" w:name="page311"/>
    <w:bookmarkEnd w:id="310"/>
    <w:p>
      <w:pPr>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amended or supplemented; (ii) subject to paragraph (a) of this Section 5, amend or supplement the Disclosure Package to eliminate or correct such statement or omission; and (iii) supply any amendment or supplement to the several Underwriters and counsel for the Underwriters without charge in such quantities as they may reasonably request.</w:t>
      </w:r>
    </w:p>
    <w:p>
      <w:pPr>
        <w:spacing w:after="0" w:line="176" w:lineRule="exact"/>
        <w:rPr>
          <w:sz w:val="20"/>
          <w:szCs w:val="20"/>
          <w:color w:val="auto"/>
        </w:rPr>
      </w:pPr>
    </w:p>
    <w:p>
      <w:pPr>
        <w:ind w:firstLine="436"/>
        <w:spacing w:after="0" w:line="254" w:lineRule="auto"/>
        <w:tabs>
          <w:tab w:leader="none" w:pos="68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of time after the first date of the public offering of the Securities as in the opinion of counsel for the Underwriter a prospectus relating to the Securities is required by law to be delivered (including in circumstances where such requirement may be satisfied pursuant to Rule 172) (the “Prospectus Delivery Period”), there occurs an event, the result of which, in the opinion of counsel for the Underwriters, or counsel for the Company, the Prospectus as then supplemented would include any untrue statement of a material fact or omit to state any material fact necessary in order to make the statements therein in the light of the circumstances under which they were made not misleading, or if it shall be necessary to amend the Registration Statement or supplement the Prospectus to comply with applicable law, the Company will promptly (i) notify the Representatives of any such event; (ii) prepare and file with the Commission, subject to the second sentence of paragraph (a) of this Section 5, an amendment or supplement that will eliminate or correct such statement or omission or effect such compliance; and (iii) supply any supplemented Prospectus to the several Underwriters and counsel for the Underwriters without charge in such quantities as they may reasonably request.</w:t>
      </w:r>
    </w:p>
    <w:p>
      <w:pPr>
        <w:spacing w:after="0" w:line="188" w:lineRule="exact"/>
        <w:rPr>
          <w:rFonts w:ascii="Times New Roman" w:cs="Times New Roman" w:eastAsia="Times New Roman" w:hAnsi="Times New Roman"/>
          <w:sz w:val="18"/>
          <w:szCs w:val="18"/>
          <w:color w:val="auto"/>
        </w:rPr>
      </w:pPr>
    </w:p>
    <w:p>
      <w:pPr>
        <w:ind w:right="160" w:firstLine="436"/>
        <w:spacing w:after="0" w:line="277" w:lineRule="auto"/>
        <w:tabs>
          <w:tab w:leader="none" w:pos="695"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following the distribution of any Written Testing-the-Waters Communication there occurred or occurs an event or development as a result of which such Written Testing-the-Waters Communication, when taken together as a whole with the Disclosure Package,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statement or omission.</w:t>
      </w:r>
    </w:p>
    <w:p>
      <w:pPr>
        <w:spacing w:after="0" w:line="167" w:lineRule="exact"/>
        <w:rPr>
          <w:rFonts w:ascii="Times New Roman" w:cs="Times New Roman" w:eastAsia="Times New Roman" w:hAnsi="Times New Roman"/>
          <w:sz w:val="17"/>
          <w:szCs w:val="17"/>
          <w:color w:val="auto"/>
        </w:rPr>
      </w:pPr>
    </w:p>
    <w:p>
      <w:pPr>
        <w:ind w:right="200" w:firstLine="436"/>
        <w:spacing w:after="0" w:line="266" w:lineRule="auto"/>
        <w:tabs>
          <w:tab w:leader="none" w:pos="68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the Company will make generally available to its security holders and to the Representatives (which may be satisfied by filing with the Commission’s EDGAR system) an earnings statement or statements of the Company and its subsidiaries which will satisfy the provisions of Section 11(a) of the Act and Rule 158.</w:t>
      </w:r>
    </w:p>
    <w:p>
      <w:pPr>
        <w:spacing w:after="0" w:line="175" w:lineRule="exact"/>
        <w:rPr>
          <w:rFonts w:ascii="Times New Roman" w:cs="Times New Roman" w:eastAsia="Times New Roman" w:hAnsi="Times New Roman"/>
          <w:sz w:val="18"/>
          <w:szCs w:val="18"/>
          <w:color w:val="auto"/>
        </w:rPr>
      </w:pPr>
    </w:p>
    <w:p>
      <w:pPr>
        <w:ind w:right="300" w:firstLine="436"/>
        <w:spacing w:after="0" w:line="282" w:lineRule="auto"/>
        <w:tabs>
          <w:tab w:leader="none" w:pos="66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cooperate with the Representatives and use its commercially reasonable efforts to permit the Securities to be eligible for clearance and settlement through The Depository Trust Company.</w:t>
      </w:r>
    </w:p>
    <w:p>
      <w:pPr>
        <w:spacing w:after="0" w:line="161" w:lineRule="exact"/>
        <w:rPr>
          <w:rFonts w:ascii="Times New Roman" w:cs="Times New Roman" w:eastAsia="Times New Roman" w:hAnsi="Times New Roman"/>
          <w:sz w:val="18"/>
          <w:szCs w:val="18"/>
          <w:color w:val="auto"/>
        </w:rPr>
      </w:pPr>
    </w:p>
    <w:p>
      <w:pPr>
        <w:ind w:right="80" w:firstLine="436"/>
        <w:spacing w:after="0" w:line="256" w:lineRule="auto"/>
        <w:tabs>
          <w:tab w:leader="none" w:pos="69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furnish to the Representatives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during the Prospectus Delivery Period, as many copies of each Preliminary Prospectus, the Prospectus and each Issuer Free Writing Prospectus and any supplement thereto as the Representatives may reasonably request. The Company will pay the expenses of printing or other production of all documents relating to the offering.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11" w:name="page312"/>
    <w:bookmarkEnd w:id="311"/>
    <w:p>
      <w:pPr>
        <w:ind w:left="-20" w:right="120" w:firstLine="436"/>
        <w:spacing w:after="0" w:line="256" w:lineRule="auto"/>
        <w:tabs>
          <w:tab w:leader="none" w:pos="67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Company will assist the Underwriters in arranging, if necessary, for the qualification of the Securities for sale by the Underwriters under the laws of such jurisdictions as the Representatives may designate and will maintain such qualifications in effect so long as required for the sale of the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Company be obligated to qualify to do business in any jurisdiction where it is not now so qualified or to take any action that would reasonably be expected to subject it to service of process in suits, other than those arising out of the offering or sale of the Securities, in any jurisdiction where it is not now so subject or to subject themselves to taxation in excess of a nominal amount in respect of doing business in any jurisdiction.</w:t>
      </w:r>
    </w:p>
    <w:p>
      <w:pPr>
        <w:spacing w:after="0" w:line="187" w:lineRule="exact"/>
        <w:rPr>
          <w:rFonts w:ascii="Times New Roman" w:cs="Times New Roman" w:eastAsia="Times New Roman" w:hAnsi="Times New Roman"/>
          <w:sz w:val="18"/>
          <w:szCs w:val="18"/>
          <w:color w:val="auto"/>
        </w:rPr>
      </w:pPr>
    </w:p>
    <w:p>
      <w:pPr>
        <w:ind w:left="-20" w:firstLine="436"/>
        <w:spacing w:after="0" w:line="251" w:lineRule="auto"/>
        <w:tabs>
          <w:tab w:leader="none" w:pos="63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not, without the prior written consent of the Representatives, offer, sell or contract to sell, pledge (other than on behalf of an Affiliate of the Company)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public filing (or participation in the public filing) of a registration statement with the Commission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(“Related Securities”); or publicly announce an intention to effect any such transaction, for a period of 180 days after the date of the Underwriting Agreement. The foregoing sentence shall not apply to (A) the Securities to be issued in the Transaction, (B) any shares of Common Stock issued by the Company upon the exercise of options to purchase shares of Common Stock, upon the vesting of restricted stock awards or upon the settlement of restricted stock unit awards, in each case disclosed in the Disclosure Package and the Prospectus, (C) the grant of awards pursuant to the Company’s incentive plans or otherwise pursuant to equity compensation arrangements with directors, officers, employees and consultants of the Company and its subsidiaries, in each case, as described in the Disclosure Package and the Prospectus, (D) the issuance or grant of shares of securities, including restricted stock awards, options to purchase shares of common stock, restricted stock units or any other stock-based awards, in each case, registered or to be registered pursuant to any registration statement on Form S-8 pursuant to any benefit plans or arrangements (including, without limitation, employee stock purchase plan), in each case, as described in the Disclosure Package and the Prospectus, (E) the issuance of shares of Common Stock in connection with the acquisition by the Company or any of its subsidiaries of the securities, business, property or other assets of another person or business entity or pursuant to any employee benefit plan assumed by the Company in connection with any such acquisition, or (F) the issuance of shares of Common Stock, of restricted stock awards or of options to purchase shares of Common Stock, in each case, in connection with joint ventures, commercial relationships or other strategic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immediately preceding clauses (E) and (F), the aggregate number of restricted stock awards and shares of Common Stock issued in connection with, or issuable pursuant to the exercise of any options issued in connection with, all such acquisitions and other transactions does not exceed 5% of the aggregate number of shares of common stock outstanding immediately following the consummation of the Transaction and the recipient of the shares of Common Stock agrees in writing to be bound by the same terms described in the agreement attached hereto as Exhibit A.</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60" w:top="270" w:right="459" w:bottom="1440" w:gutter="0" w:footer="0" w:header="0"/>
        </w:sectPr>
      </w:pPr>
    </w:p>
    <w:bookmarkStart w:id="312" w:name="page313"/>
    <w:bookmarkEnd w:id="312"/>
    <w:p>
      <w:pPr>
        <w:ind w:left="4" w:firstLine="436"/>
        <w:spacing w:after="0" w:line="261" w:lineRule="auto"/>
        <w:tabs>
          <w:tab w:leader="none" w:pos="659"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Representatives, in their sole discretion, agree to release or waive the restrictions set forth in a lock-up letter described in Section 6(i)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179" w:lineRule="exact"/>
        <w:rPr>
          <w:rFonts w:ascii="Times New Roman" w:cs="Times New Roman" w:eastAsia="Times New Roman" w:hAnsi="Times New Roman"/>
          <w:sz w:val="18"/>
          <w:szCs w:val="18"/>
          <w:color w:val="auto"/>
        </w:rPr>
      </w:pPr>
    </w:p>
    <w:p>
      <w:pPr>
        <w:ind w:left="4" w:firstLine="436"/>
        <w:spacing w:after="0" w:line="266" w:lineRule="auto"/>
        <w:tabs>
          <w:tab w:leader="none" w:pos="699"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take, directly or indirectly, any action designed to or that would constitute or that might reasonably be expected to cause or result in, under the Exchange Act or otherwise, unlawful stabilization or manipulation of the price of any security of the Company to facilitate the sale or resale of the Securities.</w:t>
      </w:r>
    </w:p>
    <w:p>
      <w:pPr>
        <w:spacing w:after="0" w:line="175"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659"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costs and expenses relating to the following matters: (i) the preparation, printing or reproduction and filing with the Commission of the Registration Statement (including financial statements and exhibits thereto), each Preliminary Prospectus, the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Prospectus and each Issuer Free Writing Prospectus, and all amendments or supplements to any of them, as may, in each case, be reasonably requested for use in connection with the offering and sale of the Securities; (iii) the preparation, printing, authentication, issuance and delivery of certificates for the Securities, including any stamp or transfer taxes in connection with the original issuance and sale of the Securities; (iv) the printing (or reproduction) and delivery of any blue sky memorandum delivered in connection with the offering of the Securities; (v) the registration of the Securities under the Exchange Act and the listing of the Securities on the NASDAQ Global Select Market (the “Exchange”); (vi) any registration or qualification of the Securities for offer and sale under the securities or blue sky laws of the several states and any other jurisdictions specified pursuant to Section 5(g) hereof (including filing fees and the reasonable and documented fees and expenses of counsel for the Underwriters relating to such registration and qualification in an amount not to exceed $20,000); (vii) the approval of the Securities for book entry transfer by The Depository Trust Company;</w:t>
      </w:r>
    </w:p>
    <w:p>
      <w:pPr>
        <w:spacing w:after="0" w:line="2" w:lineRule="exact"/>
        <w:rPr>
          <w:rFonts w:ascii="Times New Roman" w:cs="Times New Roman" w:eastAsia="Times New Roman" w:hAnsi="Times New Roman"/>
          <w:sz w:val="18"/>
          <w:szCs w:val="18"/>
          <w:color w:val="auto"/>
        </w:rPr>
      </w:pPr>
    </w:p>
    <w:p>
      <w:pPr>
        <w:ind w:left="4" w:hanging="4"/>
        <w:spacing w:after="0" w:line="251" w:lineRule="auto"/>
        <w:tabs>
          <w:tab w:leader="none" w:pos="40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filings required to be made with the FINRA (including filing fees and the reasonable and documented fees and expenses of counsel for the Underwriters relating to such filings in an amount not to exceed $35,000); (ix) the transportation and other expenses incurred by or on behalf of the Company in connection with presentations to prospective purchasers of the Securities, including any “roadshow” (and including one half of the cost of all aircraft used in connection with any “roadshow”); (x) the costs and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(xi) the fees and expenses of the Company’s accountants and the fees and expenses of counsel (including local and special counsel) for the Company and (xii) all other costs and expenses incident to the performance by the Company of its obligations hereunder. Notwithstanding the forgoing, except as specifically provided in this paragraph (k) and in Section 7 hereof, the Underwriters shall pay their own costs and expenses in connection with presentations for prospective purchasers of the Securities including the transportation and other expenses incurred by or on behalf of the Underwriters in</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313" w:name="page314"/>
    <w:bookmarkEnd w:id="313"/>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connection with presentations to prospective purchasers of the Securities, including any “roadshow” (and including one half of the cost of all aircraft used in connection with any “roadshow”).</w:t>
      </w:r>
    </w:p>
    <w:p>
      <w:pPr>
        <w:spacing w:after="0" w:line="162" w:lineRule="exact"/>
        <w:rPr>
          <w:sz w:val="20"/>
          <w:szCs w:val="20"/>
          <w:color w:val="auto"/>
        </w:rPr>
      </w:pPr>
    </w:p>
    <w:p>
      <w:pPr>
        <w:ind w:right="400" w:firstLine="436"/>
        <w:spacing w:after="0" w:line="282" w:lineRule="auto"/>
        <w:tabs>
          <w:tab w:leader="none" w:pos="74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the proceeds from the sale of the Securities in the manner described in the Disclosure Package and the Prospectus under the caption “Use of Proceeds.”</w:t>
      </w:r>
    </w:p>
    <w:p>
      <w:pPr>
        <w:spacing w:after="0" w:line="161" w:lineRule="exact"/>
        <w:rPr>
          <w:rFonts w:ascii="Times New Roman" w:cs="Times New Roman" w:eastAsia="Times New Roman" w:hAnsi="Times New Roman"/>
          <w:sz w:val="18"/>
          <w:szCs w:val="18"/>
          <w:color w:val="auto"/>
        </w:rPr>
      </w:pPr>
    </w:p>
    <w:p>
      <w:pPr>
        <w:ind w:right="40" w:firstLine="436"/>
        <w:spacing w:after="0" w:line="269" w:lineRule="auto"/>
        <w:tabs>
          <w:tab w:leader="none" w:pos="69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agrees that, unless it has or shall have obtained the prior written consent of the Representatives, and each Underwriter, severally and not jointly, agrees with the Company that, unless it has or shall have obtained, as the case may be, the prior written consent of the Company, it has not made and will not make any offer relating to the Securities that would constitute, or otherwise use, refer to or distribute, an Issuer Free Writing Prospectus or that would otherwise constitute a “free writing prospectus” (as defined in Rule 405) required to be filed by the Company with the Commission or retained by the Company under Rule 433;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prior written consent of the parties hereto shall be deemed to have been given in respect of the Free Writing Prospectuses included in Schedule II hereto and any electronic road show, each furnished to the Representatives before first use. Any such free writing prospectus consented to by the Representatives or the Company is hereinafter referred to as a “Permitted Free Writing Prospectus.” The Company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Commission, legending and record keeping. Each Underwriter, severally and not jointly, represents and agrees that it is not subject to any pending proceeding under Section 8A of the Act with respect to the offering (and will promptly notify the Company if any such proceeding against it is initiated during the period a prospectus is required by the Act to be delivered (whether physically or through compliance with Rule 172 under the Act or any similar rule) in connection with any sale of Securities).</w:t>
      </w:r>
    </w:p>
    <w:p>
      <w:pPr>
        <w:spacing w:after="0" w:line="176" w:lineRule="exact"/>
        <w:rPr>
          <w:sz w:val="20"/>
          <w:szCs w:val="20"/>
          <w:color w:val="auto"/>
        </w:rPr>
      </w:pPr>
    </w:p>
    <w:p>
      <w:pPr>
        <w:ind w:firstLine="987"/>
        <w:spacing w:after="0" w:line="256" w:lineRule="auto"/>
        <w:tabs>
          <w:tab w:leader="none" w:pos="1171"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Obligations of the Underwriters</w:t>
      </w:r>
      <w:r>
        <w:rPr>
          <w:rFonts w:ascii="Times New Roman" w:cs="Times New Roman" w:eastAsia="Times New Roman" w:hAnsi="Times New Roman"/>
          <w:sz w:val="18"/>
          <w:szCs w:val="18"/>
          <w:color w:val="auto"/>
        </w:rPr>
        <w:t>. The obligations of the Underwriters to purchase the Underwritten Securities and the Option Securities, as the case may be, shall be subject to the accuracy in all material respects (except in the case of Section 1(kk), (ll) and (mm) or to the extent already qualified by materiality, in which case such obligations shall be subject to the accuracy in all respects) of the representations and warranties of the Company contained herein as of the Execution Time, the Closing Date and any settlement date pursuant to Section 3 hereof, to the accuracy of the statements of the Company made in any certificates pursuant to the provisions hereof, to the performance by the Company in all material respects of its obligations hereunder and to the following additional conditions:</w:t>
      </w:r>
    </w:p>
    <w:p>
      <w:pPr>
        <w:spacing w:after="0" w:line="187"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any supplement thereto, have been filed in the manner and within the time period required by Rule 424(b); any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or pursuant to Section 8A under the Act shall have been instituted or threatened.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14" w:name="page315"/>
    <w:bookmarkEnd w:id="314"/>
    <w:p>
      <w:pPr>
        <w:ind w:firstLine="436"/>
        <w:spacing w:after="0" w:line="266" w:lineRule="auto"/>
        <w:tabs>
          <w:tab w:leader="none" w:pos="69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The Company shall have requested and caused Simpson Thacher &amp; Bartlett LLP, counsel for the Company, to furnish to the Representatives an opinion letter and a negative assurance letter, each dated the Closing Date or any settlement date, as the case may be, and in form and substance reasonably satisfactory to the Representatives, as set forth in Exhibit C hereto;</w:t>
      </w:r>
    </w:p>
    <w:p>
      <w:pPr>
        <w:spacing w:after="0" w:line="67"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128"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the general counsel of the Company to furnish to the Representatives an opinion letter dated the Closing Date or any settlement date, as the case may be, and otherwise in form and substance reasonably satisfactory to the Representatives, as set forth in Exhibit D hereto.</w:t>
      </w:r>
    </w:p>
    <w:p>
      <w:pPr>
        <w:spacing w:after="0" w:line="175" w:lineRule="exact"/>
        <w:rPr>
          <w:rFonts w:ascii="Times New Roman" w:cs="Times New Roman" w:eastAsia="Times New Roman" w:hAnsi="Times New Roman"/>
          <w:sz w:val="18"/>
          <w:szCs w:val="18"/>
          <w:color w:val="auto"/>
        </w:rPr>
      </w:pPr>
    </w:p>
    <w:p>
      <w:pPr>
        <w:jc w:val="both"/>
        <w:ind w:right="160" w:firstLine="436"/>
        <w:spacing w:after="0" w:line="261" w:lineRule="auto"/>
        <w:tabs>
          <w:tab w:leader="none" w:pos="68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from Latham &amp; Watkins LLP, counsel for the Underwriters, an opinion letter and negative assurance letter, each dated the Closing Date or any settlement date, as the case may be, and addressed to the Representatives, with respect to such matters as the Representatives may reasonably require, and the Company shall have furnished to such counsel such documents as they reasonably request for the purpose of enabling them to pass upon such matters.</w:t>
      </w:r>
    </w:p>
    <w:p>
      <w:pPr>
        <w:spacing w:after="0" w:line="179"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to the Underwriters a certificate of the Company, signed by (x) the chairman, chief executive officer, president or vice president and (y) the chief financial officer, treasurer or principal financial or accounting officer of the Company, dated the Closing Date or any settlement date, as the case may be, to the effect that the signers of such certificate have carefully examined the Registration Statement, the Disclosure Package, the Prospectus and any amendment or supplement thereto, as well as each electronic road show used in connection with the offering of the Securities, and this Agreement and that:</w:t>
      </w:r>
    </w:p>
    <w:p>
      <w:pPr>
        <w:spacing w:after="0" w:line="75" w:lineRule="exact"/>
        <w:rPr>
          <w:rFonts w:ascii="Times New Roman" w:cs="Times New Roman" w:eastAsia="Times New Roman" w:hAnsi="Times New Roman"/>
          <w:sz w:val="18"/>
          <w:szCs w:val="18"/>
          <w:color w:val="auto"/>
        </w:rPr>
      </w:pPr>
    </w:p>
    <w:p>
      <w:pPr>
        <w:ind w:left="980" w:right="60" w:firstLine="408"/>
        <w:spacing w:after="0" w:line="258" w:lineRule="auto"/>
        <w:tabs>
          <w:tab w:leader="none" w:pos="1636"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this Agreement are true and correct in all material respects (except in the case of Section 1(kk), (ll) and (mm) or to the extent already qualified by materiality, in which case such representations and warranties are true and correct in all respects) at the Execution Time and on the Closing Date or any settlement date, as the case may be, and the Company has complied in all material respects with all the agreements and satisfied all the conditions on its part to be performed or satisfied hereunder at or prior to the Closing Date or any settlement date, as the case may be;</w:t>
      </w:r>
    </w:p>
    <w:p>
      <w:pPr>
        <w:spacing w:after="0" w:line="75" w:lineRule="exact"/>
        <w:rPr>
          <w:rFonts w:ascii="Times New Roman" w:cs="Times New Roman" w:eastAsia="Times New Roman" w:hAnsi="Times New Roman"/>
          <w:sz w:val="18"/>
          <w:szCs w:val="18"/>
          <w:color w:val="auto"/>
        </w:rPr>
      </w:pPr>
    </w:p>
    <w:p>
      <w:pPr>
        <w:ind w:left="980" w:right="60" w:firstLine="408"/>
        <w:spacing w:after="0" w:line="261" w:lineRule="auto"/>
        <w:tabs>
          <w:tab w:leader="none" w:pos="1636"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financial statements included in the Disclosure Package and the Prospectus (exclusive of any supplement thereto), there has been no material adverse change in the condition (financial or otherwise), business or results of operations of the Company and its subsidiaries, taken as a whole, except as set forth in or contemplated in the Disclosure Package and the Prospectus (exclusive of any supplement thereto); and</w:t>
      </w:r>
    </w:p>
    <w:p>
      <w:pPr>
        <w:spacing w:after="0" w:line="71" w:lineRule="exact"/>
        <w:rPr>
          <w:rFonts w:ascii="Times New Roman" w:cs="Times New Roman" w:eastAsia="Times New Roman" w:hAnsi="Times New Roman"/>
          <w:sz w:val="18"/>
          <w:szCs w:val="18"/>
          <w:color w:val="auto"/>
        </w:rPr>
      </w:pPr>
    </w:p>
    <w:p>
      <w:pPr>
        <w:ind w:left="980" w:right="80" w:firstLine="408"/>
        <w:spacing w:after="0" w:line="282" w:lineRule="auto"/>
        <w:tabs>
          <w:tab w:leader="none" w:pos="1636"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any notice objecting to its use has been issued and no proceedings for that purpose or pursuant to Section 8A under the Act have been instituted or, to the Company’s knowledge, threatened.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15" w:name="page316"/>
    <w:bookmarkEnd w:id="315"/>
    <w:p>
      <w:pPr>
        <w:ind w:right="80" w:firstLine="436"/>
        <w:spacing w:after="0" w:line="255" w:lineRule="auto"/>
        <w:tabs>
          <w:tab w:leader="none" w:pos="68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the Execution Time and at the Closing Date or any settlement date, as the case may be, the Company shall have requested and caused Deloitte &amp; Touche LLP to furnish to the Underwriters a “comfort” letter, dated as of the Execution Time, and a bring-down “comfort letter,” dated as of the Closing Date or any settlement date, as the case may be, respectively, in form and substance reasonably satisfactory to the Representatives, confirming that they are independent registered public accountants within the meaning of the Exchange Act and within the meaning of the rules of the Public Company Accounting Oversight Board and confirming certain matters with respect to the audited and unaudited financial statements and other financial and accounting information of the Company contained in the Disclosure Package and the Prospectus, including any supplement thereto at the date of the applicable letter.</w:t>
      </w:r>
    </w:p>
    <w:p>
      <w:pPr>
        <w:spacing w:after="0" w:line="188" w:lineRule="exact"/>
        <w:rPr>
          <w:rFonts w:ascii="Times New Roman" w:cs="Times New Roman" w:eastAsia="Times New Roman" w:hAnsi="Times New Roman"/>
          <w:sz w:val="18"/>
          <w:szCs w:val="18"/>
          <w:color w:val="auto"/>
        </w:rPr>
      </w:pPr>
    </w:p>
    <w:p>
      <w:pPr>
        <w:ind w:right="160" w:firstLine="436"/>
        <w:spacing w:after="0" w:line="255" w:lineRule="auto"/>
        <w:tabs>
          <w:tab w:leader="none" w:pos="66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Time or, if earlier, the dates as of which information is given in the Disclosure Package and the Prospectus (exclusive of any amendment or supplement thereto), there shall not have been any change or development involving a prospective change, in the condition (financial or otherwise), business or results of operations of the Company and its subsidiaries, taken as a whole, and after giving effect to the Transaction, except as set forth in or contemplated in the Disclosure Package and the Prospectus (exclusive of any supplement thereto), the effect of which is, or would reasonably be expected to become, in the judgment of the Representatives, so material and adverse as to make it impractical or inadvisable to proceed with the offering, sale or delivery of the Securities on the terms and in the manner contemplated in the Disclosure Package and the Prospectus (exclusive of any amendment or supplement thereto).</w:t>
      </w:r>
    </w:p>
    <w:p>
      <w:pPr>
        <w:spacing w:after="0" w:line="188"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or any settlement date, as the case may be, the Securities shall have been approved for listing and admitted and authorized for trading on the Exchange, subject only to official notice of issuance.</w:t>
      </w:r>
    </w:p>
    <w:p>
      <w:pPr>
        <w:spacing w:after="0" w:line="161" w:lineRule="exact"/>
        <w:rPr>
          <w:rFonts w:ascii="Times New Roman" w:cs="Times New Roman" w:eastAsia="Times New Roman" w:hAnsi="Times New Roman"/>
          <w:sz w:val="18"/>
          <w:szCs w:val="18"/>
          <w:color w:val="auto"/>
        </w:rPr>
      </w:pPr>
    </w:p>
    <w:p>
      <w:pPr>
        <w:ind w:right="480" w:firstLine="436"/>
        <w:spacing w:after="0" w:line="312" w:lineRule="auto"/>
        <w:tabs>
          <w:tab w:leader="none" w:pos="695"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prior to the Execution Time, the Company shall have furnished to the Representatives a letter addressed to the Representatives substantially in the form of Exhibit A hereto from each executive officer, director and securityholder of the Company listed on Exhibit A-1 hereto.</w:t>
      </w:r>
    </w:p>
    <w:p>
      <w:pPr>
        <w:spacing w:after="0" w:line="139" w:lineRule="exact"/>
        <w:rPr>
          <w:rFonts w:ascii="Times New Roman" w:cs="Times New Roman" w:eastAsia="Times New Roman" w:hAnsi="Times New Roman"/>
          <w:sz w:val="17"/>
          <w:szCs w:val="17"/>
          <w:color w:val="auto"/>
        </w:rPr>
      </w:pPr>
    </w:p>
    <w:p>
      <w:pPr>
        <w:ind w:firstLine="436"/>
        <w:spacing w:after="0" w:line="282" w:lineRule="auto"/>
        <w:tabs>
          <w:tab w:leader="none" w:pos="65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or any settlement date, as the case may be, the Company shall have taken all action reasonably required to be taken by it to have the Securities declared eligible for clearance and settlement through The Depository Trust Company.</w:t>
      </w:r>
    </w:p>
    <w:p>
      <w:pPr>
        <w:spacing w:after="0" w:line="161" w:lineRule="exact"/>
        <w:rPr>
          <w:rFonts w:ascii="Times New Roman" w:cs="Times New Roman" w:eastAsia="Times New Roman" w:hAnsi="Times New Roman"/>
          <w:sz w:val="18"/>
          <w:szCs w:val="18"/>
          <w:color w:val="auto"/>
        </w:rPr>
      </w:pPr>
    </w:p>
    <w:p>
      <w:pPr>
        <w:ind w:right="400" w:firstLine="436"/>
        <w:spacing w:after="0" w:line="282" w:lineRule="auto"/>
        <w:tabs>
          <w:tab w:leader="none" w:pos="65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or any settlement date, as the case may be, the Company shall have furnished to the Representatives such further information, certificates and documents as the Representatives may reasonably request.</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All opinions, letters, evidence and certificates mentioned above or elsewhere in this Agreement shall be deemed to be in compliance with the provisions hereof only if they are in form and substance reasonably satisfactory to the Representatives and counsel for the Underwriters.</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The documents required to be delivered by this Section 6 will be available for inspection at the office of Simpson Thacher &amp; Bartlett LLP, at 425 Lexington Avenue, New York, New York 10017, on the Business Day prior to the Closing Date or any settlement date, as the case may be.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16" w:name="page317"/>
    <w:bookmarkEnd w:id="316"/>
    <w:p>
      <w:pPr>
        <w:ind w:right="140" w:firstLine="987"/>
        <w:spacing w:after="0" w:line="256" w:lineRule="auto"/>
        <w:tabs>
          <w:tab w:leader="none" w:pos="1171"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Reimbursement of Underwriters’ Expenses</w:t>
      </w:r>
      <w:r>
        <w:rPr>
          <w:rFonts w:ascii="Times New Roman" w:cs="Times New Roman" w:eastAsia="Times New Roman" w:hAnsi="Times New Roman"/>
          <w:sz w:val="18"/>
          <w:szCs w:val="18"/>
          <w:color w:val="auto"/>
        </w:rPr>
        <w:t>. If the sale of the Securities provided for herein is not consummated because any condition to the obligations of the Underwriters set forth in Section 6 hereof is not satisfied, because of any termination pursuant to Section 10 hereof or because of any refusal, inability or failure on the part of the Company to perform any agreement herein or to comply with any provision hereof other than by reason of a default by any of the Underwriters, including as described in Section 9 hereof, the Company will reimburse the Underwriters severally through the Representatives on behalf of the Underwriters on demand for all reasonable expenses (including reasonable fees and disbursements of Latham &amp; Watkins LLP) that shall have been incurred by them in connection with the proposed purchase and sale of the Securities.</w:t>
      </w:r>
    </w:p>
    <w:p>
      <w:pPr>
        <w:spacing w:after="0" w:line="187"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indemnify and hold harmless each Underwriter, the directors, officers, selling agents and Affiliates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U.S.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or in any Preliminary Prospectus, or the Prospectus, or any Issuer Free Writing Prospectus, or any Written Testing-the-Waters Communication, or any bona fide electronic road show as defined in Rule 433(h) under the Act (a “road show”), or in any amendment thereof or supplement thereto or arise out of or are based upon the omission or alleged omission to state therein a material fact required to be stated therein or necessary to make the statements therein, in the case of any Preliminary Prospectus, the Prospectus, any Free Writing Prospectus, any Written Testing-the-Waters Communication or roadshow or in any amendment thereof or supplement thereto, in the light of the circumstances under which they were made, not misleading, and agrees (subject to the limitations set forth in the provisos to this sentence) to reimburse each such indemnified party, as incurred, for any legal or other expenses reasonably incurred by it in connection with investigating or defending any such loss, claim, damage, liability or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The obligations of the Company under this indemnity agreement will be in addition to any liability that the Company may otherwise have. The Company shall not be liable under this Section 8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the Company, as applicable, which consent shall not be unreasonably withheld.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17" w:name="page318"/>
    <w:bookmarkEnd w:id="317"/>
    <w:p>
      <w:pPr>
        <w:ind w:left="-20" w:right="40" w:firstLine="436"/>
        <w:spacing w:after="0" w:line="253" w:lineRule="auto"/>
        <w:tabs>
          <w:tab w:leader="none" w:pos="67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Underwriter severally, and not jointly, agrees to indemnify and hold harmless (i) the Company, (ii) each person, if any, who controls (within the meaning of either the Act or the Exchange Act) the Company, (iii) each of the directors of the Company who signs the Registration Statement and (iv) each of the officers of the Company who signs the Registration Statement, to the same extent as the foregoing indemnity from the Company to each Underwriter,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that any Underwriter may otherwise have. The Company acknowledges that the statements in the Preliminary Prospectus and the Prospectus set forth in the fifth paragraph, the thirteenth paragraph and the fourteenth paragraph under the heading “Underwriting (Conflicts of Interest)”, constitute the only information furnished in writing by or on behalf of the several Underwriters for inclusion in the Registration Statement, Preliminary Prospectus, the Prospectus, any Issuer Free Writing Prospectus, any Written Testing-the-Waters Communication or any road show.</w:t>
      </w:r>
    </w:p>
    <w:p>
      <w:pPr>
        <w:spacing w:after="0" w:line="194" w:lineRule="exact"/>
        <w:rPr>
          <w:rFonts w:ascii="Times New Roman" w:cs="Times New Roman" w:eastAsia="Times New Roman" w:hAnsi="Times New Roman"/>
          <w:sz w:val="18"/>
          <w:szCs w:val="18"/>
          <w:color w:val="auto"/>
        </w:rPr>
      </w:pPr>
    </w:p>
    <w:p>
      <w:pPr>
        <w:ind w:left="-20" w:firstLine="436"/>
        <w:spacing w:after="0" w:line="252" w:lineRule="auto"/>
        <w:tabs>
          <w:tab w:leader="none" w:pos="66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or defenses and (ii) will not, in any event, relieve the indemnifying party from any obligations to any indemnified party other than the indemnification obligation provided in paragraph (a) or (b) above, except as provided in paragraph (d) below.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such counsel shall be reasonably satisfactory to the indemnified party. Notwithstanding the indemnifying party’s election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 counsel (including local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(based on the advice of counsel for the indemnified person); (ii) such action includes both the indemnified party and the indemnifying party and the indemnified party shall have reasonably concluded (based on the advice of counsel for the indemnified person) that there may be legal defenses available to it and/or other indemnified parties that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It is understood and agreed that the indemnifying person shall not, in connection with any proceeding or related proceeding in the same jurisdiction, be liable for the reasonable fees and expenses of more than one separate firm</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60" w:top="270" w:right="459" w:bottom="1440" w:gutter="0" w:footer="0" w:header="0"/>
        </w:sectPr>
      </w:pPr>
    </w:p>
    <w:bookmarkStart w:id="318" w:name="page319"/>
    <w:bookmarkEnd w:id="31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to any local counsel) for all indemnified persons. Any such separate firm for any Underwriters, its Affiliates, directors, selling agents and officers and any control persons of such Underwriters shall be designated in writing by Credit Suisse Securities (USA) LLC and J.P. Morgan Securities LLC and any such separate firm for the Company and any control persons, officers or directors of the Company shall be designated in writing by the Company. In the event that any Underwriter, its Affiliates, directors, selling agents and officers or any control persons of such Underwriter are indemnified persons collectively entitled, in connection with a proceeding in a single jurisdiction, to the payment of fees and expenses of a single separate firm under this Section 8(c), and any such Underwriter, its Affiliates, directors, selling agents and officers or any control persons of such Underwriter cannot agree to a mutually acceptable separate firm to act as counsel thereto, then such separate firm for all such indemnified persons shall be designated in writing by Credit Suisse Securities (USA) LLC and J.P. Morgan Securities LLC.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action suit or proceeding) unless such settlement, compromise or consent includes an unconditional release of each indemnified party from all liability arising out of such claim, action, suit or proceeding and does not include any statement as to, or any admission of, fault, culpability or failure to act by or on behalf of any indemnified party.</w:t>
      </w:r>
    </w:p>
    <w:p>
      <w:pPr>
        <w:spacing w:after="0" w:line="187" w:lineRule="exact"/>
        <w:rPr>
          <w:sz w:val="20"/>
          <w:szCs w:val="20"/>
          <w:color w:val="auto"/>
        </w:rPr>
      </w:pPr>
    </w:p>
    <w:p>
      <w:pPr>
        <w:ind w:right="120" w:firstLine="436"/>
        <w:spacing w:after="0" w:line="252" w:lineRule="auto"/>
        <w:tabs>
          <w:tab w:leader="none" w:pos="69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indemnity provided in paragraph (a), (b) or (c) of this Section 8 is unavailable to or insufficient to hold harmless an indemnified party for any reason (other than by virtue of the failure of an indemnified party to notify the indemnifying party of its right to indemnification pursuant to subsection (a), (b) or (c) above, where such failure materially prejudices the indemnifying party (through the forfeiture of substantial rights or defenses)), the Company and the Underwriters severally agree to contribute to the aggregate losses, claims, damages and liabilities (including legal or other expenses reasonably incurred in connection with investigating or defending any loss, claim, damage, liability or action) (collectively “Losses”) to which the Company and one or more of the Underwriters may be subject in such proportion as is appropriate to reflect the relative benefits received by the Company on the one hand and by the Underwriters on the other from the offering of the Securities. If the allocation provided by the immediately preceding sentence is unavailable for any reason or not permitted by applicable law, the Company and the Underwriters severally shall contribute in such proportion as is appropriate to reflect not only such relative benefits but also the relative fault of the Company on the one hand and of the Underwriters on the other in connection with the statements or omissions that resulted in such Losses, as well as any other relevant equitable considerations. Benefits received by the Company shall be deemed to be equal to the total net proceeds from the offering (before deducting expenses) received by it, and benefits received by the Underwriters shall be deemed to be equal to the total underwriting discounts and commissions received by them,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and any other equitable considerations appropriate in the circumstances. The Company and the Underwriters agree that it would not be just and equitable if the amount of</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19" w:name="page320"/>
    <w:bookmarkEnd w:id="31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contribution were determined by pro rata allocation or any other method of allocation that does not take account of the equitable considerations referred to above. Notwithstanding the provisions of this paragraph (d), in no event shall any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8 are several in proportion to their respective purchase obligations hereunder and not joint. For purposes of this Section 8, each person, if any, who controls an Underwriter within the meaning of either the Act or the Exchange Act and each director, officer, employee, Affiliate and agent of an Underwriter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192" w:lineRule="exact"/>
        <w:rPr>
          <w:sz w:val="20"/>
          <w:szCs w:val="20"/>
          <w:color w:val="auto"/>
        </w:rPr>
      </w:pPr>
    </w:p>
    <w:p>
      <w:pPr>
        <w:ind w:right="20" w:firstLine="987"/>
        <w:spacing w:after="0" w:line="252" w:lineRule="auto"/>
        <w:tabs>
          <w:tab w:leader="none" w:pos="1171"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by an Underwriter</w:t>
      </w:r>
      <w:r>
        <w:rPr>
          <w:rFonts w:ascii="Times New Roman" w:cs="Times New Roman" w:eastAsia="Times New Roman" w:hAnsi="Times New Roman"/>
          <w:sz w:val="18"/>
          <w:szCs w:val="18"/>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as the case may be, shall be obligated severally to take up and pay for (in the respective proportions that the amount of the Securities set forth opposite their names in Schedule I hereto bears to the aggregate amount of the Securities set forth opposite the names of all the remaining Underwriters, as applicable) the Securities that the defaulting Underwriter or Underwriters agreed but failed to purchase;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event that the aggregate amount of the Securities that the defaulting Underwriter or Underwriters agreed but failed to purchase shall exceed 10% of the aggregate amount of the Securities set forth in Schedule I hereto, the Company shall be entitled to a period of 36 hours within which to procure another party or parties reasonably satisfactory to the non-defaulting Underwriters, as the case may be, to purchase no less than the amount of such unpurchased Securities that exceeds 10% of the amount thereof upon such terms herein set forth. If, however, the Company shall not have completed such arrangements within 72 hours after such default and the amount of unpurchased Securities exceeds 10% of the amount of such Securities to be purchased on such date, then this Agreement will terminate without liability to any non-defaulting Underwriter or the Company. In the event of a default by any Underwriter as set forth in this Section 9, the Closing Date shall be postponed for such period, not exceeding five Business Days, to effect any changes that in the opinion of counsel for the Company or counsel for the Representatives are necessary in the Registration Statement, Prospectus or in any other documents or arrangements may be effected. Nothing contained in this Agreement shall relieve any defaulting Underwriter of its liability, if any, to the Company or any nondefaulting Underwriter for damages occasioned by its default hereunder.</w:t>
      </w:r>
    </w:p>
    <w:p>
      <w:pPr>
        <w:spacing w:after="0" w:line="195" w:lineRule="exact"/>
        <w:rPr>
          <w:rFonts w:ascii="Times New Roman" w:cs="Times New Roman" w:eastAsia="Times New Roman" w:hAnsi="Times New Roman"/>
          <w:sz w:val="18"/>
          <w:szCs w:val="18"/>
          <w:color w:val="auto"/>
        </w:rPr>
      </w:pPr>
    </w:p>
    <w:p>
      <w:pPr>
        <w:ind w:right="260" w:firstLine="987"/>
        <w:spacing w:after="0" w:line="282" w:lineRule="auto"/>
        <w:tabs>
          <w:tab w:leader="none" w:pos="1261"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be subject to termination in the absolute discretion of the Representatives, by notice given to the Company prior to delivery of and payment for the Securities, if at any time prior to such time (i) there shall have occurred,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20" w:name="page321"/>
    <w:bookmarkEnd w:id="32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since the time of execution of this Agreement or since the respective dates as of which information is given in the Disclosure Package or the Prospectus, any material adverse change or development in the condition (financial or otherwise), business or results of operations of the Company and its subsidiaries, taken as a whole; (ii) trading in the Company’s Common Stock shall have been suspended by the Commission or the Exchange or trading in any securities generally on the New York Stock Exchange or NASDAQ Stock Market shall have been suspended or materially limited or minimum prices shall have been established on either exchange; (iii) a banking moratorium shall have been declared either by U.S. federal or New York State authorities; (iv) there shall have occurred a material disruption in commercial banking or securities settlement or clearance services or (v) there shall have occurred any outbreak or escalation of hostilities, declaration by the United States of a national emergency or war or other calamity or crisis the effect of which on financial markets is such as to make it, in the judgment of the Representatives, impractical or inadvisable to proceed with the offering, sale or delivery of the Securities as contemplated in the Disclosure Package and the Prospectus (exclusive of any supplement thereto).</w:t>
      </w:r>
    </w:p>
    <w:p>
      <w:pPr>
        <w:spacing w:after="0" w:line="188" w:lineRule="exact"/>
        <w:rPr>
          <w:sz w:val="20"/>
          <w:szCs w:val="20"/>
          <w:color w:val="auto"/>
        </w:rPr>
      </w:pPr>
    </w:p>
    <w:p>
      <w:pPr>
        <w:ind w:right="120" w:firstLine="987"/>
        <w:spacing w:after="0" w:line="258" w:lineRule="auto"/>
        <w:tabs>
          <w:tab w:leader="none" w:pos="125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Indemnities to Survive</w:t>
      </w:r>
      <w:r>
        <w:rPr>
          <w:rFonts w:ascii="Times New Roman" w:cs="Times New Roman" w:eastAsia="Times New Roman" w:hAnsi="Times New Roman"/>
          <w:sz w:val="18"/>
          <w:szCs w:val="18"/>
          <w:color w:val="auto"/>
        </w:rPr>
        <w:t>. The respective agreements, representations, warranties, indemnities and other statements of the Company or its officers and of the Underwriters set forth in or made pursuant to this Agreement will remain in full force and effect, regardless of any investigation made by or on behalf of any Underwriter or the Company or any of the indemnified persons referred to in Section 8 hereof, and will survive delivery of and payment for the Securities. The provisions of Sections 7 and 8 hereof shall survive the termination or cancellation of this Agreement.</w:t>
      </w:r>
    </w:p>
    <w:p>
      <w:pPr>
        <w:spacing w:after="0" w:line="183" w:lineRule="exact"/>
        <w:rPr>
          <w:rFonts w:ascii="Times New Roman" w:cs="Times New Roman" w:eastAsia="Times New Roman" w:hAnsi="Times New Roman"/>
          <w:sz w:val="18"/>
          <w:szCs w:val="18"/>
          <w:color w:val="auto"/>
        </w:rPr>
      </w:pPr>
    </w:p>
    <w:p>
      <w:pPr>
        <w:ind w:right="220" w:firstLine="987"/>
        <w:spacing w:after="0" w:line="255" w:lineRule="auto"/>
        <w:tabs>
          <w:tab w:leader="none" w:pos="126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will be in writing and effective only on receipt, and, if sent to the Representatives, will be mailed, delivered or telefaxed to c/o Credit Suisse Securities (USA) LLC, Eleven Madison Avenue, New York, NY 10010-3629, Attention: LCD-IBD and c/o J.P. Morgan Securities LLC, 383 Madison Avenue, New York, New York 10179, Attention: IBCM-Legal, or, if sent to the Company, will be mailed or delivered to Academy Sports and Outdoors, Inc., 1540 North Mason Road, Katy, TX, 77449 Attention: General Counsel; with a copy to Joseph H. Kaufman and Sunny Cheong, Simpson Thacher &amp; Bartlett LLP, at 425 Lexington Avenue, New York, New York (fax no. (212) 455-2502). The Company shall be entitled to act and rely upon any request, consent, notice or agreement given or made on behalf of the Underwriters by the Representatives.</w:t>
      </w:r>
    </w:p>
    <w:p>
      <w:pPr>
        <w:spacing w:after="0" w:line="188" w:lineRule="exact"/>
        <w:rPr>
          <w:rFonts w:ascii="Times New Roman" w:cs="Times New Roman" w:eastAsia="Times New Roman" w:hAnsi="Times New Roman"/>
          <w:sz w:val="18"/>
          <w:szCs w:val="18"/>
          <w:color w:val="auto"/>
        </w:rPr>
      </w:pPr>
    </w:p>
    <w:p>
      <w:pPr>
        <w:jc w:val="both"/>
        <w:ind w:right="160" w:firstLine="987"/>
        <w:spacing w:after="0" w:line="266" w:lineRule="auto"/>
        <w:tabs>
          <w:tab w:leader="none" w:pos="126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indemnified persons referred to in Section 8 hereof and their respective successors and no other person will have any right or obligation hereunder. No purchaser of Securities from any Underwriter shall be deemed to be a successor merely by reason of such purchase.</w:t>
      </w:r>
    </w:p>
    <w:p>
      <w:pPr>
        <w:spacing w:after="0" w:line="175" w:lineRule="exact"/>
        <w:rPr>
          <w:rFonts w:ascii="Times New Roman" w:cs="Times New Roman" w:eastAsia="Times New Roman" w:hAnsi="Times New Roman"/>
          <w:sz w:val="18"/>
          <w:szCs w:val="18"/>
          <w:color w:val="auto"/>
        </w:rPr>
      </w:pPr>
    </w:p>
    <w:p>
      <w:pPr>
        <w:ind w:right="120" w:firstLine="987"/>
        <w:spacing w:after="0" w:line="266" w:lineRule="auto"/>
        <w:tabs>
          <w:tab w:leader="none" w:pos="126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AND ANY CLAIM, CONTROVERSY OR DISPUTE ARISING UNDER OR RELATED TO THIS AGREEMENT WILL BE GOVERNED BY AND CONSTRUED IN ACCORDANCE WITH THE LAWS OF THE STATE OF NEW YORK APPLICABLE TO CONTRACTS MADE AND TO BE PERFORMED WITHIN THE STATE OF NEW YORK.</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321" w:name="page322"/>
    <w:bookmarkEnd w:id="321"/>
    <w:p>
      <w:pPr>
        <w:jc w:val="both"/>
        <w:ind w:right="420" w:firstLine="987"/>
        <w:spacing w:after="0" w:line="261" w:lineRule="auto"/>
        <w:tabs>
          <w:tab w:leader="none" w:pos="1261"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61"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The Company hereby acknowledges that (a) the purchase and sale of the Securities pursuant to this Agreement is an arm’s-length commercial transaction between the Company, on the one hand, and the Underwriters and any affiliate through which it may be acting, on the other, and does not constitute a recommendation, investment advice, or solicitation of any action by the Underwriters, (b) the Underwriters are acting as principal and not as an agent or fiduciary of the Company and (c) the Company’s engagement of the Underwriters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of the 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 Any review by the Representatives and the other Underwriters of the Company, the transactions contemplated hereby or other matters relating to such transactions will be performed solely for the benefit of the Underwriters and shall not be on behalf of the Company.</w:t>
      </w:r>
    </w:p>
    <w:p>
      <w:pPr>
        <w:spacing w:after="0" w:line="194" w:lineRule="exact"/>
        <w:rPr>
          <w:rFonts w:ascii="Times New Roman" w:cs="Times New Roman" w:eastAsia="Times New Roman" w:hAnsi="Times New Roman"/>
          <w:sz w:val="18"/>
          <w:szCs w:val="18"/>
          <w:color w:val="auto"/>
        </w:rPr>
      </w:pPr>
    </w:p>
    <w:p>
      <w:pPr>
        <w:ind w:right="180" w:firstLine="987"/>
        <w:spacing w:after="0" w:line="282" w:lineRule="auto"/>
        <w:tabs>
          <w:tab w:leader="none" w:pos="1261"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supersedes all prior agreements and understandings (whether written or oral) between the Company and the Underwriters, or any of them, with respect to the subject matter hereof.</w:t>
      </w:r>
    </w:p>
    <w:p>
      <w:pPr>
        <w:spacing w:after="0" w:line="161" w:lineRule="exact"/>
        <w:rPr>
          <w:rFonts w:ascii="Times New Roman" w:cs="Times New Roman" w:eastAsia="Times New Roman" w:hAnsi="Times New Roman"/>
          <w:sz w:val="18"/>
          <w:szCs w:val="18"/>
          <w:color w:val="auto"/>
        </w:rPr>
      </w:pPr>
    </w:p>
    <w:p>
      <w:pPr>
        <w:ind w:right="320" w:firstLine="987"/>
        <w:spacing w:after="0" w:line="266" w:lineRule="auto"/>
        <w:tabs>
          <w:tab w:leader="none" w:pos="1261"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5" w:lineRule="exact"/>
        <w:rPr>
          <w:rFonts w:ascii="Times New Roman" w:cs="Times New Roman" w:eastAsia="Times New Roman" w:hAnsi="Times New Roman"/>
          <w:sz w:val="18"/>
          <w:szCs w:val="18"/>
          <w:color w:val="auto"/>
        </w:rPr>
      </w:pPr>
    </w:p>
    <w:p>
      <w:pPr>
        <w:ind w:right="60" w:firstLine="987"/>
        <w:spacing w:after="0" w:line="261" w:lineRule="auto"/>
        <w:tabs>
          <w:tab w:leader="none" w:pos="1261"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by any one or more of the parties hereto in any number of counterparts, each of which shall be deemed to be an original, but all such counterparts shall together constitute one and the same instrument. The exchange of signature pages by facsimile or electronic format (i.e., “pdf” or “tif”) transmission shall constitute effective execution and delivery of this Agreement. Signatures of the parties hereto transmitted by facsimile or electronic format (i.e., “pdf” or “tif”) shall be deemed to be their original signatures for all purposes.</w:t>
      </w:r>
    </w:p>
    <w:p>
      <w:pPr>
        <w:spacing w:after="0" w:line="179" w:lineRule="exact"/>
        <w:rPr>
          <w:rFonts w:ascii="Times New Roman" w:cs="Times New Roman" w:eastAsia="Times New Roman" w:hAnsi="Times New Roman"/>
          <w:sz w:val="18"/>
          <w:szCs w:val="18"/>
          <w:color w:val="auto"/>
        </w:rPr>
      </w:pPr>
    </w:p>
    <w:p>
      <w:pPr>
        <w:ind w:right="140" w:firstLine="987"/>
        <w:spacing w:after="0" w:line="261" w:lineRule="auto"/>
        <w:tabs>
          <w:tab w:leader="none" w:pos="1261"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22" w:name="page323"/>
    <w:bookmarkEnd w:id="322"/>
    <w:p>
      <w:pPr>
        <w:ind w:left="4" w:right="8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use of a paper-based recordkeeping system, as the case may be, to the extent and as provided for in any applicable law, including the federal Electronic Signatures in Global and National Commerce Act, the New York State Electronic Signatures and Records Act, or any other state laws based on the Uniform Electronic Transactions Act, and the parties hereto consent to conduct the transactions contemplated hereunder by electronic means.</w:t>
      </w:r>
    </w:p>
    <w:p>
      <w:pPr>
        <w:spacing w:after="0" w:line="158" w:lineRule="exact"/>
        <w:rPr>
          <w:sz w:val="20"/>
          <w:szCs w:val="20"/>
          <w:color w:val="auto"/>
        </w:rPr>
      </w:pPr>
    </w:p>
    <w:p>
      <w:pPr>
        <w:ind w:left="1264" w:hanging="273"/>
        <w:spacing w:after="0"/>
        <w:tabs>
          <w:tab w:leader="none" w:pos="126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that follow, when used in this Agreement, shall have the meanings indicated.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“Act” shall mean the Securities Act of 1933, as amended, and the rules and regulations of the Commission promulgated thereunder.</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“Affiliate” shall have the meaning specified in Rule 501(b) of Regulation 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“Agreement” shall mean this Underwriting Agreement.</w:t>
      </w:r>
    </w:p>
    <w:p>
      <w:pPr>
        <w:spacing w:after="0" w:line="225"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“Business Day” shall mean any day other than a Saturday, a Sunday or a legal holiday or a day on which commercial banking institutions or trust companies are authorized or required by law to close in New York City.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“Commission” shall mean the Securities and Exchange Commission.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“Disclosure Package” shall mean (i) the Preliminary Prospectus that is generally distributed to investors and used to offer the Securities,</w:t>
      </w:r>
    </w:p>
    <w:p>
      <w:pPr>
        <w:spacing w:after="0" w:line="27" w:lineRule="exact"/>
        <w:rPr>
          <w:sz w:val="20"/>
          <w:szCs w:val="20"/>
          <w:color w:val="auto"/>
        </w:rPr>
      </w:pPr>
    </w:p>
    <w:p>
      <w:pPr>
        <w:ind w:left="4" w:hanging="4"/>
        <w:spacing w:after="0" w:line="255" w:lineRule="auto"/>
        <w:tabs>
          <w:tab w:leader="none" w:pos="26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Free Writing Prospectuses, if any, and any other information identified in Schedule II hereto (including the pricing information provided orally by the underwriters), and (iii) any other Free Writing Prospectus that the parties hereto shall hereafter expressly agree in writing to treat as part of the Disclosure Package.</w:t>
      </w:r>
    </w:p>
    <w:p>
      <w:pPr>
        <w:spacing w:after="0" w:line="186"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“Effective Date” shall mean each date and time that the Registration Statement, any post-effective amendment or amendments thereto and any Rule 462(b) Registration Statement became or becomes effective.</w:t>
      </w:r>
    </w:p>
    <w:p>
      <w:pPr>
        <w:spacing w:after="0" w:line="162" w:lineRule="exact"/>
        <w:rPr>
          <w:sz w:val="20"/>
          <w:szCs w:val="20"/>
          <w:color w:val="auto"/>
        </w:rPr>
      </w:pPr>
    </w:p>
    <w:p>
      <w:pPr>
        <w:ind w:left="4" w:right="780" w:firstLine="991"/>
        <w:spacing w:after="0" w:line="282" w:lineRule="auto"/>
        <w:rPr>
          <w:sz w:val="20"/>
          <w:szCs w:val="20"/>
          <w:color w:val="auto"/>
        </w:rPr>
      </w:pPr>
      <w:r>
        <w:rPr>
          <w:rFonts w:ascii="Times New Roman" w:cs="Times New Roman" w:eastAsia="Times New Roman" w:hAnsi="Times New Roman"/>
          <w:sz w:val="18"/>
          <w:szCs w:val="18"/>
          <w:color w:val="auto"/>
        </w:rPr>
        <w:t>“Exchange Act” shall mean the Securities Exchange Act of 1934, as amended, and the rules and regulations of the Commission promulgated thereunder.</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“Execution Time” shall mean [●] [p.m.] on [●], 2020.</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“Free Writing Prospectus” shall mean a free writing prospectus, as defined in Rule 405.</w:t>
      </w:r>
    </w:p>
    <w:p>
      <w:pPr>
        <w:spacing w:after="0" w:line="225" w:lineRule="exact"/>
        <w:rPr>
          <w:sz w:val="20"/>
          <w:szCs w:val="20"/>
          <w:color w:val="auto"/>
        </w:rPr>
      </w:pPr>
    </w:p>
    <w:p>
      <w:pPr>
        <w:ind w:left="4" w:right="820" w:firstLine="991"/>
        <w:spacing w:after="0" w:line="282" w:lineRule="auto"/>
        <w:rPr>
          <w:sz w:val="20"/>
          <w:szCs w:val="20"/>
          <w:color w:val="auto"/>
        </w:rPr>
      </w:pPr>
      <w:r>
        <w:rPr>
          <w:rFonts w:ascii="Times New Roman" w:cs="Times New Roman" w:eastAsia="Times New Roman" w:hAnsi="Times New Roman"/>
          <w:sz w:val="18"/>
          <w:szCs w:val="18"/>
          <w:color w:val="auto"/>
        </w:rPr>
        <w:t>“Investment Company Act” shall mean the Investment Company Act of 1940, as amended, and the rules and regulations of the Commission promulgated thereunder.</w:t>
      </w:r>
    </w:p>
    <w:p>
      <w:pPr>
        <w:spacing w:after="0" w:line="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4"/>
          </w:cols>
          <w:pgMar w:left="436" w:top="270" w:right="519" w:bottom="1440" w:gutter="0" w:footer="0" w:header="0"/>
        </w:sectPr>
      </w:pPr>
    </w:p>
    <w:bookmarkStart w:id="323" w:name="page324"/>
    <w:bookmarkEnd w:id="32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“Issuer Free Writing Prospectus” shall mean an issuer free writing prospectus, as defined in Rule 433.</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“Preliminary Prospectus” shall mean any preliminary prospectus referred to in paragraph 1(a) above and any preliminary prospectus included in the Registration Statement at the Effective Date that omits Rule 430A Information.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“Prospectus” shall mean the prospectus relating to the Securities that is first filed pursuant to Rule 424(b) after the Execution Time.</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“Registration Statement” shall mean the registration statement referred to in paragraph 1(a) above, including exhibits and financial statements and any prospectus supplement relating to the Securities that is filed with the Commission pursuant to Rule 424(b) and deemed part of such registration statement pursuant to Rule 430A, as amended at the Execution Time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183"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“Rule 158”, “Rule 163”, “Rule 164”, “Rule 172”, “Rule 405”, “Rule 415”, “Rule 424”, “Rule 430A” and “Rule 433” refer to such rules under the Act.</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“Rule 430A Information” shall mean information with respect to the Securities and the offering thereof permitted to be omitted from the Registration Statement when it becomes effective pursuant to Rule 430A.</w:t>
      </w:r>
    </w:p>
    <w:p>
      <w:pPr>
        <w:spacing w:after="0" w:line="162"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“Testing-the-Waters Communication” means any oral or written communication with potential investors undertaken in reliance on Rule 163B under of the Act.</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“Written Testing-the-Waters Communication” means any Testing-the-Waters Communication that is a written communication within the meaning of Rule 405 under the Act.</w:t>
      </w:r>
    </w:p>
    <w:p>
      <w:pPr>
        <w:spacing w:after="0" w:line="162"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3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860"/>
          </w:cols>
          <w:pgMar w:left="440" w:top="270" w:right="599" w:bottom="1440" w:gutter="0" w:footer="0" w:header="0"/>
        </w:sectPr>
      </w:pPr>
    </w:p>
    <w:bookmarkStart w:id="324" w:name="page325"/>
    <w:bookmarkEnd w:id="32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Academy Sports and Outdoors, Inc.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019"/>
          </w:cols>
          <w:pgMar w:left="1440" w:top="270" w:right="1440"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Agreement is hereby confirmed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accepted as of the date first above written.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Suisse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Credit Suisse Securities (USA)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the other several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 Schedule I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Agreement.</w:t>
      </w:r>
    </w:p>
    <w:p>
      <w:pPr>
        <w:spacing w:after="0" w:line="15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019"/>
          </w:cols>
          <w:pgMar w:left="440" w:top="270" w:right="1440" w:bottom="1440" w:gutter="0" w:footer="0" w:header="0"/>
        </w:sectPr>
      </w:pPr>
    </w:p>
    <w:bookmarkStart w:id="326" w:name="page327"/>
    <w:bookmarkEnd w:id="326"/>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260" w:type="dxa"/>
            <w:vAlign w:val="bottom"/>
            <w:gridSpan w:val="4"/>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0" w:type="dxa"/>
            <w:vAlign w:val="bottom"/>
          </w:tcPr>
          <w:p>
            <w:pPr>
              <w:spacing w:after="0"/>
              <w:rPr>
                <w:sz w:val="1"/>
                <w:szCs w:val="1"/>
                <w:color w:val="auto"/>
              </w:rPr>
            </w:pPr>
          </w:p>
        </w:tc>
      </w:tr>
      <w:tr>
        <w:trPr>
          <w:trHeight w:val="369"/>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Underwriters</w:t>
            </w:r>
          </w:p>
        </w:tc>
        <w:tc>
          <w:tcPr>
            <w:tcW w:w="3020" w:type="dxa"/>
            <w:vAlign w:val="bottom"/>
            <w:vMerge w:val="restart"/>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00" w:type="dxa"/>
            <w:vAlign w:val="bottom"/>
            <w:gridSpan w:val="2"/>
          </w:tcPr>
          <w:p>
            <w:pPr>
              <w:ind w:left="1620"/>
              <w:spacing w:after="0"/>
              <w:rPr>
                <w:sz w:val="20"/>
                <w:szCs w:val="20"/>
                <w:color w:val="auto"/>
              </w:rPr>
            </w:pPr>
            <w:r>
              <w:rPr>
                <w:rFonts w:ascii="Times New Roman" w:cs="Times New Roman" w:eastAsia="Times New Roman" w:hAnsi="Times New Roman"/>
                <w:sz w:val="14"/>
                <w:szCs w:val="14"/>
                <w:color w:val="auto"/>
              </w:rPr>
              <w:t>Number of Underwritten Securities</w:t>
            </w:r>
          </w:p>
        </w:tc>
        <w:tc>
          <w:tcPr>
            <w:tcW w:w="0" w:type="dxa"/>
            <w:vAlign w:val="bottom"/>
          </w:tcPr>
          <w:p>
            <w:pPr>
              <w:spacing w:after="0"/>
              <w:rPr>
                <w:sz w:val="1"/>
                <w:szCs w:val="1"/>
                <w:color w:val="auto"/>
              </w:rPr>
            </w:pPr>
          </w:p>
        </w:tc>
      </w:tr>
      <w:tr>
        <w:trPr>
          <w:trHeight w:val="191"/>
        </w:trPr>
        <w:tc>
          <w:tcPr>
            <w:tcW w:w="760" w:type="dxa"/>
            <w:vAlign w:val="bottom"/>
            <w:tcBorders>
              <w:bottom w:val="single" w:sz="8" w:color="auto"/>
            </w:tcBorders>
            <w:vMerge w:val="continue"/>
          </w:tcPr>
          <w:p>
            <w:pPr>
              <w:spacing w:after="0"/>
              <w:rPr>
                <w:sz w:val="16"/>
                <w:szCs w:val="16"/>
                <w:color w:val="auto"/>
              </w:rPr>
            </w:pPr>
          </w:p>
        </w:tc>
        <w:tc>
          <w:tcPr>
            <w:tcW w:w="3020" w:type="dxa"/>
            <w:vAlign w:val="bottom"/>
            <w:vMerge w:val="continue"/>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30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to be Purchased</w:t>
            </w:r>
          </w:p>
        </w:tc>
        <w:tc>
          <w:tcPr>
            <w:tcW w:w="0" w:type="dxa"/>
            <w:vAlign w:val="bottom"/>
          </w:tcPr>
          <w:p>
            <w:pPr>
              <w:spacing w:after="0"/>
              <w:rPr>
                <w:sz w:val="1"/>
                <w:szCs w:val="1"/>
                <w:color w:val="auto"/>
              </w:rPr>
            </w:pPr>
          </w:p>
        </w:tc>
      </w:tr>
      <w:tr>
        <w:trPr>
          <w:trHeight w:val="185"/>
        </w:trPr>
        <w:tc>
          <w:tcPr>
            <w:tcW w:w="378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Credit Suisse Securities (USA) LLC</w:t>
            </w: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Borders>
              <w:top w:val="single" w:sz="8" w:color="auto"/>
            </w:tcBorders>
          </w:tcPr>
          <w:p>
            <w:pPr>
              <w:ind w:left="4960"/>
              <w:spacing w:after="0" w:line="185" w:lineRule="exact"/>
              <w:rPr>
                <w:sz w:val="20"/>
                <w:szCs w:val="20"/>
                <w:color w:val="auto"/>
              </w:rPr>
            </w:pPr>
            <w:r>
              <w:rPr>
                <w:rFonts w:ascii="Times New Roman" w:cs="Times New Roman" w:eastAsia="Times New Roman" w:hAnsi="Times New Roman"/>
                <w:sz w:val="18"/>
                <w:szCs w:val="18"/>
                <w:color w:val="auto"/>
                <w:w w:val="94"/>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KKR Capital Markets LLC</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Evercore Group L.L.C.</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Stephens Inc.</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One Securities, Inc.</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CastleOak Securities, L.P.</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Blaylock Van, LLC</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Cabrera Capital Markets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Ramirez &amp; Co., Inc.</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Seelaus &amp; Co., LLC</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78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Borders>
              <w:top w:val="single" w:sz="8" w:color="auto"/>
            </w:tcBorders>
          </w:tcPr>
          <w:p>
            <w:pPr>
              <w:ind w:left="4960"/>
              <w:spacing w:after="0"/>
              <w:rPr>
                <w:sz w:val="20"/>
                <w:szCs w:val="20"/>
                <w:color w:val="auto"/>
              </w:rPr>
            </w:pPr>
            <w:r>
              <w:rPr>
                <w:rFonts w:ascii="Times New Roman" w:cs="Times New Roman" w:eastAsia="Times New Roman" w:hAnsi="Times New Roman"/>
                <w:sz w:val="18"/>
                <w:szCs w:val="18"/>
                <w:color w:val="auto"/>
                <w:w w:val="9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7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27" w:name="page328"/>
    <w:bookmarkEnd w:id="327"/>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of Free Writing Prospectuses included in the Disclosure Package</w:t>
      </w:r>
    </w:p>
    <w:p>
      <w:pPr>
        <w:spacing w:after="0" w:line="131" w:lineRule="exact"/>
        <w:rPr>
          <w:sz w:val="20"/>
          <w:szCs w:val="20"/>
          <w:color w:val="auto"/>
        </w:rPr>
      </w:pPr>
    </w:p>
    <w:p>
      <w:pPr>
        <w:ind w:left="960" w:hanging="424"/>
        <w:spacing w:after="0"/>
        <w:tabs>
          <w:tab w:leader="none" w:pos="96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information provided orally by Underwriters</w:t>
      </w:r>
    </w:p>
    <w:p>
      <w:pPr>
        <w:spacing w:after="0" w:line="131" w:lineRule="exact"/>
        <w:rPr>
          <w:sz w:val="20"/>
          <w:szCs w:val="20"/>
          <w:color w:val="auto"/>
        </w:rPr>
      </w:pPr>
    </w:p>
    <w:p>
      <w:pPr>
        <w:ind w:left="960" w:hanging="424"/>
        <w:spacing w:after="0"/>
        <w:tabs>
          <w:tab w:leader="none" w:pos="9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Underwritten Securities: [●] shares of Common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Option Securities: [●] shares of Common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 per share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019"/>
          </w:cols>
          <w:pgMar w:left="440" w:top="266" w:right="1440" w:bottom="1440" w:gutter="0" w:footer="0" w:header="0"/>
        </w:sectPr>
      </w:pPr>
    </w:p>
    <w:bookmarkStart w:id="328" w:name="page329"/>
    <w:bookmarkEnd w:id="328"/>
    <w:p>
      <w:pPr>
        <w:jc w:val="center"/>
        <w:ind w:righ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III</w:t>
      </w:r>
    </w:p>
    <w:p>
      <w:pPr>
        <w:spacing w:after="0" w:line="225"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Significant Subsidiaries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LTD</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019"/>
          </w:cols>
          <w:pgMar w:left="440" w:top="270" w:right="1440" w:bottom="1440" w:gutter="0" w:footer="0" w:header="0"/>
        </w:sectPr>
      </w:pPr>
    </w:p>
    <w:bookmarkStart w:id="329" w:name="page330"/>
    <w:bookmarkEnd w:id="329"/>
    <w:p>
      <w:pPr>
        <w:spacing w:after="0"/>
        <w:tabs>
          <w:tab w:leader="none" w:pos="101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Lock-Up Agreement</w:t>
      </w:r>
      <w:r>
        <w:rPr>
          <w:sz w:val="20"/>
          <w:szCs w:val="20"/>
          <w:color w:val="auto"/>
        </w:rPr>
        <w:tab/>
      </w: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[Letterhead of officer, director or major shareholder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20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Public Offering of Common Stock</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Suisse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Credit Suisse Securities (USA)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Eleven Madison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10010-3629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00" w:firstLine="1432"/>
        <w:spacing w:after="0" w:line="261" w:lineRule="auto"/>
        <w:rPr>
          <w:sz w:val="20"/>
          <w:szCs w:val="20"/>
          <w:color w:val="auto"/>
        </w:rPr>
      </w:pPr>
      <w:r>
        <w:rPr>
          <w:rFonts w:ascii="Times New Roman" w:cs="Times New Roman" w:eastAsia="Times New Roman" w:hAnsi="Times New Roman"/>
          <w:sz w:val="18"/>
          <w:szCs w:val="18"/>
          <w:color w:val="auto"/>
        </w:rPr>
        <w:t>This letter agreement (this “Letter Agreement”) is being delivered to you in connection with the proposed Underwriting Agreement (the “Underwriting Agreement”), between Academy Sports and Outdoors, Inc., a Delaware corporation (the “Company”), and each of you as representatives of a group of Underwriters named therein, relating to an underwritten public offering of Common Stock, $0.01 par value (the “Common Stock”), of the Company (the “Offering”).</w:t>
      </w:r>
    </w:p>
    <w:p>
      <w:pPr>
        <w:spacing w:after="0" w:line="180" w:lineRule="exact"/>
        <w:rPr>
          <w:sz w:val="20"/>
          <w:szCs w:val="20"/>
          <w:color w:val="auto"/>
        </w:rPr>
      </w:pPr>
    </w:p>
    <w:p>
      <w:pPr>
        <w:ind w:right="80" w:firstLine="1432"/>
        <w:spacing w:after="0" w:line="254" w:lineRule="auto"/>
        <w:rPr>
          <w:sz w:val="20"/>
          <w:szCs w:val="20"/>
          <w:color w:val="auto"/>
        </w:rPr>
      </w:pPr>
      <w:r>
        <w:rPr>
          <w:rFonts w:ascii="Times New Roman" w:cs="Times New Roman" w:eastAsia="Times New Roman" w:hAnsi="Times New Roman"/>
          <w:sz w:val="18"/>
          <w:szCs w:val="18"/>
          <w:color w:val="auto"/>
        </w:rPr>
        <w:t>In order to induce you and the other Underwriters to enter into the Underwriting Agreement, the undersigned will not, without the prior written consent of Credit Suisse Securities (USA) LLC and J.P. Morgan Securities LLC, offer, sell, contract to sell, or otherwise dispose of, (or enter into any transaction which is designed to, or might reasonably be expected to, result in the disposition (whether by actual disposition or effective economic disposition due to cash settlement or otherwise) by the undersigned or any controlled affiliate of the undersigned or any person in privity with the undersigned or any controlled affiliate of the undersigned), directly or indirectly, including the public filing (or participation in the public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(the “Exchange Act”), and the rules and regulations of the Securities and Exchange Commission promulgated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66" w:right="439" w:bottom="1440" w:gutter="0" w:footer="0" w:header="0"/>
        </w:sectPr>
      </w:pPr>
    </w:p>
    <w:bookmarkStart w:id="330" w:name="page331"/>
    <w:bookmarkEnd w:id="330"/>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thereunder with respect to, any shares of capital stock of the Company (“Shares”) or any securities convertible into, or exercisable or exchangeable for such capital stock (“Related Securities”), or publicly announce an intention to effect any such transaction, for a period from the date hereof until 180 days after the date of the Underwriting Agreement (the “lock-up period”). Capitalized terms used but not defined herein shall have the meanings assigned thereto in the Underwriting Agreement.</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foregoing restrictions shall not apply:</w:t>
      </w:r>
    </w:p>
    <w:p>
      <w:pPr>
        <w:spacing w:after="0" w:line="131" w:lineRule="exact"/>
        <w:rPr>
          <w:sz w:val="20"/>
          <w:szCs w:val="20"/>
          <w:color w:val="auto"/>
        </w:rPr>
      </w:pPr>
    </w:p>
    <w:p>
      <w:pPr>
        <w:ind w:left="1420" w:right="80" w:hanging="439"/>
        <w:spacing w:after="0" w:line="282" w:lineRule="auto"/>
        <w:tabs>
          <w:tab w:leader="none" w:pos="142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 of Shares or Related Securities by gift, or by will or intestate succession to a family member or to a trust, partnership, limited liability company or other entity for the direct or indirect benefit of the undersigned and/or a family member;</w:t>
      </w:r>
    </w:p>
    <w:p>
      <w:pPr>
        <w:spacing w:after="0" w:line="67" w:lineRule="exact"/>
        <w:rPr>
          <w:rFonts w:ascii="Times New Roman" w:cs="Times New Roman" w:eastAsia="Times New Roman" w:hAnsi="Times New Roman"/>
          <w:sz w:val="18"/>
          <w:szCs w:val="18"/>
          <w:color w:val="auto"/>
        </w:rPr>
      </w:pPr>
    </w:p>
    <w:p>
      <w:pPr>
        <w:ind w:left="1420" w:right="140" w:hanging="439"/>
        <w:spacing w:after="0" w:line="258" w:lineRule="auto"/>
        <w:tabs>
          <w:tab w:leader="none" w:pos="142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to (1) transfers of Shares or Related Securities to another corporation, partnership, limited liability company, trust or other business entity that is a direct or indirect affiliate (as defined under Rule 12b-2 of the Exchange Act) of the undersigned or (2) distributions of Shares or Related Securities to limited partners, limited liability company members or stockholders of the undersigned or holders of similar equity interests in the undersigned;</w:t>
      </w:r>
    </w:p>
    <w:p>
      <w:pPr>
        <w:spacing w:after="0" w:line="88"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trust, to transfers to the beneficiary of such trust;</w:t>
      </w:r>
    </w:p>
    <w:p>
      <w:pPr>
        <w:spacing w:after="0" w:line="130" w:lineRule="exact"/>
        <w:rPr>
          <w:rFonts w:ascii="Times New Roman" w:cs="Times New Roman" w:eastAsia="Times New Roman" w:hAnsi="Times New Roman"/>
          <w:sz w:val="18"/>
          <w:szCs w:val="18"/>
          <w:color w:val="auto"/>
        </w:rPr>
      </w:pPr>
    </w:p>
    <w:p>
      <w:pPr>
        <w:ind w:left="1420" w:right="400" w:hanging="439"/>
        <w:spacing w:after="0" w:line="282" w:lineRule="auto"/>
        <w:tabs>
          <w:tab w:leader="none" w:pos="142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transfers to any investment fund or other entity that controls or manages, or is controlled or managed by, or is under common control or management with, the undersigned;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transfers to a nominee or custodian of a person or entity to whom a disposition or transfer would be permissible under clauses</w:t>
      </w:r>
    </w:p>
    <w:p>
      <w:pPr>
        <w:spacing w:after="0" w:line="2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through (iv);</w:t>
      </w:r>
    </w:p>
    <w:p>
      <w:pPr>
        <w:spacing w:after="0" w:line="112" w:lineRule="exact"/>
        <w:rPr>
          <w:rFonts w:ascii="Times New Roman" w:cs="Times New Roman" w:eastAsia="Times New Roman" w:hAnsi="Times New Roman"/>
          <w:sz w:val="18"/>
          <w:szCs w:val="18"/>
          <w:color w:val="auto"/>
        </w:rPr>
      </w:pPr>
    </w:p>
    <w:p>
      <w:pPr>
        <w:ind w:left="1420" w:hanging="439"/>
        <w:spacing w:after="0" w:line="253" w:lineRule="auto"/>
        <w:tabs>
          <w:tab w:leader="none" w:pos="142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transfers to the Company (1) pursuant to the exercise, in each case on a “cashless” or “net exercise” basis, of any option to purchase Shares or the vesting of any restricted stock awards or the settlement of any restricted stock units granted by the Company pursuant to any incentive plans or otherwise pursuant to equity compensation plans or arrangements described in or filed as an exhibit to the registration statement with respect to the Offering, where any Shares received by the undersigned upon any such exercise, vesting or settlement will be subject to the terms of this lock-up agreement, or (2) for the purpose of satisfying any withholding taxes (including estimated taxes) due as a result of the exercise of any option to purchase Shares or the vesting of any restricted stock awards or the settlement of any restricted stock units granted by the Company pursuant to any incentive plans or otherwise pursuant to equity compensation plans or arrangements described in or filed as an exhibit to the registration statement with respect to the Offering, in each case on a “cashless” or “net exercise” basis, where any Shares received by the undersigned upon any such exercise, vesting or settlement will be subject to the terms of this lock-up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331" w:name="page332"/>
    <w:bookmarkEnd w:id="331"/>
    <w:p>
      <w:pPr>
        <w:ind w:left="439"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filing under Section 16(a) of the Exchange Act in connection with such transfer shall indicate, to the extent permitted by such Section and the related rules and regulations, the reason for such disposition and that such transfer of Shares was solely to the Company;</w:t>
      </w:r>
    </w:p>
    <w:p>
      <w:pPr>
        <w:spacing w:after="0" w:line="81" w:lineRule="exact"/>
        <w:rPr>
          <w:sz w:val="20"/>
          <w:szCs w:val="20"/>
          <w:color w:val="auto"/>
        </w:rPr>
      </w:pPr>
    </w:p>
    <w:p>
      <w:pPr>
        <w:ind w:left="439" w:right="100" w:hanging="439"/>
        <w:spacing w:after="0" w:line="256" w:lineRule="auto"/>
        <w:tabs>
          <w:tab w:leader="none" w:pos="43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transfers pursuant to an order of a court or regulatory agency (for purposes of this Letter Agreement,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filing under Section 16(a) of the Exchange Act in connection with such transfer shall indicate, to the extent permitted by such Section and the related rules and regulations, that such transfer is pursuant to an order of a court or regulatory agency;</w:t>
      </w:r>
    </w:p>
    <w:p>
      <w:pPr>
        <w:spacing w:after="0" w:line="92" w:lineRule="exact"/>
        <w:rPr>
          <w:rFonts w:ascii="Times New Roman" w:cs="Times New Roman" w:eastAsia="Times New Roman" w:hAnsi="Times New Roman"/>
          <w:sz w:val="18"/>
          <w:szCs w:val="18"/>
          <w:color w:val="auto"/>
        </w:rPr>
      </w:pPr>
    </w:p>
    <w:p>
      <w:pPr>
        <w:ind w:left="439" w:right="20" w:hanging="439"/>
        <w:spacing w:after="0" w:line="261" w:lineRule="auto"/>
        <w:tabs>
          <w:tab w:leader="none" w:pos="43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transfers of Shares or Related Securities to the Company pursuant to the call or put provisions of existing employment agreements and equity grant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or Related Securities was solely to the Company;</w:t>
      </w:r>
    </w:p>
    <w:p>
      <w:pPr>
        <w:spacing w:after="0" w:line="85" w:lineRule="exact"/>
        <w:rPr>
          <w:rFonts w:ascii="Times New Roman" w:cs="Times New Roman" w:eastAsia="Times New Roman" w:hAnsi="Times New Roman"/>
          <w:sz w:val="18"/>
          <w:szCs w:val="18"/>
          <w:color w:val="auto"/>
        </w:rPr>
      </w:pPr>
    </w:p>
    <w:p>
      <w:pPr>
        <w:ind w:left="439" w:right="320" w:hanging="439"/>
        <w:spacing w:after="0" w:line="282" w:lineRule="auto"/>
        <w:tabs>
          <w:tab w:leader="none" w:pos="43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transfers from an executive officer or his or her estate to the Company upon death, disability or termination of employment, in each case, of such executive officer;</w:t>
      </w:r>
    </w:p>
    <w:p>
      <w:pPr>
        <w:spacing w:after="0" w:line="67"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transfers of Shares acquired in the Offering or in open-market transactions after the completion of the Offering;</w:t>
      </w:r>
    </w:p>
    <w:p>
      <w:pPr>
        <w:spacing w:after="0" w:line="130" w:lineRule="exact"/>
        <w:rPr>
          <w:rFonts w:ascii="Times New Roman" w:cs="Times New Roman" w:eastAsia="Times New Roman" w:hAnsi="Times New Roman"/>
          <w:sz w:val="18"/>
          <w:szCs w:val="18"/>
          <w:color w:val="auto"/>
        </w:rPr>
      </w:pPr>
    </w:p>
    <w:p>
      <w:pPr>
        <w:ind w:left="439" w:hanging="439"/>
        <w:spacing w:after="0" w:line="254" w:lineRule="auto"/>
        <w:tabs>
          <w:tab w:leader="none" w:pos="43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transfers in response to a bona fide third party tender offer, merger, consolidation or other similar transaction made to or with all holders of Shares or related Securities involving a “change of control” (as defined below) of the Company occurring after the consummation of the Offering, that has been approved by the board of directors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the tender offer, merger, consolidation or other such transaction is not completed, the undersigned’s Shares shall remain subject to the terms of this Letter Agreement. For purposes of this clause (xi), “change of control” means the consummation of any bona fide third party tender offer, merger, consolidation or other similar transaction the result of which is that any “person” (as defined in Section 13 (d)(3) of the Exchange Act), or group of persons, other than the Company, becomes the beneficial owner (as defined in Rules 13d-3 and 13d-5 of the Exchange Act) of at least 51% of total voting power of the voting stock of the Company;</w:t>
      </w:r>
    </w:p>
    <w:p>
      <w:pPr>
        <w:spacing w:after="0" w:line="124"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019"/>
          </w:cols>
          <w:pgMar w:left="1421" w:top="270" w:right="459" w:bottom="1440" w:gutter="0" w:footer="0" w:header="0"/>
        </w:sectPr>
      </w:pPr>
    </w:p>
    <w:bookmarkStart w:id="332" w:name="page333"/>
    <w:bookmarkEnd w:id="332"/>
    <w:p>
      <w:pPr>
        <w:ind w:left="1420" w:right="120" w:hanging="439"/>
        <w:spacing w:after="0" w:line="282" w:lineRule="auto"/>
        <w:tabs>
          <w:tab w:leader="none" w:pos="14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entry into a written plan meeting the requirements of Rule 10b5-l under the Exchange Act for the transfer of Shares that does not in any case provide for the transfer of Shares during the lock-up period;</w:t>
      </w:r>
    </w:p>
    <w:p>
      <w:pPr>
        <w:spacing w:after="0" w:line="67" w:lineRule="exact"/>
        <w:rPr>
          <w:rFonts w:ascii="Times New Roman" w:cs="Times New Roman" w:eastAsia="Times New Roman" w:hAnsi="Times New Roman"/>
          <w:sz w:val="18"/>
          <w:szCs w:val="18"/>
          <w:color w:val="auto"/>
        </w:rPr>
      </w:pPr>
    </w:p>
    <w:p>
      <w:pPr>
        <w:ind w:left="1420" w:right="60" w:hanging="439"/>
        <w:spacing w:after="0" w:line="282" w:lineRule="auto"/>
        <w:tabs>
          <w:tab w:leader="none" w:pos="14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conversion, reclassification, redemption or exchange of any Shares or Related Securities pursuant to the Reorganization Transactions; and</w:t>
      </w:r>
    </w:p>
    <w:p>
      <w:pPr>
        <w:spacing w:after="0" w:line="67" w:lineRule="exact"/>
        <w:rPr>
          <w:rFonts w:ascii="Times New Roman" w:cs="Times New Roman" w:eastAsia="Times New Roman" w:hAnsi="Times New Roman"/>
          <w:sz w:val="18"/>
          <w:szCs w:val="18"/>
          <w:color w:val="auto"/>
        </w:rPr>
      </w:pPr>
    </w:p>
    <w:p>
      <w:pPr>
        <w:ind w:left="1420" w:hanging="439"/>
        <w:spacing w:after="0" w:line="276" w:lineRule="auto"/>
        <w:tabs>
          <w:tab w:leader="none" w:pos="142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sales in open market transactions to generate such amount of net proceeds to the undersigned from such sales (after deducting commissions) in an aggregate amount up to the total amount of taxes or estimated taxes (as applicable) that become due as a result of</w:t>
      </w:r>
    </w:p>
    <w:p>
      <w:pPr>
        <w:ind w:left="1420"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(A) the exercise of options held by the undersigned with respect to which the undersigned has the right to net exercise and/or (B) the vesting and/or settlement of restricted stock awards or restricted stock units held by the undersigned, in each case, issued pursuant to any incentive plans or otherwise pursuant to equity compensation plans or arrangements described in or filed as an exhibit to the registration statement with respect to the Offering and that are exercisable and/or scheduled to vest and/or settle immediately prior to or during the lock-up;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transfers described in this subclause (xiv)(B) may only take place if at least 90 days have elapsed since the date of the Underwriting Agreement (and, for the sake of clarity, no transfers in the open market are permitted pursuant to this subclause (xiv)(B) if less than 90 days have elapsed since the date of the Underwriting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w:t>
      </w:r>
    </w:p>
    <w:p>
      <w:pPr>
        <w:spacing w:after="0" w:line="133" w:lineRule="exact"/>
        <w:rPr>
          <w:sz w:val="20"/>
          <w:szCs w:val="20"/>
          <w:color w:val="auto"/>
        </w:rPr>
      </w:pPr>
    </w:p>
    <w:p>
      <w:pPr>
        <w:ind w:left="1740" w:right="100" w:hanging="543"/>
        <w:spacing w:after="0" w:line="255" w:lineRule="auto"/>
        <w:tabs>
          <w:tab w:leader="none" w:pos="17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or distribution pursuant to clauses (i) through (v) above, it shall be a condition to such transfer that each transferee executes and delivers to Credit Suisse Securities (USA) LLC and J.P. Morgan Securities LLC an agreement in form and substance satisfactory to Credit Suisse Securities (USA) LLC and J.P. Morgan Securities LLC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 and</w:t>
      </w:r>
    </w:p>
    <w:p>
      <w:pPr>
        <w:spacing w:after="0" w:line="94" w:lineRule="exact"/>
        <w:rPr>
          <w:rFonts w:ascii="Times New Roman" w:cs="Times New Roman" w:eastAsia="Times New Roman" w:hAnsi="Times New Roman"/>
          <w:sz w:val="18"/>
          <w:szCs w:val="18"/>
          <w:color w:val="auto"/>
        </w:rPr>
      </w:pPr>
    </w:p>
    <w:p>
      <w:pPr>
        <w:ind w:left="1740" w:right="60" w:hanging="543"/>
        <w:spacing w:after="0" w:line="261" w:lineRule="auto"/>
        <w:tabs>
          <w:tab w:leader="none" w:pos="17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or distribution pursuant to clauses (i) through (v), (ix), (xii) and (xiii) above, prior to the expiration of the lock-up period no filing by any party (donor, donee, transferor or transferee) under the Exchange Act (other than those required pursuant to Section 13), or other public announcement reporting a reduction in beneficial ownership of Shares shall be required or shall be made voluntarily in connection with such transfer or distribution.</w:t>
      </w:r>
    </w:p>
    <w:p>
      <w:pPr>
        <w:spacing w:after="0" w:line="180" w:lineRule="exact"/>
        <w:rPr>
          <w:sz w:val="20"/>
          <w:szCs w:val="20"/>
          <w:color w:val="auto"/>
        </w:rPr>
      </w:pPr>
    </w:p>
    <w:p>
      <w:pPr>
        <w:ind w:right="16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agreement, the restrictions set forth in this Letter Agreement shall not apply to the exercise of any right with respect to a registration of any Shares or Related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transfer of the undersigned’s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333" w:name="page334"/>
    <w:bookmarkEnd w:id="333"/>
    <w:p>
      <w:pPr>
        <w:ind w:left="4"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Shares or Related Securities proposed to be registered pursuant to the exercise of such rights under this paragraph shall occur, and no registration statement shall be publicly filed or announced, during the lock-up period. In addition, the undersigned agrees and consents to the entry of stop transfer instructions with the Company’s transfer agent and registrar against the transfer of the undersigned’s Shares or Related Securities except in compliance with the foregoing restrictions.</w:t>
      </w:r>
    </w:p>
    <w:p>
      <w:pPr>
        <w:spacing w:after="0" w:line="180" w:lineRule="exact"/>
        <w:rPr>
          <w:sz w:val="20"/>
          <w:szCs w:val="20"/>
          <w:color w:val="auto"/>
        </w:rPr>
      </w:pPr>
    </w:p>
    <w:p>
      <w:pPr>
        <w:ind w:left="4" w:right="340" w:firstLine="1432"/>
        <w:spacing w:after="0" w:line="282"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the undersigned further agrees that the foregoing restrictions shall be equally applicable to any issuer-directed shares of Common Stock the undersigned may purchase in the Offering.</w:t>
      </w:r>
    </w:p>
    <w:p>
      <w:pPr>
        <w:spacing w:after="0" w:line="162" w:lineRule="exact"/>
        <w:rPr>
          <w:sz w:val="20"/>
          <w:szCs w:val="20"/>
          <w:color w:val="auto"/>
        </w:rPr>
      </w:pPr>
    </w:p>
    <w:p>
      <w:pPr>
        <w:ind w:left="4" w:firstLine="1432"/>
        <w:spacing w:after="0" w:line="256"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Offering, the Representatives and the other Underwriters are not making a recommendation to you to enter into this Letter Agreement, and nothing set forth in such disclosures is intended to suggest that the Representative or any Underwriter is making such a recommendation.</w:t>
      </w:r>
    </w:p>
    <w:p>
      <w:pPr>
        <w:spacing w:after="0" w:line="187" w:lineRule="exact"/>
        <w:rPr>
          <w:sz w:val="20"/>
          <w:szCs w:val="20"/>
          <w:color w:val="auto"/>
        </w:rPr>
      </w:pPr>
    </w:p>
    <w:p>
      <w:pPr>
        <w:jc w:val="both"/>
        <w:ind w:left="4" w:right="140" w:firstLine="991"/>
        <w:spacing w:after="0" w:line="272" w:lineRule="auto"/>
        <w:rPr>
          <w:sz w:val="20"/>
          <w:szCs w:val="20"/>
          <w:color w:val="auto"/>
        </w:rPr>
      </w:pPr>
      <w:r>
        <w:rPr>
          <w:rFonts w:ascii="Times New Roman" w:cs="Times New Roman" w:eastAsia="Times New Roman" w:hAnsi="Times New Roman"/>
          <w:sz w:val="17"/>
          <w:szCs w:val="17"/>
          <w:color w:val="auto"/>
        </w:rPr>
        <w:t>If the undersigned is an officer or director of the Company, (i) Credit Suisse Securities (USA) LLC and J.P. Morgan Securities LLC agree that, at least three business days before the effective date of any release or waiver of the foregoing restrictions in connection with a transfer of shares of Common Stock, Credit Suisse Securities (USA) LLC and J.P. Morgan Securities LLC will notify the Company of the impending release or waiver, and</w:t>
      </w:r>
    </w:p>
    <w:p>
      <w:pPr>
        <w:spacing w:after="0" w:line="2" w:lineRule="exact"/>
        <w:rPr>
          <w:sz w:val="20"/>
          <w:szCs w:val="20"/>
          <w:color w:val="auto"/>
        </w:rPr>
      </w:pPr>
    </w:p>
    <w:p>
      <w:pPr>
        <w:ind w:left="4" w:right="60" w:hanging="4"/>
        <w:spacing w:after="0" w:line="252" w:lineRule="auto"/>
        <w:tabs>
          <w:tab w:leader="none" w:pos="269"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agreed in the Underwriting Agreement to announce the impending release or waiver by press release through a major news service at least two business days before the effective date of the release or waiver. Any release or waiver granted by Credit Suisse Securities (USA) LLC and J.P. Morgan Securities LLC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90" w:lineRule="exact"/>
        <w:rPr>
          <w:sz w:val="20"/>
          <w:szCs w:val="20"/>
          <w:color w:val="auto"/>
        </w:rPr>
      </w:pPr>
    </w:p>
    <w:p>
      <w:pPr>
        <w:ind w:left="4" w:right="420" w:firstLine="1432"/>
        <w:spacing w:after="0" w:line="282" w:lineRule="auto"/>
        <w:rPr>
          <w:sz w:val="20"/>
          <w:szCs w:val="20"/>
          <w:color w:val="auto"/>
        </w:rPr>
      </w:pPr>
      <w:r>
        <w:rPr>
          <w:rFonts w:ascii="Times New Roman" w:cs="Times New Roman" w:eastAsia="Times New Roman" w:hAnsi="Times New Roman"/>
          <w:sz w:val="18"/>
          <w:szCs w:val="18"/>
          <w:color w:val="auto"/>
        </w:rPr>
        <w:t>If for any reason the Underwriting Agreement shall be terminated prior to the Closing Date, the agreement set forth above shall likewise be terminated.</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Yours very truly,</w:t>
      </w:r>
    </w:p>
    <w:p>
      <w:pPr>
        <w:spacing w:after="0" w:line="22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[Signature of officer, director or stockholder]</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[Name and address of officer, director or</w:t>
      </w:r>
    </w:p>
    <w:p>
      <w:pPr>
        <w:spacing w:after="0" w:line="3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1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4"/>
          </w:cols>
          <w:pgMar w:left="436" w:top="270" w:right="439" w:bottom="1440" w:gutter="0" w:footer="0" w:header="0"/>
        </w:sectPr>
      </w:pPr>
    </w:p>
    <w:bookmarkStart w:id="334" w:name="page335"/>
    <w:bookmarkEnd w:id="334"/>
    <w:p>
      <w:pPr>
        <w:spacing w:after="0"/>
        <w:tabs>
          <w:tab w:leader="none" w:pos="99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List of Lock-Up Parties</w:t>
      </w:r>
      <w:r>
        <w:rPr>
          <w:sz w:val="20"/>
          <w:szCs w:val="20"/>
          <w:color w:val="auto"/>
        </w:rPr>
        <w:tab/>
      </w:r>
      <w:r>
        <w:rPr>
          <w:rFonts w:ascii="Times New Roman" w:cs="Times New Roman" w:eastAsia="Times New Roman" w:hAnsi="Times New Roman"/>
          <w:sz w:val="18"/>
          <w:szCs w:val="18"/>
          <w:color w:val="auto"/>
        </w:rPr>
        <w:t>EXHIBIT A-1</w:t>
      </w:r>
    </w:p>
    <w:p>
      <w:pPr>
        <w:sectPr>
          <w:pgSz w:w="11900" w:h="16838" w:orient="portrait"/>
          <w:cols w:equalWidth="0" w:num="1">
            <w:col w:w="11020"/>
          </w:cols>
          <w:pgMar w:left="440" w:top="266" w:right="4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66" w:right="439" w:bottom="1440" w:gutter="0" w:footer="0" w:header="0"/>
          <w:type w:val="continuous"/>
        </w:sectPr>
      </w:pPr>
    </w:p>
    <w:bookmarkStart w:id="335" w:name="page336"/>
    <w:bookmarkEnd w:id="335"/>
    <w:p>
      <w:pPr>
        <w:spacing w:after="0"/>
        <w:tabs>
          <w:tab w:leader="none" w:pos="101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Press Release</w:t>
      </w:r>
      <w:r>
        <w:rPr>
          <w:sz w:val="20"/>
          <w:szCs w:val="20"/>
          <w:color w:val="auto"/>
        </w:rPr>
        <w:tab/>
      </w:r>
      <w:r>
        <w:rPr>
          <w:rFonts w:ascii="Times New Roman" w:cs="Times New Roman" w:eastAsia="Times New Roman" w:hAnsi="Times New Roman"/>
          <w:sz w:val="18"/>
          <w:szCs w:val="18"/>
          <w:color w:val="auto"/>
        </w:rPr>
        <w:t>EXHIBIT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Academy Sports and Outdoors, Inc. (the “Company”) announced today that Credit Suisse Securities (USA) LLC and J.P. Morgan Securities LLC, as lead book-running managers in the Company’s recent public sale of [●] shares of Common Stock, are [waiving] [releasing] a lock-up restriction with respect to [●] shares of the Company’s Common Stock held by [certain officers or directors] [an officer or director] of the Company. The [waiver] [release] will take effect on [●], 20 [●], and the shares may be sold on or after such date.</w:t>
      </w:r>
    </w:p>
    <w:p>
      <w:pPr>
        <w:spacing w:after="0" w:line="176"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66" w:right="439" w:bottom="1440" w:gutter="0" w:footer="0" w:header="0"/>
        </w:sectPr>
      </w:pPr>
    </w:p>
    <w:bookmarkStart w:id="336" w:name="page337"/>
    <w:bookmarkEnd w:id="336"/>
    <w:p>
      <w:pPr>
        <w:spacing w:after="0"/>
        <w:tabs>
          <w:tab w:leader="none" w:pos="99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Waiver of Lock-Up</w:t>
      </w:r>
      <w:r>
        <w:rPr>
          <w:sz w:val="20"/>
          <w:szCs w:val="20"/>
          <w:color w:val="auto"/>
        </w:rPr>
        <w:tab/>
      </w:r>
      <w:r>
        <w:rPr>
          <w:rFonts w:ascii="Times New Roman" w:cs="Times New Roman" w:eastAsia="Times New Roman" w:hAnsi="Times New Roman"/>
          <w:sz w:val="18"/>
          <w:szCs w:val="18"/>
          <w:color w:val="auto"/>
        </w:rPr>
        <w:t>ADDENDUM</w:t>
      </w:r>
    </w:p>
    <w:p>
      <w:pPr>
        <w:spacing w:after="0" w:line="22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Public Offering of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Address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Requesting Waiver]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Mr./Ms. [Name]:</w:t>
      </w:r>
    </w:p>
    <w:p>
      <w:pPr>
        <w:spacing w:after="0" w:line="225" w:lineRule="exact"/>
        <w:rPr>
          <w:sz w:val="20"/>
          <w:szCs w:val="20"/>
          <w:color w:val="auto"/>
        </w:rPr>
      </w:pPr>
    </w:p>
    <w:p>
      <w:pPr>
        <w:ind w:right="140" w:firstLine="1432"/>
        <w:spacing w:after="0" w:line="261" w:lineRule="auto"/>
        <w:rPr>
          <w:sz w:val="20"/>
          <w:szCs w:val="20"/>
          <w:color w:val="auto"/>
        </w:rPr>
      </w:pPr>
      <w:r>
        <w:rPr>
          <w:rFonts w:ascii="Times New Roman" w:cs="Times New Roman" w:eastAsia="Times New Roman" w:hAnsi="Times New Roman"/>
          <w:sz w:val="18"/>
          <w:szCs w:val="18"/>
          <w:color w:val="auto"/>
        </w:rPr>
        <w:t>This letter is being delivered to you in connection with the offering by Academy Sports and Outdoors, Inc., a Delaware corporation (the “Company”) of [●] shares of Common Stock, $0.01 par value (the “Common Stock”), of the Company and the lock-up letter dated [●], 2020 (the “Lock-up Letter”), executed by you in connection with such offering, and your request for a [waiver] [release] dated [●], 20[●], with respect to [●] shares of Common Stock (the “Shares”).</w:t>
      </w:r>
    </w:p>
    <w:p>
      <w:pPr>
        <w:spacing w:after="0" w:line="180" w:lineRule="exact"/>
        <w:rPr>
          <w:sz w:val="20"/>
          <w:szCs w:val="20"/>
          <w:color w:val="auto"/>
        </w:rPr>
      </w:pPr>
    </w:p>
    <w:p>
      <w:pPr>
        <w:ind w:right="6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Credit Suisse Securities (USA) LLC and J.P. Morgan Securities LLC hereby agree to [waive] [release] the transfer restrictions set forth in the Lock-up Letter, but only with respect to the Shares, effective [●], 20[●];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Except as expressly [waived] [released] hereby, the Lock-up Letter shall remain in full force and effect.</w:t>
      </w:r>
    </w:p>
    <w:p>
      <w:pPr>
        <w:spacing w:after="0" w:line="252"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Yours very truly,</w:t>
      </w:r>
    </w:p>
    <w:p>
      <w:pPr>
        <w:spacing w:after="0" w:line="22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Credit Suisse Securities (USA) LLC and J.P. Morgan Securities LLC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66" w:right="439" w:bottom="1440" w:gutter="0" w:footer="0" w:header="0"/>
        </w:sectPr>
      </w:pPr>
    </w:p>
    <w:bookmarkStart w:id="337" w:name="page338"/>
    <w:bookmarkEnd w:id="337"/>
    <w:p>
      <w:pPr>
        <w:spacing w:after="0"/>
        <w:tabs>
          <w:tab w:leader="none" w:pos="101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STB Opinion and Negative Assurance Letter</w:t>
      </w:r>
      <w:r>
        <w:rPr>
          <w:sz w:val="20"/>
          <w:szCs w:val="20"/>
          <w:color w:val="auto"/>
        </w:rPr>
        <w:tab/>
      </w:r>
      <w:r>
        <w:rPr>
          <w:rFonts w:ascii="Times New Roman" w:cs="Times New Roman" w:eastAsia="Times New Roman" w:hAnsi="Times New Roman"/>
          <w:sz w:val="18"/>
          <w:szCs w:val="18"/>
          <w:color w:val="auto"/>
        </w:rPr>
        <w:t>EXHIBIT C</w:t>
      </w:r>
    </w:p>
    <w:p>
      <w:pPr>
        <w:sectPr>
          <w:pgSz w:w="11900" w:h="16838" w:orient="portrait"/>
          <w:cols w:equalWidth="0" w:num="1">
            <w:col w:w="11020"/>
          </w:cols>
          <w:pgMar w:left="440" w:top="266" w:right="4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66" w:right="439" w:bottom="1440" w:gutter="0" w:footer="0" w:header="0"/>
          <w:type w:val="continuous"/>
        </w:sectPr>
      </w:pPr>
    </w:p>
    <w:bookmarkStart w:id="338" w:name="page339"/>
    <w:bookmarkEnd w:id="338"/>
    <w:p>
      <w:pPr>
        <w:spacing w:after="0"/>
        <w:tabs>
          <w:tab w:leader="none" w:pos="101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General Counsel Opinion</w:t>
      </w:r>
      <w:r>
        <w:rPr>
          <w:sz w:val="20"/>
          <w:szCs w:val="20"/>
          <w:color w:val="auto"/>
        </w:rPr>
        <w:tab/>
      </w:r>
      <w:r>
        <w:rPr>
          <w:rFonts w:ascii="Times New Roman" w:cs="Times New Roman" w:eastAsia="Times New Roman" w:hAnsi="Times New Roman"/>
          <w:sz w:val="18"/>
          <w:szCs w:val="18"/>
          <w:color w:val="auto"/>
        </w:rPr>
        <w:t>EXHIBIT D</w:t>
      </w:r>
    </w:p>
    <w:p>
      <w:pPr>
        <w:sectPr>
          <w:pgSz w:w="11900" w:h="16838" w:orient="portrait"/>
          <w:cols w:equalWidth="0" w:num="1">
            <w:col w:w="11020"/>
          </w:cols>
          <w:pgMar w:left="440" w:top="266" w:right="4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440" w:top="266" w:right="439" w:bottom="1440" w:gutter="0" w:footer="0" w:header="0"/>
          <w:type w:val="continuous"/>
        </w:sectPr>
      </w:pPr>
    </w:p>
    <w:bookmarkStart w:id="339" w:name="page340"/>
    <w:bookmarkEnd w:id="339"/>
    <w:tbl>
      <w:tblPr>
        <w:tblLayout w:type="fixed"/>
        <w:tblInd w:w="98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6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w w:val="97"/>
              </w:rPr>
              <w:t>Exhibit 4.1</w:t>
            </w:r>
          </w:p>
        </w:tc>
      </w:tr>
      <w:tr>
        <w:trPr>
          <w:trHeight w:val="410"/>
        </w:trPr>
        <w:tc>
          <w:tcPr>
            <w:tcW w:w="808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AMENDMENT TO THE</w:t>
            </w:r>
          </w:p>
        </w:tc>
        <w:tc>
          <w:tcPr>
            <w:tcW w:w="1960" w:type="dxa"/>
            <w:vAlign w:val="bottom"/>
          </w:tcPr>
          <w:p>
            <w:pPr>
              <w:spacing w:after="0"/>
              <w:rPr>
                <w:sz w:val="24"/>
                <w:szCs w:val="24"/>
                <w:color w:val="auto"/>
              </w:rPr>
            </w:pPr>
          </w:p>
        </w:tc>
      </w:tr>
      <w:tr>
        <w:trPr>
          <w:trHeight w:val="238"/>
        </w:trPr>
        <w:tc>
          <w:tcPr>
            <w:tcW w:w="808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REGISTRATION RIGHTS AGREEMENT</w:t>
            </w:r>
          </w:p>
        </w:tc>
        <w:tc>
          <w:tcPr>
            <w:tcW w:w="1960" w:type="dxa"/>
            <w:vAlign w:val="bottom"/>
          </w:tcPr>
          <w:p>
            <w:pPr>
              <w:spacing w:after="0"/>
              <w:rPr>
                <w:sz w:val="20"/>
                <w:szCs w:val="20"/>
                <w:color w:val="auto"/>
              </w:rPr>
            </w:pPr>
          </w:p>
        </w:tc>
      </w:tr>
      <w:tr>
        <w:trPr>
          <w:trHeight w:val="392"/>
        </w:trPr>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This AMENDMENT TO THE REGISTRATION RIGHTS AGREEMENT (this “Amendment”), dated as of</w:t>
            </w:r>
          </w:p>
        </w:tc>
        <w:tc>
          <w:tcPr>
            <w:tcW w:w="1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2020, by and among</w:t>
            </w:r>
          </w:p>
        </w:tc>
      </w:tr>
      <w:tr>
        <w:trPr>
          <w:trHeight w:val="20"/>
        </w:trPr>
        <w:tc>
          <w:tcPr>
            <w:tcW w:w="59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Allstar LLC, a Delaware limited liability company ( “</w:t>
      </w:r>
      <w:r>
        <w:rPr>
          <w:rFonts w:ascii="Times New Roman" w:cs="Times New Roman" w:eastAsia="Times New Roman" w:hAnsi="Times New Roman"/>
          <w:sz w:val="18"/>
          <w:szCs w:val="18"/>
          <w:u w:val="single" w:color="auto"/>
          <w:color w:val="auto"/>
        </w:rPr>
        <w:t>Allstar</w:t>
      </w:r>
      <w:r>
        <w:rPr>
          <w:rFonts w:ascii="Times New Roman" w:cs="Times New Roman" w:eastAsia="Times New Roman" w:hAnsi="Times New Roman"/>
          <w:sz w:val="18"/>
          <w:szCs w:val="18"/>
          <w:color w:val="auto"/>
        </w:rPr>
        <w:t>”), Academy Sports and Outdoors, Inc., a Delaware corporation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New Academy Holding Company, LLC, a Delaware limited liability company (“</w:t>
      </w:r>
      <w:r>
        <w:rPr>
          <w:rFonts w:ascii="Times New Roman" w:cs="Times New Roman" w:eastAsia="Times New Roman" w:hAnsi="Times New Roman"/>
          <w:sz w:val="18"/>
          <w:szCs w:val="18"/>
          <w:u w:val="single" w:color="auto"/>
          <w:color w:val="auto"/>
        </w:rPr>
        <w:t>NAHC</w:t>
      </w:r>
      <w:r>
        <w:rPr>
          <w:rFonts w:ascii="Times New Roman" w:cs="Times New Roman" w:eastAsia="Times New Roman" w:hAnsi="Times New Roman"/>
          <w:sz w:val="18"/>
          <w:szCs w:val="18"/>
          <w:color w:val="auto"/>
        </w:rPr>
        <w:t>”), amends and restates in its entirety that certain Registration Rights Agreement, dated as of August 3, 2011, by and among Allstar, NAHC and Academy Holdings, Inc. (as amended by that certain Addendum Agreement, dated as of August 30, 2011, by and between NAHC and Allstar Managers LLC, the “</w:t>
      </w:r>
      <w:r>
        <w:rPr>
          <w:rFonts w:ascii="Times New Roman" w:cs="Times New Roman" w:eastAsia="Times New Roman" w:hAnsi="Times New Roman"/>
          <w:sz w:val="18"/>
          <w:szCs w:val="18"/>
          <w:u w:val="single" w:color="auto"/>
          <w:color w:val="auto"/>
        </w:rPr>
        <w:t>Existing Registration Rights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180" w:firstLine="991"/>
        <w:spacing w:after="0" w:line="282" w:lineRule="auto"/>
        <w:rPr>
          <w:sz w:val="20"/>
          <w:szCs w:val="20"/>
          <w:color w:val="auto"/>
        </w:rPr>
      </w:pPr>
      <w:r>
        <w:rPr>
          <w:rFonts w:ascii="Times New Roman" w:cs="Times New Roman" w:eastAsia="Times New Roman" w:hAnsi="Times New Roman"/>
          <w:sz w:val="18"/>
          <w:szCs w:val="18"/>
          <w:color w:val="auto"/>
        </w:rPr>
        <w:t>WHEREAS, the Corporation is currently contemplating an underwritten initial public offering (the “</w:t>
      </w:r>
      <w:r>
        <w:rPr>
          <w:rFonts w:ascii="Times New Roman" w:cs="Times New Roman" w:eastAsia="Times New Roman" w:hAnsi="Times New Roman"/>
          <w:sz w:val="18"/>
          <w:szCs w:val="18"/>
          <w:u w:val="single" w:color="auto"/>
          <w:color w:val="auto"/>
        </w:rPr>
        <w:t>Initial Public Offering</w:t>
      </w:r>
      <w:r>
        <w:rPr>
          <w:rFonts w:ascii="Times New Roman" w:cs="Times New Roman" w:eastAsia="Times New Roman" w:hAnsi="Times New Roman"/>
          <w:sz w:val="18"/>
          <w:szCs w:val="18"/>
          <w:color w:val="auto"/>
        </w:rPr>
        <w:t>”) of shares of its common stock, par value $0.01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WHEREAS, in connection with the Initial Public Offering, each Shareholder (as defined in the Existing Registration Rights Agreement) that is a unitholder of NAHC will contribute its equity interests in NAHC to the Corporation in exchange for shares of Common Stock and NAHC will become a wholly-owned subsidiary of the Corporation;</w:t>
      </w:r>
    </w:p>
    <w:p>
      <w:pPr>
        <w:spacing w:after="0" w:line="176" w:lineRule="exact"/>
        <w:rPr>
          <w:sz w:val="20"/>
          <w:szCs w:val="20"/>
          <w:color w:val="auto"/>
        </w:rPr>
      </w:pPr>
    </w:p>
    <w:p>
      <w:pPr>
        <w:ind w:right="360" w:firstLine="991"/>
        <w:spacing w:after="0" w:line="266" w:lineRule="auto"/>
        <w:rPr>
          <w:sz w:val="20"/>
          <w:szCs w:val="20"/>
          <w:color w:val="auto"/>
        </w:rPr>
      </w:pPr>
      <w:r>
        <w:rPr>
          <w:rFonts w:ascii="Times New Roman" w:cs="Times New Roman" w:eastAsia="Times New Roman" w:hAnsi="Times New Roman"/>
          <w:sz w:val="18"/>
          <w:szCs w:val="18"/>
          <w:color w:val="auto"/>
        </w:rPr>
        <w:t>WHEREAS, the Corporation constitutes the “IPO Corporation” and the Initial Public Offering constitutes the “Initial Public Offering” under each of the Existing Registration Rights Agreement and the Amended and Restated Limited Liability Company Agreement of NAHC (as amended or supplemented from time to time through the date hereof, the “</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WHEREAS, Sections 4.8(a) and 14.11 of the LLC Agreement and Section 11(k) of the Existing Registration Rights Agreement require NAHC (if it is not the IPO Corporation thereunder) to cause the Corporation to become a party to and grant registration rights described in the Existing Registration Rights Agreement with respect to securities of the Corporation;</w:t>
      </w:r>
    </w:p>
    <w:p>
      <w:pPr>
        <w:spacing w:after="0" w:line="176"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WHEREAS, Section 11(a) of the Existing Registration Rights Agreement further permits amendments, modifications, supplements, waivers and/or consents to departures from the provisions of the Existing Registration Rights Agreement with the written consent of Allstar, so long as such amendments, modifications, supplements, waivers and/or consents to departures would not (i) subject a Shareholder (for purposes of clauses (i) and (ii), as defined therein) to adverse differential treatment relative to other Shareholders, (ii) be adverse to a right specifically granted to a specific Shareholder but not to other Shareholders and (iii) adversely affect any Gochman Member (as defined therein); and</w:t>
      </w:r>
    </w:p>
    <w:p>
      <w:pPr>
        <w:spacing w:after="0" w:line="183"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WHEREAS, in connection with the Initial Public Offering, each of Allstar, the Corporation and NAHC desires to amend and restate the Existing Registration Rights Agreement to, among other things, add the Corporation as a party thereto and grant the registration rights described therein to the Shareholders with respect to securities of the Corporation.</w:t>
      </w:r>
    </w:p>
    <w:p>
      <w:pPr>
        <w:sectPr>
          <w:pgSz w:w="11900" w:h="16838" w:orient="portrait"/>
          <w:cols w:equalWidth="0" w:num="1">
            <w:col w:w="11020"/>
          </w:cols>
          <w:pgMar w:left="440" w:top="117" w:right="439" w:bottom="1440" w:gutter="0" w:footer="0" w:header="0"/>
        </w:sectPr>
      </w:pPr>
    </w:p>
    <w:bookmarkStart w:id="340" w:name="page341"/>
    <w:bookmarkEnd w:id="340"/>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NOW, THEREFORE, for and in consideration of the mutual agreements contained herein and for other good and valuable consideration, the receipt and sufficiency of which is hereby acknowledged, the parties hereto, intending to be legally bound hereby, agree as follows:</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Amendments to Existing Registration Rights Agreement</w:t>
      </w:r>
      <w:r>
        <w:rPr>
          <w:rFonts w:ascii="Times New Roman" w:cs="Times New Roman" w:eastAsia="Times New Roman" w:hAnsi="Times New Roman"/>
          <w:sz w:val="18"/>
          <w:szCs w:val="18"/>
          <w:color w:val="auto"/>
        </w:rPr>
        <w:t xml:space="preserve">. Each of the parties hereto agrees that, effective as of the date hereof, the Existing Registration Rights Agreement shall be amended and restated in its entirety in the form attached hereto as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Capitalized terms used but not otherwise defined herein (including in the Preamble and Recitals hereto) shall have the meanings assigned to such terms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Section 1 of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is incorporated herein by reference and applies </w:t>
      </w:r>
      <w:r>
        <w:rPr>
          <w:rFonts w:ascii="Times New Roman" w:cs="Times New Roman" w:eastAsia="Times New Roman" w:hAnsi="Times New Roman"/>
          <w:sz w:val="18"/>
          <w:szCs w:val="18"/>
          <w:i w:val="1"/>
          <w:iCs w:val="1"/>
          <w:color w:val="auto"/>
        </w:rPr>
        <w:t>mutatis mutandis.</w:t>
      </w:r>
    </w:p>
    <w:p>
      <w:pPr>
        <w:spacing w:after="0" w:line="160"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Section 11 of</w:t>
      </w:r>
      <w:r>
        <w:rPr>
          <w:rFonts w:ascii="Times New Roman" w:cs="Times New Roman" w:eastAsia="Times New Roman" w:hAnsi="Times New Roman"/>
          <w:sz w:val="17"/>
          <w:szCs w:val="17"/>
          <w:u w:val="single" w:color="auto"/>
          <w:color w:val="auto"/>
        </w:rPr>
        <w:t xml:space="preserve"> Schedule I </w:t>
      </w:r>
      <w:r>
        <w:rPr>
          <w:rFonts w:ascii="Times New Roman" w:cs="Times New Roman" w:eastAsia="Times New Roman" w:hAnsi="Times New Roman"/>
          <w:sz w:val="17"/>
          <w:szCs w:val="17"/>
          <w:color w:val="auto"/>
        </w:rPr>
        <w:t>hereto is incorporated herein by reference and applies</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i w:val="1"/>
          <w:iCs w:val="1"/>
          <w:color w:val="auto"/>
        </w:rPr>
        <w:t>mutatis mutandis.</w:t>
      </w:r>
    </w:p>
    <w:p>
      <w:pPr>
        <w:spacing w:after="0" w:line="227"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Effectiveness</w:t>
      </w:r>
      <w:r>
        <w:rPr>
          <w:rFonts w:ascii="Times New Roman" w:cs="Times New Roman" w:eastAsia="Times New Roman" w:hAnsi="Times New Roman"/>
          <w:sz w:val="17"/>
          <w:szCs w:val="17"/>
          <w:color w:val="auto"/>
        </w:rPr>
        <w:t>. This Amendment shall become effective on and as of the date hereof.</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Amendment to be duly executed as of the date first above written.</w:t>
      </w:r>
    </w:p>
    <w:p>
      <w:pPr>
        <w:spacing w:after="0" w:line="2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ALLSTAR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i w:val="1"/>
          <w:iCs w:val="1"/>
          <w:color w:val="auto"/>
        </w:rPr>
        <w:t>[Amendment to Registration Rights Agreement Signature Page]</w:t>
      </w:r>
    </w:p>
    <w:p>
      <w:pPr>
        <w:sectPr>
          <w:pgSz w:w="11900" w:h="16838" w:orient="portrait"/>
          <w:cols w:equalWidth="0" w:num="1">
            <w:col w:w="9260"/>
          </w:cols>
          <w:pgMar w:left="1420" w:top="270" w:right="1219" w:bottom="1440" w:gutter="0" w:footer="0" w:header="0"/>
        </w:sectPr>
      </w:pPr>
    </w:p>
    <w:bookmarkStart w:id="342" w:name="page343"/>
    <w:bookmarkEnd w:id="342"/>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ACADEMY SPORTS AND OUTDOORS, INC.</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i w:val="1"/>
          <w:iCs w:val="1"/>
          <w:color w:val="auto"/>
        </w:rPr>
        <w:t>[Amendment to Registration Rights Agreement Signature Page]</w:t>
      </w:r>
    </w:p>
    <w:p>
      <w:pPr>
        <w:sectPr>
          <w:pgSz w:w="11900" w:h="16838" w:orient="portrait"/>
          <w:cols w:equalWidth="0" w:num="1">
            <w:col w:w="9260"/>
          </w:cols>
          <w:pgMar w:left="1440" w:top="266" w:right="1199" w:bottom="1440" w:gutter="0" w:footer="0" w:header="0"/>
        </w:sectPr>
      </w:pPr>
    </w:p>
    <w:bookmarkStart w:id="343" w:name="page344"/>
    <w:bookmarkEnd w:id="343"/>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NEW ACADEMY HOLDING COMPANY, LLC</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i w:val="1"/>
          <w:iCs w:val="1"/>
          <w:color w:val="auto"/>
        </w:rPr>
        <w:t>[Amendment to Registration Rights Agreement Signature Page]</w:t>
      </w:r>
    </w:p>
    <w:p>
      <w:pPr>
        <w:sectPr>
          <w:pgSz w:w="11900" w:h="16838" w:orient="portrait"/>
          <w:cols w:equalWidth="0" w:num="1">
            <w:col w:w="9360"/>
          </w:cols>
          <w:pgMar w:left="1440" w:top="266" w:right="1099" w:bottom="1440" w:gutter="0" w:footer="0" w:header="0"/>
        </w:sectPr>
      </w:pPr>
    </w:p>
    <w:bookmarkStart w:id="344" w:name="page345"/>
    <w:bookmarkEnd w:id="344"/>
    <w:tbl>
      <w:tblPr>
        <w:tblLayout w:type="fixed"/>
        <w:tblInd w:w="98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r>
      <w:tr>
        <w:trPr>
          <w:trHeight w:val="430"/>
        </w:trPr>
        <w:tc>
          <w:tcPr>
            <w:tcW w:w="84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AMENDED AND RESTATED</w:t>
            </w:r>
          </w:p>
        </w:tc>
        <w:tc>
          <w:tcPr>
            <w:tcW w:w="8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238"/>
        </w:trPr>
        <w:tc>
          <w:tcPr>
            <w:tcW w:w="84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REGISTRATION RIGHTS AGREEMENT</w:t>
            </w: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91"/>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This AMENDED AND RESTATED REGISTRATION RIGHTS AGREEMENT (this “Agreement”), dated as of</w:t>
            </w: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2020, is by and</w:t>
            </w:r>
          </w:p>
        </w:tc>
      </w:tr>
      <w:tr>
        <w:trPr>
          <w:trHeight w:val="20"/>
        </w:trPr>
        <w:tc>
          <w:tcPr>
            <w:tcW w:w="6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among Allstar LLC, a Delaware limited liability company (together with its Affiliates (as defined below) that hold Common Stock (as defined below)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Registrable Securities (as defined below) received in respect of Common Stock, “</w:t>
      </w:r>
      <w:r>
        <w:rPr>
          <w:rFonts w:ascii="Times New Roman" w:cs="Times New Roman" w:eastAsia="Times New Roman" w:hAnsi="Times New Roman"/>
          <w:sz w:val="18"/>
          <w:szCs w:val="18"/>
          <w:u w:val="single" w:color="auto"/>
          <w:color w:val="auto"/>
        </w:rPr>
        <w:t>Allstar</w:t>
      </w:r>
      <w:r>
        <w:rPr>
          <w:rFonts w:ascii="Times New Roman" w:cs="Times New Roman" w:eastAsia="Times New Roman" w:hAnsi="Times New Roman"/>
          <w:sz w:val="18"/>
          <w:szCs w:val="18"/>
          <w:color w:val="auto"/>
        </w:rPr>
        <w:t>”), Allstar Co-Invest Blocker L.P., a Delaware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company, KKR 2006 Allstar Blocker L.P., a Delaware limited partnership, Academy Sports and Outdoors,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New Academy Holding Company, LLC, a Delaware limited liability company (“</w:t>
      </w:r>
      <w:r>
        <w:rPr>
          <w:rFonts w:ascii="Times New Roman" w:cs="Times New Roman" w:eastAsia="Times New Roman" w:hAnsi="Times New Roman"/>
          <w:sz w:val="18"/>
          <w:szCs w:val="18"/>
          <w:u w:val="single" w:color="auto"/>
          <w:color w:val="auto"/>
        </w:rPr>
        <w:t>NAHC</w:t>
      </w:r>
      <w:r>
        <w:rPr>
          <w:rFonts w:ascii="Times New Roman" w:cs="Times New Roman" w:eastAsia="Times New Roman" w:hAnsi="Times New Roman"/>
          <w:sz w:val="18"/>
          <w:szCs w:val="18"/>
          <w:color w:val="auto"/>
        </w:rPr>
        <w:t>”), Allstar Managers LLC, a Delaware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company, MG Family Limited Partnership, a Delaware limited partnership, and MSI 2011 LLC, a Delaware limited liability company,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Person who may become a party hereto pursuant to Section 11(c).</w:t>
      </w:r>
    </w:p>
    <w:p>
      <w:pPr>
        <w:spacing w:after="0" w:line="207"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WHEREAS, in connection with the underwritten initial public offering of the Corporation’s Common Stock (the “</w:t>
      </w:r>
      <w:r>
        <w:rPr>
          <w:rFonts w:ascii="Times New Roman" w:cs="Times New Roman" w:eastAsia="Times New Roman" w:hAnsi="Times New Roman"/>
          <w:sz w:val="18"/>
          <w:szCs w:val="18"/>
          <w:u w:val="single" w:color="auto"/>
          <w:color w:val="auto"/>
        </w:rPr>
        <w:t>Initial Public Offering</w:t>
      </w:r>
      <w:r>
        <w:rPr>
          <w:rFonts w:ascii="Times New Roman" w:cs="Times New Roman" w:eastAsia="Times New Roman" w:hAnsi="Times New Roman"/>
          <w:sz w:val="18"/>
          <w:szCs w:val="18"/>
          <w:color w:val="auto"/>
        </w:rPr>
        <w:t>”), the Corporation desires to grant, and the Shareholders desire to have, certain registration and other rights with respect to their Registrable Securities, on the terms and subject to the conditions set forth in this Agreement.</w:t>
      </w:r>
    </w:p>
    <w:p>
      <w:pPr>
        <w:spacing w:after="0" w:line="176"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NOW, THEREFORE, for and in consideration of the mutual agreements contained herein and for other good and valuable consideration, the receipt and sufficiency of which is hereby acknowledged, the parties hereto, intending to be legally bound hereby, agree as follows:</w:t>
      </w:r>
    </w:p>
    <w:p>
      <w:pPr>
        <w:spacing w:after="0" w:line="162"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following meanings, and terms used herein but not otherwise defined herein shall have the meanings assigned to them in the LLC Agreement:</w:t>
      </w:r>
    </w:p>
    <w:p>
      <w:pPr>
        <w:spacing w:after="0" w:line="16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shall mean, with respect to any Person, an “affiliate” as defined in Rule 405 of the regulations promulgated under the Securities Act and, with respect to the KKR Shareholders only, any investment fund, vehicle or holding company of which a KKR Shareholder or an Affiliate of a KKR Shareholder serves as the general partner, managing member or discretionary manager or advisor;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an Affiliate shall not include any portfolio company of the KKR Shareholders.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Allstar</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Allstar Managers</w:t>
      </w:r>
      <w:r>
        <w:rPr>
          <w:rFonts w:ascii="Times New Roman" w:cs="Times New Roman" w:eastAsia="Times New Roman" w:hAnsi="Times New Roman"/>
          <w:sz w:val="18"/>
          <w:szCs w:val="18"/>
          <w:color w:val="auto"/>
        </w:rPr>
        <w:t>” shall mean Allstar Managers LLC and its Permitted Transferees.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Corporation.</w:t>
      </w:r>
    </w:p>
    <w:p>
      <w:pPr>
        <w:sectPr>
          <w:pgSz w:w="11900" w:h="16838" w:orient="portrait"/>
          <w:cols w:equalWidth="0" w:num="1">
            <w:col w:w="11020"/>
          </w:cols>
          <w:pgMar w:left="440" w:top="257" w:right="439" w:bottom="1440" w:gutter="0" w:footer="0" w:header="0"/>
        </w:sectPr>
      </w:pPr>
    </w:p>
    <w:bookmarkStart w:id="345" w:name="page346"/>
    <w:bookmarkEnd w:id="34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have the meaning set forth in the LLC Agreement.</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all shares existing or hereafter authorized of any class of common stock of the Corporation, which has the right (subject always to the rights of any class or series of preferred stock of the Corporation) to participate in the distribution of the assets and earnings of the Corporation without limit as to per share amount, including any shares of capital stock into which Common Stock may be converted (as a result of recapitalization, share exchange or similar event) or are issued with respect to Common Stock, including with respect to any stock split or stock dividend, or a successor security.</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Cutback</w:t>
      </w:r>
      <w:r>
        <w:rPr>
          <w:rFonts w:ascii="Times New Roman" w:cs="Times New Roman" w:eastAsia="Times New Roman" w:hAnsi="Times New Roman"/>
          <w:sz w:val="18"/>
          <w:szCs w:val="18"/>
          <w:color w:val="auto"/>
        </w:rPr>
        <w:t>” shall have the meaning set forth in Section 3(b) hereof.</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shall have the meaning set forth in Section 3(a) hereof.</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shall have the meaning set forth in Section 3(a) hereof.</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of the SEC promulgated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Registration Rights Agreement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4" w:right="20" w:firstLine="991"/>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Gochman Affiliates</w:t>
      </w:r>
      <w:r>
        <w:rPr>
          <w:rFonts w:ascii="Times New Roman" w:cs="Times New Roman" w:eastAsia="Times New Roman" w:hAnsi="Times New Roman"/>
          <w:sz w:val="17"/>
          <w:szCs w:val="17"/>
          <w:color w:val="auto"/>
        </w:rPr>
        <w:t>” means (a) any Gochman family member, (b) any Affiliate of a Gochman Shareholder that is directly or indirectly controlled by either one or both of David Gochman or Molly Gochman, and (c) any eligible person. For purposes of this definition, (i) “control” (including with correlative meanings, the term “controlled by”), as used with respect to any Person, means the possession, directly or indirectly, of the power to direct or cause the direction of the management or policies of such Person, whether through the ownership of voting securities, contract or otherwise; (ii) “Gochman family member” means a lawful descendant of one or more parents of David Gochman and Molly Gochman (including David Gochman and Molly Gochman) and the spouse of such descendant; and (iii) “eligible person” means (A) (t) Gochman Descendants’ Trust No. One f/b/o Molly Gochman created u/a/d October 31, 1994 between Arthur M. Gochman, as Grantor, and David E. Gochman, as Trustee, (u) Molly Gochman Grantor Trust created u/a/d August 5, 1995 between Molly Gochman, as Grantor, and David E. Gochman, as Trustee, (v) Gochman Descendants’ Trust No. One f/b/o David E. Gochman created u/a/d October 31, 1994 between Arthur M. Gochman, as Grantor, and David E. Gochman, as Trustee,</w:t>
      </w:r>
    </w:p>
    <w:p>
      <w:pPr>
        <w:spacing w:after="0" w:line="5" w:lineRule="exact"/>
        <w:rPr>
          <w:sz w:val="20"/>
          <w:szCs w:val="20"/>
          <w:color w:val="auto"/>
        </w:rPr>
      </w:pPr>
    </w:p>
    <w:p>
      <w:pPr>
        <w:ind w:left="304" w:hanging="304"/>
        <w:spacing w:after="0"/>
        <w:tabs>
          <w:tab w:leader="none" w:pos="30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E. Gochman 2007 Family Trust created u/a/d April 27, 2007, between David E. Gochman, as Grantor, and Charles F. Herring, Jr., as Trustee,</w:t>
      </w:r>
    </w:p>
    <w:p>
      <w:pPr>
        <w:spacing w:after="0" w:line="9" w:lineRule="exact"/>
        <w:rPr>
          <w:rFonts w:ascii="Times New Roman" w:cs="Times New Roman" w:eastAsia="Times New Roman" w:hAnsi="Times New Roman"/>
          <w:sz w:val="18"/>
          <w:szCs w:val="18"/>
          <w:color w:val="auto"/>
        </w:rPr>
      </w:pPr>
    </w:p>
    <w:p>
      <w:pPr>
        <w:ind w:left="4" w:hanging="4"/>
        <w:spacing w:after="0" w:line="252" w:lineRule="auto"/>
        <w:tabs>
          <w:tab w:leader="none" w:pos="259"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2009 DG GRAT created u/a/d December 16, 2009, by David E. Gochman, as Grantor and Trustee, (y) 2010 DG GRAT created u/a/d December 16, 2010, by David E. Gochman, as Grantor and Trustee and (z) any trust for the primary benefit of one or more Gochman family members (collectively, the trusts referred to in clauses (t) through (z) are “qualified trusts”), (B) the estate of any Gochman family member, (C) any custodian for the benefit of a Gochman family member under the Delaware Uniform Transfers to Minors Act or the comparable laws of any other jurisdiction, and (D) other entities, including but not limited to partnerships, corporations and limited liability companies, in each case, where the majority of the equity interests are directly or indirectly owned by one or more of the Persons described in (a) through (c) of this definition.</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346" w:name="page347"/>
    <w:bookmarkEnd w:id="346"/>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Gochman Shareholders</w:t>
      </w:r>
      <w:r>
        <w:rPr>
          <w:rFonts w:ascii="Times New Roman" w:cs="Times New Roman" w:eastAsia="Times New Roman" w:hAnsi="Times New Roman"/>
          <w:sz w:val="18"/>
          <w:szCs w:val="18"/>
          <w:color w:val="auto"/>
        </w:rPr>
        <w:t>” shall mean, collectively, MG Family Limited Partnership and MSI 2011 LLC and any of their respective Permitted Transferees.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shall mean the U.S. Financial Industry Regulatory Authority.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8(c)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8(c) hereof.</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KKR Shareholders</w:t>
      </w:r>
      <w:r>
        <w:rPr>
          <w:rFonts w:ascii="Times New Roman" w:cs="Times New Roman" w:eastAsia="Times New Roman" w:hAnsi="Times New Roman"/>
          <w:sz w:val="18"/>
          <w:szCs w:val="18"/>
          <w:color w:val="auto"/>
        </w:rPr>
        <w:t>” shall mean, collectively, Allstar, Allstar Co-Invest Blocker L.P. and KKR 2006 Allstar Blocker L.P. and any of their respective Permitted Transferees.</w:t>
      </w:r>
    </w:p>
    <w:p>
      <w:pPr>
        <w:spacing w:after="0" w:line="16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shall mean any applicable federal, state, local or foreign law, statute, ordinance, rule, regulation, order, writ, decree or agency requirement of any governmental entity.</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shall mean the Amended and Restated Limited Liability Company Agreement of NAHC, as amended or supplemented from time to time through the date 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Long-Form Registrations</w:t>
      </w:r>
      <w:r>
        <w:rPr>
          <w:rFonts w:ascii="Times New Roman" w:cs="Times New Roman" w:eastAsia="Times New Roman" w:hAnsi="Times New Roman"/>
          <w:sz w:val="18"/>
          <w:szCs w:val="18"/>
          <w:color w:val="auto"/>
        </w:rPr>
        <w:t>” shall have the meaning set forth in Section 3(a)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8(a)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NAHC</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shall have the meaning set forth in Section 3(a).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Securities</w:t>
      </w:r>
      <w:r>
        <w:rPr>
          <w:rFonts w:ascii="Times New Roman" w:cs="Times New Roman" w:eastAsia="Times New Roman" w:hAnsi="Times New Roman"/>
          <w:sz w:val="18"/>
          <w:szCs w:val="18"/>
          <w:color w:val="auto"/>
        </w:rPr>
        <w:t>” shall have the meaning set forth in Section 4(b).</w:t>
      </w:r>
    </w:p>
    <w:p>
      <w:pPr>
        <w:spacing w:after="0" w:line="225"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Transferee</w:t>
      </w:r>
      <w:r>
        <w:rPr>
          <w:rFonts w:ascii="Times New Roman" w:cs="Times New Roman" w:eastAsia="Times New Roman" w:hAnsi="Times New Roman"/>
          <w:sz w:val="17"/>
          <w:szCs w:val="17"/>
          <w:color w:val="auto"/>
        </w:rPr>
        <w:t>” shall mean (i) any Affiliate of such Shareholder and/or, in the case of a KKR Shareholder, any Affiliate of Kohlberg Kravis Roberts &amp; Co. L.P., (ii) any successor entity of such Shareholder, (iii) in the case of any Gochman Shareholder, any Gochman Affiliate and (iv) with respect to any Shareholder that is an investment fund or controlled by an investment fund, any other investment fund or vehicle of which such Shareholder or an Affiliate serves as the general partner or discretionary manager or advisor (so long as such investment fund or vehicle was not established for the purpose of acquiring Common Stock) and in which such Shareholder or an Affiliate retains sole voting and dispositive power.</w:t>
      </w:r>
    </w:p>
    <w:p>
      <w:pPr>
        <w:spacing w:after="0" w:line="168"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natural person, corporation, limited partnership, general partnership, limited liability company, joint stock company, joint venture, association, company, estate, trust, bank trust company, land trust, business trust, or other organization, whether or not a legal entity, custodian, trustee-executor, administrator, nominee or entity in a representative capacity and any government or agency or political subdivision thereof.</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347" w:name="page348"/>
    <w:bookmarkEnd w:id="34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Piggyback Cutback</w:t>
      </w:r>
      <w:r>
        <w:rPr>
          <w:rFonts w:ascii="Times New Roman" w:cs="Times New Roman" w:eastAsia="Times New Roman" w:hAnsi="Times New Roman"/>
          <w:sz w:val="18"/>
          <w:szCs w:val="18"/>
          <w:color w:val="auto"/>
        </w:rPr>
        <w:t>” shall have the meaning set forth in Section 4(b)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 Notice</w:t>
      </w:r>
      <w:r>
        <w:rPr>
          <w:rFonts w:ascii="Times New Roman" w:cs="Times New Roman" w:eastAsia="Times New Roman" w:hAnsi="Times New Roman"/>
          <w:sz w:val="18"/>
          <w:szCs w:val="18"/>
          <w:color w:val="auto"/>
        </w:rPr>
        <w:t>” shall have the meaning set forth in Section 4(a)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shall have the meaning set forth in Section 4(a) hereof.</w:t>
      </w:r>
    </w:p>
    <w:p>
      <w:pPr>
        <w:spacing w:after="0" w:line="225"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mean an action, claim, suit, arbitration or proceeding (including an investigation or partial proceeding, such as a deposition), whether commenced or threatened.</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the prospectus included in any Registration Statement (including a prospectus that discloses information previously omitted from a prospectus filed as part of an effective Registration Statement in reliance upon Rule 430A promulgated under the Securities Act), as amended or supplemented by any prospectus supplement, and all other amendments and supplements to the Prospectus, including post-effective amendments, and all material incorporated by reference or deemed to be incorporated by reference in such prospectus.</w:t>
      </w:r>
    </w:p>
    <w:p>
      <w:pPr>
        <w:spacing w:after="0" w:line="180"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Offering</w:t>
      </w:r>
      <w:r>
        <w:rPr>
          <w:rFonts w:ascii="Times New Roman" w:cs="Times New Roman" w:eastAsia="Times New Roman" w:hAnsi="Times New Roman"/>
          <w:sz w:val="18"/>
          <w:szCs w:val="18"/>
          <w:color w:val="auto"/>
        </w:rPr>
        <w:t>” shall mean the sale of Common Stock to the public pursuant to an effective Registration Statement (other than a Registration Statement on Form S-4 or Form S-8 or any similar or successor form) filed under the Securities Act.</w:t>
      </w:r>
    </w:p>
    <w:p>
      <w:pPr>
        <w:spacing w:after="0" w:line="162"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shall mean any shares of Common Stock currently held or hereafter acquired by the Shareholders and any other securities issued with respect to (or issuable upon the conversion or exercise of any warrant, right or other security which is issued with respect to) any such shares by way of share or equity split, share or equity dividend, recapitalization, exchange or similar event or otherwise. As to any particular Registrable Securities, once issued such securities shall cease to be Registrable Securities when (a) they are sold pursuant to an effective Registration Statement under the Securities Act, (b) they are sold pursuant to Rule 144 (or any similar provision then in force under the Securities Act), (c) they shall have ceased to be outstanding, or (d) they have been sold in a private transaction in which the transferor’s rights under this Agreement are not assigned to the transferee of the securities. No Registrable Securities may be registered under more than one Registration Statement at any one time.</w:t>
      </w:r>
    </w:p>
    <w:p>
      <w:pPr>
        <w:spacing w:after="0" w:line="189" w:lineRule="exact"/>
        <w:rPr>
          <w:sz w:val="20"/>
          <w:szCs w:val="20"/>
          <w:color w:val="auto"/>
        </w:rPr>
      </w:pPr>
    </w:p>
    <w:p>
      <w:pPr>
        <w:ind w:right="3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any registration statement of the Corporation under the Securities Act which covers any of the Registrable Securities pursuant to the provisions of this Agreement, including the Prospectus, amendments and supplements to such registration statement, including post-effective amendments, all exhibits and all material incorporated by reference or deemed to be incorporated by reference in such registration statement.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shall mean Rule 144 under the Securities Act, as such Rule may be amended from time to time.</w:t>
      </w:r>
    </w:p>
    <w:p>
      <w:pPr>
        <w:spacing w:after="0" w:line="225" w:lineRule="exact"/>
        <w:rPr>
          <w:sz w:val="20"/>
          <w:szCs w:val="20"/>
          <w:color w:val="auto"/>
        </w:rPr>
      </w:pPr>
    </w:p>
    <w:p>
      <w:pPr>
        <w:jc w:val="center"/>
        <w:ind w:left="780" w:right="64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Securities and Exchange Commission or any successor agency having jurisdiction under the Securities Act. 4</w:t>
      </w:r>
    </w:p>
    <w:p>
      <w:pPr>
        <w:sectPr>
          <w:pgSz w:w="11900" w:h="16838" w:orient="portrait"/>
          <w:cols w:equalWidth="0" w:num="1">
            <w:col w:w="10980"/>
          </w:cols>
          <w:pgMar w:left="440" w:top="270" w:right="479" w:bottom="1440" w:gutter="0" w:footer="0" w:header="0"/>
        </w:sectPr>
      </w:pPr>
    </w:p>
    <w:bookmarkStart w:id="348" w:name="page349"/>
    <w:bookmarkEnd w:id="34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 and the rules and regulations of the SEC promulgated thereunder.</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Shareholders</w:t>
      </w:r>
      <w:r>
        <w:rPr>
          <w:rFonts w:ascii="Times New Roman" w:cs="Times New Roman" w:eastAsia="Times New Roman" w:hAnsi="Times New Roman"/>
          <w:sz w:val="18"/>
          <w:szCs w:val="18"/>
          <w:color w:val="auto"/>
        </w:rPr>
        <w:t>” shall mean the KKR Shareholders, the Gochman Shareholders, Allstar Managers and any other Person who may become a party hereto pursuant to Section 11(c).</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shall have the meaning set forth in Section 3(a)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Underwritten Offering</w:t>
      </w:r>
      <w:r>
        <w:rPr>
          <w:rFonts w:ascii="Times New Roman" w:cs="Times New Roman" w:eastAsia="Times New Roman" w:hAnsi="Times New Roman"/>
          <w:sz w:val="18"/>
          <w:szCs w:val="18"/>
          <w:color w:val="auto"/>
        </w:rPr>
        <w:t>” shall have the meaning set forth in Section 4(c)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Short-Form Registrations</w:t>
      </w:r>
      <w:r>
        <w:rPr>
          <w:rFonts w:ascii="Times New Roman" w:cs="Times New Roman" w:eastAsia="Times New Roman" w:hAnsi="Times New Roman"/>
          <w:sz w:val="18"/>
          <w:szCs w:val="18"/>
          <w:color w:val="auto"/>
        </w:rPr>
        <w:t>” shall have the meaning set forth in Section 3(a)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Take-Down Notice</w:t>
      </w:r>
      <w:r>
        <w:rPr>
          <w:rFonts w:ascii="Times New Roman" w:cs="Times New Roman" w:eastAsia="Times New Roman" w:hAnsi="Times New Roman"/>
          <w:sz w:val="18"/>
          <w:szCs w:val="18"/>
          <w:color w:val="auto"/>
        </w:rPr>
        <w:t>” shall have the meaning set forth in Section 4(c) hereof.</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shall mean a registration in which securities of the Corporation are sold to an underwriter for reoffering to the public.</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Holders of Registrable Securities</w:t>
      </w:r>
      <w:r>
        <w:rPr>
          <w:rFonts w:ascii="Times New Roman" w:cs="Times New Roman" w:eastAsia="Times New Roman" w:hAnsi="Times New Roman"/>
          <w:sz w:val="18"/>
          <w:szCs w:val="18"/>
          <w:color w:val="auto"/>
        </w:rPr>
        <w:t>. A Person is deemed, and shall only be deemed, to be a holder of Registrable Securities if such Person owns Registrable Securities or has a right to acquire such Registrable Securities and such Person is a Shareholder.</w:t>
      </w:r>
    </w:p>
    <w:p>
      <w:pPr>
        <w:spacing w:after="0" w:line="270"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Demand Registrations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1428"/>
        <w:spacing w:after="0" w:line="252" w:lineRule="auto"/>
        <w:tabs>
          <w:tab w:leader="none" w:pos="1812"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Requests for Registration</w:t>
      </w:r>
      <w:r>
        <w:rPr>
          <w:rFonts w:ascii="Times New Roman" w:cs="Times New Roman" w:eastAsia="Times New Roman" w:hAnsi="Times New Roman"/>
          <w:sz w:val="18"/>
          <w:szCs w:val="18"/>
          <w:color w:val="auto"/>
        </w:rPr>
        <w:t>. Subject to the following paragraphs of this Section 3(a), (i) upon the requisite approval of the Board, Allstar shall have the right, by delivering or causing to be delivered a written notice to the Corporation, to require the Corporation to register, pursuant to the terms of this Agreement, under and in accordance with the provisions of the Securities Act, the offer and sale in an Initial Public Offering of a number of shares of Common Stock specified by Allstar (which offer and sale may include an offering of newly issued Common Stock by the Corporation and/or, at the request of Allstar, an offering of Registrable Securities) and (ii) following the Initial Public Offering, each of KKR Shareholders and Gochman Shareholders shall have the right, by delivering or causing to be delivered a written notice to the Corporation, to require the Corporation to register, pursuant to the terms of this Agreement, under and in accordance with the provisions of the Securities Act, the offer and sale of the number of Registrable Securities requested to be so registered pursuant to the terms of this Agreement on Form S-1 or any similar or successor long-form registration (“</w:t>
      </w:r>
      <w:r>
        <w:rPr>
          <w:rFonts w:ascii="Times New Roman" w:cs="Times New Roman" w:eastAsia="Times New Roman" w:hAnsi="Times New Roman"/>
          <w:sz w:val="18"/>
          <w:szCs w:val="18"/>
          <w:u w:val="single" w:color="auto"/>
          <w:color w:val="auto"/>
        </w:rPr>
        <w:t>Long-Form Registrations</w:t>
      </w:r>
      <w:r>
        <w:rPr>
          <w:rFonts w:ascii="Times New Roman" w:cs="Times New Roman" w:eastAsia="Times New Roman" w:hAnsi="Times New Roman"/>
          <w:sz w:val="18"/>
          <w:szCs w:val="18"/>
          <w:color w:val="auto"/>
        </w:rPr>
        <w:t>”) or, if the Corporation is then eligible, on Form S-3 or any similar or successor short-form registration (“</w:t>
      </w:r>
      <w:r>
        <w:rPr>
          <w:rFonts w:ascii="Times New Roman" w:cs="Times New Roman" w:eastAsia="Times New Roman" w:hAnsi="Times New Roman"/>
          <w:sz w:val="18"/>
          <w:szCs w:val="18"/>
          <w:u w:val="single" w:color="auto"/>
          <w:color w:val="auto"/>
        </w:rPr>
        <w:t>Short-Form Registrations</w:t>
      </w:r>
      <w:r>
        <w:rPr>
          <w:rFonts w:ascii="Times New Roman" w:cs="Times New Roman" w:eastAsia="Times New Roman" w:hAnsi="Times New Roman"/>
          <w:sz w:val="18"/>
          <w:szCs w:val="18"/>
          <w:color w:val="auto"/>
        </w:rPr>
        <w:t>”) (any such written notice, a “</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and any such registration, a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Demand Notice may only be made if the sale of the Registrable Securities requested to be registered by any such demanding Shareholder (or all such demanding Shareholders if more than one Shareholder makes a demand) is reasonably expected to result in aggregate gross cash proceeds in excess of $50,000,000 (without regard to any underwriting discount or commission) in the case of any Long-Form Registration and at least $20,000,000 (without regard to any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49" w:name="page350"/>
    <w:bookmarkEnd w:id="34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underwriting discount or commission) in the case of any Short-Form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unless the Board shall otherwise consent, subject to Section 3(e), the Corporation shall not be obligated to file a registration statement relating to any registration request under this Section 3(a) within a period of 90 days after the effective date of any other registration statement relating to any registration request under this Section 3(a) (except if the underwriters shall require a longer period, but in any event no more than 180 days). A KKR Shareholder or a Gochman Shareholder may, in connection with any Demand Registration requested by such holder that is a Short-Form Registration, require the Corporation to file such registration statement with the SEC in accordance with and pursuant to Rule 415 under the Securities Act including, if the Corporation is a well-known seasoned issuer at the time of filing of the Short-Form Registration (as defined in Rule 405 under the Securities Act), as an automatic shelf registration (a “</w:t>
      </w:r>
      <w:r>
        <w:rPr>
          <w:rFonts w:ascii="Times New Roman" w:cs="Times New Roman" w:eastAsia="Times New Roman" w:hAnsi="Times New Roman"/>
          <w:sz w:val="18"/>
          <w:szCs w:val="18"/>
          <w:u w:val="single" w:color="auto"/>
          <w:color w:val="auto"/>
        </w:rPr>
        <w:t>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Following receipt of a Demand Notice for a Demand Registration in accordance with this Section 3(a), the Corporation shall use its reasonable best efforts to file a Registration Statement as promptly as practicable and shall use its reasonable best efforts to cause such Registration Statement to be declared effective under the Securities Act as promptly as practicable after the filing thereof.</w:t>
      </w:r>
    </w:p>
    <w:p>
      <w:pPr>
        <w:spacing w:after="0" w:line="194" w:lineRule="exact"/>
        <w:rPr>
          <w:sz w:val="20"/>
          <w:szCs w:val="20"/>
          <w:color w:val="auto"/>
        </w:rPr>
      </w:pPr>
    </w:p>
    <w:p>
      <w:pPr>
        <w:ind w:right="20" w:firstLine="991"/>
        <w:spacing w:after="0" w:line="271" w:lineRule="auto"/>
        <w:rPr>
          <w:sz w:val="20"/>
          <w:szCs w:val="20"/>
          <w:color w:val="auto"/>
        </w:rPr>
      </w:pPr>
      <w:r>
        <w:rPr>
          <w:rFonts w:ascii="Times New Roman" w:cs="Times New Roman" w:eastAsia="Times New Roman" w:hAnsi="Times New Roman"/>
          <w:sz w:val="17"/>
          <w:szCs w:val="17"/>
          <w:color w:val="auto"/>
        </w:rPr>
        <w:t>No Demand Registration shall be deemed to have occurred for purposes of this Section 3, and shall not count as a Demand Notice for purposes of Section 3(e), if (w) the Registration Statement relating thereto does not become effective, or is not maintained effective by the Corporation for the period required pursuant to this Section 3, (x) the offering of the Registrable Securities pursuant to such Registration Statement is not completed for any reason (other than solely by reason of some act or omission by the holder exercising its Demand Notice, including the withdrawal of such registration request pursuant to Section 3(d)), including because it was subject to a stop order, injunction, or similar order or requirement of the SEC during such period or (y) the holder exercising its Demand Notice has fewer than 60% of the amount of Registrable Securities originally requested to be included in such Registration Statement as a result of a Demand Cutback or (z) the conditions to closing specified in the purchase agreement or underwriting agreement entered into in connection with such Demand Registration are not satisfied, other than solely by reason of some act or omission by the holder exercising its Demand Notice to fail to perform its obligations under this Agreement or such purchase or underwriting agreement.</w:t>
      </w:r>
    </w:p>
    <w:p>
      <w:pPr>
        <w:spacing w:after="0" w:line="173"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Within 10 days after receipt by the Corporation of a Demand Notice in accordance with this Section 3(a) (other than a Demand Notice provided to effect an Initial Public Offering in which Allstar is not selling (or causing to be sold) Common Stock on a secondary basis, in which case no Notice shall be required), the Corporation shall give written notice (the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of such Demand Notice to all other holders of Registrable Securities and shall, subject to the provisions of Section 3(b) hereof, include in such registration all Registrable Securities with respect to which the Corporation received written requests for inclusion therein within 20 days after such Notice is given by the Corporation to such holders, it being understood that any such request for inclusion of Registrable Securities given by a holder (including if given by a Gochman Shareholder) shall not be considered a Demand Notice for purposes of Section 3(e). The parties agree that, if the Corporation is effecting an Initial Public Offering in which Allstar or any of its Affiliates is selling (or causing to be sold) Common Stock on a secondary basis, then Allstar shall have be deemed to have made a Demand Notice for purposes of this Agreement.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350" w:name="page351"/>
    <w:bookmarkEnd w:id="350"/>
    <w:p>
      <w:pPr>
        <w:ind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requests made pursuant to this Section 3 will specify the number of Registrable Securities to be registered and/or, in the case of an Initial Public Offering, the number of shares of Common Stock to be issued by the Corporation (if any), and the intended methods of disposition thereof.</w:t>
      </w:r>
    </w:p>
    <w:p>
      <w:pPr>
        <w:spacing w:after="0" w:line="140"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Corporation shall be required to maintain the effectiveness of the Registration Statement filed in connection with any Demand Registration for a period of at least 180 days after the effective date thereof or such shorter period during which all Registrable Securities included in such Registration Statement have actually been sold;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period shall be extended for a period of time equal to the period the holder of Registrable Securities refrains from selling any securities included in such Registration Statement at the request of the Corporation or an underwriter of the Corporation pursuant to the provisions of this Agreement. The Corporation shall use its reasonable best efforts to keep any Shelf Registration Statement continuously effective under the Securities Act until the earlier of (A) the date when all of the Registrable Securities covered by such Shelf Registration Statement have been sold and (B) the date on which the Registrable Securities covered by the Shelf Registration Statement are eligible to be sold or transferred without being subject to any holding period or volume limitations pursuant to Rule 144.</w:t>
      </w:r>
    </w:p>
    <w:p>
      <w:pPr>
        <w:spacing w:after="0" w:line="192" w:lineRule="exact"/>
        <w:rPr>
          <w:sz w:val="20"/>
          <w:szCs w:val="20"/>
          <w:color w:val="auto"/>
        </w:rPr>
      </w:pPr>
    </w:p>
    <w:p>
      <w:pPr>
        <w:ind w:firstLine="1428"/>
        <w:spacing w:after="0" w:line="253" w:lineRule="auto"/>
        <w:tabs>
          <w:tab w:leader="none" w:pos="1822"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on Demand Registration</w:t>
      </w:r>
      <w:r>
        <w:rPr>
          <w:rFonts w:ascii="Times New Roman" w:cs="Times New Roman" w:eastAsia="Times New Roman" w:hAnsi="Times New Roman"/>
          <w:sz w:val="18"/>
          <w:szCs w:val="18"/>
          <w:color w:val="auto"/>
        </w:rPr>
        <w:t>. If any of the Registrable Securities registered pursuant to a Demand Registration are to be sold in an underwritten offering, and the managing underwriter or underwriters of such underwritten offering advise the holders of such securities in writing that, in its good-faith opinion, the total number or dollar amount of Registrable Securities proposed to be sold in such offering exceeds the total number or dollar amount of Registrable Securities that can be sold without adversely affecting the price, timing or distribution of the Registrable Securities to be included in such offering (including securities proposed to be included by other holders of securities entitled to include securities in such Registration Statement pursuant to incidental or piggyback registration rights), then there shall be included in such underwritten offering the number or dollar amount of Registrable Securities that in the opinion of such managing underwriter or underwriters can be sold without so adversely affecting such offering (such reduction in the number of Registrable Securities to be included in such underwritten offering, the “</w:t>
      </w:r>
      <w:r>
        <w:rPr>
          <w:rFonts w:ascii="Times New Roman" w:cs="Times New Roman" w:eastAsia="Times New Roman" w:hAnsi="Times New Roman"/>
          <w:sz w:val="18"/>
          <w:szCs w:val="18"/>
          <w:u w:val="single" w:color="auto"/>
          <w:color w:val="auto"/>
        </w:rPr>
        <w:t>Demand Cutback</w:t>
      </w:r>
      <w:r>
        <w:rPr>
          <w:rFonts w:ascii="Times New Roman" w:cs="Times New Roman" w:eastAsia="Times New Roman" w:hAnsi="Times New Roman"/>
          <w:sz w:val="18"/>
          <w:szCs w:val="18"/>
          <w:color w:val="auto"/>
        </w:rPr>
        <w:t>”), and such number of Registrable Securities shall be allocated as follows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offering is an Initial Public Offering, clauses (i) and (ii) below shall be reversed such that securities requested to be included by the Corporation shall be given priority over Registrable Securities to be included by Shareholders):</w:t>
      </w:r>
    </w:p>
    <w:p>
      <w:pPr>
        <w:spacing w:after="0" w:line="83" w:lineRule="exact"/>
        <w:rPr>
          <w:rFonts w:ascii="Times New Roman" w:cs="Times New Roman" w:eastAsia="Times New Roman" w:hAnsi="Times New Roman"/>
          <w:sz w:val="18"/>
          <w:szCs w:val="18"/>
          <w:color w:val="auto"/>
        </w:rPr>
      </w:pPr>
    </w:p>
    <w:p>
      <w:pPr>
        <w:ind w:left="980" w:right="20" w:firstLine="408"/>
        <w:spacing w:after="0" w:line="256" w:lineRule="auto"/>
        <w:tabs>
          <w:tab w:leader="none" w:pos="1731"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first, pro rata among the holders of Registrable Securities on the basis of the percentage of the Registrable Securities requested to be included in such Registration Statement by such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offering is an Initial Public Offering, and if (1) prior to giving effect to any Demand Cutback the Gochman Shareholders collectively would hold a number of shares of Common Stock and other Registrable Securities in the aggregate after consummation of the Initial Public Offering equal to less than three percent (3%) of the total common equity of the Corporation then outstanding, calculated (I) assuming that the Gochman Shareholders sell in the Initial Public Offering a percentage of their Registrable Securities equal to the percentage of Registrable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51" w:name="page352"/>
    <w:bookmarkEnd w:id="351"/>
    <w:p>
      <w:pPr>
        <w:ind w:left="9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proposed to be sold by Allstar in the Initial Public Offering, (II) taking into account any dilution to the Gochman Shareholders’ ownership in the Corporation due to any proposed primary issuance of common equity of the Corporation in the Initial Public Offering, and (III) treating as outstanding for such purposes any such common equity issuable upon exchange of Membership Interests (as defined in the Existing Registration Rights Agreement) of NAHC, or (2) the Initial Public Offering would result in a Change of Control, then, in each of cases (1) and (2), the Gochman Shareholders shall have priority over other holders of Registrable Securities in the Initial Public Offering and shall be entitled first to sell up to a number of Registrable Securities equal to the lesser of (x) all of the Registrable Securities held by the Gochman Shareholders, (y) that number of Registrable Securities requested to be sold by Allstar in the Initial Public Offering and (z) the maximum number of Registrable Securities held by Shareholders (including Allstar and the Gochman Shareholders) that in the opinion of such managing underwriter or underwriters can be sold without adversely affecting the Initial Public Offering, and thereafter, such allocation shall be as set forth above excluding the Gochman Shareholders; and</w:t>
      </w:r>
    </w:p>
    <w:p>
      <w:pPr>
        <w:spacing w:after="0" w:line="86" w:lineRule="exact"/>
        <w:rPr>
          <w:sz w:val="20"/>
          <w:szCs w:val="20"/>
          <w:color w:val="auto"/>
        </w:rPr>
      </w:pPr>
    </w:p>
    <w:p>
      <w:pPr>
        <w:ind w:left="980" w:right="380" w:firstLine="408"/>
        <w:spacing w:after="0" w:line="282" w:lineRule="auto"/>
        <w:tabs>
          <w:tab w:leader="none" w:pos="1781"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securities for which inclusion in such Demand Registration was requested by the Corporation, together with all Other Securities requested to be included in such Demand Registration.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securities excluded from the underwriting pursuant to this Section 3(b) shall be included in such registration.</w:t>
      </w:r>
    </w:p>
    <w:p>
      <w:pPr>
        <w:spacing w:after="0" w:line="225" w:lineRule="exact"/>
        <w:rPr>
          <w:sz w:val="20"/>
          <w:szCs w:val="20"/>
          <w:color w:val="auto"/>
        </w:rPr>
      </w:pPr>
    </w:p>
    <w:p>
      <w:pPr>
        <w:ind w:right="20" w:firstLine="1428"/>
        <w:spacing w:after="0" w:line="253" w:lineRule="auto"/>
        <w:tabs>
          <w:tab w:leader="none" w:pos="1812"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Postponement of Demand Registration</w:t>
      </w:r>
      <w:r>
        <w:rPr>
          <w:rFonts w:ascii="Times New Roman" w:cs="Times New Roman" w:eastAsia="Times New Roman" w:hAnsi="Times New Roman"/>
          <w:sz w:val="18"/>
          <w:szCs w:val="18"/>
          <w:color w:val="auto"/>
        </w:rPr>
        <w:t xml:space="preserve">. The Corporation shall be entitled to postpone (but not more than once in any 12-month period), for a reasonable period of time not in excess of 60 days, the filing of a Registration Statement if the Corporation delivers to the holders requesting registration a certificate signed by both the president and chief financial officer of the Corporation certifying that, in the good-faith judgment of the Board, such registration and offering would reasonably be expected to materially adversely affect or materially interfere with any </w:t>
      </w:r>
      <w:r>
        <w:rPr>
          <w:rFonts w:ascii="Times New Roman" w:cs="Times New Roman" w:eastAsia="Times New Roman" w:hAnsi="Times New Roman"/>
          <w:sz w:val="18"/>
          <w:szCs w:val="18"/>
          <w:u w:val="single" w:color="auto"/>
          <w:color w:val="auto"/>
        </w:rPr>
        <w:t>bona fide</w:t>
      </w:r>
      <w:r>
        <w:rPr>
          <w:rFonts w:ascii="Times New Roman" w:cs="Times New Roman" w:eastAsia="Times New Roman" w:hAnsi="Times New Roman"/>
          <w:sz w:val="18"/>
          <w:szCs w:val="18"/>
          <w:color w:val="auto"/>
        </w:rPr>
        <w:t xml:space="preserve"> material financing of the Corporation or any material transaction under consideration by the Corporation or would require disclosure of information that has not been disclosed to the public, the premature disclosure of which would materially adversely affect the Corporation. Such certificate shall contain a statement of the reasons for such postponement and an approximation of the anticipated delay. The holders receiving such certificate shall keep the information contained in such certificate confidential subject to the same terms set forth in Section 6(p). If the Corporation shall so postpone the filing of a Registration Statement, the Person exercising its right to request a Demand Registration shall have the right to withdraw the request for registration by giving written notice to the Corporation within 20 days of the anticipated termination date of the postponement period, as provided in the certificate delivered to the holders, and such request for a demand registration shall not be considered a Demand Notice for purposes of Section 3(e).</w:t>
      </w:r>
    </w:p>
    <w:p>
      <w:pPr>
        <w:spacing w:after="0" w:line="191" w:lineRule="exact"/>
        <w:rPr>
          <w:rFonts w:ascii="Times New Roman" w:cs="Times New Roman" w:eastAsia="Times New Roman" w:hAnsi="Times New Roman"/>
          <w:sz w:val="18"/>
          <w:szCs w:val="18"/>
          <w:color w:val="auto"/>
        </w:rPr>
      </w:pPr>
    </w:p>
    <w:p>
      <w:pPr>
        <w:jc w:val="both"/>
        <w:ind w:right="260" w:firstLine="1428"/>
        <w:spacing w:after="0" w:line="266" w:lineRule="auto"/>
        <w:tabs>
          <w:tab w:leader="none" w:pos="1822"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a Demand Registration</w:t>
      </w:r>
      <w:r>
        <w:rPr>
          <w:rFonts w:ascii="Times New Roman" w:cs="Times New Roman" w:eastAsia="Times New Roman" w:hAnsi="Times New Roman"/>
          <w:sz w:val="18"/>
          <w:szCs w:val="18"/>
          <w:color w:val="auto"/>
        </w:rPr>
        <w:t>. Holders of the Registrable Securities who initially requested a Demand Registration shall have the right to notify the Corporation that they have determined that the registration statement be abandoned or withdrawn, in which event the Corporation shall abandon or withdraw such registration statement.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352" w:name="page353"/>
    <w:bookmarkEnd w:id="352"/>
    <w:p>
      <w:pPr>
        <w:ind w:right="120" w:firstLine="1428"/>
        <w:spacing w:after="0" w:line="254" w:lineRule="auto"/>
        <w:tabs>
          <w:tab w:leader="none" w:pos="1812"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Number of Demand Notices</w:t>
      </w:r>
      <w:r>
        <w:rPr>
          <w:rFonts w:ascii="Times New Roman" w:cs="Times New Roman" w:eastAsia="Times New Roman" w:hAnsi="Times New Roman"/>
          <w:sz w:val="18"/>
          <w:szCs w:val="18"/>
          <w:color w:val="auto"/>
        </w:rPr>
        <w:t xml:space="preserve">. In connection with the provisions of this Section 3, (i) the KKR Shareholders shall have an unlimited number of Demand Notices which it is permitted to deliver (or cause to be delivered) to the Corporation hereunder and (ii) the Gochman Shareholders as a group shall be entitled to deliver (or cause to be delivered) to the Corporation no more than three Demand Notices pursuant to Section 3(a)(ii);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Gochman Shareholders shall not be permitted to deliver more than one Demand Notice pursuant to Section 3(a)(ii) in any 365 day period and the right of the Gochman Shareholders under Section 3(a)(ii) shall terminate on the sixth month anniversary of the date that the Gochman Shareholders in the aggregate cease to own more than 3% of the outstanding Common Stock of the Corporation;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Demand Notice of the Gochman Shareholders shall be valid only if delivered by the Gochman Shareholder(s) holding a majority of the Common Stock then owned by all Gochman Shareholders.</w:t>
      </w:r>
    </w:p>
    <w:p>
      <w:pPr>
        <w:spacing w:after="0" w:line="191" w:lineRule="exact"/>
        <w:rPr>
          <w:rFonts w:ascii="Times New Roman" w:cs="Times New Roman" w:eastAsia="Times New Roman" w:hAnsi="Times New Roman"/>
          <w:sz w:val="18"/>
          <w:szCs w:val="18"/>
          <w:color w:val="auto"/>
        </w:rPr>
      </w:pPr>
    </w:p>
    <w:p>
      <w:pPr>
        <w:ind w:firstLine="1428"/>
        <w:spacing w:after="0" w:line="258" w:lineRule="auto"/>
        <w:tabs>
          <w:tab w:leader="none" w:pos="1792"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Form</w:t>
      </w:r>
      <w:r>
        <w:rPr>
          <w:rFonts w:ascii="Times New Roman" w:cs="Times New Roman" w:eastAsia="Times New Roman" w:hAnsi="Times New Roman"/>
          <w:sz w:val="18"/>
          <w:szCs w:val="18"/>
          <w:color w:val="auto"/>
        </w:rPr>
        <w:t>. If any registration requested pursuant to this Section 3 which is proposed by the Corporation to be effected by the filing of a Registration Statement on Form S-3 (or any successor or similar short-form registration statement) shall be in connection with an underwritten Public Offering, and if the managing underwriter shall advise the Corporation in writing that, in its opinion, the use of another form of Registration Statement is of material importance to the success of such proposed offering or is otherwise required by applicable law, then such registration shall be effected on such other form.</w:t>
      </w:r>
    </w:p>
    <w:p>
      <w:pPr>
        <w:spacing w:after="0" w:line="291"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Piggyback Registration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0" w:firstLine="1428"/>
        <w:spacing w:after="0" w:line="253" w:lineRule="auto"/>
        <w:tabs>
          <w:tab w:leader="none" w:pos="1812"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Piggyback</w:t>
      </w:r>
      <w:r>
        <w:rPr>
          <w:rFonts w:ascii="Times New Roman" w:cs="Times New Roman" w:eastAsia="Times New Roman" w:hAnsi="Times New Roman"/>
          <w:sz w:val="18"/>
          <w:szCs w:val="18"/>
          <w:color w:val="auto"/>
        </w:rPr>
        <w:t>. Except with respect to a Demand Registration, the procedures for which are addressed in Section 3, if the Corporation proposes to file a registration statement under the Securities Act with respect to an offering of Common Stock whether or not for sale for its own account (other than a registration statement (x) on Form S-4, Form S-8 or any successor forms thereto or (y) filed solely in connection with an exchange offer or any employee benefit or dividend reinvestment plan), then, each such time after the Initial Public Offering, the Corporation shall give prompt written notice of such filing no later than ten days after the filing date (the “</w:t>
      </w:r>
      <w:r>
        <w:rPr>
          <w:rFonts w:ascii="Times New Roman" w:cs="Times New Roman" w:eastAsia="Times New Roman" w:hAnsi="Times New Roman"/>
          <w:sz w:val="18"/>
          <w:szCs w:val="18"/>
          <w:u w:val="single" w:color="auto"/>
          <w:color w:val="auto"/>
        </w:rPr>
        <w:t>Piggyback Notice</w:t>
      </w:r>
      <w:r>
        <w:rPr>
          <w:rFonts w:ascii="Times New Roman" w:cs="Times New Roman" w:eastAsia="Times New Roman" w:hAnsi="Times New Roman"/>
          <w:sz w:val="18"/>
          <w:szCs w:val="18"/>
          <w:color w:val="auto"/>
        </w:rPr>
        <w:t>”) to all of the holders of Registrable Securities. The Piggyback Notice shall offer such holders the opportunity to include (or cause to be included) in such registration statement the number of Registrable Securities as each such holder may request (a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Subject to Section 4(b) hereof, the Corporation shall include in each such Piggyback Registration all Registrable Securities with respect to which the Corporation has received written requests for inclusion therein within ten days after notice has been given to the applicable holder. The Corporation shall not be required to maintain the effectiveness of the Registration Statement for a Piggyback Registration beyond the earlier to occur of (A) 180 days after the effective date thereof and (B) consummation of the distribution by the holders of all of the Registrable Securities included in such Registration Statement.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353" w:name="page354"/>
    <w:bookmarkEnd w:id="353"/>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holder of Registrable Securities shall have the right to withdraw its Piggyback Request by giving written notice to the Corporation of its request to withdraw at least ten business days prior to the planned effective date of the related Registration Statement.</w:t>
      </w:r>
    </w:p>
    <w:p>
      <w:pPr>
        <w:spacing w:after="0" w:line="162" w:lineRule="exact"/>
        <w:rPr>
          <w:sz w:val="20"/>
          <w:szCs w:val="20"/>
          <w:color w:val="auto"/>
        </w:rPr>
      </w:pPr>
    </w:p>
    <w:p>
      <w:pPr>
        <w:ind w:right="80" w:firstLine="1428"/>
        <w:spacing w:after="0" w:line="252" w:lineRule="auto"/>
        <w:tabs>
          <w:tab w:leader="none" w:pos="1822"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on Piggyback Registrations</w:t>
      </w:r>
      <w:r>
        <w:rPr>
          <w:rFonts w:ascii="Times New Roman" w:cs="Times New Roman" w:eastAsia="Times New Roman" w:hAnsi="Times New Roman"/>
          <w:sz w:val="18"/>
          <w:szCs w:val="18"/>
          <w:color w:val="auto"/>
        </w:rPr>
        <w:t>. If any of the Registrable Securities to be registered pursuant to the registration giving rise to rights under this Section 4 are to be sold in an underwritten offering, the Corporation shall use reasonable best efforts to cause the managing underwriter or underwriters of a proposed underwritten offering to permit holders of Registrable Securities who have submitted a Piggyback Request in connection with such offering to include in such offering all Registrable Securities included in each holder’s Piggyback Request on the same terms and conditions as any other interests, if any, of the Corporation included in the offering. Notwithstanding the foregoing, if the managing underwriter or underwriters of such underwritten offering advise the Corporation in writing that, in their good-faith opinion, the total number or dollar amount of securities proposed to be sold in such offering exceeds the total number or dollar amount of such securities that can be sold without adversely affecting the price, timing or distribution of the securities to be included in such offering (including securities proposed to be included by other holders of securities entitled to include securities in such Registration Statement pursuant to incidental or piggyback registration rights, the “</w:t>
      </w:r>
      <w:r>
        <w:rPr>
          <w:rFonts w:ascii="Times New Roman" w:cs="Times New Roman" w:eastAsia="Times New Roman" w:hAnsi="Times New Roman"/>
          <w:sz w:val="18"/>
          <w:szCs w:val="18"/>
          <w:u w:val="single" w:color="auto"/>
          <w:color w:val="auto"/>
        </w:rPr>
        <w:t>Other Securities</w:t>
      </w:r>
      <w:r>
        <w:rPr>
          <w:rFonts w:ascii="Times New Roman" w:cs="Times New Roman" w:eastAsia="Times New Roman" w:hAnsi="Times New Roman"/>
          <w:sz w:val="18"/>
          <w:szCs w:val="18"/>
          <w:color w:val="auto"/>
        </w:rPr>
        <w:t>”), then there shall be included in such underwritten offering the number or dollar amount of securities that in the opinion of such managing underwriter or underwriters can be sold without so adversely affecting such offering (such reduction in the number of Registrable Securities to be included in such underwritten offering, the “</w:t>
      </w:r>
      <w:r>
        <w:rPr>
          <w:rFonts w:ascii="Times New Roman" w:cs="Times New Roman" w:eastAsia="Times New Roman" w:hAnsi="Times New Roman"/>
          <w:sz w:val="18"/>
          <w:szCs w:val="18"/>
          <w:u w:val="single" w:color="auto"/>
          <w:color w:val="auto"/>
        </w:rPr>
        <w:t>Piggyback Cutback</w:t>
      </w:r>
      <w:r>
        <w:rPr>
          <w:rFonts w:ascii="Times New Roman" w:cs="Times New Roman" w:eastAsia="Times New Roman" w:hAnsi="Times New Roman"/>
          <w:sz w:val="18"/>
          <w:szCs w:val="18"/>
          <w:color w:val="auto"/>
        </w:rPr>
        <w:t>”), and such number of Registrable Securities shall be allocated as follows: (i) first, all securities proposed to be sold by the Corporation for its own account; (ii) second, all Registrable Securities requested to be included in such registration pursuant to Section 4, pro rata among such holders on the basis of the percentage of the Registrable Securities requested to be included in such Registration Statement by such holders; and (iii) third, all Other Securities requested to be included in such Registration Statement.</w:t>
      </w:r>
    </w:p>
    <w:p>
      <w:pPr>
        <w:spacing w:after="0" w:line="195" w:lineRule="exact"/>
        <w:rPr>
          <w:rFonts w:ascii="Times New Roman" w:cs="Times New Roman" w:eastAsia="Times New Roman" w:hAnsi="Times New Roman"/>
          <w:sz w:val="18"/>
          <w:szCs w:val="18"/>
          <w:color w:val="auto"/>
        </w:rPr>
      </w:pPr>
    </w:p>
    <w:p>
      <w:pPr>
        <w:ind w:firstLine="1428"/>
        <w:spacing w:after="0" w:line="256" w:lineRule="auto"/>
        <w:tabs>
          <w:tab w:leader="none" w:pos="1812"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Take-Downs</w:t>
      </w:r>
      <w:r>
        <w:rPr>
          <w:rFonts w:ascii="Times New Roman" w:cs="Times New Roman" w:eastAsia="Times New Roman" w:hAnsi="Times New Roman"/>
          <w:sz w:val="18"/>
          <w:szCs w:val="18"/>
          <w:color w:val="auto"/>
        </w:rPr>
        <w:t>. At any time that a Shelf Registration Statement covering Registrable Securities pursuant to Section 3 or Section 4 is effective, if any holder or group of holders of Registrable Securities delivers a notice to the Corporation (a “</w:t>
      </w:r>
      <w:r>
        <w:rPr>
          <w:rFonts w:ascii="Times New Roman" w:cs="Times New Roman" w:eastAsia="Times New Roman" w:hAnsi="Times New Roman"/>
          <w:sz w:val="18"/>
          <w:szCs w:val="18"/>
          <w:u w:val="single" w:color="auto"/>
          <w:color w:val="auto"/>
        </w:rPr>
        <w:t>Take-Down Notice</w:t>
      </w:r>
      <w:r>
        <w:rPr>
          <w:rFonts w:ascii="Times New Roman" w:cs="Times New Roman" w:eastAsia="Times New Roman" w:hAnsi="Times New Roman"/>
          <w:sz w:val="18"/>
          <w:szCs w:val="18"/>
          <w:color w:val="auto"/>
        </w:rPr>
        <w:t>”) stating that it intends to sell all or part of its Registrable Securities included by it on the Shelf Registration Statement (a “</w:t>
      </w:r>
      <w:r>
        <w:rPr>
          <w:rFonts w:ascii="Times New Roman" w:cs="Times New Roman" w:eastAsia="Times New Roman" w:hAnsi="Times New Roman"/>
          <w:sz w:val="18"/>
          <w:szCs w:val="18"/>
          <w:u w:val="single" w:color="auto"/>
          <w:color w:val="auto"/>
        </w:rPr>
        <w:t>Shelf Underwritten Offering</w:t>
      </w:r>
      <w:r>
        <w:rPr>
          <w:rFonts w:ascii="Times New Roman" w:cs="Times New Roman" w:eastAsia="Times New Roman" w:hAnsi="Times New Roman"/>
          <w:sz w:val="18"/>
          <w:szCs w:val="18"/>
          <w:color w:val="auto"/>
        </w:rPr>
        <w:t>”), then, the Corporation shall, as promptly as practicable, amend or supplement the Shelf Registration Statement as may be necessary in order to enable such Registrable Securities to be distributed pursuant to the Shelf Underwritten Offering (taking into account the inclusion of Registrable Securities by any other holders pursuant to this Section 4(c)). In connection with any Shelf Underwritten Offering:</w:t>
      </w:r>
    </w:p>
    <w:p>
      <w:pPr>
        <w:spacing w:after="0" w:line="79" w:lineRule="exact"/>
        <w:rPr>
          <w:rFonts w:ascii="Times New Roman" w:cs="Times New Roman" w:eastAsia="Times New Roman" w:hAnsi="Times New Roman"/>
          <w:sz w:val="18"/>
          <w:szCs w:val="18"/>
          <w:color w:val="auto"/>
        </w:rPr>
      </w:pPr>
    </w:p>
    <w:p>
      <w:pPr>
        <w:jc w:val="both"/>
        <w:ind w:left="980" w:firstLine="408"/>
        <w:spacing w:after="0" w:line="261" w:lineRule="auto"/>
        <w:tabs>
          <w:tab w:leader="none" w:pos="1731"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proposing holder(s) shall also deliver the Take-Down Notice to all other holders of Registrable Securities included on such Shelf Registration Statement and permit each such holder to include its Registrable Securities included on the Shelf Registration Statement in the Shelf Underwritten Offering if such holder notifies the proposing holders and the Corporation within five business days after delivery of the Take-Down Notice to such holder;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54" w:name="page355"/>
    <w:bookmarkEnd w:id="354"/>
    <w:p>
      <w:pPr>
        <w:ind w:left="980" w:firstLine="408"/>
        <w:spacing w:after="0" w:line="254" w:lineRule="auto"/>
        <w:tabs>
          <w:tab w:leader="none" w:pos="1781"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any of the Registrable Securities to be sold pursuant to a Shelf Registration Statement are to be sold in an underwritten offering that was initially requested by a holder or holders pursuant to a Take-Down Notice, and the managing underwriter or underwriters of such underwritten offering advise such holder(s) in writing that it is their good-faith opinion that the total number or dollar amount of Registrable Securities proposed to be sold in such offering exceeds the total number or dollar amount of such securities that can be sold without having an adverse effect on the price, timing or distribution of the Registrable Securities to be so included, then there shall be included in such underwritten offering the number or dollar amount of Registrable Securities that in the opinion of such managing underwriter or underwriters can be sold without so adversely affecting such offering, and such number of Registrable Securities and Other Securities shall be allocated for inclusion in the same manner as described in Section 3(b) with respect to a limitation of shares to be included in a Demand Registration.</w:t>
      </w:r>
    </w:p>
    <w:p>
      <w:pPr>
        <w:spacing w:after="0" w:line="18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Restrictions on Public Sale by Holders of Registrable Securities</w:t>
      </w:r>
      <w:r>
        <w:rPr>
          <w:rFonts w:ascii="Times New Roman" w:cs="Times New Roman" w:eastAsia="Times New Roman" w:hAnsi="Times New Roman"/>
          <w:sz w:val="18"/>
          <w:szCs w:val="18"/>
          <w:color w:val="auto"/>
        </w:rPr>
        <w:t xml:space="preserve">. Each Shareholder agrees, in connection with the Initial Public Offering, and each holder of Registrable Securities agrees, in connection with any underwritten offering made pursuant to a Registration Statement filed pursuant to Section 3 or Section 4 hereof (whether or not such holder elected to include Registrable Securities in such Registration Statement), if requested (pursuant to a written notice) by the managing underwriter or underwriters in an underwritten offering, not to effect any public sale or distribution of any of the Corporation’s securities (except as part of such underwritten offering), including a sale pursuant to Rule 144 or any swap or other economic arrangement that transfers to another any of the economic consequences of owning the Common Stock, or to give any Demand Notice during the period commencing on the date of the request (which shall be no earlier than 14 days prior to the expected “pricing” of such offering) and continuing for not more than 180 days (with respect to the Initial Public Offering) or 90 days after the date of the Prospectus (or Prospectus supplement if the offering is made pursuant to a “shelf” registration), pursuant to which such public offering shall be made, plus an extension period as may be proposed by the managing underwriter to address FINRA regulations regarding the publishing of research, or such lesser period as is required by the managing underwriter. Subject to the limitations set forth in the prior sentence, the Corporation shall be responsible for negotiating all “lock-up” agreements with the underwriters and, in addition to the foregoing provisions of this Section 5, the Shareholders and holders of Registrable Securities agree to execute the form so negotiated;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Gochman Shareholder shall be obligated to execute any “lock-up” agreement for any underwritten public offering that is more restrictive than the “lock-up” executed by KKR Shareholders for such underwritten public offering.</w:t>
      </w:r>
    </w:p>
    <w:p>
      <w:pPr>
        <w:spacing w:after="0" w:line="197"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If any registration pursuant to Section 3 of this Agreement shall be in connection with any underwritten Public Offering, the Corporation will not effect any public sale or distribution of any common equity (or securities convertible into or exchangeable or exercisable for common equity) (other than a registration statement (i) on Form S-4, Form S-8 or any successor forms thereto or (ii) filed solely in connection with an exchange offer or any employee benefit or dividend reinvestment plan) for its own account, within 90 days (plus an extension period as may be proposed by the managing underwriter to address FINRA regulations regarding the publishing of research, or such shorter periods as the managing underwriters may agree to</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355" w:name="page356"/>
    <w:bookmarkEnd w:id="355"/>
    <w:p>
      <w:pPr>
        <w:ind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the Corporation) after the effective date of such registration, provided that such period may be extended as may be proposed by the managing underwriter to address FINRA regulations regarding the publishing of research.</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 If and whenever the Corporation is required to effect the registration of any Registrable Securities under the Securities Act as provided in Section 3 and Section 4 hereof, the Corporation shall effect such registration to permit the sale of such Registrable Securities in accordance with the intended method or methods of disposition thereof, and pursuant thereto the Corporation shall cooperate in the sale of the securities and shall, as expeditiously as possible:</w:t>
      </w:r>
    </w:p>
    <w:p>
      <w:pPr>
        <w:spacing w:after="0" w:line="180" w:lineRule="exact"/>
        <w:rPr>
          <w:sz w:val="20"/>
          <w:szCs w:val="20"/>
          <w:color w:val="auto"/>
        </w:rPr>
      </w:pPr>
    </w:p>
    <w:p>
      <w:pPr>
        <w:ind w:firstLine="1428"/>
        <w:spacing w:after="0" w:line="252" w:lineRule="auto"/>
        <w:tabs>
          <w:tab w:leader="none" w:pos="1812"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prepare and file with the SEC a Registration Statement or Registration Statements on such form as shall be available for the sale of the Registrable Securities by the holders thereof or by the Corporation in accordance with the intended method or methods of distribution thereof and in accordance with this Agreement, and use its reasonable best efforts to cause such Registration Statement to become effective and to remain effective as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before filing a Registration Statement or Prospectus or any amendments or supplements thereto (including documents that would be incorporated or deemed to be incorporated therein by reference), the Corporation shall furnish or otherwise make available to the holders of the Registrable Securities covered by such Registration Statement, their counsel and the managing underwriters, if any, copies of all such documents proposed to be filed, which documents will be subject to the reasonable review and comment of such counsel, and such other documents reasonably requested by such counsel, including any comment letter from the SEC, and, if requested by such counsel, provide such counsel reasonable opportunity to participate in the preparation of such Registration Statement and each Prospectus included therein and such other opportunities to conduct a reasonable investigation within the meaning of the Securities Act, including reasonable access to the Corporation’s books and records, officers, accountants and other advisors. The Corporation shall not file any such Registration Statement or Prospectus or any amendments or supplements thereto (including such documents that, upon filing, would be incorporated or deemed to be incorporated by reference therein) with respect to a Demand Registration to which the holders of a majority of the Registrable Securities covered by such Registration Statement, their counsel, or the managing underwriters, if any, shall reasonably object, in writing, on a timely basis, unless, in the opinion of the Corporation, such filing is necessary to comply with applicable Law;</w:t>
      </w:r>
    </w:p>
    <w:p>
      <w:pPr>
        <w:spacing w:after="0" w:line="195" w:lineRule="exact"/>
        <w:rPr>
          <w:rFonts w:ascii="Times New Roman" w:cs="Times New Roman" w:eastAsia="Times New Roman" w:hAnsi="Times New Roman"/>
          <w:sz w:val="18"/>
          <w:szCs w:val="18"/>
          <w:color w:val="auto"/>
        </w:rPr>
      </w:pPr>
    </w:p>
    <w:p>
      <w:pPr>
        <w:ind w:right="40" w:firstLine="1428"/>
        <w:spacing w:after="0" w:line="256" w:lineRule="auto"/>
        <w:tabs>
          <w:tab w:leader="none" w:pos="1822"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post-effective amendments to each Registration Statement as may be necessary to keep such Registration Statement continuously effective during the period provided herein and comply in all material respects with the provisions of the Securities Act with respect to the disposition of all securities covered by such Registration Statement; and cause the related Prospectus to be supplemented by any Prospectus supplement as may be necessary to comply with the provisions of the Securities Act with respect to the disposition of the securities covered by such Registration Statement, and as so supplemented to be filed pursuant to Rule 424 (or any similar provisions then in force) under the Securities Act;</w:t>
      </w:r>
    </w:p>
    <w:p>
      <w:pPr>
        <w:spacing w:after="0" w:line="187" w:lineRule="exact"/>
        <w:rPr>
          <w:rFonts w:ascii="Times New Roman" w:cs="Times New Roman" w:eastAsia="Times New Roman" w:hAnsi="Times New Roman"/>
          <w:sz w:val="18"/>
          <w:szCs w:val="18"/>
          <w:color w:val="auto"/>
        </w:rPr>
      </w:pPr>
    </w:p>
    <w:p>
      <w:pPr>
        <w:ind w:right="600" w:firstLine="1428"/>
        <w:spacing w:after="0" w:line="282" w:lineRule="auto"/>
        <w:tabs>
          <w:tab w:leader="none" w:pos="1812"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selling holder of Registrable Securities, its counsel and the managing underwriters, if any, promptly, and (if requested by any such Person) confirm such</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356" w:name="page357"/>
    <w:bookmarkEnd w:id="356"/>
    <w:p>
      <w:pPr>
        <w:ind w:left="4" w:right="26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 in writing, (i) when a Prospectus or any Prospectus supplement or post-effective amendment has been filed, and, with respect to a Registration Statement or any post-effective amendment, when the same has become effective, (ii) of any request by the SEC or any other federal or state governmental authority for amendments or supplements to a Registration Statement or related Prospectus or for additional information, (iii) of the issuance by the SEC of any stop order suspending the effectiveness of a Registration Statement or the initiation of any proceedings for that purpose,</w:t>
      </w:r>
    </w:p>
    <w:p>
      <w:pPr>
        <w:spacing w:after="0" w:line="3" w:lineRule="exact"/>
        <w:rPr>
          <w:sz w:val="20"/>
          <w:szCs w:val="20"/>
          <w:color w:val="auto"/>
        </w:rPr>
      </w:pPr>
    </w:p>
    <w:p>
      <w:pPr>
        <w:ind w:left="4" w:right="20" w:hanging="4"/>
        <w:spacing w:after="0" w:line="251" w:lineRule="auto"/>
        <w:tabs>
          <w:tab w:leader="none" w:pos="309"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Corporation has reason to believe that the representations and warranties of the Corporation contained in any agreement (including any underwriting agreement) contemplated by Section 6(o) below cease to be true and correct, (v) of the receipt by the Corporation of any notification with respect to the suspension of the qualification or exemption from qualification of any of the Registrable Securities for sale in any jurisdiction, or the initiation or threatening of any proceeding for such purpose, and (vi) if the Corporation has knowledge of the happening of any event that makes any statement made in such Registration Statement or related Prospectus or any document incorporated or deemed to be incorporated therein by reference untrue in any material respect or that requires the making of any changes in such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light of the circumstances under which they were made, not misleading (which notice shall notify the selling holders only of the occurrence of such an event and shall provide no additional information regarding such event to the extent such information would constitute material non-public information);</w:t>
      </w:r>
    </w:p>
    <w:p>
      <w:pPr>
        <w:spacing w:after="0" w:line="192" w:lineRule="exact"/>
        <w:rPr>
          <w:rFonts w:ascii="Times New Roman" w:cs="Times New Roman" w:eastAsia="Times New Roman" w:hAnsi="Times New Roman"/>
          <w:sz w:val="18"/>
          <w:szCs w:val="18"/>
          <w:color w:val="auto"/>
        </w:rPr>
      </w:pPr>
    </w:p>
    <w:p>
      <w:pPr>
        <w:ind w:left="4" w:firstLine="1428"/>
        <w:spacing w:after="0" w:line="266" w:lineRule="auto"/>
        <w:tabs>
          <w:tab w:leader="none" w:pos="1826"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obtain the withdrawal of any order suspending the effectiveness of a Registration Statement, or to prevent or obtain the lifting of any suspension of the qualification (or exemption from qualification) of any of the Registrable Securities for sale in any jurisdiction at the earliest date reasonably practicable;</w:t>
      </w:r>
    </w:p>
    <w:p>
      <w:pPr>
        <w:spacing w:after="0" w:line="175" w:lineRule="exact"/>
        <w:rPr>
          <w:rFonts w:ascii="Times New Roman" w:cs="Times New Roman" w:eastAsia="Times New Roman" w:hAnsi="Times New Roman"/>
          <w:sz w:val="18"/>
          <w:szCs w:val="18"/>
          <w:color w:val="auto"/>
        </w:rPr>
      </w:pPr>
    </w:p>
    <w:p>
      <w:pPr>
        <w:ind w:left="4" w:right="20" w:firstLine="1428"/>
        <w:spacing w:after="0" w:line="256" w:lineRule="auto"/>
        <w:tabs>
          <w:tab w:leader="none" w:pos="1816"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requested by the managing underwriters, if any, or the holders of a majority of the then outstanding Registrable Securities being sold in connection with an underwritten offering, promptly include in a Prospectus supplement or post-effective amendment such information as the managing underwriters, if any, and such holders may reasonably request in order to permit the intended method of distribution of such securities and make all required filings of such Prospectus supplement or such post-effective amendment as soon as practicable after the Corporation has received such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Corporation shall not be required to take any actions under this Section 6(e) that are not, in the opinion of counsel for the Corporation, in compliance with applicable Law;</w:t>
      </w:r>
    </w:p>
    <w:p>
      <w:pPr>
        <w:spacing w:after="0" w:line="187" w:lineRule="exact"/>
        <w:rPr>
          <w:rFonts w:ascii="Times New Roman" w:cs="Times New Roman" w:eastAsia="Times New Roman" w:hAnsi="Times New Roman"/>
          <w:sz w:val="18"/>
          <w:szCs w:val="18"/>
          <w:color w:val="auto"/>
        </w:rPr>
      </w:pPr>
    </w:p>
    <w:p>
      <w:pPr>
        <w:ind w:left="4" w:right="120" w:firstLine="1428"/>
        <w:spacing w:after="0" w:line="258" w:lineRule="auto"/>
        <w:tabs>
          <w:tab w:leader="none" w:pos="1796"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 or make available to each selling holder of Registrable Securities, its counsel and each managing underwriter, if any, without charge, at least one conformed copy of the Registration Statement, the Prospectus and Prospectus supplements, if applicable, and each post-effective amendment thereto, including financial statements (but excluding schedules, all documents incorporated or deemed to be incorporated therein by reference, and all exhibits, unless requested in writing by such holder, counsel or underwriter);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Corporation may furnish or make available any such documents in electronic format;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357" w:name="page358"/>
    <w:bookmarkEnd w:id="357"/>
    <w:p>
      <w:pPr>
        <w:ind w:firstLine="1428"/>
        <w:spacing w:after="0" w:line="256" w:lineRule="auto"/>
        <w:tabs>
          <w:tab w:leader="none" w:pos="1822"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deliver to each selling holder of Registrable Securities, its counsel, and the underwriters, if any, without charge, as many copies of the Prospectus or Prospectuses (including each form of Prospectus) and each amendment or supplement thereto as such Persons may reasonably request from time to time in connection with the distribution of the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Corporation may furnish or make available any such documents in electronic format; and the Corporation, subject to the last paragraph of this Section 6, hereby consents to the use of such Prospectus and each amendment or supplement thereto by each of the selling holders of Registrable Securities and the underwriters, if any, in connection with the offering and sale of the Registrable Securities covered by such Prospectus and any such amendment or supplement thereto;</w:t>
      </w:r>
    </w:p>
    <w:p>
      <w:pPr>
        <w:spacing w:after="0" w:line="187" w:lineRule="exact"/>
        <w:rPr>
          <w:rFonts w:ascii="Times New Roman" w:cs="Times New Roman" w:eastAsia="Times New Roman" w:hAnsi="Times New Roman"/>
          <w:sz w:val="18"/>
          <w:szCs w:val="18"/>
          <w:color w:val="auto"/>
        </w:rPr>
      </w:pPr>
    </w:p>
    <w:p>
      <w:pPr>
        <w:ind w:right="60" w:firstLine="1428"/>
        <w:spacing w:after="0" w:line="254" w:lineRule="auto"/>
        <w:tabs>
          <w:tab w:leader="none" w:pos="1822"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reasonable best efforts to register or qualify or cooperate with the selling holders of Registrable Securities, the underwriters, if any, and their respective counsel in connection with the registration or qualification (or exemption from such registration or qualification) of such Registrable Securities for offer and sale under the securities or “blue sky” laws of such jurisdictions within the United States as any seller or underwriter reasonably requests in writing and to keep each such registration or qualification (or exemption therefrom) effective during the period such Registration Statement is required to be kept effective pursuant to this Agreement and to take any other action that may be necessary or advisable to enable such holders of Registrable Securities to consummate the disposition of such Registrable Securities in such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Corporation will not be required to (i) qualify generally to do business in any jurisdiction where it would not otherwise be required to qualify but for this Agreement or (ii) take any action that would subject it to general service of process in any such jurisdiction where it would not otherwise be subject to such service but for this Agreement;</w:t>
      </w:r>
    </w:p>
    <w:p>
      <w:pPr>
        <w:spacing w:after="0" w:line="188" w:lineRule="exact"/>
        <w:rPr>
          <w:rFonts w:ascii="Times New Roman" w:cs="Times New Roman" w:eastAsia="Times New Roman" w:hAnsi="Times New Roman"/>
          <w:sz w:val="18"/>
          <w:szCs w:val="18"/>
          <w:color w:val="auto"/>
        </w:rPr>
      </w:pPr>
    </w:p>
    <w:p>
      <w:pPr>
        <w:ind w:right="260" w:firstLine="1428"/>
        <w:spacing w:after="0" w:line="256" w:lineRule="auto"/>
        <w:tabs>
          <w:tab w:leader="none" w:pos="1782"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selling holders of Registrable Securities and the managing underwriters, if any, to facilitate the timely preparation and delivery of certificates (not bearing any legends) representing Registrable Securities to be sold after receiving written representations from each holder of such Registrable Securities that the Registrable Securities represented by the certificates so delivered by such holder will be transferred in accordance with the Registration Statement, and enable such Registrable Securities to be in such denominations and registered in such names as the managing underwriters, if any, or holders may request at least two business days prior to any sale of Registrable Securities in a firm commitment public offering, but in any other such sale, within ten business days prior to having to issue the securities;</w:t>
      </w:r>
    </w:p>
    <w:p>
      <w:pPr>
        <w:spacing w:after="0" w:line="187" w:lineRule="exact"/>
        <w:rPr>
          <w:rFonts w:ascii="Times New Roman" w:cs="Times New Roman" w:eastAsia="Times New Roman" w:hAnsi="Times New Roman"/>
          <w:sz w:val="18"/>
          <w:szCs w:val="18"/>
          <w:color w:val="auto"/>
        </w:rPr>
      </w:pPr>
    </w:p>
    <w:p>
      <w:pPr>
        <w:ind w:right="80" w:firstLine="1428"/>
        <w:spacing w:after="0" w:line="258" w:lineRule="auto"/>
        <w:tabs>
          <w:tab w:leader="none" w:pos="1782"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cause the Registrable Securities covered by the Registration Statement to be registered with or approved by such other governmental agencies or authorities within the United States, except as may be required solely as a consequence of the nature of such selling holder’s business, in which case the Corporation will cooperate in all reasonable respects with the filing of such Registration Statement and the granting of such approvals, as may be necessary to enable the seller or sellers thereof or the underwriters, if any, to consummate the disposition of such Registrable Securities in accordance with the intended methods of disposition set forth in such Registration Statement;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58" w:name="page359"/>
    <w:bookmarkEnd w:id="358"/>
    <w:p>
      <w:pPr>
        <w:ind w:firstLine="1428"/>
        <w:spacing w:after="0" w:line="258" w:lineRule="auto"/>
        <w:tabs>
          <w:tab w:leader="none" w:pos="1822"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occurrence of, and its knowledge of, any event contemplated by Section 6(c)(vi) above, prepare a supplement or post-effective amendment to the Registration Statement or a supplement to the related Prospectus or any document incorporated or deemed to be incorporated therein by reference, or file any other required document so that, as thereafter delivered to the purchasers of the Registrable Securities being sold thereunder, such Prospectus will not contain an untrue statement of a material fact or omit to state a material fact required to be stated therein or necessary to make the statements therein, in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date of the Registration Statement relating to the Registrable Securities, provide a CUSIP number for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Registrable Securities;</w:t>
      </w:r>
    </w:p>
    <w:p>
      <w:pPr>
        <w:spacing w:after="0" w:line="206" w:lineRule="exact"/>
        <w:rPr>
          <w:rFonts w:ascii="Times New Roman" w:cs="Times New Roman" w:eastAsia="Times New Roman" w:hAnsi="Times New Roman"/>
          <w:sz w:val="18"/>
          <w:szCs w:val="18"/>
          <w:color w:val="auto"/>
        </w:rPr>
      </w:pPr>
    </w:p>
    <w:p>
      <w:pPr>
        <w:ind w:right="240" w:firstLine="1428"/>
        <w:spacing w:after="0" w:line="282" w:lineRule="auto"/>
        <w:tabs>
          <w:tab w:leader="none" w:pos="1872"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cause to be maintained a transfer agent and registrar for all Registrable Securities covered by such Registration Statement from and after a date not later than the effective date of such Registration Statement;</w:t>
      </w:r>
    </w:p>
    <w:p>
      <w:pPr>
        <w:spacing w:after="0" w:line="161" w:lineRule="exact"/>
        <w:rPr>
          <w:rFonts w:ascii="Times New Roman" w:cs="Times New Roman" w:eastAsia="Times New Roman" w:hAnsi="Times New Roman"/>
          <w:sz w:val="18"/>
          <w:szCs w:val="18"/>
          <w:color w:val="auto"/>
        </w:rPr>
      </w:pPr>
    </w:p>
    <w:p>
      <w:pPr>
        <w:jc w:val="both"/>
        <w:ind w:right="60" w:firstLine="1428"/>
        <w:spacing w:after="0" w:line="261" w:lineRule="auto"/>
        <w:tabs>
          <w:tab w:leader="none" w:pos="1822"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cause all shares of Registrable Securities covered by the Registration Statement to be listed on a national securities exchange if shares of the particular class of Registrable Securities are at that time listed on such exchange, as the case may be, prior to the effectiveness of such Registration Statement (or, if such Registration is an initial public offering, use its reasonable best efforts to cause such Registrable Securities to be so listed within ten business days following the effectiveness of such Registration Statement);</w:t>
      </w:r>
    </w:p>
    <w:p>
      <w:pPr>
        <w:spacing w:after="0" w:line="179" w:lineRule="exact"/>
        <w:rPr>
          <w:rFonts w:ascii="Times New Roman" w:cs="Times New Roman" w:eastAsia="Times New Roman" w:hAnsi="Times New Roman"/>
          <w:sz w:val="18"/>
          <w:szCs w:val="18"/>
          <w:color w:val="auto"/>
        </w:rPr>
      </w:pPr>
    </w:p>
    <w:p>
      <w:pPr>
        <w:ind w:right="40" w:firstLine="1428"/>
        <w:spacing w:after="0" w:line="253" w:lineRule="auto"/>
        <w:tabs>
          <w:tab w:leader="none" w:pos="1822"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such agreements (including an underwriting agreement in form, scope and substance as is customary in underwritten offerings) and take all such other actions reasonably requested by the holders of a majority of the Registrable Securities being sold in connection therewith (including those reasonably requested by the managing underwriters, if any) to expedite or facilitate the disposition of such Registrable Securities, and in such connection, whether or not an underwriting agreement is entered into and whether or not the registration is an underwritten registration, (i) make such representations and warranties to the holders of such Registrable Securities and the underwriters, if any, with respect to the business of the Corporation and its subsidiaries, and the Registration Statement, Prospectus and documents, if any, incorporated or deemed to be incorporated by reference therein, in each case, in form, substance and scope as are customarily made by issuers to underwriters in underwritten offerings, and, if true, confirm the same if and when requested, (ii) use its reasonable best efforts to furnish to the selling holders of such Registrable Securities opinions of counsel to the Corporation and updates thereof (which counsel and opinions (in form, scope and substance) shall be reasonably satisfactory to the managing underwriters, if any, and counsels to the selling holders of the Registrable Securities), addressed to each selling holder of Registrable Securities and each of the underwriters, if any, covering the matters customarily covered in opinions requested in underwritten offerings and such other matters as may be reasonably requested by such counsel and underwriters, (iii) use its reasonable best efforts to obtain “comfort” letters and updates thereof from the independent certified public accountants of the Corporation (and, if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59" w:name="page360"/>
    <w:bookmarkEnd w:id="359"/>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necessary, any other independent certified public accountants of any subsidiary of the Corporation or of any business acquired by the Corporation for which financial statements and financial data are, or are required to be, included in the Registration Statement) who have certified the financial statements included in such Registration Statement, addressed to each selling holder of Registrable Securities (unless such accountants shall be prohibited from so addressing such letters by applicable standards of the accounting profession) and each of the underwriters, if any, such letters to be in customary form and covering matters of the type customarily covered in “comfort” letters in connection with underwritten offerings, (iv) if an underwriting agreement is entered into, the same shall contain indemnification provisions and procedures substantially to the effect set forth in Section 8 hereof with respect to all parties to be indemnified pursuant to said Section except as otherwise agreed by Purchaser and (v) deliver such documents and certificates as may be reasonably requested by the holders of a majority of the Registrable Securities being sold pursuant to such Registration Statement, their counsel and the managing underwriters, if any, to evidence the continued validity of the representations and warranties made pursuant to Section 6(o)(i) above and to evidence compliance with any customary conditions contained in the underwriting agreement or other agreement entered into by the Corporation. The above shall be done at each closing under such underwriting or similar agreement, or as and to the extent required thereunder;</w:t>
      </w:r>
    </w:p>
    <w:p>
      <w:pPr>
        <w:spacing w:after="0" w:line="190" w:lineRule="exact"/>
        <w:rPr>
          <w:sz w:val="20"/>
          <w:szCs w:val="20"/>
          <w:color w:val="auto"/>
        </w:rPr>
      </w:pPr>
    </w:p>
    <w:p>
      <w:pPr>
        <w:ind w:firstLine="1428"/>
        <w:spacing w:after="0" w:line="253" w:lineRule="auto"/>
        <w:tabs>
          <w:tab w:leader="none" w:pos="1822"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available for inspection by a representative of the selling holders of Registrable Securities, any underwriter participating in any such disposition of Registrable Securities, if any, and any counsel or accountants retained by such selling holders or underwriter, at the offices where normally kept, during reasonable business hours, all financial and other records, pertinent corporate documents and properties of the Corporation and its subsidiaries, and cause the officers, directors and employees of the Corporation and its subsidiaries to supply all information in each case reasonably requested by any such representative, underwriter, attorney or accountant in connection with such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information that is not generally publicly available at the time of delivery of such information shall be kept confidential by such Persons unless (i) disclosure of such information is required by court or administrative order, (ii) disclosure of such information, in the opinion of counsel to such Person, is required by Law or applicable legal process, or (iii) such information becomes generally available to the public other than as a result of a non-permitted disclosure or failure to safeguard by such Person. In the case of a proposed disclosure pursuant to (i) or (ii) above, such Person shall be required to give the Corporation written notice of the proposed disclosure prior to such disclosure and, if requested by the Corporation, assist the Corporation in seeking to prevent or limit the proposed disclosure. Without limiting the foregoing, no such information shall be used by such Person as the basis for any market transactions in securities of the Corporation or its subsidiaries in violation of Law;</w:t>
      </w:r>
    </w:p>
    <w:p>
      <w:pPr>
        <w:spacing w:after="0" w:line="189" w:lineRule="exact"/>
        <w:rPr>
          <w:rFonts w:ascii="Times New Roman" w:cs="Times New Roman" w:eastAsia="Times New Roman" w:hAnsi="Times New Roman"/>
          <w:sz w:val="18"/>
          <w:szCs w:val="18"/>
          <w:color w:val="auto"/>
        </w:rPr>
      </w:pPr>
    </w:p>
    <w:p>
      <w:pPr>
        <w:ind w:right="180" w:firstLine="1428"/>
        <w:spacing w:after="0" w:line="266" w:lineRule="auto"/>
        <w:tabs>
          <w:tab w:leader="none" w:pos="1822"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its officers to use their reasonable best efforts to support the marketing of the Registrable Securities covered by the Registration Statement (including participation in conference calls and “road shows”);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support shall not be required if it would, in the Corporation’s reasonable judgment, interfere with the normal business operations of the Corporation in any substantial respect;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60" w:name="page361"/>
    <w:bookmarkEnd w:id="360"/>
    <w:p>
      <w:pPr>
        <w:ind w:right="520" w:firstLine="1428"/>
        <w:spacing w:after="0" w:line="282" w:lineRule="auto"/>
        <w:tabs>
          <w:tab w:leader="none" w:pos="1792"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cooperate with each seller of Registrable Securities and each underwriter or agent participating in the disposition of such Registrable Securities and their respective counsel in connection with any filings required to be made with FINRA.</w:t>
      </w:r>
    </w:p>
    <w:p>
      <w:pPr>
        <w:spacing w:after="0" w:line="162" w:lineRule="exact"/>
        <w:rPr>
          <w:sz w:val="20"/>
          <w:szCs w:val="20"/>
          <w:color w:val="auto"/>
        </w:rPr>
      </w:pPr>
    </w:p>
    <w:p>
      <w:pPr>
        <w:ind w:right="400" w:firstLine="991"/>
        <w:spacing w:after="0" w:line="256" w:lineRule="auto"/>
        <w:rPr>
          <w:sz w:val="20"/>
          <w:szCs w:val="20"/>
          <w:color w:val="auto"/>
        </w:rPr>
      </w:pPr>
      <w:r>
        <w:rPr>
          <w:rFonts w:ascii="Times New Roman" w:cs="Times New Roman" w:eastAsia="Times New Roman" w:hAnsi="Times New Roman"/>
          <w:sz w:val="18"/>
          <w:szCs w:val="18"/>
          <w:color w:val="auto"/>
        </w:rPr>
        <w:t>The Corporation may require each holder of Registrable Securities as to which any registration is being effected to furnish to the Corporation in writing such information required in connection with such registration regarding such seller and the distribution of such Registrable Securities as the Corporation may, from time to time, reasonably request in writing and the Corporation may exclude from such registration the Registrable Securities of any holder who unreasonably fails to furnish such information within a reasonable time after receiving such request. The Corporation shall provide any holder of Registrable Securities the opportunity to review and provide comments to the Registration Statement to the extent practicable.</w:t>
      </w:r>
    </w:p>
    <w:p>
      <w:pPr>
        <w:spacing w:after="0" w:line="187"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Each holder of Registrable Securities agrees if such holder has Registrable Securities covered by such Registration Statement that, upon receipt of any notice from the Corporation of the happening of any event of the kind described in Section 6(c)(ii), 6(c)(iii), 6(c)(iv) or 6(c)(v) hereof, such holder will forthwith discontinue disposition of such Registrable Securities covered by such Registration Statement or Prospectus until such holder’s receipt of the copies of the supplemented or amended Prospectus contemplated by Section 6(k) hereof, or until it is advised in writing by the Corporation that the use of the applicable Prospectus may be resumed, and has received copies of any additional or supplemental filings that are incorporated or deemed to be incorporated by reference in such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time periods under Section 3 with respect to the length of time that the effectiveness of a Registration Statement must be maintained shall automatically be extended by the amount of time the holder is required to discontinue disposition of such securities.</w:t>
      </w:r>
    </w:p>
    <w:p>
      <w:pPr>
        <w:spacing w:after="0" w:line="19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All reasonable fees and expenses incident to the performance of or compliance with this Agreement by the Corporation (including (i) all registration and filing fees (including fees and expenses with respect to (A) filings required to be made with the FINRA and (B) compliance with securities or “blue sky” laws, including any fees and disbursements of counsel for the underwriters in connection with “blue sky” qualifications of the Registrable Securities pursuant to Section 6(h)), (ii) printing expenses (including expenses of printing certificates for Registrable Securities in a form eligible for deposit with The Depository Trust Company and of printing Prospectuses if the printing of Prospectuses is requested by the managing underwriters, if any, or by the holders of a majority of the Registrable Securities included in any Registration Statement), (iii) messenger, telephone and delivery expenses of the Corporation, (iv) fees and disbursements of counsel for the Corporation, (v) expenses of the Corporation incurred in connection with any road show, (vi) fees and disbursements of all independent certified public accountants referred to in Section 6(o)(iii) hereof (including the expenses of any “comfort” letters required by this Agreement) and any other Persons, including special experts retained by the Corporation, and (vii) fees and disbursements of one counsel for KKR Shareholders and the holders of Registrable Securities whose shares are included in a Registration Statement, which counsel shall be selected by KKR Shareholders if making the Demand Registration (and otherwise, by the holders of a majority of the Registrable Securities being sold in connection therewith) shall be borne by the Corporation whether or not any Registration Statement is filed or becomes effective;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counsel is selected by the KKR Shareholders and in the good-faith opinion of the Gochman Shareholders participating</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61" w:name="page362"/>
    <w:bookmarkEnd w:id="36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any such offer there is a conflict or potential conflict of interest between such counsel’s representation of the KKR Shareholders and such Gochman Shareholders, such Gochman Shareholders shall be entitled to select separate counsel reasonably acceptable to the Corporation to represent them and the Corporation shall pay the fees and disbursements of such counsel in addition to the fees and disbursements of counsel to the KKR Shareholders. In addition, the Corporation shall pay its internal expenses (including all salaries and expenses of its officers and employees performing legal or accounting duties), the expense of any annual audit, the fees and expenses incurred in connection with the listing of the securities to be registered on any securities exchange on which similar securities issued by the Corporation are then listed and rating agency fees and the fees and expenses of any Person, including special experts, retained by the Corporation.</w:t>
      </w:r>
    </w:p>
    <w:p>
      <w:pPr>
        <w:spacing w:after="0" w:line="189"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The Corporation shall not be required to pay (i) fees and disbursements of any counsel retained by any holder of Registrable Securities or by any underwriter (except as set forth in clauses 7(i)(B) and 7(vii)), (ii) any underwriter’s fees (including discounts, commissions or fees of underwriters, selling brokers, dealer managers or similar securities industry professionals) relating to the distribution of the Registrable Securities (other than with respect to Registrable Securities sold by the Corporation), or (iii) any other expenses of the holders of Registrable Securities not specifically required to be paid by the Corporation pursuant to the first paragraph of this Section 7 (including, without limitation, capital gains, income and transfer taxes, if any, relating to the sale of Registrable Securities).</w:t>
      </w:r>
    </w:p>
    <w:p>
      <w:pPr>
        <w:spacing w:after="0" w:line="295"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0" w:firstLine="1428"/>
        <w:spacing w:after="0" w:line="252" w:lineRule="auto"/>
        <w:tabs>
          <w:tab w:leader="none" w:pos="1812"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Corporation</w:t>
      </w:r>
      <w:r>
        <w:rPr>
          <w:rFonts w:ascii="Times New Roman" w:cs="Times New Roman" w:eastAsia="Times New Roman" w:hAnsi="Times New Roman"/>
          <w:sz w:val="18"/>
          <w:szCs w:val="18"/>
          <w:color w:val="auto"/>
        </w:rPr>
        <w:t>. The Corporation shall, without limitation as to time, indemnify and hold harmless, to the fullest extent permitted by Law, each holder of Registrable Securities whose Registrable Securities are covered by a Registration Statement or Prospectus, the officers, directors, partners, members, managers, shareholders, accountants, attorneys, agents, representatives and employees of each of them, each Person who controls each such holder (within the meaning of Section 15 of the Securities Act or Section 20 of the Exchange Act) and the officers, directors, partners, affiliates, members, managers, shareholders, accountants, attorneys, agents, representatives and employees of each such controlling person, each underwriter, if any, and each Person who controls (within the meaning of Section 15 of the Securities Act or Section 20 of the Exchange Act) such underwriter, from and against any and all losses, claims, damages, liabilities, costs (including costs of preparation and reasonable attorneys’ fees and any legal or other fees or expenses incurred by such party in connection with any investigation or Proceeding), expenses, judgments, fines, penalties, charges and amounts paid in settlement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arising out of or based upon any untrue statement (or alleged untrue statement) of a material fact contained in any Prospectus (including without limitation preliminary or final), offering circular, or other document (including any related Registration Statement, notification, or the like) incident to any such registration, qualification, or compliance, or based on any omission (or alleged omission) to state therein a material fact required to be stated therein or necessary to make the statements therein not misleading, or any violation by the Corporation or any of its affiliates, employees, officers, directors or agents of the Securities Act, the Exchange Act, any state securities law, or any rule or regulation promulgated thereunder applicable to the Corporation and (without limitation of the preceding portions of this Section 8(a)) will reimburse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62" w:name="page363"/>
    <w:bookmarkEnd w:id="36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each such holder, each of its officers, directors, partners, members, managers, shareholders, accountants, attorneys, agents, representatives and employees and each Person who controls (within the meaning of Section 15 of the Securities Act or Section 20 of the Exchange Act) each such holder and the officers, directors, partners, affiliates, members, managers, shareholders, accountants, attorneys, agents, representatives and employees of each such controlling person, each such underwriter, and each Person who controls (within the meaning of Section 15 of the Securities Act or Section 20 of the Exchange Act) any such underwriter, for any legal and any other expenses reasonably incurred in connection with investigating and defending or settling any such Loss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Corporation will not be liable in any such case to the extent that any such Loss arises out of or is based on (i) any untrue statement or omission by such holder or underwriter, but only to the extent, that such untrue statement (or alleged untrue statement) or omission (or alleged omission) is made in such Registration Statement, Prospectus, offering circular, or other document in reliance upon and in conformity with written information furnished to the Corporation by such holder for use therein, (ii) offers or sales effected by or on behalf of such holder “by means of” (as defined in Rule 159A under the Securities Act) a “free writing prospectus” (as defined in Rule 405 under the Securities Act) that was not authorized in writing by the Corporation or (iii) the failure of any holder to deliver or make available to a purchaser of Registrable Securities a copy of any Registration Statement, including any preliminary or final Prospectus contained therein or any amendments or supplements thereto (if the same was required by applicable Law to be delivered or made available);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Corporation shall have delivered to such holder such Registration Statement, including such preliminary or final Prospectus contained therein and any amendments or supplements thereto. It is agreed that the indemnity agreement contained in this Section 8(a) shall not apply to amounts paid in settlement of any such Loss or action if such settlement is effected without the consent of the Corporation (which consent shall not be unreasonably withheld).</w:t>
      </w:r>
    </w:p>
    <w:p>
      <w:pPr>
        <w:spacing w:after="0" w:line="195" w:lineRule="exact"/>
        <w:rPr>
          <w:sz w:val="20"/>
          <w:szCs w:val="20"/>
          <w:color w:val="auto"/>
        </w:rPr>
      </w:pPr>
    </w:p>
    <w:p>
      <w:pPr>
        <w:ind w:firstLine="1428"/>
        <w:spacing w:after="0" w:line="269" w:lineRule="auto"/>
        <w:tabs>
          <w:tab w:leader="none" w:pos="1822" w:val="left"/>
        </w:tabs>
        <w:numPr>
          <w:ilvl w:val="0"/>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by Holder of Registrable Securities</w:t>
      </w:r>
      <w:r>
        <w:rPr>
          <w:rFonts w:ascii="Times New Roman" w:cs="Times New Roman" w:eastAsia="Times New Roman" w:hAnsi="Times New Roman"/>
          <w:sz w:val="17"/>
          <w:szCs w:val="17"/>
          <w:color w:val="auto"/>
        </w:rPr>
        <w:t xml:space="preserve">. The Corporation may require, as a condition to including any Registrable Securities in any Registration Statement filed in accordance with this Agreement, that the Corporation shall have received an undertaking reasonably satisfactory to it from the prospective seller of such Registrable Securities to indemnify, to the fullest extent permitted by Law, severally and not jointly with any other holders of Registrable Securities, the Corporation, its directors and officers and each Person who controls the Corporation (within the meaning of Section 15 of the Securities Act and Section 20 of the Exchange Act) and all other prospective sellers from and against all Losses, as incurred, arising out of or based on any untrue statement of a material fact contained in any such Registration Statement, Prospectus, offering circular, or other document, or any omission to state therein a material fact required to be stated therein or necessary to make the statements therein not misleading, and to (without limitation of the portions of this Section 8(b)) reimburse the Corporation, its directors and officers and each Person who controls the Corporation (within the meaning of Section 15 of the Securities Act and Section 20 of the Exchange Act) and all other prospective sellers for any legal or any other expenses reasonably incurred in connection with investigating or defending any such Loss or action, in each case to the extent, but only to the extent, that such untrue statement or omission is made in such Registration Statement, Prospectus, offering circular, or other document in reliance upon and in conformity with written information furnished to the Corporation by such holder expressly for inclusion in such Registration Statement, Prospectus, offering circular or other document;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obligations of such holder under such undertaking shall not apply 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63" w:name="page364"/>
    <w:bookmarkEnd w:id="363"/>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amounts paid in settlement of any such Losses (or actions in respect thereof) if such settlement is effected without the consent of such holder (which consent shall not be unreasonably withheld);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liability of such holder of Registrable Securities shall be limited to the net proceeds received by such selling holder from the sale of Registrable Securities covered by such Registration Statement.</w:t>
      </w:r>
    </w:p>
    <w:p>
      <w:pPr>
        <w:spacing w:after="0" w:line="176" w:lineRule="exact"/>
        <w:rPr>
          <w:sz w:val="20"/>
          <w:szCs w:val="20"/>
          <w:color w:val="auto"/>
        </w:rPr>
      </w:pPr>
    </w:p>
    <w:p>
      <w:pPr>
        <w:ind w:firstLine="1428"/>
        <w:spacing w:after="0" w:line="251" w:lineRule="auto"/>
        <w:tabs>
          <w:tab w:leader="none" w:pos="1812"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Person shall be entitled to indemnity hereunder or under the undertaking contemplated by Section 8(b)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give prompt notice to the party from which such indemnity is sought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of any claim or of the commencement of any Proceeding with respect to which such Indemnified Party seeks indemnification or contribution pursuant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delay or failure to so notify the Indemnifying Party shall not relieve the Indemnifying Party from any obligation or liability except to the extent that the Indemnifying Party has been materially prejudiced by such delay or failure. The Indemnifying Party shall have the right, exercisable by giving written notice to an Indemnified Party promptly after the receipt of written notice from such Indemnified Party of such claim or Proceeding, to, unless in the Indemnified Party’s reasonable judgment a conflict of interest between such Indemnified Party and the Indemnifying Party may exist in respect of such claim, assume, at the Indemnifying Party’s expense, the defense of any such claim or Proceeding, with counsel reasonably satisfactory to such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Indemnified Party shall have the right to employ separate counsel in any such claim or Proceeding and to participate in the defense thereof, but the fees and expenses of such separate counsel shall be at the expense of such Indemnified Party unless: (i) the Indemnifying Party agrees to pay such fees and expenses; or (ii) the Indemnifying Party fails promptly to assume, or in the event of a conflict of interest cannot assume, the defense of such claim or Proceeding or fails to employ counsel reasonably satisfactory to such Indemnified Party, in which case the Indemnified Party shall have the right to employ separate counsel and to assume the defense of such claim or proceeding at the Indemnifying Party’s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Indemnifying Party shall not, in connection with any one such claim or Proceeding or separate but substantially similar or related claims or Proceedings in the same jurisdiction, arising out of the same general allegations or circumstances, be liable for the fees and expenses of more than one firm of attorneys (together with appropriate local counsel) at any time for all of the Indemnified Parties, or for fees and expenses that are not reasonable. Whether or not such defense is assumed by the Indemnifying Party, such Indemnifying Party will not be subject to any liability for any settlement made without its consent (but such consent will not be unreasonably withheld). The Indemnifying Party shall not consent to entry of any judgment or enter into any settlement that does not include as an unconditional term thereof the giving by the claimant or plaintiff to such Indemnified Party of a release, in form and substance reasonably satisfactory to the Indemnified Party, from all liability in respect of such claim or litigation for which such Indemnified Party would be entitled to indemnification hereunder.</w:t>
      </w:r>
    </w:p>
    <w:p>
      <w:pPr>
        <w:spacing w:after="0" w:line="205" w:lineRule="exact"/>
        <w:rPr>
          <w:rFonts w:ascii="Times New Roman" w:cs="Times New Roman" w:eastAsia="Times New Roman" w:hAnsi="Times New Roman"/>
          <w:sz w:val="18"/>
          <w:szCs w:val="18"/>
          <w:color w:val="auto"/>
        </w:rPr>
      </w:pPr>
    </w:p>
    <w:p>
      <w:pPr>
        <w:ind w:right="80" w:firstLine="1428"/>
        <w:spacing w:after="0" w:line="261" w:lineRule="auto"/>
        <w:tabs>
          <w:tab w:leader="none" w:pos="1822"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this Section 8 is unavailable to an Indemnified Party in respect of any Losses (other than in accordance with its terms), then each applicable Indemnifying Party, in lieu of indemnifying such Indemnified Party, shall contribute to the amount paid or payable by such Indemnified Party as a result of such Losses, in such proportion as is appropriate to reflect the relative fault of the Indemnifying Party, on the one hand, and such Indemnified Party, on the other hand, in connection with the actions,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364" w:name="page365"/>
    <w:bookmarkEnd w:id="364"/>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statements or omissions that resulted in such Losses. The relative fault of such Indemnifying Party, on the one hand, and Indemnified Party, on the other hand, shall be determined by reference to, among other things, whether any action in question, including any untrue or alleged untrue statement of a material fact or omission or alleged omission to state a material fact, has been made (or omitted) by, or relates to information supplied by, such Indemnifying Party or Indemnified Party, and the parties’ relative intent, knowledge, access to information and opportunity to correct or prevent any such action, statement or omission.</w:t>
      </w:r>
    </w:p>
    <w:p>
      <w:pPr>
        <w:spacing w:after="0" w:line="183" w:lineRule="exact"/>
        <w:rPr>
          <w:sz w:val="20"/>
          <w:szCs w:val="20"/>
          <w:color w:val="auto"/>
        </w:rPr>
      </w:pPr>
    </w:p>
    <w:p>
      <w:pPr>
        <w:ind w:left="4" w:right="240" w:firstLine="991"/>
        <w:spacing w:after="0" w:line="258" w:lineRule="auto"/>
        <w:rPr>
          <w:sz w:val="20"/>
          <w:szCs w:val="20"/>
          <w:color w:val="auto"/>
        </w:rPr>
      </w:pPr>
      <w:r>
        <w:rPr>
          <w:rFonts w:ascii="Times New Roman" w:cs="Times New Roman" w:eastAsia="Times New Roman" w:hAnsi="Times New Roman"/>
          <w:sz w:val="18"/>
          <w:szCs w:val="18"/>
          <w:color w:val="auto"/>
        </w:rPr>
        <w:t>Notwithstanding the provisions of this Section 8(d), an Indemnifying Party that is a selling holder of Registrable Securities shall not be required to contribute any amount in excess of the amount that such Indemnifying Party has otherwise been, or would otherwise be, required to pay pursuant to Section 8(b)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83" w:lineRule="exact"/>
        <w:rPr>
          <w:sz w:val="20"/>
          <w:szCs w:val="20"/>
          <w:color w:val="auto"/>
        </w:rPr>
      </w:pPr>
    </w:p>
    <w:p>
      <w:pPr>
        <w:ind w:left="4" w:right="80" w:firstLine="1428"/>
        <w:spacing w:after="0" w:line="261" w:lineRule="auto"/>
        <w:tabs>
          <w:tab w:leader="none" w:pos="181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all cases the Gochman Shareholders, on the one hand, and KKR Shareholders, on the other hand, shall be treated in the same manner.</w:t>
      </w:r>
    </w:p>
    <w:p>
      <w:pPr>
        <w:spacing w:after="0" w:line="288" w:lineRule="exact"/>
        <w:rPr>
          <w:sz w:val="20"/>
          <w:szCs w:val="20"/>
          <w:color w:val="auto"/>
        </w:rPr>
      </w:pPr>
    </w:p>
    <w:p>
      <w:pPr>
        <w:ind w:left="444"/>
        <w:spacing w:after="0"/>
        <w:tabs>
          <w:tab w:leader="none" w:pos="1324"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Rule 144</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right="20" w:firstLine="1428"/>
        <w:spacing w:after="0" w:line="254" w:lineRule="auto"/>
        <w:tabs>
          <w:tab w:leader="none" w:pos="1806"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an Initial Public Offering, the Corporation shall (i) use reasonable best efforts to file the reports required to be filed by it under the Securities Act and the Exchange Act in a timely manner (including the reports under Sections 13 and 15(d) of the Exchange Act referred to in subparagraph (c)(1) of Rule 144), (ii) take such further action as any holder of Registrable Securities may reasonably request, and (iii) furnish to each holder of Registrable Securities forthwith upon written request, (A) a written statement by the Corporation as to its compliance with the reporting requirements of Rule 144, the Securities Act and the Exchange Act, (B) a copy of the most recent annual or quarterly report of the Corporation, and</w:t>
      </w:r>
    </w:p>
    <w:p>
      <w:pPr>
        <w:spacing w:after="0" w:line="3" w:lineRule="exact"/>
        <w:rPr>
          <w:rFonts w:ascii="Times New Roman" w:cs="Times New Roman" w:eastAsia="Times New Roman" w:hAnsi="Times New Roman"/>
          <w:sz w:val="18"/>
          <w:szCs w:val="18"/>
          <w:color w:val="auto"/>
        </w:rPr>
      </w:pPr>
    </w:p>
    <w:p>
      <w:pPr>
        <w:jc w:val="both"/>
        <w:ind w:left="4" w:right="80" w:hanging="4"/>
        <w:spacing w:after="0" w:line="253" w:lineRule="auto"/>
        <w:tabs>
          <w:tab w:leader="none" w:pos="289"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reports and documents so filed by the Corporation as such holder may reasonably request in availing itself of Rule 144, all to the extent required from time to time to enable such holder to sell Registrable Securities without registration under the Securities Act within the limitations of the exemption provided by Rule 144. Upon the request of any holder of Registrable Securities, the Corporation shall deliver to such holder a written statement as to whether it has complied with such requirements.</w:t>
      </w:r>
    </w:p>
    <w:p>
      <w:pPr>
        <w:spacing w:after="0" w:line="188" w:lineRule="exact"/>
        <w:rPr>
          <w:rFonts w:ascii="Times New Roman" w:cs="Times New Roman" w:eastAsia="Times New Roman" w:hAnsi="Times New Roman"/>
          <w:sz w:val="18"/>
          <w:szCs w:val="18"/>
          <w:color w:val="auto"/>
        </w:rPr>
      </w:pPr>
    </w:p>
    <w:p>
      <w:pPr>
        <w:ind w:left="4" w:right="500" w:firstLine="1428"/>
        <w:spacing w:after="0" w:line="282" w:lineRule="auto"/>
        <w:tabs>
          <w:tab w:leader="none" w:pos="1823"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provisions of this Section 9 are not intended to modify or otherwise affect any restrictions on transfers of securities contained in the LLC Agreement.</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4"/>
          </w:cols>
          <w:pgMar w:left="436" w:top="270" w:right="519" w:bottom="1440" w:gutter="0" w:footer="0" w:header="0"/>
        </w:sectPr>
      </w:pPr>
    </w:p>
    <w:bookmarkStart w:id="365" w:name="page366"/>
    <w:bookmarkEnd w:id="365"/>
    <w:p>
      <w:pPr>
        <w:ind w:left="444"/>
        <w:spacing w:after="0"/>
        <w:tabs>
          <w:tab w:leader="none" w:pos="1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10.</w:t>
      </w:r>
      <w:r>
        <w:rPr>
          <w:sz w:val="20"/>
          <w:szCs w:val="20"/>
          <w:color w:val="auto"/>
        </w:rPr>
        <w:tab/>
      </w:r>
      <w:r>
        <w:rPr>
          <w:rFonts w:ascii="Times New Roman" w:cs="Times New Roman" w:eastAsia="Times New Roman" w:hAnsi="Times New Roman"/>
          <w:sz w:val="17"/>
          <w:szCs w:val="17"/>
          <w:u w:val="single" w:color="auto"/>
          <w:color w:val="auto"/>
        </w:rPr>
        <w:t>Underwritten Registrations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804" w:hanging="372"/>
        <w:spacing w:after="0"/>
        <w:tabs>
          <w:tab w:leader="none" w:pos="1804"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underwritten offering, the investment banker or investment bankers and managers shall be selected by</w:t>
      </w:r>
    </w:p>
    <w:p>
      <w:pPr>
        <w:spacing w:after="0" w:line="27" w:lineRule="exact"/>
        <w:rPr>
          <w:rFonts w:ascii="Times New Roman" w:cs="Times New Roman" w:eastAsia="Times New Roman" w:hAnsi="Times New Roman"/>
          <w:sz w:val="18"/>
          <w:szCs w:val="18"/>
          <w:color w:val="auto"/>
        </w:rPr>
      </w:pPr>
    </w:p>
    <w:p>
      <w:pPr>
        <w:ind w:left="4" w:hanging="4"/>
        <w:spacing w:after="0" w:line="255" w:lineRule="auto"/>
        <w:tabs>
          <w:tab w:leader="none" w:pos="219"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KKR Shareholder(s) in any Demand Registration or in the Initial Public Offering, which selection shall be subject to approval by the Corporation, not to be unreasonably withheld, and (ii) the Corporation to administer any other offering, including any Piggyback Registration (other than the Initial Public Offering).</w:t>
      </w:r>
    </w:p>
    <w:p>
      <w:pPr>
        <w:spacing w:after="0" w:line="185" w:lineRule="exact"/>
        <w:rPr>
          <w:rFonts w:ascii="Times New Roman" w:cs="Times New Roman" w:eastAsia="Times New Roman" w:hAnsi="Times New Roman"/>
          <w:sz w:val="18"/>
          <w:szCs w:val="18"/>
          <w:color w:val="auto"/>
        </w:rPr>
      </w:pPr>
    </w:p>
    <w:p>
      <w:pPr>
        <w:ind w:left="4" w:right="460" w:firstLine="1428"/>
        <w:spacing w:after="0" w:line="276" w:lineRule="auto"/>
        <w:tabs>
          <w:tab w:leader="none" w:pos="1826" w:val="left"/>
        </w:tabs>
        <w:numPr>
          <w:ilvl w:val="1"/>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Person may participate in any underwritten registration hereunder unless such Person (i) agrees to sell the Registrable Securities it desires to have covered by a Registration Statement on the basis provided in any underwriting arrangements in customary form and</w:t>
      </w:r>
    </w:p>
    <w:p>
      <w:pPr>
        <w:ind w:left="4" w:right="60" w:hanging="4"/>
        <w:spacing w:after="0" w:line="253" w:lineRule="auto"/>
        <w:tabs>
          <w:tab w:leader="none" w:pos="269"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completes and executes all questionnaires, powers of attorney, indemnities, underwriting agreements and other documents required under the terms of such underwriting arrangements,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shall not be required to make any representations or warranties other than those related to title and ownership of such Person’s Registrable Securities being sold and as to the accuracy and completeness of statements made in a Registration Statement, Prospectus, offering circular, or other document in reliance upon and in conformity with written information furnished to the Corporation or the managing underwriter by such Person for use therein.</w:t>
      </w:r>
    </w:p>
    <w:p>
      <w:pPr>
        <w:spacing w:after="0" w:line="295" w:lineRule="exact"/>
        <w:rPr>
          <w:sz w:val="20"/>
          <w:szCs w:val="20"/>
          <w:color w:val="auto"/>
        </w:rPr>
      </w:pPr>
    </w:p>
    <w:p>
      <w:pPr>
        <w:ind w:left="444"/>
        <w:spacing w:after="0"/>
        <w:tabs>
          <w:tab w:leader="none" w:pos="1404"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firstLine="1428"/>
        <w:spacing w:after="0" w:line="252" w:lineRule="auto"/>
        <w:tabs>
          <w:tab w:leader="none" w:pos="181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modified or supplemented, and waivers or consents to departures from the provisions hereof may not be given without the written consent of the KKR Shareholders;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any amendment, modification, supplement, waiver or consent to departures from the provisions of this Agreement that would subject a Shareholder to adverse differential treatment relative to the other Shareholders shall require the prior written agreement of the differentially treated Shareholder and (ii) any amendment, modification, supplement, waiver or consent to departures from the provisions of this Agreement that would be adverse to a right specifically granted to a specific Shareholder herein (but not to other Shareholders) shall require the prior written agreement of that Shareholder;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amendments, modifications, supplements, restatements or waivers to the following provisions of this Agreement that would adversely affect any Gochman Shareholder (or any other provision of this Agreement if such amendment, modification, supplement, restatement or waiver would be inconsistent with or conflict with the following provisions of this Agreement in a manner adverse to a Gochman Shareholder) shall not be effective as to such Gochman Shareholder without such Gochman Shareholder’s prior written consent: Sections 1, 3, 4, 7, 8(a), 8(e) and this Section 11(a). Notwithstanding the foregoing, a waiver or consent to depart from the provisions hereof with respect to a matter that relates exclusively to the rights of holders of Registrable Securities whose securities are being sold pursuant to a Registration Statement (other than, for the avoidance of doubt, the right of any Shareholder to exercise its right to participate in such offering) and that does not directly or indirectly affect the rights of other holders of Registrable Securities may be given by holders of at least a majority of the Registrable Securities being sold by such holders pursuant to such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right that is personal to a specific Shareholder may not be waived by such majority and shall require the waiver of such specific Shareholder (it being understood that a right specific to the Gochman Shareholders as a group shall be considered to be specific to each Gochman Shareholder).</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366" w:name="page367"/>
    <w:bookmarkEnd w:id="366"/>
    <w:p>
      <w:pPr>
        <w:ind w:right="40" w:firstLine="1428"/>
        <w:spacing w:after="0" w:line="266" w:lineRule="auto"/>
        <w:tabs>
          <w:tab w:leader="none" w:pos="1822"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Notices</w:t>
      </w:r>
      <w:r>
        <w:rPr>
          <w:rFonts w:ascii="Times New Roman" w:cs="Times New Roman" w:eastAsia="Times New Roman" w:hAnsi="Times New Roman"/>
          <w:sz w:val="18"/>
          <w:szCs w:val="18"/>
          <w:color w:val="auto"/>
        </w:rPr>
        <w:t>. All notices required to be given hereunder shall be in writing and shall be deemed to be duly given if personally delivered, telecopied and confirmed, or mailed by certified mail, return receipt requested, or overnight delivery service with proof of receipt maintained, at the following address (or any other address that any such party may designate by written notice to the other parties):</w:t>
      </w:r>
    </w:p>
    <w:p>
      <w:pPr>
        <w:spacing w:after="0" w:line="176"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If to the Corporation, to the address of its principal executive offices. If to any Shareholder, at such Shareholder’s address as set forth on the records of the Corporation. Any such notice shall, if delivered personally, be deemed received upon delivery; shall, if delivered by telecopy, be deemed received on the first business day following confirmation; shall, if delivered by overnight delivery service, be deemed received the first business day after being sent; and shall, if delivered by mail, be deemed received upon the earlier of actual receipt thereof or five business days after the date of deposit in the United States mail.</w:t>
      </w:r>
    </w:p>
    <w:p>
      <w:pPr>
        <w:spacing w:after="0" w:line="183" w:lineRule="exact"/>
        <w:rPr>
          <w:sz w:val="20"/>
          <w:szCs w:val="20"/>
          <w:color w:val="auto"/>
        </w:rPr>
      </w:pPr>
    </w:p>
    <w:p>
      <w:pPr>
        <w:ind w:firstLine="1428"/>
        <w:spacing w:after="0" w:line="254" w:lineRule="auto"/>
        <w:tabs>
          <w:tab w:leader="none" w:pos="1812"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Shareholder Status</w:t>
      </w:r>
      <w:r>
        <w:rPr>
          <w:rFonts w:ascii="Times New Roman" w:cs="Times New Roman" w:eastAsia="Times New Roman" w:hAnsi="Times New Roman"/>
          <w:sz w:val="18"/>
          <w:szCs w:val="18"/>
          <w:color w:val="auto"/>
        </w:rPr>
        <w:t xml:space="preserve">. This Agreement shall inure to the benefit of and be binding upon the successors and permitted assigns of each of the parties, including the Corporation and subsequent holders of Registrable Securities acquired, directly or indirectly, from the Shareholders;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successor or assign shall not be entitled to such rights unless the successor or assign shall have executed and delivered to the Corporation an Addendum Agreement substantially in the form of Exhibit A hereto (which shall also be executed by the Corporation) promptly following the acquisition of such Registrable Securities, in which event such successor or assign shall be deemed a Shareholder for purposes of this Agreement. Except as provided in Section 8 with respect to an Indemnified Party, nothing expressed or mentioned in this Agreement is intended or shall be construed to give any Person other than the parties hereto and their respective successors and permitted assigns any legal or equitable right, remedy or claim under, in or in respect of this Agreement or any provision herein contained.</w:t>
      </w:r>
    </w:p>
    <w:p>
      <w:pPr>
        <w:spacing w:after="0" w:line="191" w:lineRule="exact"/>
        <w:rPr>
          <w:rFonts w:ascii="Times New Roman" w:cs="Times New Roman" w:eastAsia="Times New Roman" w:hAnsi="Times New Roman"/>
          <w:sz w:val="18"/>
          <w:szCs w:val="18"/>
          <w:color w:val="auto"/>
        </w:rPr>
      </w:pPr>
    </w:p>
    <w:p>
      <w:pPr>
        <w:ind w:firstLine="1428"/>
        <w:spacing w:after="0" w:line="256" w:lineRule="auto"/>
        <w:tabs>
          <w:tab w:leader="none" w:pos="1822"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7" w:lineRule="exact"/>
        <w:rPr>
          <w:rFonts w:ascii="Times New Roman" w:cs="Times New Roman" w:eastAsia="Times New Roman" w:hAnsi="Times New Roman"/>
          <w:sz w:val="18"/>
          <w:szCs w:val="18"/>
          <w:color w:val="auto"/>
        </w:rPr>
      </w:pPr>
    </w:p>
    <w:p>
      <w:pPr>
        <w:ind w:right="140" w:firstLine="1428"/>
        <w:spacing w:after="0" w:line="261" w:lineRule="auto"/>
        <w:tabs>
          <w:tab w:leader="none" w:pos="1812"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Construction</w:t>
      </w:r>
      <w:r>
        <w:rPr>
          <w:rFonts w:ascii="Times New Roman" w:cs="Times New Roman" w:eastAsia="Times New Roman" w:hAnsi="Times New Roman"/>
          <w:sz w:val="18"/>
          <w:szCs w:val="18"/>
          <w:color w:val="auto"/>
        </w:rPr>
        <w:t>. The section and paragraph headings contained in this Agreement are for reference purposes only and shall not affect in any way the meaning or interpretation of this Agreement. Unless the context requires otherwise: (a) pronouns in the masculine, feminine and neuter genders shall be construed to include any other gender, and words in the singular form shall be construed to include the plural and vice versa; (b) the term “including” shall be construed to be expansive rather than limiting in nature and to mean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67" w:name="page368"/>
    <w:bookmarkEnd w:id="367"/>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“including, without limitation,”; (c) references to sections and paragraphs refer to sections and paragraphs of this Agreement; and (d) the words “this Agreement,” “herein,” “hereof,” “hereby,” “hereunder” and words of similar import refer to this Agreement as a whole, including Exhibit A hereto, and not to any particular subdivision unless expressly so limited.</w:t>
      </w:r>
    </w:p>
    <w:p>
      <w:pPr>
        <w:spacing w:after="0" w:line="176" w:lineRule="exact"/>
        <w:rPr>
          <w:sz w:val="20"/>
          <w:szCs w:val="20"/>
          <w:color w:val="auto"/>
        </w:rPr>
      </w:pPr>
    </w:p>
    <w:p>
      <w:pPr>
        <w:ind w:right="220" w:firstLine="1428"/>
        <w:spacing w:after="0" w:line="266" w:lineRule="auto"/>
        <w:tabs>
          <w:tab w:leader="none" w:pos="1792"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provisions of and any claim, controversy or dispute arising out of or relating to this Agreement shall be governed by and construed in accordance with the internal laws of the State of New York, without reference to the choice-of-law or conflicts of law principles that would result in the application of the laws of a different jurisdiction.</w:t>
      </w:r>
    </w:p>
    <w:p>
      <w:pPr>
        <w:spacing w:after="0" w:line="175" w:lineRule="exact"/>
        <w:rPr>
          <w:rFonts w:ascii="Times New Roman" w:cs="Times New Roman" w:eastAsia="Times New Roman" w:hAnsi="Times New Roman"/>
          <w:sz w:val="18"/>
          <w:szCs w:val="18"/>
          <w:color w:val="auto"/>
        </w:rPr>
      </w:pPr>
    </w:p>
    <w:p>
      <w:pPr>
        <w:ind w:right="40" w:firstLine="1428"/>
        <w:spacing w:after="0" w:line="256" w:lineRule="auto"/>
        <w:tabs>
          <w:tab w:leader="none" w:pos="1822"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best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rFonts w:ascii="Times New Roman" w:cs="Times New Roman" w:eastAsia="Times New Roman" w:hAnsi="Times New Roman"/>
          <w:sz w:val="18"/>
          <w:szCs w:val="18"/>
          <w:color w:val="auto"/>
        </w:rPr>
      </w:pPr>
    </w:p>
    <w:p>
      <w:pPr>
        <w:ind w:right="40" w:firstLine="1428"/>
        <w:spacing w:after="0" w:line="258" w:lineRule="auto"/>
        <w:tabs>
          <w:tab w:leader="none" w:pos="1822"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is intended by the parties as a final expression of their agreement, and are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Corporation with respect to Registrable Securities. This Agreement supersedes all prior agreements and understandings between the parties with respect to such subject matter.</w:t>
      </w:r>
    </w:p>
    <w:p>
      <w:pPr>
        <w:spacing w:after="0" w:line="183" w:lineRule="exact"/>
        <w:rPr>
          <w:rFonts w:ascii="Times New Roman" w:cs="Times New Roman" w:eastAsia="Times New Roman" w:hAnsi="Times New Roman"/>
          <w:sz w:val="18"/>
          <w:szCs w:val="18"/>
          <w:color w:val="auto"/>
        </w:rPr>
      </w:pPr>
    </w:p>
    <w:p>
      <w:pPr>
        <w:ind w:firstLine="1428"/>
        <w:spacing w:after="0" w:line="266" w:lineRule="auto"/>
        <w:tabs>
          <w:tab w:leader="none" w:pos="1782"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Held by the Corporation or its Subsidiaries</w:t>
      </w:r>
      <w:r>
        <w:rPr>
          <w:rFonts w:ascii="Times New Roman" w:cs="Times New Roman" w:eastAsia="Times New Roman" w:hAnsi="Times New Roman"/>
          <w:sz w:val="18"/>
          <w:szCs w:val="18"/>
          <w:color w:val="auto"/>
        </w:rPr>
        <w:t>. Whenever the consent or approval of holders of a specified percentage of Registrable Securities is required hereunder, Registrable Securities held by the Corporation or its subsidiaries shall not be counted in determining whether such consent or approval was given by the holders of such required percentage.</w:t>
      </w:r>
    </w:p>
    <w:p>
      <w:pPr>
        <w:spacing w:after="0" w:line="175" w:lineRule="exact"/>
        <w:rPr>
          <w:rFonts w:ascii="Times New Roman" w:cs="Times New Roman" w:eastAsia="Times New Roman" w:hAnsi="Times New Roman"/>
          <w:sz w:val="18"/>
          <w:szCs w:val="18"/>
          <w:color w:val="auto"/>
        </w:rPr>
      </w:pPr>
    </w:p>
    <w:p>
      <w:pPr>
        <w:ind w:right="20" w:firstLine="1428"/>
        <w:spacing w:after="0" w:line="258" w:lineRule="auto"/>
        <w:tabs>
          <w:tab w:leader="none" w:pos="1782"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parties hereto recognize and agree that money damages are insufficient to compensate the holders of any Registrable Securities for breaches by the Corporation of the terms hereof and, consequently, that the equitable remedies of specific performance of the terms hereof and of injunctive relief will be available in the event of any such breach, in addition to all rights provided in this Agreement and granted by Law, and that any defense or objection in any action for specific performance or injunctive relief for which a remedy at Law would be adequate is waived.</w:t>
      </w:r>
    </w:p>
    <w:p>
      <w:pPr>
        <w:spacing w:after="0" w:line="183" w:lineRule="exact"/>
        <w:rPr>
          <w:rFonts w:ascii="Times New Roman" w:cs="Times New Roman" w:eastAsia="Times New Roman" w:hAnsi="Times New Roman"/>
          <w:sz w:val="18"/>
          <w:szCs w:val="18"/>
          <w:color w:val="auto"/>
        </w:rPr>
      </w:pPr>
    </w:p>
    <w:p>
      <w:pPr>
        <w:ind w:left="1860" w:hanging="432"/>
        <w:spacing w:after="0"/>
        <w:tabs>
          <w:tab w:leader="none" w:pos="18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terminate with respect to a Shareholder on the date on which such Shareholder ceases to hold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Registrable Securities;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368" w:name="page369"/>
    <w:bookmarkEnd w:id="368"/>
    <w:p>
      <w:pPr>
        <w:ind w:right="120"/>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w:t>
      </w:r>
      <w:r>
        <w:rPr>
          <w:rFonts w:ascii="Times New Roman" w:cs="Times New Roman" w:eastAsia="Times New Roman" w:hAnsi="Times New Roman"/>
          <w:sz w:val="18"/>
          <w:szCs w:val="18"/>
          <w:color w:val="auto"/>
        </w:rPr>
        <w:t>, that such Shareholder’s rights and obligations pursuant to Section 8, as well as the Corporation’s obligations to pay expenses pursuant to Section 7, shall survive with respect to any Registration Statement in which any Registrable Securities of such Shareholders were included and, for the avoidance of doubt, any underwriter lock-up agreement that a Shareholder has executed prior to a Shareholder’s termination in accordance with this clause shall remain in effect in accordance with its terms.</w:t>
      </w:r>
    </w:p>
    <w:p>
      <w:pPr>
        <w:spacing w:after="0" w:line="180" w:lineRule="exact"/>
        <w:rPr>
          <w:sz w:val="20"/>
          <w:szCs w:val="20"/>
          <w:color w:val="auto"/>
        </w:rPr>
      </w:pPr>
    </w:p>
    <w:p>
      <w:pPr>
        <w:ind w:firstLine="1428"/>
        <w:spacing w:after="0" w:line="254" w:lineRule="auto"/>
        <w:tabs>
          <w:tab w:leader="none" w:pos="1872"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The parties hereto hereby irrevocably submit to the exclusive jurisdiction of the courts of the State of New York and the federal courts of the United States of America located in New York, and appropriate appellate courts therefrom, over any claim, controversy or dispute arising out of or relating to this Agreement or any of the transactions contemplated hereby, and each party hereby irrevocably agrees that all claims in respect of such claim, controversy, dispute or proceeding may be heard and determined in such federal or state courts. The parties hereby irrevocably waive, to the fullest extent permitted by applicable Law, any objection which they may now or hereafter have to the laying of venue of any claim, controversy or dispute arising out of or relating to this Agreement or any of the transactions contemplated hereby brought in such courts or any defense of inconvenient forum for the maintenance of such claim, controversy or dispute. Each of the parties hereto agrees that a final and unappealable judgment in any such claim, controversy or dispute shall be conclusive and may be enforced in other jurisdictions by suit on the judgment, a certified copy of which shall be conclusive evidence of the fact and amount of such judgment, or in any other manner provided by Law.</w:t>
      </w:r>
    </w:p>
    <w:p>
      <w:pPr>
        <w:spacing w:after="0" w:line="188"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Each of the parties hereto hereby consents to process being served by any party to this Agreement in any suit, action, or Proceeding of the nature specified in the paragraph above by the mailing of a copy thereof in the manner specified by the provisions of subsection (b) of this Section 11.</w:t>
      </w:r>
    </w:p>
    <w:p>
      <w:pPr>
        <w:spacing w:after="0" w:line="162"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EACH OF THE PARTIES HERETO HEREBY IRREVOCABLY WAIVES ALL RIGHT TO TRIAL BY JURY IN ANY ACTION, PROCEEDING OR COUNTERCLAIM ARISING OUT OF OR RELATING TO THIS AGREEMENT.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40" w:top="270" w:right="499" w:bottom="1440" w:gutter="0" w:footer="0" w:header="0"/>
        </w:sectPr>
      </w:pPr>
    </w:p>
    <w:bookmarkStart w:id="369" w:name="page370"/>
    <w:bookmarkEnd w:id="369"/>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 A</w:t>
            </w: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2"/>
        </w:trPr>
        <w:tc>
          <w:tcPr>
            <w:tcW w:w="3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ADDENDUM AGREEMENT</w:t>
            </w: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92"/>
        </w:trPr>
        <w:tc>
          <w:tcPr>
            <w:tcW w:w="4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This Addendum Agreement is made this   day of</w:t>
            </w:r>
          </w:p>
        </w:tc>
        <w:tc>
          <w:tcPr>
            <w:tcW w:w="2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20  , by and between</w:t>
            </w:r>
          </w:p>
        </w:tc>
        <w:tc>
          <w:tcPr>
            <w:tcW w:w="3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(the “New Shareholder”) and Academy Sports and</w:t>
            </w:r>
          </w:p>
        </w:tc>
      </w:tr>
      <w:tr>
        <w:trPr>
          <w:trHeight w:val="20"/>
        </w:trPr>
        <w:tc>
          <w:tcPr>
            <w:tcW w:w="3260" w:type="dxa"/>
            <w:vAlign w:val="bottom"/>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5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Outdoors, Inc., a Delaware corporation (the “Corporation”), pursuant to an Amended and Restated Registration Rights Agreement dated as of</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3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both"/>
        <w:spacing w:after="0" w:line="282" w:lineRule="auto"/>
        <w:rPr>
          <w:sz w:val="20"/>
          <w:szCs w:val="20"/>
          <w:color w:val="auto"/>
        </w:rPr>
      </w:pPr>
      <w:r>
        <w:rPr>
          <w:rFonts w:ascii="Times New Roman" w:cs="Times New Roman" w:eastAsia="Times New Roman" w:hAnsi="Times New Roman"/>
          <w:sz w:val="18"/>
          <w:szCs w:val="18"/>
          <w:color w:val="auto"/>
        </w:rPr>
        <w:t>2020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Corporation and the Shareholders. Capitalized terms used herein but not otherwise defined herein shall have the meanings ascribed to such terms in the Agreement.</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Corporation has agreed to provide registration rights with respect to the Registrable Securities as set forth in the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New Shareholder has acquired Registrable Securities directly or indirectly from a Shareholder; and</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WHEREAS, the Corporation and the Shareholders have required in the Agreement that all persons desiring registration rights must enter into an Addendum Agreement binding the New Shareholder to the Agreement to the same extent as if it were an original party thereto;</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promises of the parties, the New Shareholder acknowledges that it has received and read the Agreement and that the New Shareholder shall be bound by, and shall have the benefit of, all of the terms and conditions set out in the Agreement to the same extent as if it were an original party to the Agreement and shall be deemed to be a Shareholder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277495</wp:posOffset>
            </wp:positionV>
            <wp:extent cx="27946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New Shareholder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582930</wp:posOffset>
            </wp:positionV>
            <wp:extent cx="279463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Exhibit A-1</w:t>
      </w:r>
    </w:p>
    <w:p>
      <w:pPr>
        <w:sectPr>
          <w:pgSz w:w="11900" w:h="16838" w:orient="portrait"/>
          <w:cols w:equalWidth="0" w:num="1">
            <w:col w:w="10960"/>
          </w:cols>
          <w:pgMar w:left="440" w:top="270" w:right="49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AGREED TO on behalf of the Corporation pursuant to Section 11(c) of the Agreement.</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ACADEMY SPORTS AND OUTDOORS, INC.</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9">
                      <a:extLst>
                        <a:ext uri="{28A0092B-C50C-407E-A947-70E740481C1C}"/>
                      </a:extLst>
                    </a:blip>
                    <a:srcRect/>
                    <a:stretch>
                      <a:fillRect/>
                    </a:stretch>
                  </pic:blipFill>
                  <pic:spPr bwMode="auto">
                    <a:xfrm>
                      <a:off x="0" y="0"/>
                      <a:ext cx="2562860"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308610</wp:posOffset>
            </wp:positionV>
            <wp:extent cx="27946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Printed Name and Title</w:t>
      </w:r>
    </w:p>
    <w:p>
      <w:pPr>
        <w:spacing w:after="0" w:line="15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Exhibit A-2</w:t>
      </w:r>
    </w:p>
    <w:p>
      <w:pPr>
        <w:sectPr>
          <w:pgSz w:w="11900" w:h="16838" w:orient="portrait"/>
          <w:cols w:equalWidth="0" w:num="1">
            <w:col w:w="9680"/>
          </w:cols>
          <w:pgMar w:left="880" w:top="270" w:right="1339" w:bottom="1440" w:gutter="0" w:footer="0" w:header="0"/>
        </w:sectPr>
      </w:pPr>
    </w:p>
    <w:bookmarkStart w:id="371" w:name="page372"/>
    <w:bookmarkEnd w:id="37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Simpson Thacher &amp; Bartlett </w:t>
      </w:r>
      <w:r>
        <w:rPr>
          <w:rFonts w:ascii="Times New Roman" w:cs="Times New Roman" w:eastAsia="Times New Roman" w:hAnsi="Times New Roman"/>
          <w:sz w:val="14"/>
          <w:szCs w:val="14"/>
          <w:color w:val="auto"/>
        </w:rPr>
        <w:t>LLP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4"/>
          <w:szCs w:val="14"/>
          <w:color w:val="auto"/>
        </w:rPr>
        <w:t>LEXINGTON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NEW YORK</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NY </w:t>
      </w:r>
      <w:r>
        <w:rPr>
          <w:rFonts w:ascii="Times New Roman" w:cs="Times New Roman" w:eastAsia="Times New Roman" w:hAnsi="Times New Roman"/>
          <w:sz w:val="17"/>
          <w:szCs w:val="17"/>
          <w:color w:val="auto"/>
        </w:rPr>
        <w:t>10017-3954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TELEPHONE</w:t>
      </w:r>
      <w:r>
        <w:rPr>
          <w:rFonts w:ascii="Times New Roman" w:cs="Times New Roman" w:eastAsia="Times New Roman" w:hAnsi="Times New Roman"/>
          <w:sz w:val="17"/>
          <w:szCs w:val="17"/>
          <w:color w:val="auto"/>
        </w:rPr>
        <w:t>: +1-212-455-2000</w:t>
      </w:r>
    </w:p>
    <w:p>
      <w:pPr>
        <w:spacing w:after="0" w:line="3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5"/>
          <w:szCs w:val="15"/>
          <w:color w:val="auto"/>
        </w:rPr>
        <w:t>FACSIMILE</w:t>
      </w:r>
      <w:r>
        <w:rPr>
          <w:rFonts w:ascii="Times New Roman" w:cs="Times New Roman" w:eastAsia="Times New Roman" w:hAnsi="Times New Roman"/>
          <w:sz w:val="17"/>
          <w:szCs w:val="17"/>
          <w:color w:val="auto"/>
        </w:rPr>
        <w:t>: +1-212-455-2502</w:t>
      </w:r>
    </w:p>
    <w:p>
      <w:pPr>
        <w:spacing w:after="0" w:line="245" w:lineRule="exact"/>
        <w:rPr>
          <w:sz w:val="20"/>
          <w:szCs w:val="20"/>
          <w:color w:val="auto"/>
        </w:rPr>
      </w:pPr>
    </w:p>
    <w:p>
      <w:pPr>
        <w:spacing w:after="0"/>
        <w:tabs>
          <w:tab w:leader="none" w:pos="9860" w:val="left"/>
        </w:tabs>
        <w:rPr>
          <w:sz w:val="20"/>
          <w:szCs w:val="20"/>
          <w:color w:val="auto"/>
        </w:rPr>
      </w:pPr>
      <w:r>
        <w:rPr>
          <w:rFonts w:ascii="Times New Roman" w:cs="Times New Roman" w:eastAsia="Times New Roman" w:hAnsi="Times New Roman"/>
          <w:sz w:val="18"/>
          <w:szCs w:val="18"/>
          <w:color w:val="auto"/>
        </w:rPr>
        <w:t>Direct Dial Number</w:t>
      </w:r>
      <w:r>
        <w:rPr>
          <w:sz w:val="20"/>
          <w:szCs w:val="20"/>
          <w:color w:val="auto"/>
        </w:rPr>
        <w:tab/>
      </w:r>
      <w:r>
        <w:rPr>
          <w:rFonts w:ascii="Times New Roman" w:cs="Times New Roman" w:eastAsia="Times New Roman" w:hAnsi="Times New Roman"/>
          <w:sz w:val="18"/>
          <w:szCs w:val="18"/>
          <w:color w:val="auto"/>
        </w:rPr>
        <w:t>E-mail Address</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23,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1800 North Mason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Katy, Texas 77449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We have acted as counsel to Academy Sports and Outdoors, Inc., a Delaware corporation (the “Company”), in connection with the Registration Statement on Form S-1 (as amended, the “Registration Statement”) filed by the Company with the Securities and Exchange Commission (the “Commission”) under the Securities Act of 1933, as amended (the “Act”), relating to the issuance by the Company of an aggregate of 17,968,750 shares of its Common Stock, par value $0.01 per share (together with any additional shares of such stock that may be issued by the Company pursuant to Rule 462(b) (as prescribed by the Commission pursuant to the Act) in connection with the offering described in the Registration Statement, the “Shares”).</w:t>
      </w:r>
    </w:p>
    <w:p>
      <w:pPr>
        <w:spacing w:after="0" w:line="187"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We have examined the Registration Statement and a form of the Amended and Restated Certificate of Incorporation of the Company (the “Amended Charter”), which has been filed with the Commission as an exhibit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w:t>
      </w:r>
    </w:p>
    <w:p>
      <w:pPr>
        <w:sectPr>
          <w:pgSz w:w="11900" w:h="16838" w:orient="portrait"/>
          <w:cols w:equalWidth="0" w:num="1">
            <w:col w:w="11020"/>
          </w:cols>
          <w:pgMar w:left="440" w:top="117" w:right="439" w:bottom="1440" w:gutter="0" w:footer="0" w:header="0"/>
        </w:sectPr>
      </w:pPr>
    </w:p>
    <w:bookmarkStart w:id="372" w:name="page373"/>
    <w:bookmarkEnd w:id="372"/>
    <w:p>
      <w:pPr>
        <w:ind w:left="81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Simpson Thacher &amp; Bartlett </w:t>
      </w:r>
      <w:r>
        <w:rPr>
          <w:rFonts w:ascii="Times New Roman" w:cs="Times New Roman" w:eastAsia="Times New Roman" w:hAnsi="Times New Roman"/>
          <w:sz w:val="14"/>
          <w:szCs w:val="14"/>
          <w:color w:val="auto"/>
        </w:rPr>
        <w:t>LLP</w:t>
      </w:r>
    </w:p>
    <w:p>
      <w:pPr>
        <w:spacing w:after="0" w:line="117" w:lineRule="exact"/>
        <w:rPr>
          <w:sz w:val="20"/>
          <w:szCs w:val="20"/>
          <w:color w:val="auto"/>
        </w:rPr>
      </w:pPr>
    </w:p>
    <w:p>
      <w:pPr>
        <w:ind w:left="4"/>
        <w:spacing w:after="0"/>
        <w:tabs>
          <w:tab w:leader="none" w:pos="5504" w:val="left"/>
          <w:tab w:leader="none" w:pos="8564" w:val="left"/>
        </w:tabs>
        <w:rPr>
          <w:sz w:val="20"/>
          <w:szCs w:val="20"/>
          <w:color w:val="auto"/>
        </w:rPr>
      </w:pPr>
      <w:r>
        <w:rPr>
          <w:rFonts w:ascii="Times New Roman" w:cs="Times New Roman" w:eastAsia="Times New Roman" w:hAnsi="Times New Roman"/>
          <w:sz w:val="18"/>
          <w:szCs w:val="18"/>
          <w:color w:val="auto"/>
        </w:rPr>
        <w:t>Academy Sports and Outdoors, Inc.</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September 23, 2020</w:t>
      </w:r>
    </w:p>
    <w:p>
      <w:pPr>
        <w:spacing w:after="0" w:line="158" w:lineRule="exact"/>
        <w:rPr>
          <w:sz w:val="20"/>
          <w:szCs w:val="20"/>
          <w:color w:val="auto"/>
        </w:rPr>
      </w:pPr>
    </w:p>
    <w:p>
      <w:pPr>
        <w:ind w:left="4" w:right="280" w:firstLine="991"/>
        <w:spacing w:after="0" w:line="258" w:lineRule="auto"/>
        <w:rPr>
          <w:sz w:val="20"/>
          <w:szCs w:val="20"/>
          <w:color w:val="auto"/>
        </w:rPr>
      </w:pPr>
      <w:r>
        <w:rPr>
          <w:rFonts w:ascii="Times New Roman" w:cs="Times New Roman" w:eastAsia="Times New Roman" w:hAnsi="Times New Roman"/>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have also assumed that the Amended Charter is filed with the Secretary of State for the State of Delaware in the form filed with the Commission as an exhibit to the Registration Statement prior to the issuance of any of the Shares.</w:t>
      </w:r>
    </w:p>
    <w:p>
      <w:pPr>
        <w:spacing w:after="0" w:line="183" w:lineRule="exact"/>
        <w:rPr>
          <w:sz w:val="20"/>
          <w:szCs w:val="20"/>
          <w:color w:val="auto"/>
        </w:rPr>
      </w:pPr>
    </w:p>
    <w:p>
      <w:pPr>
        <w:jc w:val="both"/>
        <w:ind w:left="4" w:firstLine="991"/>
        <w:spacing w:after="0" w:line="272" w:lineRule="auto"/>
        <w:rPr>
          <w:sz w:val="20"/>
          <w:szCs w:val="20"/>
          <w:color w:val="auto"/>
        </w:rPr>
      </w:pPr>
      <w:r>
        <w:rPr>
          <w:rFonts w:ascii="Times New Roman" w:cs="Times New Roman" w:eastAsia="Times New Roman" w:hAnsi="Times New Roman"/>
          <w:sz w:val="17"/>
          <w:szCs w:val="17"/>
          <w:color w:val="auto"/>
        </w:rPr>
        <w:t>Based upon the foregoing, and subject to the qualifications, assumptions and limitations stated herein, we are of the opinion that (1) when the Board of Directors of the Company (the “Board”), or a duly authorized committee of the Board, has taken all necessary corporate action to authorize and approve the issuance of the Shares, (2) when the Amended Charter has been duly filed with the Secretary of State for the State of Delaware and</w:t>
      </w:r>
    </w:p>
    <w:p>
      <w:pPr>
        <w:spacing w:after="0" w:line="2" w:lineRule="exact"/>
        <w:rPr>
          <w:sz w:val="20"/>
          <w:szCs w:val="20"/>
          <w:color w:val="auto"/>
        </w:rPr>
      </w:pPr>
    </w:p>
    <w:p>
      <w:pPr>
        <w:ind w:left="4" w:right="560" w:hanging="4"/>
        <w:spacing w:after="0" w:line="260" w:lineRule="auto"/>
        <w:tabs>
          <w:tab w:leader="none" w:pos="259"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and delivery in accordance with the applicable definitive underwriting agreement approved by the Board, or a duly authorized committee of the Board, the Shares will be validly issued, fully paid and nonassessable.</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We do not express any opinion herein concerning any law other than the Delaware General Corporation Law.</w:t>
      </w:r>
    </w:p>
    <w:p>
      <w:pPr>
        <w:sectPr>
          <w:pgSz w:w="11900" w:h="16838" w:orient="portrait"/>
          <w:cols w:equalWidth="0" w:num="1">
            <w:col w:w="10964"/>
          </w:cols>
          <w:pgMar w:left="436" w:top="270" w:right="499" w:bottom="1440" w:gutter="0" w:footer="0" w:header="0"/>
        </w:sectPr>
      </w:pPr>
    </w:p>
    <w:bookmarkStart w:id="373" w:name="page374"/>
    <w:bookmarkEnd w:id="373"/>
    <w:p>
      <w:pPr>
        <w:ind w:left="81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Simpson Thacher &amp; Bartlett </w:t>
      </w:r>
      <w:r>
        <w:rPr>
          <w:rFonts w:ascii="Times New Roman" w:cs="Times New Roman" w:eastAsia="Times New Roman" w:hAnsi="Times New Roman"/>
          <w:sz w:val="14"/>
          <w:szCs w:val="14"/>
          <w:color w:val="auto"/>
        </w:rPr>
        <w:t>LLP</w:t>
      </w:r>
    </w:p>
    <w:p>
      <w:pPr>
        <w:spacing w:after="0" w:line="117" w:lineRule="exact"/>
        <w:rPr>
          <w:sz w:val="20"/>
          <w:szCs w:val="20"/>
          <w:color w:val="auto"/>
        </w:rPr>
      </w:pPr>
    </w:p>
    <w:p>
      <w:pPr>
        <w:spacing w:after="0"/>
        <w:tabs>
          <w:tab w:leader="none" w:pos="5500" w:val="left"/>
          <w:tab w:leader="none" w:pos="8560" w:val="left"/>
        </w:tabs>
        <w:rPr>
          <w:sz w:val="20"/>
          <w:szCs w:val="20"/>
          <w:color w:val="auto"/>
        </w:rPr>
      </w:pPr>
      <w:r>
        <w:rPr>
          <w:rFonts w:ascii="Times New Roman" w:cs="Times New Roman" w:eastAsia="Times New Roman" w:hAnsi="Times New Roman"/>
          <w:sz w:val="18"/>
          <w:szCs w:val="18"/>
          <w:color w:val="auto"/>
        </w:rPr>
        <w:t>Academy Sports and Outdoors, Inc.</w:t>
      </w:r>
      <w:r>
        <w:rPr>
          <w:sz w:val="20"/>
          <w:szCs w:val="20"/>
          <w:color w:val="auto"/>
        </w:rPr>
        <w:tab/>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September 23, 2020</w:t>
      </w:r>
    </w:p>
    <w:p>
      <w:pPr>
        <w:spacing w:after="0" w:line="158"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Registration Statement and to the use of our name under the caption “Legal Matters” in the prospectus included in the Registration Statement.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Simpson Thacher &amp; Bartlett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SIMPSON THACHER &amp; BARTLETT LLP</w:t>
      </w:r>
    </w:p>
    <w:p>
      <w:pPr>
        <w:sectPr>
          <w:pgSz w:w="11900" w:h="16838" w:orient="portrait"/>
          <w:cols w:equalWidth="0" w:num="1">
            <w:col w:w="10600"/>
          </w:cols>
          <w:pgMar w:left="440" w:top="270" w:right="859" w:bottom="1440" w:gutter="0" w:footer="0" w:header="0"/>
        </w:sectPr>
      </w:pPr>
    </w:p>
    <w:bookmarkStart w:id="374" w:name="page375"/>
    <w:bookmarkEnd w:id="374"/>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OMNIBUS INCENTIVE PLAN</w:t>
      </w:r>
    </w:p>
    <w:p>
      <w:pPr>
        <w:spacing w:after="0" w:line="225" w:lineRule="exact"/>
        <w:rPr>
          <w:sz w:val="20"/>
          <w:szCs w:val="20"/>
          <w:color w:val="auto"/>
        </w:rPr>
      </w:pPr>
    </w:p>
    <w:p>
      <w:pPr>
        <w:ind w:right="220" w:firstLine="436"/>
        <w:spacing w:after="0" w:line="259" w:lineRule="auto"/>
        <w:tabs>
          <w:tab w:leader="none" w:pos="620" w:val="left"/>
        </w:tabs>
        <w:numPr>
          <w:ilvl w:val="0"/>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The purpose of the Academy Sports and Outdoors, Inc. 2020 Omnibus Incentive Plan is to provide a means through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the other members of the Company Group may attract and retain key personnel and to provide a means whereby directors, officers, employees, consultants and advisors of the Company and the other members of the Company Group can acquire and maintain an equity interest in the Company, or be paid incentive compensation, including incentive compensation measured by reference to the value of Common Stock, thereby strengthening their commitment to the welfare of the Company Group and aligning their interests with those of the Company’s stockholders.</w:t>
      </w:r>
    </w:p>
    <w:p>
      <w:pPr>
        <w:spacing w:after="0" w:line="179"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The following definitions shall be applicable throughout the Plan.</w:t>
      </w:r>
    </w:p>
    <w:p>
      <w:pPr>
        <w:spacing w:after="0" w:line="229" w:lineRule="exact"/>
        <w:rPr>
          <w:sz w:val="20"/>
          <w:szCs w:val="20"/>
          <w:color w:val="auto"/>
        </w:rPr>
      </w:pPr>
    </w:p>
    <w:p>
      <w:pPr>
        <w:ind w:left="680" w:hanging="244"/>
        <w:spacing w:after="0"/>
        <w:tabs>
          <w:tab w:leader="none" w:pos="6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Absolute Share Limit</w:t>
      </w:r>
      <w:r>
        <w:rPr>
          <w:rFonts w:ascii="Times New Roman" w:cs="Times New Roman" w:eastAsia="Times New Roman" w:hAnsi="Times New Roman"/>
          <w:sz w:val="18"/>
          <w:szCs w:val="18"/>
          <w:color w:val="auto"/>
        </w:rPr>
        <w:t>” has the meaning given to such term in Section 5(b) of the Plan.</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Event</w:t>
      </w:r>
      <w:r>
        <w:rPr>
          <w:rFonts w:ascii="Times New Roman" w:cs="Times New Roman" w:eastAsia="Times New Roman" w:hAnsi="Times New Roman"/>
          <w:sz w:val="18"/>
          <w:szCs w:val="18"/>
          <w:color w:val="auto"/>
        </w:rPr>
        <w:t>” has the meaning given to such term in Section 12(a) of the Plan.</w:t>
      </w:r>
    </w:p>
    <w:p>
      <w:pPr>
        <w:spacing w:after="0" w:line="225" w:lineRule="exact"/>
        <w:rPr>
          <w:rFonts w:ascii="Times New Roman" w:cs="Times New Roman" w:eastAsia="Times New Roman" w:hAnsi="Times New Roman"/>
          <w:sz w:val="18"/>
          <w:szCs w:val="18"/>
          <w:color w:val="auto"/>
        </w:rPr>
      </w:pPr>
    </w:p>
    <w:p>
      <w:pPr>
        <w:ind w:right="400" w:firstLine="436"/>
        <w:spacing w:after="0" w:line="261" w:lineRule="auto"/>
        <w:tabs>
          <w:tab w:leader="none" w:pos="68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controls, is controlled by or is under common control with the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spacing w:after="0" w:line="179" w:lineRule="exact"/>
        <w:rPr>
          <w:rFonts w:ascii="Times New Roman" w:cs="Times New Roman" w:eastAsia="Times New Roman" w:hAnsi="Times New Roman"/>
          <w:sz w:val="18"/>
          <w:szCs w:val="18"/>
          <w:color w:val="auto"/>
        </w:rPr>
      </w:pPr>
    </w:p>
    <w:p>
      <w:pPr>
        <w:ind w:right="320" w:firstLine="436"/>
        <w:spacing w:after="0" w:line="282" w:lineRule="auto"/>
        <w:tabs>
          <w:tab w:leader="none" w:pos="69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any Incentive Stock Option, Nonqualified Stock Option, Stock Appreciation Right, Restricted Stock, Restricted Stock Unit, Other Equity-Based Award and Cash-Based Incentive Award granted under the Plan.</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document or documents by which each Award (other than a Cash-Based Incentive Award) is evidenced.</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Cash-Based Incentive Award</w:t>
      </w:r>
      <w:r>
        <w:rPr>
          <w:rFonts w:ascii="Times New Roman" w:cs="Times New Roman" w:eastAsia="Times New Roman" w:hAnsi="Times New Roman"/>
          <w:sz w:val="18"/>
          <w:szCs w:val="18"/>
          <w:color w:val="auto"/>
        </w:rPr>
        <w:t>” means an Award denominated in cash that is granted under Section 11 of the Plan.</w:t>
      </w:r>
    </w:p>
    <w:p>
      <w:pPr>
        <w:spacing w:after="0" w:line="225"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as to any Participant, unless the applicable Award Agreement states otherwise, (i) “Cause,” as defined in any employment or consulting agreement between the Participant and the Service Recipient in effect at the time of the Participant’s Termination; or (ii) in the absence of any such employment or consulting agreement (or the absence of any definition of “Cause” contained therein), the Participant’s (A) willful neglect in the performance of the Participant’s duties for the Service Recipient or willful or repeated failure or refusal to</w:t>
      </w:r>
    </w:p>
    <w:p>
      <w:pPr>
        <w:sectPr>
          <w:pgSz w:w="11900" w:h="16838" w:orient="portrait"/>
          <w:cols w:equalWidth="0" w:num="1">
            <w:col w:w="11020"/>
          </w:cols>
          <w:pgMar w:left="440" w:top="117" w:right="439" w:bottom="1440" w:gutter="0" w:footer="0" w:header="0"/>
        </w:sectPr>
      </w:pPr>
    </w:p>
    <w:bookmarkStart w:id="375" w:name="page376"/>
    <w:bookmarkEnd w:id="375"/>
    <w:p>
      <w:pPr>
        <w:ind w:left="4"/>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perform such duties; (B) engagement in conduct in connection with the Participant’s employment or service with the Service Recipient, which results in, or could reasonably be expected to result in, material harm to the business or reputation of the Company or any other member of the Company Group;</w:t>
      </w:r>
    </w:p>
    <w:p>
      <w:pPr>
        <w:spacing w:after="0" w:line="1" w:lineRule="exact"/>
        <w:rPr>
          <w:sz w:val="20"/>
          <w:szCs w:val="20"/>
          <w:color w:val="auto"/>
        </w:rPr>
      </w:pPr>
    </w:p>
    <w:p>
      <w:pPr>
        <w:ind w:left="4" w:right="160" w:hanging="4"/>
        <w:spacing w:after="0" w:line="252" w:lineRule="auto"/>
        <w:tabs>
          <w:tab w:leader="none" w:pos="289"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of, or plea of guilty or no contest to, (I) any felony; or (II) any other crime that results in, or could reasonably be expected to result in, material harm to the business or reputation of the Company or any other member of the Company Group; (D) material violation of the written policies of the Service Recipient, including, but not limited to, those relating to sexual harassment or the disclosure or misuse of confidential information, or those set forth in the manuals or statements of policy of the Service Recipient; (E) fraud or misappropriation, embezzlement or misuse of funds or property belonging to the Company or any other member of the Company Group; or (F) act of personal dishonesty that involves personal profit in connection with the Participant’s employment or service to the Service Recipient.</w:t>
      </w:r>
    </w:p>
    <w:p>
      <w:pPr>
        <w:spacing w:after="0" w:line="189"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w:t>
      </w:r>
    </w:p>
    <w:p>
      <w:pPr>
        <w:spacing w:after="0" w:line="117" w:lineRule="exact"/>
        <w:rPr>
          <w:rFonts w:ascii="Times New Roman" w:cs="Times New Roman" w:eastAsia="Times New Roman" w:hAnsi="Times New Roman"/>
          <w:sz w:val="18"/>
          <w:szCs w:val="18"/>
          <w:color w:val="auto"/>
        </w:rPr>
      </w:pPr>
    </w:p>
    <w:p>
      <w:pPr>
        <w:ind w:left="444" w:right="20" w:firstLine="419"/>
        <w:spacing w:after="0" w:line="254" w:lineRule="auto"/>
        <w:tabs>
          <w:tab w:leader="none" w:pos="1082" w:val="left"/>
        </w:tabs>
        <w:numPr>
          <w:ilvl w:val="2"/>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acquisition (whether by purchase, merger, consolidation, combination or other similar transaction) by any Person of beneficial ownership (within the meaning of Rule 13d-3 promulgated under the Exchange Act) of more than fifty percent (50%) of either (A) the then outstanding shares of common stock, taking into account as outstanding for this purpose such common stock issuable upon the exercise of options or warrants, the conversion of convertible stock or debt, and the exercise of any similar right to acquire such common stock; or (B) the combined voting power of the then outstanding voting securities of the Company entitled to vote generally in the election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the Plan, the following acquisitions shall not constitute a Change in Control: (I) any acquisition by the Company or any Affiliate; (II) any acquisition by any employee benefit plan sponsored or maintained by the Company or any Affiliate; or (III) in respect of an Award held by a particular Participant, any acquisition by the Participant or any group of Persons including the Participant (or any entity controlled by the Participant or any group of Persons including the Participant);</w:t>
      </w:r>
    </w:p>
    <w:p>
      <w:pPr>
        <w:spacing w:after="0" w:line="80" w:lineRule="exact"/>
        <w:rPr>
          <w:rFonts w:ascii="Times New Roman" w:cs="Times New Roman" w:eastAsia="Times New Roman" w:hAnsi="Times New Roman"/>
          <w:sz w:val="18"/>
          <w:szCs w:val="18"/>
          <w:color w:val="auto"/>
        </w:rPr>
      </w:pPr>
    </w:p>
    <w:p>
      <w:pPr>
        <w:ind w:left="444" w:firstLine="419"/>
        <w:spacing w:after="0" w:line="254" w:lineRule="auto"/>
        <w:tabs>
          <w:tab w:leader="none" w:pos="1132" w:val="left"/>
        </w:tabs>
        <w:numPr>
          <w:ilvl w:val="2"/>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twelve (12) months, individuals who, at the beginning of such period, constitute the Board (the “</w:t>
      </w:r>
      <w:r>
        <w:rPr>
          <w:rFonts w:ascii="Times New Roman" w:cs="Times New Roman" w:eastAsia="Times New Roman" w:hAnsi="Times New Roman"/>
          <w:sz w:val="18"/>
          <w:szCs w:val="18"/>
          <w:u w:val="single" w:color="auto"/>
          <w:color w:val="auto"/>
        </w:rPr>
        <w:t>Incumbent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xml:space="preserve">”) cease for any reason to constitute at least a majority of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person becoming a director subsequent to the Effective Date, whose election or nomination for election was approved by a vote of at least two-thirds (2/3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of the Incumbent Directors then on the Board (either by a specific vote or by approval of the proxy statement of the Company in which such person is named as a nominee for director, without written objection to such nomination) shall be an Incumbent Director;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individual initially elected or nominated as a director of the Company as a result of an actual or threatened election contest, as such terms are used in Rule 14a-12 of Regulation 14A promulgated under the Exchange Act, with respect to directors or as a result of any other actual or threatened solicitation of proxies or consents by or on behalf of any person other than the Board shall be deemed to be an Incumbent Director; or</w:t>
      </w:r>
    </w:p>
    <w:p>
      <w:pPr>
        <w:sectPr>
          <w:pgSz w:w="11900" w:h="16838" w:orient="portrait"/>
          <w:cols w:equalWidth="0" w:num="1">
            <w:col w:w="10984"/>
          </w:cols>
          <w:pgMar w:left="436" w:top="270" w:right="479" w:bottom="1440" w:gutter="0" w:footer="0" w:header="0"/>
        </w:sectPr>
      </w:pPr>
    </w:p>
    <w:bookmarkStart w:id="376" w:name="page377"/>
    <w:bookmarkEnd w:id="376"/>
    <w:p>
      <w:pPr>
        <w:ind w:left="4" w:right="20" w:firstLine="419"/>
        <w:spacing w:after="0" w:line="282" w:lineRule="auto"/>
        <w:tabs>
          <w:tab w:leader="none" w:pos="741"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sale, transfer or other disposition of all or substantially all of the assets of the Company Group (taken as a whole) to any Person that is not an Affiliate of the Company.</w:t>
      </w:r>
    </w:p>
    <w:p>
      <w:pPr>
        <w:spacing w:after="0" w:line="161" w:lineRule="exact"/>
        <w:rPr>
          <w:rFonts w:ascii="Times New Roman" w:cs="Times New Roman" w:eastAsia="Times New Roman" w:hAnsi="Times New Roman"/>
          <w:sz w:val="18"/>
          <w:szCs w:val="18"/>
          <w:color w:val="auto"/>
        </w:rPr>
      </w:pPr>
    </w:p>
    <w:p>
      <w:pPr>
        <w:jc w:val="both"/>
        <w:ind w:left="-436" w:right="240" w:firstLine="436"/>
        <w:spacing w:after="0" w:line="266" w:lineRule="auto"/>
        <w:tabs>
          <w:tab w:leader="none" w:pos="219"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spacing w:after="0" w:line="175" w:lineRule="exact"/>
        <w:rPr>
          <w:rFonts w:ascii="Times New Roman" w:cs="Times New Roman" w:eastAsia="Times New Roman" w:hAnsi="Times New Roman"/>
          <w:sz w:val="18"/>
          <w:szCs w:val="18"/>
          <w:color w:val="auto"/>
        </w:rPr>
      </w:pPr>
    </w:p>
    <w:p>
      <w:pPr>
        <w:ind w:left="-436" w:right="80" w:firstLine="436"/>
        <w:spacing w:after="0" w:line="282" w:lineRule="auto"/>
        <w:tabs>
          <w:tab w:leader="none" w:pos="259"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 or any properly delegated subcommittee thereof or, if no such Compensation Committee or subcommittee thereof exists, the Board.</w:t>
      </w:r>
    </w:p>
    <w:p>
      <w:pPr>
        <w:spacing w:after="0" w:line="161" w:lineRule="exact"/>
        <w:rPr>
          <w:rFonts w:ascii="Times New Roman" w:cs="Times New Roman" w:eastAsia="Times New Roman" w:hAnsi="Times New Roman"/>
          <w:sz w:val="18"/>
          <w:szCs w:val="18"/>
          <w:color w:val="auto"/>
        </w:rPr>
      </w:pPr>
    </w:p>
    <w:p>
      <w:pPr>
        <w:ind w:left="-436" w:right="420" w:firstLine="436"/>
        <w:spacing w:after="0" w:line="282" w:lineRule="auto"/>
        <w:tabs>
          <w:tab w:leader="none" w:pos="219"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stock or other securities into which such Common Stock may be converted or into which it may be exchanged).</w:t>
      </w:r>
    </w:p>
    <w:p>
      <w:pPr>
        <w:spacing w:after="0" w:line="161"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Academy Sports and Outdoors, Inc., a Delaware corporation, and any successor thereto.</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means, collectively, the Company and its Subsidiaries.</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means the date on which the granting of an Award is authorized, or such other date as may be specified in such authorization.</w:t>
      </w:r>
    </w:p>
    <w:p>
      <w:pPr>
        <w:spacing w:after="0" w:line="225" w:lineRule="exact"/>
        <w:rPr>
          <w:rFonts w:ascii="Times New Roman" w:cs="Times New Roman" w:eastAsia="Times New Roman" w:hAnsi="Times New Roman"/>
          <w:sz w:val="18"/>
          <w:szCs w:val="18"/>
          <w:color w:val="auto"/>
        </w:rPr>
      </w:pPr>
    </w:p>
    <w:p>
      <w:pPr>
        <w:ind w:left="-436" w:right="20" w:firstLine="436"/>
        <w:spacing w:after="0" w:line="282" w:lineRule="auto"/>
        <w:tabs>
          <w:tab w:leader="none" w:pos="259"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Foreign Subsidiaries</w:t>
      </w:r>
      <w:r>
        <w:rPr>
          <w:rFonts w:ascii="Times New Roman" w:cs="Times New Roman" w:eastAsia="Times New Roman" w:hAnsi="Times New Roman"/>
          <w:sz w:val="18"/>
          <w:szCs w:val="18"/>
          <w:color w:val="auto"/>
        </w:rPr>
        <w:t>” means all members of the Company Group that are organized under the laws of any jurisdiction or country other than the United States of America that may be designated by the Board or the Committee from time to time.</w:t>
      </w:r>
    </w:p>
    <w:p>
      <w:pPr>
        <w:spacing w:after="0" w:line="161" w:lineRule="exact"/>
        <w:rPr>
          <w:rFonts w:ascii="Times New Roman" w:cs="Times New Roman" w:eastAsia="Times New Roman" w:hAnsi="Times New Roman"/>
          <w:sz w:val="18"/>
          <w:szCs w:val="18"/>
          <w:color w:val="auto"/>
        </w:rPr>
      </w:pPr>
    </w:p>
    <w:p>
      <w:pPr>
        <w:ind w:left="-436" w:firstLine="436"/>
        <w:spacing w:after="0" w:line="273" w:lineRule="auto"/>
        <w:tabs>
          <w:tab w:leader="none" w:pos="259"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means, as to any Participant, unless the applicable Award Agreement states otherwise, (i) “Disability,” as defined in any employment or consulting agreement between the Participant and the Service Recipient in effect at the time of the Participant’s Termination; or (ii) in the absence of any such employment or consulting agreement (or the absence of any definition of “Disability” contained therein), a condition entitling the Participant to receive benefits under a long-term disability plan of the Service Recipient or other member of the Company Group in which such Participant is eligible to participate, or, in the absence of such a plan, the complete and permanent inability of the Participant by reason of illness or accident to perform the duties of the position at which the Participant was employed or served when such disability commenced. Any determination of whether Disability exists in the absence of a long-term disability plan shall be made by the Company (or its designee) in its sole and absolute discretion.</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 “Effective Date” means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2020.</w:t>
            </w:r>
          </w:p>
        </w:tc>
      </w:tr>
      <w:tr>
        <w:trPr>
          <w:trHeight w:val="20"/>
        </w:trPr>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23" w:lineRule="exact"/>
        <w:rPr>
          <w:sz w:val="20"/>
          <w:szCs w:val="20"/>
          <w:color w:val="auto"/>
        </w:rPr>
      </w:pPr>
    </w:p>
    <w:p>
      <w:pPr>
        <w:ind w:left="-436" w:right="180" w:firstLine="436"/>
        <w:spacing w:after="0" w:line="284" w:lineRule="auto"/>
        <w:tabs>
          <w:tab w:leader="none" w:pos="23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Person</w:t>
      </w:r>
      <w:r>
        <w:rPr>
          <w:rFonts w:ascii="Times New Roman" w:cs="Times New Roman" w:eastAsia="Times New Roman" w:hAnsi="Times New Roman"/>
          <w:sz w:val="18"/>
          <w:szCs w:val="18"/>
          <w:color w:val="auto"/>
        </w:rPr>
        <w:t xml:space="preserve">” means any (i) individual employed by any member of the Company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employee covered by a collective bargaining</w:t>
      </w:r>
    </w:p>
    <w:p>
      <w:pPr>
        <w:sectPr>
          <w:pgSz w:w="11900" w:h="16838" w:orient="portrait"/>
          <w:cols w:equalWidth="0" w:num="1">
            <w:col w:w="10504"/>
          </w:cols>
          <w:pgMar w:left="876" w:top="270" w:right="519" w:bottom="1440" w:gutter="0" w:footer="0" w:header="0"/>
        </w:sectPr>
      </w:pPr>
    </w:p>
    <w:bookmarkStart w:id="377" w:name="page378"/>
    <w:bookmarkEnd w:id="377"/>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shall be an Eligible Person unless and to the extent that such eligibility is set forth in such collective bargaining agreement or in an agreement or instrument relating thereto; (ii) director or officer of any member of the Company Group; or (iii) consultant or advisor to any member of the Company Group who may be offered securities registrable pursuant to a registration statement on Form S-8 under the Securities Act.</w:t>
      </w:r>
    </w:p>
    <w:p>
      <w:pPr>
        <w:spacing w:after="0" w:line="176" w:lineRule="exact"/>
        <w:rPr>
          <w:sz w:val="20"/>
          <w:szCs w:val="20"/>
          <w:color w:val="auto"/>
        </w:rPr>
      </w:pPr>
    </w:p>
    <w:p>
      <w:pPr>
        <w:ind w:firstLine="436"/>
        <w:spacing w:after="0" w:line="266" w:lineRule="auto"/>
        <w:tabs>
          <w:tab w:leader="none" w:pos="65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any successor thereto. Reference in the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has the meaning given to such term in Section 7(b) of the Plan.</w:t>
      </w:r>
    </w:p>
    <w:p>
      <w:pPr>
        <w:spacing w:after="0" w:line="225" w:lineRule="exact"/>
        <w:rPr>
          <w:rFonts w:ascii="Times New Roman" w:cs="Times New Roman" w:eastAsia="Times New Roman" w:hAnsi="Times New Roman"/>
          <w:sz w:val="18"/>
          <w:szCs w:val="18"/>
          <w:color w:val="auto"/>
        </w:rPr>
      </w:pPr>
    </w:p>
    <w:p>
      <w:pPr>
        <w:ind w:right="60" w:firstLine="436"/>
        <w:spacing w:after="0" w:line="254" w:lineRule="auto"/>
        <w:tabs>
          <w:tab w:leader="none" w:pos="69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xml:space="preserve">” means, on a given date, (i) if the Common Stock is listed on a national securities exchange, the closing sales price of the Common Stock reported on the primary exchange on which the Common Stock is listed and traded on such date, or, if there are no such sales on that date, then on the last preceding date on which such sales were reported; (ii) if the Common Stock is not listed on any national securities exchange but is quoted in an inter-dealer quotation system on a last sale basis, the average between the closing bid price and ask price reported on such date, or, if there is no such sale on that date, then on the last preceding date on which a sale was reported; or (iii) if the Common Stock is not listed on a national securities exchange or quoted in an inter-dealer quotation system on a last sale basis, the amount determined by the Committee in good faith to be the fair market value of the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as to any Awards granted on or with a Date of Grant of the date of the pricing of the Company’s initial public offering, “Fair Market Value” shall be equal to the per share price at which the Common Stock is offered to the public in connection with such initial public offering.</w:t>
      </w:r>
    </w:p>
    <w:p>
      <w:pPr>
        <w:spacing w:after="0" w:line="188"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has the meaning given to such term in Section 7(d) of the Plan.</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Immediate Family Members</w:t>
      </w:r>
      <w:r>
        <w:rPr>
          <w:rFonts w:ascii="Times New Roman" w:cs="Times New Roman" w:eastAsia="Times New Roman" w:hAnsi="Times New Roman"/>
          <w:sz w:val="18"/>
          <w:szCs w:val="18"/>
          <w:color w:val="auto"/>
        </w:rPr>
        <w:t>” has the meaning given to such term in Section 14(b) of the Plan.</w:t>
      </w:r>
    </w:p>
    <w:p>
      <w:pPr>
        <w:spacing w:after="0" w:line="225" w:lineRule="exact"/>
        <w:rPr>
          <w:rFonts w:ascii="Times New Roman" w:cs="Times New Roman" w:eastAsia="Times New Roman" w:hAnsi="Times New Roman"/>
          <w:sz w:val="18"/>
          <w:szCs w:val="18"/>
          <w:color w:val="auto"/>
        </w:rPr>
      </w:pPr>
    </w:p>
    <w:p>
      <w:pPr>
        <w:ind w:right="160" w:firstLine="436"/>
        <w:spacing w:after="0" w:line="282" w:lineRule="auto"/>
        <w:tabs>
          <w:tab w:leader="none" w:pos="69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which is designated by the Committee as an incentive stock option as described in Section 422 of the Code and otherwise meets the requirements set forth in the Plan.</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Indemnifiable Person</w:t>
      </w:r>
      <w:r>
        <w:rPr>
          <w:rFonts w:ascii="Times New Roman" w:cs="Times New Roman" w:eastAsia="Times New Roman" w:hAnsi="Times New Roman"/>
          <w:sz w:val="18"/>
          <w:szCs w:val="18"/>
          <w:color w:val="auto"/>
        </w:rPr>
        <w:t>” has the meaning given to such term in Section 4(e) of the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means an Option which is not designated by the Committee as an Incentive Stock Option.</w:t>
      </w:r>
    </w:p>
    <w:p>
      <w:pPr>
        <w:sectPr>
          <w:pgSz w:w="11900" w:h="16838" w:orient="portrait"/>
          <w:cols w:equalWidth="0" w:num="1">
            <w:col w:w="11000"/>
          </w:cols>
          <w:pgMar w:left="440" w:top="270" w:right="459" w:bottom="1440" w:gutter="0" w:footer="0" w:header="0"/>
        </w:sectPr>
      </w:pPr>
    </w:p>
    <w:bookmarkStart w:id="378" w:name="page379"/>
    <w:bookmarkEnd w:id="378"/>
    <w:p>
      <w:pPr>
        <w:ind w:left="784" w:hanging="344"/>
        <w:spacing w:after="0"/>
        <w:tabs>
          <w:tab w:leader="none" w:pos="784"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member of the Board who is not an employee of any member of the Company Group.</w:t>
      </w:r>
    </w:p>
    <w:p>
      <w:pPr>
        <w:spacing w:after="0" w:line="225"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Award granted under Section 7 of the Plan.</w:t>
      </w:r>
    </w:p>
    <w:p>
      <w:pPr>
        <w:spacing w:after="0" w:line="225" w:lineRule="exact"/>
        <w:rPr>
          <w:rFonts w:ascii="Times New Roman" w:cs="Times New Roman" w:eastAsia="Times New Roman" w:hAnsi="Times New Roman"/>
          <w:sz w:val="18"/>
          <w:szCs w:val="18"/>
          <w:color w:val="auto"/>
        </w:rPr>
      </w:pPr>
    </w:p>
    <w:p>
      <w:pPr>
        <w:ind w:left="784" w:hanging="344"/>
        <w:spacing w:after="0"/>
        <w:tabs>
          <w:tab w:leader="none" w:pos="784"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Period</w:t>
      </w:r>
      <w:r>
        <w:rPr>
          <w:rFonts w:ascii="Times New Roman" w:cs="Times New Roman" w:eastAsia="Times New Roman" w:hAnsi="Times New Roman"/>
          <w:sz w:val="18"/>
          <w:szCs w:val="18"/>
          <w:color w:val="auto"/>
        </w:rPr>
        <w:t>” has the meaning given to such term in Section 7(c) of the Plan.</w:t>
      </w:r>
    </w:p>
    <w:p>
      <w:pPr>
        <w:spacing w:after="0" w:line="225"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769"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Equity-Based Award</w:t>
      </w:r>
      <w:r>
        <w:rPr>
          <w:rFonts w:ascii="Times New Roman" w:cs="Times New Roman" w:eastAsia="Times New Roman" w:hAnsi="Times New Roman"/>
          <w:sz w:val="18"/>
          <w:szCs w:val="18"/>
          <w:color w:val="auto"/>
        </w:rPr>
        <w:t>” means an Award that is not an Option, Stock Appreciation Right, Restricted Stock or Restricted Stock Unit, that is granted under Section 10 of the Plan and is (i) payable by delivery of Common Stock, and/or (ii) measured by reference to the value of Common Stock.</w:t>
      </w:r>
    </w:p>
    <w:p>
      <w:pPr>
        <w:spacing w:after="0" w:line="175" w:lineRule="exact"/>
        <w:rPr>
          <w:rFonts w:ascii="Times New Roman" w:cs="Times New Roman" w:eastAsia="Times New Roman" w:hAnsi="Times New Roman"/>
          <w:sz w:val="18"/>
          <w:szCs w:val="18"/>
          <w:color w:val="auto"/>
        </w:rPr>
      </w:pPr>
    </w:p>
    <w:p>
      <w:pPr>
        <w:ind w:left="724" w:hanging="284"/>
        <w:spacing w:after="0"/>
        <w:tabs>
          <w:tab w:leader="none" w:pos="724"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Eligible Person who has been selected by the Committee to participate in the Plan and to receive an Award pursuant to</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206" w:lineRule="exact"/>
        <w:rPr>
          <w:rFonts w:ascii="Times New Roman" w:cs="Times New Roman" w:eastAsia="Times New Roman" w:hAnsi="Times New Roman"/>
          <w:sz w:val="18"/>
          <w:szCs w:val="18"/>
          <w:color w:val="auto"/>
        </w:rPr>
      </w:pPr>
    </w:p>
    <w:p>
      <w:pPr>
        <w:ind w:left="4" w:firstLine="436"/>
        <w:spacing w:after="0" w:line="268" w:lineRule="auto"/>
        <w:tabs>
          <w:tab w:leader="none" w:pos="789" w:val="left"/>
        </w:tabs>
        <w:numPr>
          <w:ilvl w:val="1"/>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Criteria</w:t>
      </w:r>
      <w:r>
        <w:rPr>
          <w:rFonts w:ascii="Times New Roman" w:cs="Times New Roman" w:eastAsia="Times New Roman" w:hAnsi="Times New Roman"/>
          <w:sz w:val="17"/>
          <w:szCs w:val="17"/>
          <w:color w:val="auto"/>
        </w:rPr>
        <w:t>” means specific levels of performance of the Company (and/or one or more of the Company’s Affiliates, divisions or operational and/or business units, business segments, administrative departments, or any combination of the foregoing) or any Participant, which may be determined in accordance with GAAP or on a non-GAAP basis including, but not limited to, one or more of the following measures: (i) terms relative to a peer group or index; (ii) basic, diluted, or adjusted earnings per share; (iii) sales or revenue; (iv) earnings before interest, taxes, and other adjustments (in total or on a per share basis); (v) cash available for distribution; (vi) basic or adjusted net income; (vii) returns on equity, assets, capital, revenue or similar measure; (viii) level and growth of dividends; (ix) the price or increase in price of Common Stock; (x) total shareholder return; (xi) total assets;</w:t>
      </w:r>
    </w:p>
    <w:p>
      <w:pPr>
        <w:spacing w:after="0" w:line="4" w:lineRule="exact"/>
        <w:rPr>
          <w:rFonts w:ascii="Times New Roman" w:cs="Times New Roman" w:eastAsia="Times New Roman" w:hAnsi="Times New Roman"/>
          <w:sz w:val="17"/>
          <w:szCs w:val="17"/>
          <w:color w:val="auto"/>
        </w:rPr>
      </w:pPr>
    </w:p>
    <w:p>
      <w:pPr>
        <w:ind w:left="4" w:hanging="4"/>
        <w:spacing w:after="0" w:line="251" w:lineRule="auto"/>
        <w:tabs>
          <w:tab w:leader="none" w:pos="35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assets, new originations of assets, or financing of assets; (xiii) equity market capitalization; (xiv) reduction or other quantifiable goal with respect to general and/or specific expenses; (xv) equity capital raised; (xvi) mergers, acquisitions, increase in enterprise value of Affiliates, Subsidiaries, divisions or business units or sales of assets of Affiliates, Subsidiaries, divisions or business units or sales of assets; and (xvii) any combination of the foregoing. Any one or more of the Performance Criteria may be stated as a percentage of another Performance Criteria, or used on an absolute or relative basis to measure the performance of the Company and/or one or more Affiliates as a whole or any divisions or operational and/or business units, business segments, administrative departments of the Company and/or one or more Affiliates or any combination thereof, as the Committee may deem appropriate, or any of the above Performance Criteria may be compared to the performance of a selected group of comparison companies, or a published or special index that the Committee, in its sole discretion, deems appropriate, or as compared to various stock market indices.</w:t>
      </w:r>
    </w:p>
    <w:p>
      <w:pPr>
        <w:spacing w:after="0" w:line="193" w:lineRule="exact"/>
        <w:rPr>
          <w:rFonts w:ascii="Times New Roman" w:cs="Times New Roman" w:eastAsia="Times New Roman" w:hAnsi="Times New Roman"/>
          <w:sz w:val="18"/>
          <w:szCs w:val="18"/>
          <w:color w:val="auto"/>
        </w:rPr>
      </w:pPr>
    </w:p>
    <w:p>
      <w:pPr>
        <w:ind w:left="784" w:hanging="344"/>
        <w:spacing w:after="0"/>
        <w:tabs>
          <w:tab w:leader="none" w:pos="784"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has the meaning given to such term in Section 14(b) of the Plan.</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entity or group (within the meaning of Section 13(d)(3) or 14(d)(2) of the Exchange Act).</w:t>
      </w:r>
    </w:p>
    <w:p>
      <w:pPr>
        <w:sectPr>
          <w:pgSz w:w="11900" w:h="16838" w:orient="portrait"/>
          <w:cols w:equalWidth="0" w:num="1">
            <w:col w:w="11004"/>
          </w:cols>
          <w:pgMar w:left="436" w:top="270" w:right="459" w:bottom="1440" w:gutter="0" w:footer="0" w:header="0"/>
        </w:sectPr>
      </w:pPr>
    </w:p>
    <w:bookmarkStart w:id="379" w:name="page380"/>
    <w:bookmarkEnd w:id="379"/>
    <w:p>
      <w:pPr>
        <w:ind w:left="264" w:hanging="264"/>
        <w:spacing w:after="0"/>
        <w:tabs>
          <w:tab w:leader="none" w:pos="26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Academy Sports and Outdoors, Inc. 2020 Omnibus Incentive Plan, as it may be amended and/or restated from time to time.</w:t>
      </w:r>
    </w:p>
    <w:p>
      <w:pPr>
        <w:spacing w:after="0" w:line="225" w:lineRule="exact"/>
        <w:rPr>
          <w:rFonts w:ascii="Times New Roman" w:cs="Times New Roman" w:eastAsia="Times New Roman" w:hAnsi="Times New Roman"/>
          <w:sz w:val="18"/>
          <w:szCs w:val="18"/>
          <w:color w:val="auto"/>
        </w:rPr>
      </w:pPr>
    </w:p>
    <w:p>
      <w:pPr>
        <w:ind w:left="-436" w:right="200" w:firstLine="436"/>
        <w:spacing w:after="0" w:line="312" w:lineRule="auto"/>
        <w:tabs>
          <w:tab w:leader="none" w:pos="349" w:val="left"/>
        </w:tabs>
        <w:numPr>
          <w:ilvl w:val="0"/>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Qualifying Director</w:t>
      </w:r>
      <w:r>
        <w:rPr>
          <w:rFonts w:ascii="Times New Roman" w:cs="Times New Roman" w:eastAsia="Times New Roman" w:hAnsi="Times New Roman"/>
          <w:sz w:val="17"/>
          <w:szCs w:val="17"/>
          <w:color w:val="auto"/>
        </w:rPr>
        <w:t>” means a person who is, with respect to actions intended to obtain an exemption from Section 16(b) of the Exchange Act pursuant to Rule 16b-3 under the Exchange Act, a “non-employee director” within the meaning of Rule 16b-3 under the Exchange Act.</w:t>
      </w:r>
    </w:p>
    <w:p>
      <w:pPr>
        <w:spacing w:after="0" w:line="139" w:lineRule="exact"/>
        <w:rPr>
          <w:rFonts w:ascii="Times New Roman" w:cs="Times New Roman" w:eastAsia="Times New Roman" w:hAnsi="Times New Roman"/>
          <w:sz w:val="17"/>
          <w:szCs w:val="17"/>
          <w:color w:val="auto"/>
        </w:rPr>
      </w:pPr>
    </w:p>
    <w:p>
      <w:pPr>
        <w:ind w:left="-436" w:firstLine="436"/>
        <w:spacing w:after="0" w:line="282" w:lineRule="auto"/>
        <w:tabs>
          <w:tab w:leader="none" w:pos="26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means the period of time determined by the Committee during which an Award is subject to restrictions, including vesting conditions.</w:t>
      </w:r>
    </w:p>
    <w:p>
      <w:pPr>
        <w:spacing w:after="0" w:line="161" w:lineRule="exact"/>
        <w:rPr>
          <w:rFonts w:ascii="Times New Roman" w:cs="Times New Roman" w:eastAsia="Times New Roman" w:hAnsi="Times New Roman"/>
          <w:sz w:val="18"/>
          <w:szCs w:val="18"/>
          <w:color w:val="auto"/>
        </w:rPr>
      </w:pPr>
    </w:p>
    <w:p>
      <w:pPr>
        <w:jc w:val="both"/>
        <w:ind w:left="-436" w:right="200" w:firstLine="436"/>
        <w:spacing w:after="0" w:line="312" w:lineRule="auto"/>
        <w:tabs>
          <w:tab w:leader="none" w:pos="449" w:val="left"/>
        </w:tabs>
        <w:numPr>
          <w:ilvl w:val="0"/>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Stock</w:t>
      </w:r>
      <w:r>
        <w:rPr>
          <w:rFonts w:ascii="Times New Roman" w:cs="Times New Roman" w:eastAsia="Times New Roman" w:hAnsi="Times New Roman"/>
          <w:sz w:val="17"/>
          <w:szCs w:val="17"/>
          <w:color w:val="auto"/>
        </w:rPr>
        <w:t>” means Common Stock, subject to certain specified restrictions (which may include, without limitation, a requirement that the Participant remain continuously employed or provide continuous services for a specified period of time), granted under Section 9 of the Plan.</w:t>
      </w:r>
    </w:p>
    <w:p>
      <w:pPr>
        <w:spacing w:after="0" w:line="139" w:lineRule="exact"/>
        <w:rPr>
          <w:rFonts w:ascii="Times New Roman" w:cs="Times New Roman" w:eastAsia="Times New Roman" w:hAnsi="Times New Roman"/>
          <w:sz w:val="17"/>
          <w:szCs w:val="17"/>
          <w:color w:val="auto"/>
        </w:rPr>
      </w:pPr>
    </w:p>
    <w:p>
      <w:pPr>
        <w:ind w:left="-436" w:right="360" w:firstLine="436"/>
        <w:spacing w:after="0" w:line="266" w:lineRule="auto"/>
        <w:tabs>
          <w:tab w:leader="none" w:pos="34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an unfunded and unsecured promise to deliver shares of Common Stock, cash, other securities or other property, subject to certain restrictions (which may include, without limitation, a requirement that the Participant remain continuously employed or provide continuous services for a specified period of time), granted under Section 9 of the Plan.</w:t>
      </w:r>
    </w:p>
    <w:p>
      <w:pPr>
        <w:spacing w:after="0" w:line="175"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 Period</w:t>
      </w:r>
      <w:r>
        <w:rPr>
          <w:rFonts w:ascii="Times New Roman" w:cs="Times New Roman" w:eastAsia="Times New Roman" w:hAnsi="Times New Roman"/>
          <w:sz w:val="18"/>
          <w:szCs w:val="18"/>
          <w:color w:val="auto"/>
        </w:rPr>
        <w:t>” has the meaning given to such term in Section 8(c) of the Plan.</w:t>
      </w:r>
    </w:p>
    <w:p>
      <w:pPr>
        <w:spacing w:after="0" w:line="225" w:lineRule="exact"/>
        <w:rPr>
          <w:rFonts w:ascii="Times New Roman" w:cs="Times New Roman" w:eastAsia="Times New Roman" w:hAnsi="Times New Roman"/>
          <w:sz w:val="18"/>
          <w:szCs w:val="18"/>
          <w:color w:val="auto"/>
        </w:rPr>
      </w:pPr>
    </w:p>
    <w:p>
      <w:pPr>
        <w:ind w:left="-436" w:right="80" w:firstLine="436"/>
        <w:spacing w:after="0" w:line="266" w:lineRule="auto"/>
        <w:tabs>
          <w:tab w:leader="none" w:pos="34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guidance.</w:t>
      </w:r>
    </w:p>
    <w:p>
      <w:pPr>
        <w:spacing w:after="0" w:line="175" w:lineRule="exact"/>
        <w:rPr>
          <w:rFonts w:ascii="Times New Roman" w:cs="Times New Roman" w:eastAsia="Times New Roman" w:hAnsi="Times New Roman"/>
          <w:sz w:val="18"/>
          <w:szCs w:val="18"/>
          <w:color w:val="auto"/>
        </w:rPr>
      </w:pPr>
    </w:p>
    <w:p>
      <w:pPr>
        <w:ind w:left="-436" w:right="200" w:firstLine="436"/>
        <w:spacing w:after="0" w:line="266" w:lineRule="auto"/>
        <w:tabs>
          <w:tab w:leader="none" w:pos="34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Recipient</w:t>
      </w:r>
      <w:r>
        <w:rPr>
          <w:rFonts w:ascii="Times New Roman" w:cs="Times New Roman" w:eastAsia="Times New Roman" w:hAnsi="Times New Roman"/>
          <w:sz w:val="18"/>
          <w:szCs w:val="18"/>
          <w:color w:val="auto"/>
        </w:rPr>
        <w:t>” means, with respect to a Participant holding a given Award, the member of the Company Group by which the original recipient of such Award is, or following a Termination was most recently, principally employed or to which such original recipient provides, or following a Termination was most recently providing, services, as applicable.</w:t>
      </w:r>
    </w:p>
    <w:p>
      <w:pPr>
        <w:spacing w:after="0" w:line="175"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an Award granted under Section 8 of the Plan.</w:t>
      </w:r>
    </w:p>
    <w:p>
      <w:pPr>
        <w:spacing w:after="0" w:line="22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Strike Price</w:t>
      </w:r>
      <w:r>
        <w:rPr>
          <w:rFonts w:ascii="Times New Roman" w:cs="Times New Roman" w:eastAsia="Times New Roman" w:hAnsi="Times New Roman"/>
          <w:sz w:val="18"/>
          <w:szCs w:val="18"/>
          <w:color w:val="auto"/>
        </w:rPr>
        <w:t>” has the meaning given to such term in Section 8(b) of the Plan.</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specified Person:</w:t>
      </w:r>
    </w:p>
    <w:p>
      <w:pPr>
        <w:spacing w:after="0" w:line="117" w:lineRule="exact"/>
        <w:rPr>
          <w:rFonts w:ascii="Times New Roman" w:cs="Times New Roman" w:eastAsia="Times New Roman" w:hAnsi="Times New Roman"/>
          <w:sz w:val="18"/>
          <w:szCs w:val="18"/>
          <w:color w:val="auto"/>
        </w:rPr>
      </w:pPr>
    </w:p>
    <w:p>
      <w:pPr>
        <w:ind w:left="4" w:right="160" w:firstLine="419"/>
        <w:spacing w:after="0" w:line="282" w:lineRule="auto"/>
        <w:tabs>
          <w:tab w:leader="none" w:pos="641"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of which more than fifty percent (50%) of the total voting power of shares of such entity’s voting securities (without regard to the occurrence of any contingency and after giving effect to any voting</w:t>
      </w:r>
    </w:p>
    <w:p>
      <w:pPr>
        <w:sectPr>
          <w:pgSz w:w="11900" w:h="16838" w:orient="portrait"/>
          <w:cols w:equalWidth="0" w:num="1">
            <w:col w:w="10504"/>
          </w:cols>
          <w:pgMar w:left="876" w:top="270" w:right="519" w:bottom="1440" w:gutter="0" w:footer="0" w:header="0"/>
        </w:sectPr>
      </w:pPr>
    </w:p>
    <w:bookmarkStart w:id="380" w:name="page381"/>
    <w:bookmarkEnd w:id="380"/>
    <w:p>
      <w:pPr>
        <w:ind w:left="4"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or stockholders’ agreement that effectively transfers voting power) is at the time owned or controlled, directly or indirectly, by that Person or one or more of the other Subsidiaries of that Person (or a combination thereof); and</w:t>
      </w:r>
    </w:p>
    <w:p>
      <w:pPr>
        <w:spacing w:after="0" w:line="54" w:lineRule="exact"/>
        <w:rPr>
          <w:sz w:val="20"/>
          <w:szCs w:val="20"/>
          <w:color w:val="auto"/>
        </w:rPr>
      </w:pPr>
    </w:p>
    <w:p>
      <w:pPr>
        <w:ind w:left="4" w:firstLine="419"/>
        <w:spacing w:after="0" w:line="266" w:lineRule="auto"/>
        <w:tabs>
          <w:tab w:leader="none" w:pos="691"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w:t>
      </w:r>
    </w:p>
    <w:p>
      <w:pPr>
        <w:spacing w:after="0" w:line="175"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Substitute Award</w:t>
      </w:r>
      <w:r>
        <w:rPr>
          <w:rFonts w:ascii="Times New Roman" w:cs="Times New Roman" w:eastAsia="Times New Roman" w:hAnsi="Times New Roman"/>
          <w:sz w:val="18"/>
          <w:szCs w:val="18"/>
          <w:color w:val="auto"/>
        </w:rPr>
        <w:t>” has the meaning given to such term in Section 5(e) of the Plan.</w:t>
      </w:r>
    </w:p>
    <w:p>
      <w:pPr>
        <w:spacing w:after="0" w:line="225" w:lineRule="exact"/>
        <w:rPr>
          <w:rFonts w:ascii="Times New Roman" w:cs="Times New Roman" w:eastAsia="Times New Roman" w:hAnsi="Times New Roman"/>
          <w:sz w:val="18"/>
          <w:szCs w:val="18"/>
          <w:color w:val="auto"/>
        </w:rPr>
      </w:pPr>
    </w:p>
    <w:p>
      <w:pPr>
        <w:ind w:left="-436" w:right="20" w:firstLine="436"/>
        <w:spacing w:after="0" w:line="258" w:lineRule="auto"/>
        <w:tabs>
          <w:tab w:leader="none" w:pos="349"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Sub-Plans</w:t>
      </w:r>
      <w:r>
        <w:rPr>
          <w:rFonts w:ascii="Times New Roman" w:cs="Times New Roman" w:eastAsia="Times New Roman" w:hAnsi="Times New Roman"/>
          <w:sz w:val="18"/>
          <w:szCs w:val="18"/>
          <w:color w:val="auto"/>
        </w:rPr>
        <w:t>” means any sub-plan to the Plan that has been adopted by the Board or the Committee for the purpose of permitting the offering of Awards to employees of certain Designated Foreign Subsidiaries or otherwise outside the United States of America, with each such sub-plan designed to comply with local laws applicable to offerings in such foreign jurisdictions. Although any Sub-Plan may be designated a separate and independent plan from the Plan in order to comply with applicable local laws, the Absolute Share Limit and the other limits specified in Section 5(b) shall apply in the aggregate to the Plan and any Sub-Plan adopted hereunder.</w:t>
      </w:r>
    </w:p>
    <w:p>
      <w:pPr>
        <w:spacing w:after="0" w:line="183" w:lineRule="exact"/>
        <w:rPr>
          <w:rFonts w:ascii="Times New Roman" w:cs="Times New Roman" w:eastAsia="Times New Roman" w:hAnsi="Times New Roman"/>
          <w:sz w:val="18"/>
          <w:szCs w:val="18"/>
          <w:color w:val="auto"/>
        </w:rPr>
      </w:pPr>
    </w:p>
    <w:p>
      <w:pPr>
        <w:ind w:left="-436" w:right="420" w:firstLine="436"/>
        <w:spacing w:after="0" w:line="282" w:lineRule="auto"/>
        <w:tabs>
          <w:tab w:leader="none" w:pos="429"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means the termination of a Participant’s employment or service, as applicable, with the Service Recipient for any reason (including death).</w:t>
      </w:r>
    </w:p>
    <w:p>
      <w:pPr>
        <w:spacing w:after="0" w:line="158" w:lineRule="exact"/>
        <w:rPr>
          <w:sz w:val="20"/>
          <w:szCs w:val="20"/>
          <w:color w:val="auto"/>
        </w:rPr>
      </w:pPr>
    </w:p>
    <w:p>
      <w:pPr>
        <w:ind w:left="-436" w:right="60" w:firstLine="436"/>
        <w:spacing w:after="0" w:line="268" w:lineRule="auto"/>
        <w:tabs>
          <w:tab w:leader="none" w:pos="184"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Duration</w:t>
      </w:r>
      <w:r>
        <w:rPr>
          <w:rFonts w:ascii="Times New Roman" w:cs="Times New Roman" w:eastAsia="Times New Roman" w:hAnsi="Times New Roman"/>
          <w:sz w:val="18"/>
          <w:szCs w:val="18"/>
          <w:color w:val="auto"/>
        </w:rPr>
        <w:t>. The Plan shall be effective as of the Effective Date. The expiration date of the Plan, on and after which date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Awards may be granted hereunder, shall be the tenth (10th) anniversary of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expiration shall not affect Awards then outstanding, and the terms and conditions of the Plan shall continue to apply to such Awards.</w:t>
      </w:r>
    </w:p>
    <w:p>
      <w:pPr>
        <w:spacing w:after="0" w:line="170"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160" w:firstLine="436"/>
        <w:spacing w:after="0" w:line="258" w:lineRule="auto"/>
        <w:tabs>
          <w:tab w:leader="none" w:pos="249"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Committee shall administer the Plan. To the extent required to comply with the provisions of Rule 16b-3 promulgated under the Exchange Act (if the Board is not acting as the Committee under the Plan), it is intended that each member of the Committee shall, at the time such member takes any action with respect to an Award under the Plan that is intended to qualify for the exemptions provided by Rule 16b-3 promulgated under the Exchange Act, be a Qualifying Director. However, the fact that a Committee member shall fail to qualify as a Qualifying Director shall not invalidate any Award granted by the Committee that is otherwise validly granted under the Plan.</w:t>
      </w:r>
    </w:p>
    <w:p>
      <w:pPr>
        <w:spacing w:after="0" w:line="183" w:lineRule="exact"/>
        <w:rPr>
          <w:rFonts w:ascii="Times New Roman" w:cs="Times New Roman" w:eastAsia="Times New Roman" w:hAnsi="Times New Roman"/>
          <w:sz w:val="18"/>
          <w:szCs w:val="18"/>
          <w:color w:val="auto"/>
        </w:rPr>
      </w:pPr>
    </w:p>
    <w:p>
      <w:pPr>
        <w:ind w:left="-436" w:right="20" w:firstLine="436"/>
        <w:spacing w:after="0" w:line="266" w:lineRule="auto"/>
        <w:tabs>
          <w:tab w:leader="none" w:pos="259"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Authority</w:t>
      </w:r>
      <w:r>
        <w:rPr>
          <w:rFonts w:ascii="Times New Roman" w:cs="Times New Roman" w:eastAsia="Times New Roman" w:hAnsi="Times New Roman"/>
          <w:sz w:val="18"/>
          <w:szCs w:val="18"/>
          <w:color w:val="auto"/>
        </w:rPr>
        <w:t>. Subject to the provisions of the Plan and applicable law, the Committee shall have the sole and plenary authority, in addition to other express powers and authorizations conferred on the Committee by the Plan, to (i) designate Participants; (ii) determine the type or types of Awards to be granted to a Participant; (iii) determine the number</w:t>
      </w:r>
    </w:p>
    <w:p>
      <w:pPr>
        <w:sectPr>
          <w:pgSz w:w="11900" w:h="16838" w:orient="portrait"/>
          <w:cols w:equalWidth="0" w:num="1">
            <w:col w:w="10584"/>
          </w:cols>
          <w:pgMar w:left="876" w:top="270" w:right="439" w:bottom="1440" w:gutter="0" w:footer="0" w:header="0"/>
        </w:sectPr>
      </w:pPr>
    </w:p>
    <w:bookmarkStart w:id="381" w:name="page382"/>
    <w:bookmarkEnd w:id="38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shares of Common Stock to be covered by, or with respect to which payments, rights, or other matters are to be calculated in connection with, Awards; (iv) determine the terms and conditions of any Award; (v) determine whether, to what extent, and under what circumstances Awards may be settled in, or exercised for, cash, shares of Common Stock, other securities, other Awards or other property, or canceled, forfeited, or suspended and the method or methods by which Awards may be settled, exercised, canceled, forfeited, or suspended; (vi) to accelerate the vesting of any Award at any time and for any reason; (vii) determine whether, to what extent, and under what circumstances the delivery of cash, shares of Common Stock, other securities, other Awards or other property and other amounts payable with respect to an Award shall be deferred either automatically or at the election of the Participant or of the Committee; (viii) interpret, administer, reconcile any inconsistency in, correct any defect in and/or supply any omission in the Plan and any instrument or agreement relating to, or Award granted under, the Plan; (ix) establish, amend, suspend, or waive any rules and regulations and appoint such agents as the Committee shall deem appropriate for the proper administration of the Plan; (x) adopt Sub-Plans; and (xi) make any other determination and take any other action that the Committee deems necessary or desirable for the administration of the Plan.</w:t>
      </w:r>
    </w:p>
    <w:p>
      <w:pPr>
        <w:spacing w:after="0" w:line="194" w:lineRule="exact"/>
        <w:rPr>
          <w:sz w:val="20"/>
          <w:szCs w:val="20"/>
          <w:color w:val="auto"/>
        </w:rPr>
      </w:pPr>
    </w:p>
    <w:p>
      <w:pPr>
        <w:ind w:right="20" w:firstLine="436"/>
        <w:spacing w:after="0" w:line="255" w:lineRule="auto"/>
        <w:tabs>
          <w:tab w:leader="none" w:pos="68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w:t>
      </w:r>
      <w:r>
        <w:rPr>
          <w:rFonts w:ascii="Times New Roman" w:cs="Times New Roman" w:eastAsia="Times New Roman" w:hAnsi="Times New Roman"/>
          <w:sz w:val="18"/>
          <w:szCs w:val="18"/>
          <w:color w:val="auto"/>
        </w:rPr>
        <w:t>. Except to the extent prohibited by applicable law or the applicable rules and regulations of any securities exchange or inter-dealer quotation system on which the securities of the Company are listed or traded,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or more officers of any member of the Company Group, the authority to act on behalf of the Committee with respect to any matter, right, obligation, or election which is the responsibility of, or which is allocated to, the Committee herein, and which may be so delegated as a matter of law, except with respect to grants of Awards to persons (i) who are Non-Employee Directors, or (ii) who are subject to Section 16 of the Exchange Act.</w:t>
      </w:r>
    </w:p>
    <w:p>
      <w:pPr>
        <w:spacing w:after="0" w:line="188" w:lineRule="exact"/>
        <w:rPr>
          <w:rFonts w:ascii="Times New Roman" w:cs="Times New Roman" w:eastAsia="Times New Roman" w:hAnsi="Times New Roman"/>
          <w:sz w:val="18"/>
          <w:szCs w:val="18"/>
          <w:color w:val="auto"/>
        </w:rPr>
      </w:pPr>
    </w:p>
    <w:p>
      <w:pPr>
        <w:jc w:val="both"/>
        <w:ind w:right="260" w:firstLine="436"/>
        <w:spacing w:after="0" w:line="261" w:lineRule="auto"/>
        <w:tabs>
          <w:tab w:leader="none" w:pos="69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Finality of Decisions</w:t>
      </w:r>
      <w:r>
        <w:rPr>
          <w:rFonts w:ascii="Times New Roman" w:cs="Times New Roman" w:eastAsia="Times New Roman" w:hAnsi="Times New Roman"/>
          <w:sz w:val="18"/>
          <w:szCs w:val="18"/>
          <w:color w:val="auto"/>
        </w:rPr>
        <w:t>. Unless otherwise expressly provided in the Plan, all designations, determinations, interpretations, and other decisions under or with respect to the Plan, any Award or any Award Agreement shall be within the sole discretion of the Committee, may be made at any time and shall be final, conclusive and binding upon all Persons, including, without limitation, any member of the Company Group, any Participant, any holder or beneficiary of any Award, and any stockholder of the Company.</w:t>
      </w:r>
    </w:p>
    <w:p>
      <w:pPr>
        <w:spacing w:after="0" w:line="179" w:lineRule="exact"/>
        <w:rPr>
          <w:rFonts w:ascii="Times New Roman" w:cs="Times New Roman" w:eastAsia="Times New Roman" w:hAnsi="Times New Roman"/>
          <w:sz w:val="18"/>
          <w:szCs w:val="18"/>
          <w:color w:val="auto"/>
        </w:rPr>
      </w:pPr>
    </w:p>
    <w:p>
      <w:pPr>
        <w:ind w:right="20" w:firstLine="436"/>
        <w:spacing w:after="0" w:line="256" w:lineRule="auto"/>
        <w:tabs>
          <w:tab w:leader="none" w:pos="68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No member of the Board, the Committee or any employee or agent of any member of the Company Group (each such Person, an “</w:t>
      </w:r>
      <w:r>
        <w:rPr>
          <w:rFonts w:ascii="Times New Roman" w:cs="Times New Roman" w:eastAsia="Times New Roman" w:hAnsi="Times New Roman"/>
          <w:sz w:val="18"/>
          <w:szCs w:val="18"/>
          <w:u w:val="single" w:color="auto"/>
          <w:color w:val="auto"/>
        </w:rPr>
        <w:t>Indemnifiable Person</w:t>
      </w:r>
      <w:r>
        <w:rPr>
          <w:rFonts w:ascii="Times New Roman" w:cs="Times New Roman" w:eastAsia="Times New Roman" w:hAnsi="Times New Roman"/>
          <w:sz w:val="18"/>
          <w:szCs w:val="18"/>
          <w:color w:val="auto"/>
        </w:rPr>
        <w:t>”) shall be liable for any action taken or omitted to be taken or any determination made with respect to the Plan or any Award hereunder (unless constituting fraud or a willful criminal act or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w:t>
      </w:r>
    </w:p>
    <w:p>
      <w:pPr>
        <w:sectPr>
          <w:pgSz w:w="11900" w:h="16838" w:orient="portrait"/>
          <w:cols w:equalWidth="0" w:num="1">
            <w:col w:w="11000"/>
          </w:cols>
          <w:pgMar w:left="440" w:top="270" w:right="459" w:bottom="1440" w:gutter="0" w:footer="0" w:header="0"/>
        </w:sectPr>
      </w:pPr>
    </w:p>
    <w:bookmarkStart w:id="382" w:name="page383"/>
    <w:bookmarkEnd w:id="38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 determination made with respect to the Plan or any Award hereunder and against and from any and all amounts paid by such Indemnifiable Person with the Company’s approval,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omissions or determinations of such Indemnifiable Person giving rise to the indemnification claim resulted from such Indemnifiable Person’s fraud or willful criminal act or omission or that such right of indemnification is otherwise prohibited by law or by the organizational documents of any member of the Company Group. The foregoing right of indemnification shall not be exclusive of or otherwise supersede any other rights of indemnification to which such Indemnifiable Persons may be entitled under the organizational documents of any member of the Company Group, as a matter of law, under an individual indemnification agreement or contract or otherwise, or any other power that the Company may have to indemnify such Indemnifiable Persons or hold such Indemnifiable Persons harmless.</w:t>
      </w:r>
    </w:p>
    <w:p>
      <w:pPr>
        <w:spacing w:after="0" w:line="197" w:lineRule="exact"/>
        <w:rPr>
          <w:sz w:val="20"/>
          <w:szCs w:val="20"/>
          <w:color w:val="auto"/>
        </w:rPr>
      </w:pPr>
    </w:p>
    <w:p>
      <w:pPr>
        <w:ind w:right="60" w:firstLine="436"/>
        <w:spacing w:after="0" w:line="261" w:lineRule="auto"/>
        <w:tabs>
          <w:tab w:leader="none" w:pos="66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Authority</w:t>
      </w:r>
      <w:r>
        <w:rPr>
          <w:rFonts w:ascii="Times New Roman" w:cs="Times New Roman" w:eastAsia="Times New Roman" w:hAnsi="Times New Roman"/>
          <w:sz w:val="18"/>
          <w:szCs w:val="18"/>
          <w:color w:val="auto"/>
        </w:rPr>
        <w:t>. Notwithstanding anything to the contrary contained in the Plan, the Board may, in its sole discretion, at any time and from time to time, grant Awards and administer the Plan with respect to any Awards. Any such actions by the Board shall be subject to the applicable rules of the securities exchange or inter-dealer quotation system on which the Common Stock is listed or quoted. In any such case, the Board shall have all the authority granted to the Committee under the Plan.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 Grant of Awards; Shares Subject to the Plan; Limitations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40" w:firstLine="436"/>
        <w:spacing w:after="0" w:line="261" w:lineRule="auto"/>
        <w:tabs>
          <w:tab w:leader="none" w:pos="68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Grants</w:t>
      </w:r>
      <w:r>
        <w:rPr>
          <w:rFonts w:ascii="Times New Roman" w:cs="Times New Roman" w:eastAsia="Times New Roman" w:hAnsi="Times New Roman"/>
          <w:sz w:val="18"/>
          <w:szCs w:val="18"/>
          <w:color w:val="auto"/>
        </w:rPr>
        <w:t>. The Committee may, from time to time, grant Awards to one or more Eligible Persons. All Awards granted under the Plan shall vest and become exercisable in such manner and on such date or dates or upon such event or events as determined by the Committee, including, without limitation, attainment of Performance Criteria. Notwithstanding any vesting dates or events, the Committee may, in its sole discretion, accelerate the vesting of any Award at any time and for any reason.</w:t>
      </w:r>
    </w:p>
    <w:p>
      <w:pPr>
        <w:spacing w:after="0" w:line="179"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Reserve and Limits</w:t>
      </w:r>
      <w:r>
        <w:rPr>
          <w:rFonts w:ascii="Times New Roman" w:cs="Times New Roman" w:eastAsia="Times New Roman" w:hAnsi="Times New Roman"/>
          <w:sz w:val="18"/>
          <w:szCs w:val="18"/>
          <w:color w:val="auto"/>
        </w:rPr>
        <w:t>. Awards granted under the Plan shall be subject to the following limitations: (i) subject to Section 12 of the Plan, no more than 5,150,000 shares of Common Stock (the “</w:t>
      </w:r>
      <w:r>
        <w:rPr>
          <w:rFonts w:ascii="Times New Roman" w:cs="Times New Roman" w:eastAsia="Times New Roman" w:hAnsi="Times New Roman"/>
          <w:sz w:val="18"/>
          <w:szCs w:val="18"/>
          <w:u w:val="single" w:color="auto"/>
          <w:color w:val="auto"/>
        </w:rPr>
        <w:t>Absolute Share Limit</w:t>
      </w:r>
      <w:r>
        <w:rPr>
          <w:rFonts w:ascii="Times New Roman" w:cs="Times New Roman" w:eastAsia="Times New Roman" w:hAnsi="Times New Roman"/>
          <w:sz w:val="18"/>
          <w:szCs w:val="18"/>
          <w:color w:val="auto"/>
        </w:rPr>
        <w:t>”) shall be available for Awards under the Plan; (ii) subject to Section 12 of the Plan, no more than the number of shares of Common Stock equal to the Absolute Share Limit may be issued in the aggregate pursuant to the exercise of Incentive Stock Options granted under the Plan; and (iii) the maximum number of shares of Common Stock subject to Awards granted during a single fiscal year to any Non-Employee</w:t>
      </w:r>
    </w:p>
    <w:p>
      <w:pPr>
        <w:sectPr>
          <w:pgSz w:w="11900" w:h="16838" w:orient="portrait"/>
          <w:cols w:equalWidth="0" w:num="1">
            <w:col w:w="10980"/>
          </w:cols>
          <w:pgMar w:left="440" w:top="270" w:right="479" w:bottom="1440" w:gutter="0" w:footer="0" w:header="0"/>
        </w:sectPr>
      </w:pPr>
    </w:p>
    <w:bookmarkStart w:id="383" w:name="page384"/>
    <w:bookmarkEnd w:id="383"/>
    <w:p>
      <w:pPr>
        <w:ind w:left="4" w:right="7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Director, taken together with any cash fees paid to such Non-Employee Director during the fiscal year, shall not exceed $500,000 in total value (calculating the value of any such Awards based on the grant date fair value of such Awards for financial reporting purposes).</w:t>
      </w:r>
    </w:p>
    <w:p>
      <w:pPr>
        <w:spacing w:after="0" w:line="162" w:lineRule="exact"/>
        <w:rPr>
          <w:sz w:val="20"/>
          <w:szCs w:val="20"/>
          <w:color w:val="auto"/>
        </w:rPr>
      </w:pPr>
    </w:p>
    <w:p>
      <w:pPr>
        <w:ind w:left="4" w:firstLine="436"/>
        <w:spacing w:after="0" w:line="268" w:lineRule="auto"/>
        <w:tabs>
          <w:tab w:leader="none" w:pos="689" w:val="left"/>
        </w:tabs>
        <w:numPr>
          <w:ilvl w:val="1"/>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 Counting</w:t>
      </w:r>
      <w:r>
        <w:rPr>
          <w:rFonts w:ascii="Times New Roman" w:cs="Times New Roman" w:eastAsia="Times New Roman" w:hAnsi="Times New Roman"/>
          <w:sz w:val="17"/>
          <w:szCs w:val="17"/>
          <w:color w:val="auto"/>
        </w:rPr>
        <w:t xml:space="preserve">. Other than with respect to Substitute Awards, to the extent that an Award expires or is canceled, forfeited, or terminated without issuance to the Participant of the full number of shares of Common Stock to which the Award related, the unissued shares will again be available for grant under the Plan. Shares of Common Stock shall be deemed to have been issued in settlement of Awards if the Fair Market Value equivalent of such shares is paid in cash in connection with such settlement;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no shares shall be deemed to have been issued in settlement of a SAR or Restricted Stock Unit that provides for settlement only in cash and settles only in cash or in respect of any Cash-Based Incentive Award. In no event shall shares (i) tendered or withheld on exercise of Options or other Awards for the payment of the exercise or purchase price or withholding taxes,</w:t>
      </w:r>
    </w:p>
    <w:p>
      <w:pPr>
        <w:spacing w:after="0" w:line="4" w:lineRule="exact"/>
        <w:rPr>
          <w:rFonts w:ascii="Times New Roman" w:cs="Times New Roman" w:eastAsia="Times New Roman" w:hAnsi="Times New Roman"/>
          <w:sz w:val="17"/>
          <w:szCs w:val="17"/>
          <w:color w:val="auto"/>
        </w:rPr>
      </w:pPr>
    </w:p>
    <w:p>
      <w:pPr>
        <w:ind w:left="4" w:hanging="4"/>
        <w:spacing w:after="0" w:line="255" w:lineRule="auto"/>
        <w:tabs>
          <w:tab w:leader="none" w:pos="26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issued upon the settlement of a SAR that by the terms of the Award Agreement would settle in shares of Common Stock (or could settle in shares of Common Stock), or (iii) purchased on the open market with cash proceeds from the exercise of Options, again become available for other Awards under the Plan.</w:t>
      </w:r>
    </w:p>
    <w:p>
      <w:pPr>
        <w:spacing w:after="0" w:line="185" w:lineRule="exact"/>
        <w:rPr>
          <w:rFonts w:ascii="Times New Roman" w:cs="Times New Roman" w:eastAsia="Times New Roman" w:hAnsi="Times New Roman"/>
          <w:sz w:val="18"/>
          <w:szCs w:val="18"/>
          <w:color w:val="auto"/>
        </w:rPr>
      </w:pPr>
    </w:p>
    <w:p>
      <w:pPr>
        <w:ind w:left="4" w:right="280" w:firstLine="436"/>
        <w:spacing w:after="0" w:line="282" w:lineRule="auto"/>
        <w:tabs>
          <w:tab w:leader="none" w:pos="699"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Source of Shares</w:t>
      </w:r>
      <w:r>
        <w:rPr>
          <w:rFonts w:ascii="Times New Roman" w:cs="Times New Roman" w:eastAsia="Times New Roman" w:hAnsi="Times New Roman"/>
          <w:sz w:val="18"/>
          <w:szCs w:val="18"/>
          <w:color w:val="auto"/>
        </w:rPr>
        <w:t>. Shares of Common Stock issued by the Company in settlement of Awards may be authorized and unissued shares, shares held in the treasury of the Company, shares purchased on the open market or by private purchase or a combination of the foregoing.</w:t>
      </w:r>
    </w:p>
    <w:p>
      <w:pPr>
        <w:spacing w:after="0" w:line="161"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89"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Awards may, in the sole discretion of the Committee, be granted under the Plan in assumption of, or in substitution for, outstanding awards previously granted by an entity directly or indirectly acquired by the Company or with which the Company combines (“</w:t>
      </w:r>
      <w:r>
        <w:rPr>
          <w:rFonts w:ascii="Times New Roman" w:cs="Times New Roman" w:eastAsia="Times New Roman" w:hAnsi="Times New Roman"/>
          <w:sz w:val="18"/>
          <w:szCs w:val="18"/>
          <w:u w:val="single" w:color="auto"/>
          <w:color w:val="auto"/>
        </w:rPr>
        <w:t>Substitute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xml:space="preserve">”). Substitute Awards shall not be counted against the Absolute Share Limit;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Substitute Awards issued in connection with the assumption of, or in substitution for, outstanding options intended to qualify as “incentive stock options” within the meaning of Section 422 of the Code shall be counted against the aggregate number of shares of Common Stock available for Awards of Incentive Stock Options under the Plan. Subject to applicable stock exchange requirements, available shares under a stockholder-approved plan of an entity directly or indirectly acquired by the Company or with which the Company combines (as appropriately adjusted to reflect the acquisition or combination transaction) may be used for Awards under the Plan and shall not reduce the number of shares of Common Stock available for issuance under the Plan.</w:t>
      </w:r>
    </w:p>
    <w:p>
      <w:pPr>
        <w:spacing w:after="0" w:line="188" w:lineRule="exact"/>
        <w:rPr>
          <w:sz w:val="20"/>
          <w:szCs w:val="20"/>
          <w:color w:val="auto"/>
        </w:rPr>
      </w:pPr>
    </w:p>
    <w:p>
      <w:pPr>
        <w:ind w:left="624" w:hanging="184"/>
        <w:spacing w:after="0"/>
        <w:tabs>
          <w:tab w:leader="none" w:pos="624"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 Participation in the Plan shall be limited to Eligible Persons.</w:t>
      </w:r>
    </w:p>
    <w:p>
      <w:pPr>
        <w:spacing w:after="0" w:line="225" w:lineRule="exact"/>
        <w:rPr>
          <w:rFonts w:ascii="Times New Roman" w:cs="Times New Roman" w:eastAsia="Times New Roman" w:hAnsi="Times New Roman"/>
          <w:sz w:val="18"/>
          <w:szCs w:val="18"/>
          <w:b w:val="1"/>
          <w:bCs w:val="1"/>
          <w:color w:val="auto"/>
        </w:rPr>
      </w:pPr>
    </w:p>
    <w:p>
      <w:pPr>
        <w:ind w:left="624" w:hanging="184"/>
        <w:spacing w:after="0"/>
        <w:tabs>
          <w:tab w:leader="none" w:pos="624"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260" w:firstLine="436"/>
        <w:spacing w:after="0" w:line="266" w:lineRule="auto"/>
        <w:tabs>
          <w:tab w:leader="none" w:pos="689"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Each Option granted under the Plan shall be evidenced by an Award Agreement, which agreement need not be the same for each Participant. Each Option so granted shall be subject to the conditions set forth in this Section 7, and to such other conditions not inconsistent with the Plan as may be reflected in the applicable Award Agreement. All</w:t>
      </w:r>
    </w:p>
    <w:p>
      <w:pPr>
        <w:sectPr>
          <w:pgSz w:w="11900" w:h="16838" w:orient="portrait"/>
          <w:cols w:equalWidth="0" w:num="1">
            <w:col w:w="11004"/>
          </w:cols>
          <w:pgMar w:left="436" w:top="270" w:right="459" w:bottom="1440" w:gutter="0" w:footer="0" w:header="0"/>
        </w:sectPr>
      </w:pPr>
    </w:p>
    <w:bookmarkStart w:id="384" w:name="page385"/>
    <w:bookmarkEnd w:id="384"/>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Options granted under the Plan shall be Nonqualified Stock Options unless the applicable Award Agreement expressly states that the Option is intended to be an Incentive Stock Option. Incentive Stock Options shall be granted only to Eligible Persons who are employees of a member of the Company Group, and no Incentive Stock Option shall be granted to any Eligible Person who is ineligible to receive an Incentive Stock Option under the Code. No Option shall be treated as an Incentive Stock Option unless the Plan has been approved by the stockholders of the Company in a manner intended to comply with the stockholder approval requirements of Section 422(b)(1)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spacing w:after="0" w:line="194" w:lineRule="exact"/>
        <w:rPr>
          <w:sz w:val="20"/>
          <w:szCs w:val="20"/>
          <w:color w:val="auto"/>
        </w:rPr>
      </w:pPr>
    </w:p>
    <w:p>
      <w:pPr>
        <w:ind w:right="40" w:firstLine="436"/>
        <w:spacing w:after="0" w:line="258" w:lineRule="auto"/>
        <w:tabs>
          <w:tab w:leader="none" w:pos="69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Except as otherwise provided by the Committee in the case of Substitute Awards, the exercise price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per share of Common Stock for each Option shall not be less than one hundred percent (100%) of the Fair Market Value of such share (determined as of the Date of Grant);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an Incentive Stock Option granted to an employee who, at the time of the grant of such Option, owns stock representing more than ten percent (10%) of the voting power of all classes of stock of any member of the Company Group, the Exercise Price per share shall be no less than one hundred ten percent (110%) of the Fair Market Value per share on the Date of Grant.</w:t>
      </w:r>
    </w:p>
    <w:p>
      <w:pPr>
        <w:spacing w:after="0" w:line="18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Expiration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078"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shall vest and become exercisable in such manner and on such date or dates or upon such event or events as determined by the Committee.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shall expire upon a date determined by the Committee, not to exceed ten (10) years from the Date of Grant (the “</w:t>
      </w:r>
      <w:r>
        <w:rPr>
          <w:rFonts w:ascii="Times New Roman" w:cs="Times New Roman" w:eastAsia="Times New Roman" w:hAnsi="Times New Roman"/>
          <w:sz w:val="18"/>
          <w:szCs w:val="18"/>
          <w:u w:val="single" w:color="auto"/>
          <w:color w:val="auto"/>
        </w:rPr>
        <w:t>Option</w:t>
      </w:r>
    </w:p>
    <w:p>
      <w:pPr>
        <w:spacing w:after="0" w:line="27" w:lineRule="exact"/>
        <w:rPr>
          <w:sz w:val="20"/>
          <w:szCs w:val="20"/>
          <w:color w:val="auto"/>
        </w:rPr>
      </w:pPr>
    </w:p>
    <w:p>
      <w:pPr>
        <w:ind w:left="440"/>
        <w:spacing w:after="0" w:line="252" w:lineRule="auto"/>
        <w:rPr>
          <w:sz w:val="20"/>
          <w:szCs w:val="20"/>
          <w:color w:val="auto"/>
        </w:rPr>
      </w:pP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Option Period (other than in the case of an Incentive Stock Option) would expire at a time when trading in the shares of Common Stock is prohibited by the Company’s insider trading policy (or Company-imposed “blackout period”), then the Option Period shall be automatically extended until the thirtieth (30th) day following the expiration of such prohibition. Notwithstanding the foregoing, in no event shall the Option Period exceed five (5) years from the Date of Grant in the case of an Incentive Stock Option granted to a Participant who on the Date of Grant owns stock representing more than ten percent (10%) of the voting power of all classes of stock of any member of the Company Group.</w:t>
      </w:r>
    </w:p>
    <w:p>
      <w:pPr>
        <w:spacing w:after="0" w:line="190" w:lineRule="exact"/>
        <w:rPr>
          <w:sz w:val="20"/>
          <w:szCs w:val="20"/>
          <w:color w:val="auto"/>
        </w:rPr>
      </w:pPr>
    </w:p>
    <w:p>
      <w:pPr>
        <w:ind w:right="40" w:firstLine="436"/>
        <w:spacing w:after="0" w:line="266" w:lineRule="auto"/>
        <w:tabs>
          <w:tab w:leader="none" w:pos="695"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 and Form of Payment</w:t>
      </w:r>
      <w:r>
        <w:rPr>
          <w:rFonts w:ascii="Times New Roman" w:cs="Times New Roman" w:eastAsia="Times New Roman" w:hAnsi="Times New Roman"/>
          <w:sz w:val="18"/>
          <w:szCs w:val="18"/>
          <w:color w:val="auto"/>
        </w:rPr>
        <w:t>. No shares of Common Stock shall be issued pursuant to any exercise of an Option until payment in full of the Exercise Price therefor is received by the Company and the Participant has paid to the Company an amount equal to any Federal, state, local and non-U.S. income, employment and any other applicable</w:t>
      </w:r>
    </w:p>
    <w:p>
      <w:pPr>
        <w:sectPr>
          <w:pgSz w:w="11900" w:h="16838" w:orient="portrait"/>
          <w:cols w:equalWidth="0" w:num="1">
            <w:col w:w="11000"/>
          </w:cols>
          <w:pgMar w:left="440" w:top="270" w:right="459" w:bottom="1440" w:gutter="0" w:footer="0" w:header="0"/>
        </w:sectPr>
      </w:pPr>
    </w:p>
    <w:bookmarkStart w:id="385" w:name="page386"/>
    <w:bookmarkEnd w:id="38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taxes required to be withheld. Options which have become exercisable may be exercised by delivery of written or electronic notice of exercise to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(or telephonic instructions to the extent provided by the Committee) in accordance with the terms of the Option accompanied by payment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Exercise Price. The Exercise Price shall be payable: (i) in cash, check, cash equivalent and/or shares of Common Stock valued at the Fair Market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Value at the time the Option is exercised (including, pursuant to procedures approved by the Committee, by means of attestation of ownership of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sufficient number of shares of Common Stock in lieu of actual issuance of such shares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shares of Common Stock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are not subject to any pledge or other security interest and have been held by the Participant for at least six (6) months (or such other period 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established from time to time by the Committee in order to avoid adverse accounting treatment applying generally accepted accounting principles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or (ii) by such other method as the Committee may permit, in its sole discretion, including, without limitation (A) in other property having a</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fair market value on the date of exercise equal to the Exercise Price; (B) if there is a public market for the shares of Common Stock at such time, by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means of a broker-assisted “cashless exercise” pursuant to which the Company is delivered (including telephonically to the extent permitted by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Committee) a copy of irrevocable instructions to a stockbroker to sell the shares of Common Stock otherwise issuable upon the exercise of the Option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to deliver promptly to the Company an amount equal to the Exercise Price; or (C) a “net exercise” procedure effected by withholding the minimum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number of shares of Common Stock otherwise issuable in respect of an Option that are needed to pay the Exercise Price. Any fractional shares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Common Stock shall be settled in cash.</w:t>
      </w:r>
    </w:p>
    <w:p>
      <w:pPr>
        <w:spacing w:after="0" w:line="207" w:lineRule="exact"/>
        <w:rPr>
          <w:sz w:val="20"/>
          <w:szCs w:val="20"/>
          <w:color w:val="auto"/>
        </w:rPr>
      </w:pPr>
    </w:p>
    <w:p>
      <w:pPr>
        <w:ind w:left="4" w:right="80" w:firstLine="436"/>
        <w:spacing w:after="0" w:line="255" w:lineRule="auto"/>
        <w:tabs>
          <w:tab w:leader="none" w:pos="689"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upon Disqualifying Disposition of an Incentive Stock Option</w:t>
      </w:r>
      <w:r>
        <w:rPr>
          <w:rFonts w:ascii="Times New Roman" w:cs="Times New Roman" w:eastAsia="Times New Roman" w:hAnsi="Times New Roman"/>
          <w:sz w:val="18"/>
          <w:szCs w:val="18"/>
          <w:color w:val="auto"/>
        </w:rPr>
        <w:t>. Each Participant awarded an Incentive Stock Option under the Plan shall notify the Company in writing immediately after the date the Participant makes a disqualifying disposition of any Common Stock acquired pursuant to the exercise of such Incentive Stock Option. A disqualifying disposition is any disposition (including, without limitation, any sale) of such Common Stock before the later of (i) the date that is two (2) years after the Date of Grant of the Incentive Stock Option, or (ii) the date that is one</w:t>
      </w:r>
    </w:p>
    <w:p>
      <w:pPr>
        <w:spacing w:after="0" w:line="2" w:lineRule="exact"/>
        <w:rPr>
          <w:rFonts w:ascii="Times New Roman" w:cs="Times New Roman" w:eastAsia="Times New Roman" w:hAnsi="Times New Roman"/>
          <w:sz w:val="18"/>
          <w:szCs w:val="18"/>
          <w:color w:val="auto"/>
        </w:rPr>
      </w:pPr>
    </w:p>
    <w:p>
      <w:pPr>
        <w:ind w:left="4" w:right="60" w:hanging="4"/>
        <w:spacing w:after="0" w:line="253" w:lineRule="auto"/>
        <w:tabs>
          <w:tab w:leader="none" w:pos="259"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after the date of exercise of the Incentive Stock Option. The Company may, if determined by the Committee and in accordance with procedures established by the Committee, retain possession, as agent for the applicable Participant, of any Common Stock acquired pursuant to the exercise of an Incentive Stock Option until the end of the period described in the preceding sentence, subject to complying with any instructions from such Participant as to the sale of such Common Stock.</w:t>
      </w:r>
    </w:p>
    <w:p>
      <w:pPr>
        <w:spacing w:after="0" w:line="188"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69"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 etc</w:t>
      </w:r>
      <w:r>
        <w:rPr>
          <w:rFonts w:ascii="Times New Roman" w:cs="Times New Roman" w:eastAsia="Times New Roman" w:hAnsi="Times New Roman"/>
          <w:sz w:val="18"/>
          <w:szCs w:val="18"/>
          <w:color w:val="auto"/>
        </w:rPr>
        <w:t>. Notwithstanding the foregoing, in no event shall a Participant be permitted to exercise an Option in a manner which the Committee determines would violate the Sarbanes-Oxley Act of 2002, as it may be amended from time to time, or any other applicable law or the applicable rules and regulations of the Securities and Exchange Commission or the applicable rules and regulations of any securities exchange or inter-dealer quotation system on which the securities of the Company are listed or traded.</w:t>
      </w:r>
    </w:p>
    <w:p>
      <w:pPr>
        <w:sectPr>
          <w:pgSz w:w="11900" w:h="16838" w:orient="portrait"/>
          <w:cols w:equalWidth="0" w:num="1">
            <w:col w:w="11004"/>
          </w:cols>
          <w:pgMar w:left="436" w:top="270" w:right="459" w:bottom="1440" w:gutter="0" w:footer="0" w:header="0"/>
        </w:sectPr>
      </w:pPr>
    </w:p>
    <w:bookmarkStart w:id="386" w:name="page387"/>
    <w:bookmarkEnd w:id="38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 Stock Appreciation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firstLine="436"/>
        <w:spacing w:after="0" w:line="289" w:lineRule="auto"/>
        <w:tabs>
          <w:tab w:leader="none" w:pos="249" w:val="left"/>
        </w:tabs>
        <w:numPr>
          <w:ilvl w:val="0"/>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Each SAR granted under the Plan shall be evidenced by an Award Agreement. Each SAR so granted shall be subject to the conditions set forth in this Section 8, and to such other conditions not inconsistent with the Plan as may be reflected in the applicable Award Agreement. Any Option granted under the Plan may include tandem SARs. The Committee also may award SARs to Eligible Persons independent of any Option.</w:t>
      </w:r>
    </w:p>
    <w:p>
      <w:pPr>
        <w:spacing w:after="0" w:line="157" w:lineRule="exact"/>
        <w:rPr>
          <w:rFonts w:ascii="Times New Roman" w:cs="Times New Roman" w:eastAsia="Times New Roman" w:hAnsi="Times New Roman"/>
          <w:sz w:val="17"/>
          <w:szCs w:val="17"/>
          <w:color w:val="auto"/>
        </w:rPr>
      </w:pPr>
    </w:p>
    <w:p>
      <w:pPr>
        <w:ind w:left="-436" w:right="240" w:firstLine="436"/>
        <w:spacing w:after="0" w:line="261" w:lineRule="auto"/>
        <w:tabs>
          <w:tab w:leader="none" w:pos="259"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Strike Price</w:t>
      </w:r>
      <w:r>
        <w:rPr>
          <w:rFonts w:ascii="Times New Roman" w:cs="Times New Roman" w:eastAsia="Times New Roman" w:hAnsi="Times New Roman"/>
          <w:sz w:val="18"/>
          <w:szCs w:val="18"/>
          <w:color w:val="auto"/>
        </w:rPr>
        <w:t>. Except as otherwise provided by the Committee in the case of Substitute Awards, the strike price (“</w:t>
      </w:r>
      <w:r>
        <w:rPr>
          <w:rFonts w:ascii="Times New Roman" w:cs="Times New Roman" w:eastAsia="Times New Roman" w:hAnsi="Times New Roman"/>
          <w:sz w:val="18"/>
          <w:szCs w:val="18"/>
          <w:u w:val="single" w:color="auto"/>
          <w:color w:val="auto"/>
        </w:rPr>
        <w:t>Strike Price</w:t>
      </w:r>
      <w:r>
        <w:rPr>
          <w:rFonts w:ascii="Times New Roman" w:cs="Times New Roman" w:eastAsia="Times New Roman" w:hAnsi="Times New Roman"/>
          <w:sz w:val="18"/>
          <w:szCs w:val="18"/>
          <w:color w:val="auto"/>
        </w:rPr>
        <w:t>”) per share of Common Stock for each SAR shall not be less than one hundred percent (100%) of the Fair Market Value of such share (determined as of the Date of Grant). Notwithstanding the foregoing, a SAR granted in tandem with (or in substitution for) an Option previously granted shall have a Strike Price equal to the Exercise Price of the corresponding Option.</w:t>
      </w:r>
    </w:p>
    <w:p>
      <w:pPr>
        <w:spacing w:after="0" w:line="179"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Expiration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40" w:firstLine="419"/>
        <w:spacing w:after="0" w:line="266" w:lineRule="auto"/>
        <w:tabs>
          <w:tab w:leader="none" w:pos="641"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SAR granted in connection with an Option shall become exercisable and shall expire according to the same vesting schedule and expiration provisions as the corresponding Option. A SAR granted independent of an Option shall vest and become exercisable in such manner and on such date or dates or upon such event or events as determined by the Committee.</w:t>
      </w:r>
    </w:p>
    <w:p>
      <w:pPr>
        <w:spacing w:after="0" w:line="67" w:lineRule="exact"/>
        <w:rPr>
          <w:rFonts w:ascii="Times New Roman" w:cs="Times New Roman" w:eastAsia="Times New Roman" w:hAnsi="Times New Roman"/>
          <w:sz w:val="18"/>
          <w:szCs w:val="18"/>
          <w:color w:val="auto"/>
        </w:rPr>
      </w:pPr>
    </w:p>
    <w:p>
      <w:pPr>
        <w:ind w:left="4" w:right="220" w:firstLine="419"/>
        <w:spacing w:after="0" w:line="261" w:lineRule="auto"/>
        <w:tabs>
          <w:tab w:leader="none" w:pos="691"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 shall expire upon a date determined by the Committee, not to exceed ten (10) years from the Date of Grant (the “</w:t>
      </w:r>
      <w:r>
        <w:rPr>
          <w:rFonts w:ascii="Times New Roman" w:cs="Times New Roman" w:eastAsia="Times New Roman" w:hAnsi="Times New Roman"/>
          <w:sz w:val="18"/>
          <w:szCs w:val="18"/>
          <w:u w:val="single" w:color="auto"/>
          <w:color w:val="auto"/>
        </w:rPr>
        <w:t>SAR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SAR Period would expire at a time when trading in the shares of Common Stock is prohibited by the Company’s insider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policy (or Company-imposed “blackout period”), then the SAR Period shall be automatically extended until the thirtieth (30th) day following the expiration of such prohibition.</w:t>
      </w:r>
    </w:p>
    <w:p>
      <w:pPr>
        <w:spacing w:after="0" w:line="179" w:lineRule="exact"/>
        <w:rPr>
          <w:rFonts w:ascii="Times New Roman" w:cs="Times New Roman" w:eastAsia="Times New Roman" w:hAnsi="Times New Roman"/>
          <w:sz w:val="18"/>
          <w:szCs w:val="18"/>
          <w:color w:val="auto"/>
        </w:rPr>
      </w:pPr>
    </w:p>
    <w:p>
      <w:pPr>
        <w:ind w:left="-436" w:right="160" w:firstLine="436"/>
        <w:spacing w:after="0" w:line="312" w:lineRule="auto"/>
        <w:tabs>
          <w:tab w:leader="none" w:pos="259" w:val="left"/>
        </w:tabs>
        <w:numPr>
          <w:ilvl w:val="0"/>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Method of Exercise</w:t>
      </w:r>
      <w:r>
        <w:rPr>
          <w:rFonts w:ascii="Times New Roman" w:cs="Times New Roman" w:eastAsia="Times New Roman" w:hAnsi="Times New Roman"/>
          <w:sz w:val="17"/>
          <w:szCs w:val="17"/>
          <w:color w:val="auto"/>
        </w:rPr>
        <w:t>. SARs which have become exercisable may be exercised by delivery of written or electronic notice of exercise to the Company in accordance with the terms of the Award, specifying the number of SARs to be exercised and the date on which such SARs were awarded.</w:t>
      </w:r>
    </w:p>
    <w:p>
      <w:pPr>
        <w:spacing w:after="0" w:line="139" w:lineRule="exact"/>
        <w:rPr>
          <w:rFonts w:ascii="Times New Roman" w:cs="Times New Roman" w:eastAsia="Times New Roman" w:hAnsi="Times New Roman"/>
          <w:sz w:val="17"/>
          <w:szCs w:val="17"/>
          <w:color w:val="auto"/>
        </w:rPr>
      </w:pPr>
    </w:p>
    <w:p>
      <w:pPr>
        <w:ind w:left="-436" w:right="180" w:firstLine="436"/>
        <w:spacing w:after="0" w:line="258" w:lineRule="auto"/>
        <w:tabs>
          <w:tab w:leader="none" w:pos="249"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Upon the exercise of a SAR, the Company shall pay to the Participant an amount equal to the number of shares subject to the SAR that is being exercised multiplied by the excess of the Fair Market Value of one (1) share of Common Stock on the exercise date over the Strike Price, less an amount equal to any Federal, state, local and non-U.S. income, employment and any other applicable taxes required to be withheld. The Company shall pay such amount in cash, in shares of Common Stock valued at Fair Market Value, or any combination thereof, as determined by the Committee. Any fractional shares of Common Stock shall be settled in cash.</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9. Restricted Stock and Restricted Stock Units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100" w:firstLine="436"/>
        <w:spacing w:after="0" w:line="266" w:lineRule="auto"/>
        <w:tabs>
          <w:tab w:leader="none" w:pos="249"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Each grant of Restricted Stock and Restricted Stock Units shall be evidenced by an Award Agreement. Each Restricted Stock and Restricted Stock Unit so granted shall be subject to the conditions set forth in this Section 9, and to such other conditions not inconsistent with the Plan as may be reflected in the applicable Award Agreement.</w:t>
      </w:r>
    </w:p>
    <w:p>
      <w:pPr>
        <w:sectPr>
          <w:pgSz w:w="11900" w:h="16838" w:orient="portrait"/>
          <w:cols w:equalWidth="0" w:num="1">
            <w:col w:w="10544"/>
          </w:cols>
          <w:pgMar w:left="876" w:top="266" w:right="479" w:bottom="1440" w:gutter="0" w:footer="0" w:header="0"/>
        </w:sectPr>
      </w:pPr>
    </w:p>
    <w:bookmarkStart w:id="387" w:name="page388"/>
    <w:bookmarkEnd w:id="387"/>
    <w:p>
      <w:pPr>
        <w:ind w:left="-436" w:firstLine="436"/>
        <w:spacing w:after="0" w:line="253" w:lineRule="auto"/>
        <w:tabs>
          <w:tab w:leader="none" w:pos="259"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Certificates and Book-Entry; Escrow or Similar Arrangement</w:t>
      </w:r>
      <w:r>
        <w:rPr>
          <w:rFonts w:ascii="Times New Roman" w:cs="Times New Roman" w:eastAsia="Times New Roman" w:hAnsi="Times New Roman"/>
          <w:sz w:val="18"/>
          <w:szCs w:val="18"/>
          <w:color w:val="auto"/>
        </w:rPr>
        <w:t>. Upon the grant of Restricted Stock, the Committee shall cause a stock certificate registered in the name of the Participant to be issued or shall cause share(s) of Common Stock to be registered in the name of the Participant and held in book-entry form subject to the Company’s directions and, if the Committee determines that the Restricted Stock shall be held by the Company or in escrow rather than issued to the Participant pending the release of the applicable restrictions, the Committee may require the Participant to additionally execute and deliver to the Company (i) an escrow agreement satisfactory to the Committee, if applicable; and (ii) the appropriate stock power (endorsed in blank) with respect to the Restricted Stock covered by such agreement. If a Participant shall fail to execute and deliver (in a manner permitted under Section 14(a) of the Plan or as otherwise determined by the Committee) an agreement evidencing an Award of Restricted Stock and, if applicable, an escrow agreement and blank stock power within the amount of time specified by the Committee, the Award shall be null and void. Subject to the restrictions set forth in this Section 9, Section 14(c) of the Plan and the applicable Award Agreement, a Participant generally shall have the rights and privileges of a stockholder as to shares of Restricted Stock, including, without limitation, the right to vote such Restricted Stock. To the extent shares of Restricted Stock are forfeited, any stock certificates issued to the Participant evidencing such shares shall be returned to the Company, and all rights of the Participant to such shares and as a stockholder with respect thereto shall terminate without further obligation on the part of the Company. A Participant shall have no rights or privileges as a stockholder as to Restricted Stock Units.</w:t>
      </w:r>
    </w:p>
    <w:p>
      <w:pPr>
        <w:spacing w:after="0" w:line="187" w:lineRule="exact"/>
        <w:rPr>
          <w:rFonts w:ascii="Times New Roman" w:cs="Times New Roman" w:eastAsia="Times New Roman" w:hAnsi="Times New Roman"/>
          <w:sz w:val="18"/>
          <w:szCs w:val="18"/>
          <w:color w:val="auto"/>
        </w:rPr>
      </w:pPr>
    </w:p>
    <w:p>
      <w:pPr>
        <w:ind w:left="-436" w:right="200" w:firstLine="436"/>
        <w:spacing w:after="0" w:line="282" w:lineRule="auto"/>
        <w:tabs>
          <w:tab w:leader="none" w:pos="249"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Restricted Stock and Restricted Stock Units shall vest, and any applicable Restricted Period shall lapse, in such manner and on such date or dates or upon such event or events as determined by the Committee.</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Restricted Stock and Settlement of Restricted Stock Units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40" w:firstLine="419"/>
        <w:spacing w:after="0" w:line="254" w:lineRule="auto"/>
        <w:tabs>
          <w:tab w:leader="none" w:pos="641"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issue to the Participant, or the Participant’s beneficiary, without charge, the stock certificate (or, if applicable, a notice evidencing a book-entry notation) evidencing the shares of Restricted Stock which have not then been forfeited and with respect to which the Restricted Period has expired (rounded down to the nearest full share). Dividends, if any, that may have been withheld by the Committee and attributable to any particular share of Restricted Stock shall be distributed to the Participant in cash or, in the sole discretion of the Committee, in shares of Common Stock having a Fair Market Value (on the date of distribution) equal to the amount of such dividends, upon the release of restrictions on such share and, if such share is forfeited, the Participant shall have no right to such dividends.</w:t>
      </w:r>
    </w:p>
    <w:p>
      <w:pPr>
        <w:sectPr>
          <w:pgSz w:w="11900" w:h="16838" w:orient="portrait"/>
          <w:cols w:equalWidth="0" w:num="1">
            <w:col w:w="10564"/>
          </w:cols>
          <w:pgMar w:left="876" w:top="270" w:right="459" w:bottom="1440" w:gutter="0" w:footer="0" w:header="0"/>
        </w:sectPr>
      </w:pPr>
    </w:p>
    <w:bookmarkStart w:id="388" w:name="page389"/>
    <w:bookmarkEnd w:id="388"/>
    <w:p>
      <w:pPr>
        <w:ind w:left="4" w:right="140" w:firstLine="419"/>
        <w:spacing w:after="0" w:line="276" w:lineRule="auto"/>
        <w:tabs>
          <w:tab w:leader="none" w:pos="691" w:val="left"/>
        </w:tabs>
        <w:numPr>
          <w:ilvl w:val="1"/>
          <w:numId w:val="3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Unless otherwise provided by the Committee in an Award Agreement or otherwise, upon the expiration of the Restricted Period with respect to any outstanding Restricted Stock Units, the Company shall issue to the Participant or the Participant’s beneficiary, without charge, one</w:t>
      </w:r>
    </w:p>
    <w:p>
      <w:pPr>
        <w:ind w:left="4" w:hanging="4"/>
        <w:spacing w:after="0" w:line="252" w:lineRule="auto"/>
        <w:tabs>
          <w:tab w:leader="none" w:pos="258"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 of Common Stock (or other securities or other property, as applicable) for each such outstanding Restricted Stock Unit;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Committee may, in its sole discretion, elect to (A) pay cash or part cash and part shares of Common Stock in lieu of issuing only shares of Common Stock in respect of such Restricted Stock Units; or (B) defer the issuance of shares of Common Stock (or cash or part cash and part shares of Common Stock, as the case may be) beyond the expiration of the Restricted Period if such extension would not cause adverse tax consequences under Section 409A of the Code. If a cash payment is made in lieu of issuing shares of Common Stock in respect of such Restricted Stock Units, the amount of such payment shall be equal to the Fair Market Value per share of the Common Stock as of the date on which the Restricted Period lapsed with respect to such Restricted Stock Units.</w:t>
      </w:r>
    </w:p>
    <w:p>
      <w:pPr>
        <w:spacing w:after="0" w:line="188" w:lineRule="exact"/>
        <w:rPr>
          <w:sz w:val="20"/>
          <w:szCs w:val="20"/>
          <w:color w:val="auto"/>
        </w:rPr>
      </w:pPr>
    </w:p>
    <w:p>
      <w:pPr>
        <w:jc w:val="both"/>
        <w:ind w:left="-436" w:right="140" w:firstLine="436"/>
        <w:spacing w:after="0" w:line="266" w:lineRule="auto"/>
        <w:tabs>
          <w:tab w:leader="none" w:pos="249"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 on Restricted Stock</w:t>
      </w:r>
      <w:r>
        <w:rPr>
          <w:rFonts w:ascii="Times New Roman" w:cs="Times New Roman" w:eastAsia="Times New Roman" w:hAnsi="Times New Roman"/>
          <w:sz w:val="18"/>
          <w:szCs w:val="18"/>
          <w:color w:val="auto"/>
        </w:rPr>
        <w:t>. Each certificate, if any, or book entry representing Restricted Stock awarded under the Plan, if any, shall bear a legend or book entry notation substantially in the form of the following, in addition to any other information the Company deems appropriate, until the lapse of all restrictions with respect to such shares of Common Stock:</w:t>
      </w:r>
    </w:p>
    <w:p>
      <w:pPr>
        <w:spacing w:after="0" w:line="68"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TRANSFER OF THIS CERTIFICATE AND THE SHARES REPRESENTED HEREBY IS RESTRICTED PURSUANT TO THE TERMS OF THE ACADEMY SPORTS AND OUTDOORS, INC. 2020 OMNIBUS INCENTIVE PLAN AND A RESTRICTED STOCK AWARD AGREEMENT BETWEEN ACADEMY SPORTS AND OUTDOORS, INC. AND PARTICIPANT. A COPY OF SUCH PLAN AND AWARD AGREEMENT IS ON FILE AT THE PRINCIPAL EXECUTIVE OFFICES OF ACADEMY SPORTS AND OUTDOORS, INC.</w:t>
      </w:r>
    </w:p>
    <w:p>
      <w:pPr>
        <w:spacing w:after="0" w:line="176" w:lineRule="exact"/>
        <w:rPr>
          <w:sz w:val="20"/>
          <w:szCs w:val="20"/>
          <w:color w:val="auto"/>
        </w:rPr>
      </w:pPr>
    </w:p>
    <w:p>
      <w:pPr>
        <w:ind w:left="-436" w:right="140" w:firstLine="436"/>
        <w:spacing w:after="0" w:line="262" w:lineRule="auto"/>
        <w:tabs>
          <w:tab w:leader="none" w:pos="274" w:val="left"/>
        </w:tabs>
        <w:numPr>
          <w:ilvl w:val="0"/>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Equity-Based Awards</w:t>
      </w:r>
      <w:r>
        <w:rPr>
          <w:rFonts w:ascii="Times New Roman" w:cs="Times New Roman" w:eastAsia="Times New Roman" w:hAnsi="Times New Roman"/>
          <w:sz w:val="18"/>
          <w:szCs w:val="18"/>
          <w:color w:val="auto"/>
        </w:rPr>
        <w:t>. The Committee may grant Other Equity-Based Awards under the Plan to Eligible Persons, alone or in tandem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other Awards, in such amounts and dependent on such conditions as the Committee shall from time to time in its sole discretion determine. Each Other Equity-Based Award granted under the Plan shall be evidenced by an Award Agreement and shall be subject to such conditions not inconsistent with the Plan as may be reflected in the applicable Award Agreement.</w:t>
      </w:r>
    </w:p>
    <w:p>
      <w:pPr>
        <w:spacing w:after="0" w:line="176" w:lineRule="exact"/>
        <w:rPr>
          <w:rFonts w:ascii="Times New Roman" w:cs="Times New Roman" w:eastAsia="Times New Roman" w:hAnsi="Times New Roman"/>
          <w:sz w:val="18"/>
          <w:szCs w:val="18"/>
          <w:b w:val="1"/>
          <w:bCs w:val="1"/>
          <w:color w:val="auto"/>
        </w:rPr>
      </w:pPr>
    </w:p>
    <w:p>
      <w:pPr>
        <w:ind w:left="-436" w:right="180" w:firstLine="436"/>
        <w:spacing w:after="0" w:line="286" w:lineRule="auto"/>
        <w:tabs>
          <w:tab w:leader="none" w:pos="264" w:val="left"/>
        </w:tabs>
        <w:numPr>
          <w:ilvl w:val="0"/>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Cash-Based Incentive Awards. </w:t>
      </w:r>
      <w:r>
        <w:rPr>
          <w:rFonts w:ascii="Times New Roman" w:cs="Times New Roman" w:eastAsia="Times New Roman" w:hAnsi="Times New Roman"/>
          <w:sz w:val="18"/>
          <w:szCs w:val="18"/>
          <w:color w:val="auto"/>
        </w:rPr>
        <w:t>The Committee may grant Cash-Based Incentive Awards under the Plan to any Eligible Person. Each Cash-Based Incentive Award granted under the Plan shall be evidenced in such form as the Committee may determine from time to time.</w:t>
      </w:r>
    </w:p>
    <w:p>
      <w:pPr>
        <w:spacing w:after="0" w:line="154" w:lineRule="exact"/>
        <w:rPr>
          <w:rFonts w:ascii="Times New Roman" w:cs="Times New Roman" w:eastAsia="Times New Roman" w:hAnsi="Times New Roman"/>
          <w:sz w:val="18"/>
          <w:szCs w:val="18"/>
          <w:b w:val="1"/>
          <w:bCs w:val="1"/>
          <w:color w:val="auto"/>
        </w:rPr>
      </w:pPr>
    </w:p>
    <w:p>
      <w:pPr>
        <w:ind w:left="-436" w:right="40" w:firstLine="436"/>
        <w:spacing w:after="0" w:line="286" w:lineRule="auto"/>
        <w:tabs>
          <w:tab w:leader="none" w:pos="274" w:val="left"/>
        </w:tabs>
        <w:numPr>
          <w:ilvl w:val="0"/>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Capital Structure and Similar Events</w:t>
      </w:r>
      <w:r>
        <w:rPr>
          <w:rFonts w:ascii="Times New Roman" w:cs="Times New Roman" w:eastAsia="Times New Roman" w:hAnsi="Times New Roman"/>
          <w:sz w:val="18"/>
          <w:szCs w:val="18"/>
          <w:color w:val="auto"/>
        </w:rPr>
        <w:t>. Notwithstanding any other provision in the Plan to the contrary, the following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apply to all Awards granted hereunder (other than Cash-Based Incentive Awards):</w:t>
      </w:r>
    </w:p>
    <w:p>
      <w:pPr>
        <w:sectPr>
          <w:pgSz w:w="11900" w:h="16838" w:orient="portrait"/>
          <w:cols w:equalWidth="0" w:num="1">
            <w:col w:w="10564"/>
          </w:cols>
          <w:pgMar w:left="876" w:top="270" w:right="459" w:bottom="1440" w:gutter="0" w:footer="0" w:header="0"/>
        </w:sectPr>
      </w:pPr>
    </w:p>
    <w:bookmarkStart w:id="389" w:name="page390"/>
    <w:bookmarkEnd w:id="389"/>
    <w:p>
      <w:pPr>
        <w:ind w:left="4" w:firstLine="436"/>
        <w:spacing w:after="0" w:line="267" w:lineRule="auto"/>
        <w:tabs>
          <w:tab w:leader="none" w:pos="689" w:val="left"/>
        </w:tabs>
        <w:numPr>
          <w:ilvl w:val="1"/>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w:t>
      </w:r>
      <w:r>
        <w:rPr>
          <w:rFonts w:ascii="Times New Roman" w:cs="Times New Roman" w:eastAsia="Times New Roman" w:hAnsi="Times New Roman"/>
          <w:sz w:val="17"/>
          <w:szCs w:val="17"/>
          <w:color w:val="auto"/>
        </w:rPr>
        <w:t>. In the event of (i) any dividend (other than regular cash 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that affects the shares of Common Stock (including a Change in Control); or (ii) unusual or nonrecurring events affecting the Company, including changes in applicable rules, rulings, regulations or other requirements, that the Committee determines, in its sole discretion, could result in substantial dilution or enlargement of the rights intended to be granted to, or available for, Participants (any event in (i) or (ii), an “</w:t>
      </w:r>
      <w:r>
        <w:rPr>
          <w:rFonts w:ascii="Times New Roman" w:cs="Times New Roman" w:eastAsia="Times New Roman" w:hAnsi="Times New Roman"/>
          <w:sz w:val="17"/>
          <w:szCs w:val="17"/>
          <w:u w:val="single" w:color="auto"/>
          <w:color w:val="auto"/>
        </w:rPr>
        <w:t>Adjustment Event</w:t>
      </w:r>
      <w:r>
        <w:rPr>
          <w:rFonts w:ascii="Times New Roman" w:cs="Times New Roman" w:eastAsia="Times New Roman" w:hAnsi="Times New Roman"/>
          <w:sz w:val="17"/>
          <w:szCs w:val="17"/>
          <w:color w:val="auto"/>
        </w:rPr>
        <w:t>”), the Committee shall, in respect of any such Adjustment Event, make such proportionate substitution or adjustment, if any, as it deems equitable, to any or all of (A) the Absolute Share Limit, or any other limit applicable under the Plan with respect to the number and class of shares of common stock that may be delivered under the Plan;</w:t>
      </w:r>
    </w:p>
    <w:p>
      <w:pPr>
        <w:spacing w:after="0" w:line="5" w:lineRule="exact"/>
        <w:rPr>
          <w:rFonts w:ascii="Times New Roman" w:cs="Times New Roman" w:eastAsia="Times New Roman" w:hAnsi="Times New Roman"/>
          <w:sz w:val="17"/>
          <w:szCs w:val="17"/>
          <w:color w:val="auto"/>
        </w:rPr>
      </w:pPr>
    </w:p>
    <w:p>
      <w:pPr>
        <w:ind w:left="4" w:hanging="4"/>
        <w:spacing w:after="0" w:line="251" w:lineRule="auto"/>
        <w:tabs>
          <w:tab w:leader="none" w:pos="289"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class and price of shares of common stock or other securities of the Company (or number and kind of other securities or other property) which may be issued in respect of Awards or with respect to which Awards may be granted under the Plan or any Sub-Plan; and (C) the terms of any outstanding Award, including, without limitation, (I) the number and class of shares of common stock or other securities of the Company (or number and kind of other securities or other property) subject to outstanding Awards or to which outstanding Awards relate; (II) the Exercise Price or Strike Price with respect to any Award; or (III) any applicable performance measures (including, without limitation, Performance Criteria);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any “equity restructuring” (within the meaning of the Financial Accounting Standards Board Accounting Standards Codification Topic 718 (or any successor pronouncement thereto)), the Committee shall make an equitable or proportionate adjustment to outstanding Awards to reflect such equity restructuring.</w:t>
      </w:r>
    </w:p>
    <w:p>
      <w:pPr>
        <w:spacing w:after="0" w:line="193" w:lineRule="exact"/>
        <w:rPr>
          <w:rFonts w:ascii="Times New Roman" w:cs="Times New Roman" w:eastAsia="Times New Roman" w:hAnsi="Times New Roman"/>
          <w:sz w:val="18"/>
          <w:szCs w:val="18"/>
          <w:color w:val="auto"/>
        </w:rPr>
      </w:pPr>
    </w:p>
    <w:p>
      <w:pPr>
        <w:ind w:left="4" w:right="440" w:firstLine="436"/>
        <w:spacing w:after="0" w:line="282" w:lineRule="auto"/>
        <w:tabs>
          <w:tab w:leader="none" w:pos="699"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Without limiting the foregoing, in connection with any Change in Control, the Committee may, in its sole discretion, provide for any one or more of the following:</w:t>
      </w:r>
    </w:p>
    <w:p>
      <w:pPr>
        <w:spacing w:after="0" w:line="53" w:lineRule="exact"/>
        <w:rPr>
          <w:rFonts w:ascii="Times New Roman" w:cs="Times New Roman" w:eastAsia="Times New Roman" w:hAnsi="Times New Roman"/>
          <w:sz w:val="18"/>
          <w:szCs w:val="18"/>
          <w:color w:val="auto"/>
        </w:rPr>
      </w:pPr>
    </w:p>
    <w:p>
      <w:pPr>
        <w:ind w:left="444" w:right="80" w:firstLine="419"/>
        <w:spacing w:after="0" w:line="274" w:lineRule="auto"/>
        <w:tabs>
          <w:tab w:leader="none" w:pos="1082" w:val="left"/>
        </w:tabs>
        <w:numPr>
          <w:ilvl w:val="2"/>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substitution or assumption of Awards, or to the extent that the surviving entity (or Affiliate thereof) of such Change in Control does not substitute or assume the Awards, full acceleration of vesting of, exercisability of, or lapse of restrictions on, as applicable, any Awards;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unless the applicable Award Agreement provides for different treatment upon a Change in Control, with respect to any performance-vested Awards, any such acceleration of vesting, exercisability, or lapse of restrictions shall be based on (A) the target level of performance if the applicable performance period has not ended prior to the date of such Change in Control, and (B) the actual level of performance attained during the performance period if the applicable performance period has ended prior to the date of such Change in Control; and</w:t>
      </w:r>
    </w:p>
    <w:p>
      <w:pPr>
        <w:spacing w:after="0" w:line="64" w:lineRule="exact"/>
        <w:rPr>
          <w:rFonts w:ascii="Times New Roman" w:cs="Times New Roman" w:eastAsia="Times New Roman" w:hAnsi="Times New Roman"/>
          <w:sz w:val="17"/>
          <w:szCs w:val="17"/>
          <w:color w:val="auto"/>
        </w:rPr>
      </w:pPr>
    </w:p>
    <w:p>
      <w:pPr>
        <w:ind w:left="444" w:right="140" w:firstLine="419"/>
        <w:spacing w:after="0" w:line="282" w:lineRule="auto"/>
        <w:tabs>
          <w:tab w:leader="none" w:pos="1132" w:val="left"/>
        </w:tabs>
        <w:numPr>
          <w:ilvl w:val="2"/>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any one or more outstanding Awards and payment to the holders of such Awards that are vested as of such cancellation (including, without limitation, any Awards that would vest as a result of the occurrence of such event but for</w:t>
      </w:r>
    </w:p>
    <w:p>
      <w:pPr>
        <w:sectPr>
          <w:pgSz w:w="11900" w:h="16838" w:orient="portrait"/>
          <w:cols w:equalWidth="0" w:num="1">
            <w:col w:w="10944"/>
          </w:cols>
          <w:pgMar w:left="436" w:top="270" w:right="519" w:bottom="1440" w:gutter="0" w:footer="0" w:header="0"/>
        </w:sectPr>
      </w:pPr>
    </w:p>
    <w:bookmarkStart w:id="390" w:name="page391"/>
    <w:bookmarkEnd w:id="390"/>
    <w:p>
      <w:pPr>
        <w:ind w:left="44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cancellation or for which vesting is accelerated by the Committee in connection with such event pursuant to clause (i) above), the value of such Awards, if any, as determined by the Committee (which value, if applicable, may be based upon the price per share of Common Stock received or to be received by other stockholders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 Exercise Price or Strike Price of such Option or SAR (it being understood that, in such event, any Option or SAR having a per share Exercise Price or Strike Price equal to, or in excess of, the Fair Market Value of a share of Common Stock subject thereto may be canceled and terminated without any payment or consideration therefor).</w:t>
      </w:r>
    </w:p>
    <w:p>
      <w:pPr>
        <w:spacing w:after="0" w:line="189"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For purposes of clause (i) above, an award will be considered granted in substitution of an Award if it has an equivalent value (as determined consistent with clause (ii) above) with the original Award, whether designated in securities of the acquiror in such Change in Control transaction (or an Affiliate thereof), or in cash or other property (including in the same consideration that other stockholders of the Company receive in connection with such Change in Control transaction), and retains the vesting schedule applicable to the original Award.</w:t>
      </w:r>
    </w:p>
    <w:p>
      <w:pPr>
        <w:spacing w:after="0" w:line="180"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Payments to holders pursuant to clause (ii) above shall be made in cash or, in the sole discretion of the Committee, in the form of such other consideration necessary for a Participant to receive property, cash, or securities (or combination thereof) as such Participant would have been entitled to receive upon the occurrence of the transaction if the Participant had been, immediately prior to such transaction, the holder of the number of shares of Common Stock covered by the Award at such time (less any applicable Exercise Price or Strike Price).</w:t>
      </w:r>
    </w:p>
    <w:p>
      <w:pPr>
        <w:spacing w:after="0" w:line="180" w:lineRule="exact"/>
        <w:rPr>
          <w:sz w:val="20"/>
          <w:szCs w:val="20"/>
          <w:color w:val="auto"/>
        </w:rPr>
      </w:pPr>
    </w:p>
    <w:p>
      <w:pPr>
        <w:ind w:left="684" w:hanging="244"/>
        <w:spacing w:after="0"/>
        <w:tabs>
          <w:tab w:leader="none" w:pos="684"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Requirements</w:t>
      </w:r>
      <w:r>
        <w:rPr>
          <w:rFonts w:ascii="Times New Roman" w:cs="Times New Roman" w:eastAsia="Times New Roman" w:hAnsi="Times New Roman"/>
          <w:sz w:val="18"/>
          <w:szCs w:val="18"/>
          <w:color w:val="auto"/>
        </w:rPr>
        <w:t>. Prior to any payment or adjustment contemplated under this Section 12, the Committee may require a Participant to</w:t>
      </w:r>
    </w:p>
    <w:p>
      <w:pPr>
        <w:spacing w:after="0" w:line="27" w:lineRule="exact"/>
        <w:rPr>
          <w:rFonts w:ascii="Times New Roman" w:cs="Times New Roman" w:eastAsia="Times New Roman" w:hAnsi="Times New Roman"/>
          <w:sz w:val="18"/>
          <w:szCs w:val="18"/>
          <w:color w:val="auto"/>
        </w:rPr>
      </w:pPr>
    </w:p>
    <w:p>
      <w:pPr>
        <w:ind w:left="4" w:right="400" w:hanging="4"/>
        <w:spacing w:after="0" w:line="253" w:lineRule="auto"/>
        <w:tabs>
          <w:tab w:leader="none" w:pos="219"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and warrant as to the unencumbered title to the Participant’s Awards; (ii) bear such Participant’s pro rata share of any post-closing indemnity obligations, and be subject to the same post-closing purchase price adjustments, escrow terms, offset rights, holdback terms, and similar conditions as the other holders of Common Stock, subject to any limitations or reductions as may be necessary to comply with Section 409A of the Code; and (iii) deliver customary transfer documentation as reasonably determined by the Committee.</w:t>
      </w:r>
    </w:p>
    <w:p>
      <w:pPr>
        <w:spacing w:after="0" w:line="188"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99"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Any adjustment provided under this Section 12 may provide for the elimination of any fractional share that might otherwise become subject to an Award.</w:t>
      </w:r>
    </w:p>
    <w:p>
      <w:pPr>
        <w:spacing w:after="0" w:line="161" w:lineRule="exact"/>
        <w:rPr>
          <w:rFonts w:ascii="Times New Roman" w:cs="Times New Roman" w:eastAsia="Times New Roman" w:hAnsi="Times New Roman"/>
          <w:sz w:val="18"/>
          <w:szCs w:val="18"/>
          <w:color w:val="auto"/>
        </w:rPr>
      </w:pPr>
    </w:p>
    <w:p>
      <w:pPr>
        <w:ind w:left="4" w:right="340" w:firstLine="436"/>
        <w:spacing w:after="0" w:line="282" w:lineRule="auto"/>
        <w:tabs>
          <w:tab w:leader="none" w:pos="689"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Any adjustment, substitution, determination of value or other action taken by the Committee under this Section 12 shall be conclusive and binding for all purposes.</w:t>
      </w:r>
    </w:p>
    <w:p>
      <w:pPr>
        <w:sectPr>
          <w:pgSz w:w="11900" w:h="16838" w:orient="portrait"/>
          <w:cols w:equalWidth="0" w:num="1">
            <w:col w:w="10984"/>
          </w:cols>
          <w:pgMar w:left="436" w:top="270" w:right="479" w:bottom="1440" w:gutter="0" w:footer="0" w:header="0"/>
        </w:sectPr>
      </w:pPr>
    </w:p>
    <w:bookmarkStart w:id="391" w:name="page392"/>
    <w:bookmarkEnd w:id="39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 Amendments and 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right="20" w:firstLine="436"/>
        <w:spacing w:after="0" w:line="253" w:lineRule="auto"/>
        <w:tabs>
          <w:tab w:leader="none" w:pos="249"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 xml:space="preserve">. The Board or Committee may amend, alter, suspend, discontinue, or terminate the Plan or any portion thereof at any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amendment, alteration, suspension, discontinuance or termination shall be made without stockholder approval if (i) such approval is necessary to comply with any regulatory requirement applicable to the Plan (including, without limitation, as necessary to comply with any rules or regulations of any securities exchange or inter-dealer quotation system on which the securities of the Company may be listed or quoted) or for changes in GAAP to new accounting standards; (ii) it would materially increase the number of securities which may be issued under the Plan (except for increases pursuant to Sections 5 or 12 of the Plan); or (iii) it would materially modify the requirements for participation in the Plan;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Notwithstanding the foregoing, no amendment shall be made to Section 13(c) of the Plan without stockholder approval.</w:t>
      </w:r>
    </w:p>
    <w:p>
      <w:pPr>
        <w:spacing w:after="0" w:line="194" w:lineRule="exact"/>
        <w:rPr>
          <w:rFonts w:ascii="Times New Roman" w:cs="Times New Roman" w:eastAsia="Times New Roman" w:hAnsi="Times New Roman"/>
          <w:sz w:val="18"/>
          <w:szCs w:val="18"/>
          <w:color w:val="auto"/>
        </w:rPr>
      </w:pPr>
    </w:p>
    <w:p>
      <w:pPr>
        <w:ind w:left="-436" w:right="20" w:firstLine="436"/>
        <w:spacing w:after="0" w:line="256" w:lineRule="auto"/>
        <w:tabs>
          <w:tab w:leader="none" w:pos="259"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Award Agreements</w:t>
      </w:r>
      <w:r>
        <w:rPr>
          <w:rFonts w:ascii="Times New Roman" w:cs="Times New Roman" w:eastAsia="Times New Roman" w:hAnsi="Times New Roman"/>
          <w:sz w:val="18"/>
          <w:szCs w:val="18"/>
          <w:color w:val="auto"/>
        </w:rPr>
        <w:t xml:space="preserve">. The Committee may, to the extent consistent with the terms of the Plan and any applicable Award Agreement, waive any conditions or rights under, amend any terms of, or alter, suspend, discontinue, cancel or terminate, any Award theretofore granted or the associated Award Agreement, prospectively or retroactively (including after a Participant’s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other than pursuant to Section 12,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w:t>
      </w:r>
    </w:p>
    <w:p>
      <w:pPr>
        <w:spacing w:after="0" w:line="187" w:lineRule="exact"/>
        <w:rPr>
          <w:rFonts w:ascii="Times New Roman" w:cs="Times New Roman" w:eastAsia="Times New Roman" w:hAnsi="Times New Roman"/>
          <w:sz w:val="18"/>
          <w:szCs w:val="18"/>
          <w:color w:val="auto"/>
        </w:rPr>
      </w:pPr>
    </w:p>
    <w:p>
      <w:pPr>
        <w:ind w:left="-436" w:right="40" w:firstLine="436"/>
        <w:spacing w:after="0" w:line="256" w:lineRule="auto"/>
        <w:tabs>
          <w:tab w:leader="none" w:pos="249"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Repricing</w:t>
      </w:r>
      <w:r>
        <w:rPr>
          <w:rFonts w:ascii="Times New Roman" w:cs="Times New Roman" w:eastAsia="Times New Roman" w:hAnsi="Times New Roman"/>
          <w:sz w:val="18"/>
          <w:szCs w:val="18"/>
          <w:color w:val="auto"/>
        </w:rPr>
        <w:t>. Notwithstanding anything in the Plan to the contrary, without stockholder approval, except as otherwise permitted under Section 12 of the Plan, (i) no amendment or modification may reduce the Exercise Price of any Option or the Strike Price of any SAR; (ii) the Committee may not cancel any outstanding Option or SAR and replace it with a new Option or SAR (with a lower Exercise Price or Strike Price, as the case may be) or other Award or cash payment that is greater than the intrinsic value (if any) of the cancelled Option or SAR; and (iii) the Committee may not take any other action which is considered a “repricing” for purposes of the stockholder approval rules of any securities exchange or inter-dealer quotation system on which the securities of the Company are listed or quoted.</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14. General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36" w:firstLine="436"/>
        <w:spacing w:after="0" w:line="274" w:lineRule="auto"/>
        <w:tabs>
          <w:tab w:leader="none" w:pos="249"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 Agreements</w:t>
      </w:r>
      <w:r>
        <w:rPr>
          <w:rFonts w:ascii="Times New Roman" w:cs="Times New Roman" w:eastAsia="Times New Roman" w:hAnsi="Times New Roman"/>
          <w:sz w:val="17"/>
          <w:szCs w:val="17"/>
          <w:color w:val="auto"/>
        </w:rPr>
        <w:t>. Each Award (other than a Cash-Based Incentive Award) under the Plan shall be evidenced by an Award Agreement, which shall be delivered to the Participant to whom such Award was granted and shall specify the terms and conditions of the Award and any rules applicable thereto, including, without limitation, the effect on such Award of the death, Disability or Termination of a Participant, or of such other events as may be determined by the Committee. For purposes of the Plan, an Award Agreement may be in any such form (written or electronic) as determined by the Committee (including, without limitation, a Board or Committee resolution, an employment agreement, a notice, a certificate or a letter) evidencing the Award. The Committee need not require an Award Agreement to be signed by the Participant or a duly authorized representative of the Company.</w:t>
      </w:r>
    </w:p>
    <w:p>
      <w:pPr>
        <w:sectPr>
          <w:pgSz w:w="11900" w:h="16838" w:orient="portrait"/>
          <w:cols w:equalWidth="0" w:num="1">
            <w:col w:w="10544"/>
          </w:cols>
          <w:pgMar w:left="876" w:top="266" w:right="479" w:bottom="1440" w:gutter="0" w:footer="0" w:header="0"/>
        </w:sectPr>
      </w:pPr>
    </w:p>
    <w:bookmarkStart w:id="392" w:name="page393"/>
    <w:bookmarkEnd w:id="392"/>
    <w:p>
      <w:pPr>
        <w:ind w:left="264" w:hanging="264"/>
        <w:spacing w:after="0"/>
        <w:tabs>
          <w:tab w:leader="none" w:pos="264"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Nontransferability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0" w:firstLine="419"/>
        <w:spacing w:after="0" w:line="256" w:lineRule="auto"/>
        <w:tabs>
          <w:tab w:leader="none" w:pos="641"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Award shall be exercisable only by such Participant to whom such Award was granted during the Participant’s lifetime, or, if permissible under applicable law, by the Participant’s legal guardian or representative. No Award may be assigned, alienated, pledged, attached, sold or otherwise transferred or encumbered by a Participant (unless such transfer is specifically required pursuant to a domestic relations order or by applicable law) other than by will or by the laws of descent and distribution and any such purported assignment, alienation, pledge, attachment, sale, transfer or encumbrance shall be void and unenforceable against any member of the Company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designation of a beneficiary shall not constitute an assignment, alienation, pledge, attachment, sale, transfer or encumbrance.</w:t>
      </w:r>
    </w:p>
    <w:p>
      <w:pPr>
        <w:spacing w:after="0" w:line="79" w:lineRule="exact"/>
        <w:rPr>
          <w:rFonts w:ascii="Times New Roman" w:cs="Times New Roman" w:eastAsia="Times New Roman" w:hAnsi="Times New Roman"/>
          <w:sz w:val="18"/>
          <w:szCs w:val="18"/>
          <w:color w:val="auto"/>
        </w:rPr>
      </w:pPr>
    </w:p>
    <w:p>
      <w:pPr>
        <w:ind w:left="4" w:firstLine="419"/>
        <w:spacing w:after="0" w:line="253" w:lineRule="auto"/>
        <w:tabs>
          <w:tab w:leader="none" w:pos="691"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or any successor form of registration statement promulgated by the Securities and Exchange Commission (collectively, the “</w:t>
      </w:r>
      <w:r>
        <w:rPr>
          <w:rFonts w:ascii="Times New Roman" w:cs="Times New Roman" w:eastAsia="Times New Roman" w:hAnsi="Times New Roman"/>
          <w:sz w:val="18"/>
          <w:szCs w:val="18"/>
          <w:u w:val="single" w:color="auto"/>
          <w:color w:val="auto"/>
        </w:rPr>
        <w:t>Immediate Family Members</w:t>
      </w:r>
      <w:r>
        <w:rPr>
          <w:rFonts w:ascii="Times New Roman" w:cs="Times New Roman" w:eastAsia="Times New Roman" w:hAnsi="Times New Roman"/>
          <w:sz w:val="18"/>
          <w:szCs w:val="18"/>
          <w:color w:val="auto"/>
        </w:rPr>
        <w:t>”); (B) a trust solely for the benefit of the Participant and the Participant’s Immediate Family Members; (C) a partnership or limited liability company whose only partners or stockholders are the Participant and the Participant’s Immediate Family Members; or (D) a beneficiary to whom donations are eligible to be treated as “charitable contributions” for federal income tax purposes (each transferee described in clauses (A), (B), (C) and (D) above is hereinafter referred to as a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86"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741"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Award transferred in accordance with clause (ii) above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neither the Committee nor the Company shall be required to provide any notice to a Permitted Transferee, whether or not such notice is or would otherwise have been required to be given to the Participant under the Plan or</w:t>
      </w:r>
    </w:p>
    <w:p>
      <w:pPr>
        <w:sectPr>
          <w:pgSz w:w="11900" w:h="16838" w:orient="portrait"/>
          <w:cols w:equalWidth="0" w:num="1">
            <w:col w:w="10564"/>
          </w:cols>
          <w:pgMar w:left="876" w:top="270" w:right="459" w:bottom="1440" w:gutter="0" w:footer="0" w:header="0"/>
        </w:sectPr>
      </w:pPr>
    </w:p>
    <w:bookmarkStart w:id="393" w:name="page394"/>
    <w:bookmarkEnd w:id="393"/>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otherwise; and (D) the consequences of a Participant’s Termination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176" w:lineRule="exact"/>
        <w:rPr>
          <w:sz w:val="20"/>
          <w:szCs w:val="20"/>
          <w:color w:val="auto"/>
        </w:rPr>
      </w:pPr>
    </w:p>
    <w:p>
      <w:pPr>
        <w:ind w:left="-436" w:right="60" w:firstLine="436"/>
        <w:spacing w:after="0" w:line="254" w:lineRule="auto"/>
        <w:tabs>
          <w:tab w:leader="none" w:pos="249"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Dividend Equivalents</w:t>
      </w:r>
      <w:r>
        <w:rPr>
          <w:rFonts w:ascii="Times New Roman" w:cs="Times New Roman" w:eastAsia="Times New Roman" w:hAnsi="Times New Roman"/>
          <w:sz w:val="18"/>
          <w:szCs w:val="18"/>
          <w:color w:val="auto"/>
        </w:rPr>
        <w:t>. The Committee may, in its sole discretion, provide a Participant as part of an Award with dividends, dividend equivalents, or similar payments in respect of Awards, payable in cash, shares of Common Stock, other securities, other Awards or other property, on a current or deferred basis, on such terms and conditions as may be determined by the Committee in its sole discretion, including, without limitation, payment directly to the Participant, withholding of such amounts by the Company subject to vesting of the Award or reinvestment in additional shares of Common Stock, Restricted Stock or other Awards. Without limiting the foregoing, unless otherwise provided in the Award Agreement, any dividend otherwise payable in respect of any share of Restricted Stock that remains subject to vesting conditions at the time of payment of such dividend shall be retained by the Company and remain subject to the same vesting conditions as the share of Restricted Stock to which the dividend relates.</w:t>
      </w:r>
    </w:p>
    <w:p>
      <w:pPr>
        <w:spacing w:after="0" w:line="19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20" w:firstLine="419"/>
        <w:spacing w:after="0" w:line="261" w:lineRule="auto"/>
        <w:tabs>
          <w:tab w:leader="none" w:pos="641"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be required to pay to the Company or one or more of its Subsidiaries, as applicable, an amount in cash (by check or wire transfer) equal to the aggregate amount of any income, employment and/or other applicable taxes that are statutorily required to be withheld in respect of an Award. Alternatively, the Company or any of its Subsidiaries may elect, in its sole discretion, to satisfy this requirement by withholding such amount from any cash compensation or other cash amounts owing to a Participant.</w:t>
      </w:r>
    </w:p>
    <w:p>
      <w:pPr>
        <w:spacing w:after="0" w:line="71" w:lineRule="exact"/>
        <w:rPr>
          <w:rFonts w:ascii="Times New Roman" w:cs="Times New Roman" w:eastAsia="Times New Roman" w:hAnsi="Times New Roman"/>
          <w:sz w:val="18"/>
          <w:szCs w:val="18"/>
          <w:color w:val="auto"/>
        </w:rPr>
      </w:pPr>
    </w:p>
    <w:p>
      <w:pPr>
        <w:ind w:left="4" w:right="40" w:firstLine="419"/>
        <w:spacing w:after="0" w:line="254" w:lineRule="auto"/>
        <w:tabs>
          <w:tab w:leader="none" w:pos="691"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the Committee may (but is not obligated to), in its sole discretion, permit or require a Participant to satisfy, all or any portion of the minimum income, employment and/or other applicable taxes that are statutorily required to be withheld with respect to an Award by (A) the delivery of shares of Common Stock (which are not subject to any pledge or other security interest) that have been both held by the Participant and vested for at least six (6) months (or such other period as established from time to time by the Committee in order to avoid adverse accounting treatment under applicable accounting standards) having an aggregate fair market value equal to such minimum statutorily required withholding liability (or portion thereof); or (B) having the Company withhold from the shares of Common Stock otherwise issuable or deliverable to, or that would otherwise be retained by, the Participant upon the grant, exercise, vesting or settlement of the Award, as applicable, a number of shares of Common Stock with an aggregate fair market value equal to an amount, subject to clause (iii) below, not in excess of such minimum statutorily required withholding liability (or portion thereof).</w:t>
      </w:r>
    </w:p>
    <w:p>
      <w:pPr>
        <w:sectPr>
          <w:pgSz w:w="11900" w:h="16838" w:orient="portrait"/>
          <w:cols w:equalWidth="0" w:num="1">
            <w:col w:w="10564"/>
          </w:cols>
          <w:pgMar w:left="876" w:top="270" w:right="459" w:bottom="1440" w:gutter="0" w:footer="0" w:header="0"/>
        </w:sectPr>
      </w:pPr>
    </w:p>
    <w:bookmarkStart w:id="394" w:name="page395"/>
    <w:bookmarkEnd w:id="394"/>
    <w:p>
      <w:pPr>
        <w:ind w:left="4" w:right="140" w:firstLine="419"/>
        <w:spacing w:after="0" w:line="256" w:lineRule="auto"/>
        <w:tabs>
          <w:tab w:leader="none" w:pos="741"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Committee has full discretion to allow Participants to satisfy, in whole or in part, any additional income, employment and/or other applicable taxes payable by them with respect to an Award by electing to have the Company withhold from the shares of Common Stock otherwise issuable or deliverable to, or that would otherwise be retained by, a Participant upon the grant, exercise, vesting or settlement of the Award, as applicable, shares of Common Stock having an aggregate fair market value that is greater than the applicable minimum required statutory withholding liability (but such withholding may in no event be in excess of the maximum statutory withholding amount(s) in a Participant’s relevant tax jurisdictions).</w:t>
      </w:r>
    </w:p>
    <w:p>
      <w:pPr>
        <w:spacing w:after="0" w:line="187" w:lineRule="exact"/>
        <w:rPr>
          <w:rFonts w:ascii="Times New Roman" w:cs="Times New Roman" w:eastAsia="Times New Roman" w:hAnsi="Times New Roman"/>
          <w:sz w:val="18"/>
          <w:szCs w:val="18"/>
          <w:color w:val="auto"/>
        </w:rPr>
      </w:pPr>
    </w:p>
    <w:p>
      <w:pPr>
        <w:ind w:left="-436" w:right="20" w:firstLine="436"/>
        <w:spacing w:after="0" w:line="258" w:lineRule="auto"/>
        <w:tabs>
          <w:tab w:leader="none" w:pos="249"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Protection</w:t>
      </w:r>
      <w:r>
        <w:rPr>
          <w:rFonts w:ascii="Times New Roman" w:cs="Times New Roman" w:eastAsia="Times New Roman" w:hAnsi="Times New Roman"/>
          <w:sz w:val="18"/>
          <w:szCs w:val="18"/>
          <w:color w:val="auto"/>
        </w:rPr>
        <w:t>. By participating in the Plan or accepting any rights granted under it, each Participant consents to the collection and processing of personal data relating to the Participant so that the Company and its Affiliates can fulfill their obligations and exercise their rights under the Plan and generally administer and manage the Plan. This data will include, but may not be limited to, data about participation in the Plan and shares offered or received, purchased, or sold under the Plan from time to time and other appropriate financial and other data (such as the date on which the Awards were granted) about the Participant and the Participant’s participation in the Plan.</w:t>
      </w:r>
    </w:p>
    <w:p>
      <w:pPr>
        <w:spacing w:after="0" w:line="183" w:lineRule="exact"/>
        <w:rPr>
          <w:rFonts w:ascii="Times New Roman" w:cs="Times New Roman" w:eastAsia="Times New Roman" w:hAnsi="Times New Roman"/>
          <w:sz w:val="18"/>
          <w:szCs w:val="18"/>
          <w:color w:val="auto"/>
        </w:rPr>
      </w:pPr>
    </w:p>
    <w:p>
      <w:pPr>
        <w:ind w:left="-436" w:firstLine="436"/>
        <w:spacing w:after="0" w:line="253" w:lineRule="auto"/>
        <w:tabs>
          <w:tab w:leader="none" w:pos="229"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Claim to Awards; No Rights to Continued Employment; Waiver</w:t>
      </w:r>
      <w:r>
        <w:rPr>
          <w:rFonts w:ascii="Times New Roman" w:cs="Times New Roman" w:eastAsia="Times New Roman" w:hAnsi="Times New Roman"/>
          <w:sz w:val="18"/>
          <w:szCs w:val="18"/>
          <w:color w:val="auto"/>
        </w:rPr>
        <w:t>. No employee of any member of the Company Group,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Service Recipient or any other member of the Company Group, nor shall it be construed as giving any Participant any rights to continued service on the Board. The Service Recipient or any other member of the Company Group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except to the extent of any provision to the contrary in any written employment contract or other agreement between the Service Recipient and/or any member of the Company Group and the Participant, whether any such agreement is executed before, on or after the Date of Grant.</w:t>
      </w:r>
    </w:p>
    <w:p>
      <w:pPr>
        <w:spacing w:after="0" w:line="187" w:lineRule="exact"/>
        <w:rPr>
          <w:rFonts w:ascii="Times New Roman" w:cs="Times New Roman" w:eastAsia="Times New Roman" w:hAnsi="Times New Roman"/>
          <w:sz w:val="18"/>
          <w:szCs w:val="18"/>
          <w:color w:val="auto"/>
        </w:rPr>
      </w:pPr>
    </w:p>
    <w:p>
      <w:pPr>
        <w:ind w:left="-436" w:right="140" w:firstLine="436"/>
        <w:spacing w:after="0" w:line="261" w:lineRule="auto"/>
        <w:tabs>
          <w:tab w:leader="none" w:pos="259"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International Participants</w:t>
      </w:r>
      <w:r>
        <w:rPr>
          <w:rFonts w:ascii="Times New Roman" w:cs="Times New Roman" w:eastAsia="Times New Roman" w:hAnsi="Times New Roman"/>
          <w:sz w:val="18"/>
          <w:szCs w:val="18"/>
          <w:color w:val="auto"/>
        </w:rPr>
        <w:t>. With respect to Participants who reside or work outside of the United States of America, the Committee may, in its sole discretion, amend the terms of the Plan and create or amend Sub-Plans or amend outstanding Awards with respect to such Participants in order to conform such terms with the requirements of local law or to obtain more favorable tax or other treatment for a Participant or any member of the Company Group.</w:t>
      </w:r>
    </w:p>
    <w:p>
      <w:pPr>
        <w:sectPr>
          <w:pgSz w:w="11900" w:h="16838" w:orient="portrait"/>
          <w:cols w:equalWidth="0" w:num="1">
            <w:col w:w="10564"/>
          </w:cols>
          <w:pgMar w:left="876" w:top="270" w:right="459" w:bottom="1440" w:gutter="0" w:footer="0" w:header="0"/>
        </w:sectPr>
      </w:pPr>
    </w:p>
    <w:bookmarkStart w:id="395" w:name="page396"/>
    <w:bookmarkEnd w:id="395"/>
    <w:p>
      <w:pPr>
        <w:ind w:right="40" w:firstLine="436"/>
        <w:spacing w:after="0" w:line="255" w:lineRule="auto"/>
        <w:tabs>
          <w:tab w:leader="none" w:pos="69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Designation and Change of Beneficiary</w:t>
      </w:r>
      <w:r>
        <w:rPr>
          <w:rFonts w:ascii="Times New Roman" w:cs="Times New Roman" w:eastAsia="Times New Roman" w:hAnsi="Times New Roman"/>
          <w:sz w:val="18"/>
          <w:szCs w:val="18"/>
          <w:color w:val="auto"/>
        </w:rPr>
        <w:t xml:space="preserve">. Each Participant may file with the Committee a written designation of one or more Persons as the beneficiary or beneficiaries, as applicable, who shall be entitled to receive the amounts payable with respect to an Award, if any, due under the Plan upon the Participant’s death. A Participant may, from time to time, revoke or change the Participant’s beneficiary designation without the consent of any prior beneficiary by filing a new designation with the Committee. The last such designation received by the Committee shall be controlling;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the Participant’s spouse or, if the Participant is unmarried at the time of death, the Participant’s estate.</w:t>
      </w:r>
    </w:p>
    <w:p>
      <w:pPr>
        <w:spacing w:after="0" w:line="188"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Except as otherwise provided in an Award Agreement, unless determined otherwise by the Committee at any point following such</w:t>
      </w:r>
    </w:p>
    <w:p>
      <w:pPr>
        <w:spacing w:after="0" w:line="38" w:lineRule="exact"/>
        <w:rPr>
          <w:rFonts w:ascii="Times New Roman" w:cs="Times New Roman" w:eastAsia="Times New Roman" w:hAnsi="Times New Roman"/>
          <w:sz w:val="17"/>
          <w:szCs w:val="17"/>
          <w:color w:val="auto"/>
        </w:rPr>
      </w:pP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event: (i) neither a temporary absence from employment or service due to illness, vacation or leave of absence (including, without limitation, a call to active duty for military service through a Reserve or National Guard unit) nor a transfer from employment or service with one Service Recipient to employment or service with another Service Recipient (or vice-versa) shall be considered a Termination; and (ii) if a Participant undergoes a Termination of employment, but such Participant continues to provide services to the Company Group in a non-employee capacity, such change in status shall not be considered a Termination for purposes of the Plan. Further, unless otherwise determined by the Committee, in the event that any Service Recipient ceases to be a member of the Company Group (by reason of sale, divestiture, spin-off or other similar transaction), unless a Participant’s employment or service is transferred to another entity that would constitute a Service Recipient immediately following such transaction, such Participant shall be deemed to have suffered a Termination hereunder as of the date of the consummation of such transaction.</w:t>
      </w:r>
    </w:p>
    <w:p>
      <w:pPr>
        <w:spacing w:after="0" w:line="193" w:lineRule="exact"/>
        <w:rPr>
          <w:rFonts w:ascii="Times New Roman" w:cs="Times New Roman" w:eastAsia="Times New Roman" w:hAnsi="Times New Roman"/>
          <w:sz w:val="17"/>
          <w:szCs w:val="17"/>
          <w:color w:val="auto"/>
        </w:rPr>
      </w:pPr>
    </w:p>
    <w:p>
      <w:pPr>
        <w:ind w:right="60" w:firstLine="436"/>
        <w:spacing w:after="0" w:line="266" w:lineRule="auto"/>
        <w:tabs>
          <w:tab w:leader="none" w:pos="65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Except as otherwise specifically provided in the Plan or any Award Agreement, no Person shall be entitled to the privileges of ownership in respect of shares of Common Stock which are subject to Awards hereunder until such shares have been issued or delivered to such Person.</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 and Other Regulations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078"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to settle Awards in shares of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(if the Company has requested such an opinion), satisfactory to the Company, that such shares may be offered or sold without such registration pursuant to an available exemption</w:t>
      </w:r>
    </w:p>
    <w:p>
      <w:pPr>
        <w:sectPr>
          <w:pgSz w:w="11900" w:h="16838" w:orient="portrait"/>
          <w:cols w:equalWidth="0" w:num="1">
            <w:col w:w="11000"/>
          </w:cols>
          <w:pgMar w:left="440" w:top="270" w:right="459" w:bottom="1440" w:gutter="0" w:footer="0" w:header="0"/>
        </w:sectPr>
      </w:pPr>
    </w:p>
    <w:bookmarkStart w:id="396" w:name="page397"/>
    <w:bookmarkEnd w:id="39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therefrom and the terms and conditions of such exemption have been fully complied with. The Company shall be under no obligation to register for sale under the Securities Act any of the shares of Common Stock to be offered or sold under the Plan. The Committee shall have the authority to provide that all shares of Common Stock or other securities of any member of the Company Group issued under the Plan shall be subject to such stop-transfer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on which the securities of the Company are listed or quoted and any other applicable Federal, state, local or non-U.S. laws, rules, regulations and other requirements, and, without limiting the generality of Section 9 of the Plan, the Committee may cause a legend or legends to be put on certificates representing shares of Common Stock or other securities of any member of the Company Group issued under the Plan to make appropriate reference to such restrictions or may cause such Common Stock or other securities of any member of the Company Group issued under the Plan in book-entry form to be held subject to the Company’s instructions or subject to appropriate stop-transfer</w:t>
      </w:r>
    </w:p>
    <w:p>
      <w:pPr>
        <w:spacing w:after="0" w:line="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orders. Notwithstanding any provision in the Plan to the contrary, the Committee reserves the right to, at any time, add any additional terms or provisions to any Award granted under the Plan that the Committee, in its sole discretion, deems necessary or advisable in order that such Award complies with the legal requirements of any governmental entity to whose jurisdiction the Award is subject.</w:t>
      </w:r>
    </w:p>
    <w:p>
      <w:pPr>
        <w:spacing w:after="0" w:line="78" w:lineRule="exact"/>
        <w:rPr>
          <w:sz w:val="20"/>
          <w:szCs w:val="20"/>
          <w:color w:val="auto"/>
        </w:rPr>
      </w:pPr>
    </w:p>
    <w:p>
      <w:pPr>
        <w:ind w:right="20" w:firstLine="419"/>
        <w:spacing w:after="0" w:line="253" w:lineRule="auto"/>
        <w:tabs>
          <w:tab w:leader="none" w:pos="688"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cancel an Award or any portion thereof if it determines, in its sole discretion,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the Company shall, subject to any limitations or reductions as may be necessary to comply with Section 409A of the Code, (A) pay to the Participant an amount equal to the excess of (I) the aggregate Fair Market Value of the shares of Common Stock subject to such Award or portion thereof canceled (determined as of the applicable exercise date, or the date that the shares would have been vested or issued, as applicable); over (II) the aggregate Exercise Price or Strike Price (in the case of an Option or SAR, respectively) or any amount payable as a condition of issuance of shares of Common Stock (in the case of any other Award). Such amount shall be delivered to the Participant as soon as practicable following the cancellation of such Award or portion thereof, or (B) in the case of Restricted Stock, Restricted Stock Units or Other Equity-Based Awards, provide the Participant with a cash payment or equity subject to deferred vesting and delivery consistent with the vesting restrictions applicable to such Restricted Stock, Restricted Stock Units or Other Equity-Based Awards, or the underlying shares in respect thereof.</w:t>
      </w:r>
    </w:p>
    <w:p>
      <w:pPr>
        <w:sectPr>
          <w:pgSz w:w="11900" w:h="16838" w:orient="portrait"/>
          <w:cols w:equalWidth="0" w:num="1">
            <w:col w:w="10560"/>
          </w:cols>
          <w:pgMar w:left="880" w:top="270" w:right="459" w:bottom="1440" w:gutter="0" w:footer="0" w:header="0"/>
        </w:sectPr>
      </w:pPr>
    </w:p>
    <w:bookmarkStart w:id="397" w:name="page398"/>
    <w:bookmarkEnd w:id="397"/>
    <w:p>
      <w:pPr>
        <w:ind w:firstLine="436"/>
        <w:spacing w:after="0" w:line="256" w:lineRule="auto"/>
        <w:tabs>
          <w:tab w:leader="none" w:pos="65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Section 83(b) Elections Without Consent of Company</w:t>
      </w:r>
      <w:r>
        <w:rPr>
          <w:rFonts w:ascii="Times New Roman" w:cs="Times New Roman" w:eastAsia="Times New Roman" w:hAnsi="Times New Roman"/>
          <w:sz w:val="18"/>
          <w:szCs w:val="18"/>
          <w:color w:val="auto"/>
        </w:rPr>
        <w:t>. No election under Section 83(b) of the Code or under a similar provision of law may be made unless expressly permitted by the terms of the applicable Award Agreement or by action of the Company in writing prior to the making of such election. If a Participant, in connection with the acquisition of shares of Common Stock under the Plan or otherwise, is expressly permitted to make such election and the Participant makes the election, the Participant shall notify the Company of such election within ten (10) days of filing notice of the election with the Internal Revenue Service or other governmental authority, in addition to any filing and notification required pursuant to Section 83(b) of the Code or other applicable provision.</w:t>
      </w:r>
    </w:p>
    <w:p>
      <w:pPr>
        <w:spacing w:after="0" w:line="187" w:lineRule="exact"/>
        <w:rPr>
          <w:rFonts w:ascii="Times New Roman" w:cs="Times New Roman" w:eastAsia="Times New Roman" w:hAnsi="Times New Roman"/>
          <w:sz w:val="18"/>
          <w:szCs w:val="18"/>
          <w:color w:val="auto"/>
        </w:rPr>
      </w:pPr>
    </w:p>
    <w:p>
      <w:pPr>
        <w:ind w:right="20" w:firstLine="436"/>
        <w:spacing w:after="0" w:line="256" w:lineRule="auto"/>
        <w:tabs>
          <w:tab w:leader="none" w:pos="74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Persons Other Than Participants</w:t>
      </w:r>
      <w:r>
        <w:rPr>
          <w:rFonts w:ascii="Times New Roman" w:cs="Times New Roman" w:eastAsia="Times New Roman" w:hAnsi="Times New Roman"/>
          <w:sz w:val="18"/>
          <w:szCs w:val="18"/>
          <w:color w:val="auto"/>
        </w:rPr>
        <w:t>. If the Committee shall find that any Person to whom any amount is payable under the Plan is unable to care for the Participant’s affairs because of illness or accident, or is a minor, or has died, then any payment due to such Person or the Participant’s estate (unless a prior claim therefor has been made by a duly appointed legal representative) may, if the Committee so directs the Company, be paid to the Participant’s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87" w:lineRule="exact"/>
        <w:rPr>
          <w:rFonts w:ascii="Times New Roman" w:cs="Times New Roman" w:eastAsia="Times New Roman" w:hAnsi="Times New Roman"/>
          <w:sz w:val="18"/>
          <w:szCs w:val="18"/>
          <w:color w:val="auto"/>
        </w:rPr>
      </w:pPr>
    </w:p>
    <w:p>
      <w:pPr>
        <w:ind w:right="480" w:firstLine="436"/>
        <w:spacing w:after="0" w:line="261" w:lineRule="auto"/>
        <w:tabs>
          <w:tab w:leader="none" w:pos="69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the Plan</w:t>
      </w:r>
      <w:r>
        <w:rPr>
          <w:rFonts w:ascii="Times New Roman" w:cs="Times New Roman" w:eastAsia="Times New Roman" w:hAnsi="Times New Roman"/>
          <w:sz w:val="18"/>
          <w:szCs w:val="18"/>
          <w:color w:val="auto"/>
        </w:rPr>
        <w:t>. Neither the adoption of the Plan by the Committee nor the submission of the Plan to the stockholders of the Company for approval shall be construed as creating any limitations on the power of the Committee or Board to adopt such other incentive arrangements as it may deem desirable, including, without limitation, the granting of equity-based awards otherwise than under the Plan, and such arrangements may be either applicable generally or only in specific cases.</w:t>
      </w:r>
    </w:p>
    <w:p>
      <w:pPr>
        <w:spacing w:after="0" w:line="179" w:lineRule="exact"/>
        <w:rPr>
          <w:rFonts w:ascii="Times New Roman" w:cs="Times New Roman" w:eastAsia="Times New Roman" w:hAnsi="Times New Roman"/>
          <w:sz w:val="18"/>
          <w:szCs w:val="18"/>
          <w:color w:val="auto"/>
        </w:rPr>
      </w:pPr>
    </w:p>
    <w:p>
      <w:pPr>
        <w:ind w:right="120" w:firstLine="436"/>
        <w:spacing w:after="0" w:line="269" w:lineRule="auto"/>
        <w:tabs>
          <w:tab w:leader="none" w:pos="695" w:val="left"/>
        </w:tabs>
        <w:numPr>
          <w:ilvl w:val="0"/>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Trust or Fund Created</w:t>
      </w:r>
      <w:r>
        <w:rPr>
          <w:rFonts w:ascii="Times New Roman" w:cs="Times New Roman" w:eastAsia="Times New Roman" w:hAnsi="Times New Roman"/>
          <w:sz w:val="17"/>
          <w:szCs w:val="17"/>
          <w:color w:val="auto"/>
        </w:rPr>
        <w:t>. Neither the Plan nor any Award shall create or be construed to create a trust or separate fund of any kind or a fiduciary relationship between any member of the Company Group, on the one hand, and a Participant or other Person,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be obligated to maintain separate bank accounts, books, records or other evidence of the existence of a segregated or separately maintained or administered fund for such</w:t>
      </w:r>
    </w:p>
    <w:p>
      <w:pPr>
        <w:spacing w:after="0" w:line="2" w:lineRule="exact"/>
        <w:rPr>
          <w:rFonts w:ascii="Times New Roman" w:cs="Times New Roman" w:eastAsia="Times New Roman" w:hAnsi="Times New Roman"/>
          <w:sz w:val="17"/>
          <w:szCs w:val="17"/>
          <w:color w:val="auto"/>
        </w:rPr>
      </w:pPr>
    </w:p>
    <w:p>
      <w:pPr>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purposes. Participants shall have no rights under the Plan other than as unsecured general creditors of the Company, except that insofar as they may have become entitled to payment of additional compensation by performance of services, they shall have the same rights as other service providers under general law.</w:t>
      </w:r>
    </w:p>
    <w:p>
      <w:pPr>
        <w:spacing w:after="0" w:line="185" w:lineRule="exact"/>
        <w:rPr>
          <w:rFonts w:ascii="Times New Roman" w:cs="Times New Roman" w:eastAsia="Times New Roman" w:hAnsi="Times New Roman"/>
          <w:sz w:val="17"/>
          <w:szCs w:val="17"/>
          <w:color w:val="auto"/>
        </w:rPr>
      </w:pPr>
    </w:p>
    <w:p>
      <w:pPr>
        <w:ind w:right="160" w:firstLine="436"/>
        <w:spacing w:after="0" w:line="261" w:lineRule="auto"/>
        <w:tabs>
          <w:tab w:leader="none" w:pos="69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Reports</w:t>
      </w:r>
      <w:r>
        <w:rPr>
          <w:rFonts w:ascii="Times New Roman" w:cs="Times New Roman" w:eastAsia="Times New Roman" w:hAnsi="Times New Roman"/>
          <w:sz w:val="18"/>
          <w:szCs w:val="18"/>
          <w:color w:val="auto"/>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any member of the Company Group and/or any other information furnished in connection with the Plan by any agent of the Company or the Committee or the Board, other than himself or herself.</w:t>
      </w:r>
    </w:p>
    <w:p>
      <w:pPr>
        <w:sectPr>
          <w:pgSz w:w="11900" w:h="16838" w:orient="portrait"/>
          <w:cols w:equalWidth="0" w:num="1">
            <w:col w:w="11000"/>
          </w:cols>
          <w:pgMar w:left="440" w:top="270" w:right="459" w:bottom="1440" w:gutter="0" w:footer="0" w:header="0"/>
        </w:sectPr>
      </w:pPr>
    </w:p>
    <w:bookmarkStart w:id="398" w:name="page399"/>
    <w:bookmarkEnd w:id="398"/>
    <w:p>
      <w:pPr>
        <w:ind w:left="-436" w:right="500" w:firstLine="436"/>
        <w:spacing w:after="0" w:line="266" w:lineRule="auto"/>
        <w:tabs>
          <w:tab w:leader="none" w:pos="25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Relationship to Other Benefits</w:t>
      </w:r>
      <w:r>
        <w:rPr>
          <w:rFonts w:ascii="Times New Roman" w:cs="Times New Roman" w:eastAsia="Times New Roman" w:hAnsi="Times New Roman"/>
          <w:sz w:val="18"/>
          <w:szCs w:val="18"/>
          <w:color w:val="auto"/>
        </w:rPr>
        <w:t>. No payment under the Plan shall be taken into account in determining any benefits under any pension, retirement, profit sharing, group insurance or other benefit plan of the Company except as otherwise specifically provided in such other plan or as required by applicable law.</w:t>
      </w:r>
    </w:p>
    <w:p>
      <w:pPr>
        <w:spacing w:after="0" w:line="175" w:lineRule="exact"/>
        <w:rPr>
          <w:rFonts w:ascii="Times New Roman" w:cs="Times New Roman" w:eastAsia="Times New Roman" w:hAnsi="Times New Roman"/>
          <w:sz w:val="18"/>
          <w:szCs w:val="18"/>
          <w:color w:val="auto"/>
        </w:rPr>
      </w:pPr>
    </w:p>
    <w:p>
      <w:pPr>
        <w:ind w:left="-436" w:right="460" w:firstLine="436"/>
        <w:spacing w:after="0" w:line="258" w:lineRule="auto"/>
        <w:tabs>
          <w:tab w:leader="none" w:pos="22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shall be governed by and construed in accordance with the internal laws of the State of Delaware applicable to contracts made and performed wholly within the State of Delaware, without giving effect to the conflict of laws provisions thereof. EACH PARTICIPANT WHO ACCEPTS AN AWARD IRREVOCABLY WAIVES ALL RIGHT TO A TRIAL BY JURY IN ANY SUIT, ACTION, OR OTHER PROCEEDING INSTITUTED BY OR AGAINST SUCH PARTICIPANT IN RESPECT OF THE PARTICIPANT’S RIGHTS OR OBLIGATIONS HEREUNDER.</w:t>
      </w:r>
    </w:p>
    <w:p>
      <w:pPr>
        <w:spacing w:after="0" w:line="183" w:lineRule="exact"/>
        <w:rPr>
          <w:rFonts w:ascii="Times New Roman" w:cs="Times New Roman" w:eastAsia="Times New Roman" w:hAnsi="Times New Roman"/>
          <w:sz w:val="18"/>
          <w:szCs w:val="18"/>
          <w:color w:val="auto"/>
        </w:rPr>
      </w:pPr>
    </w:p>
    <w:p>
      <w:pPr>
        <w:ind w:left="-436" w:right="20" w:firstLine="436"/>
        <w:spacing w:after="0" w:line="258" w:lineRule="auto"/>
        <w:tabs>
          <w:tab w:leader="none" w:pos="23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the Plan or any Award or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Award and the remainder of the Plan and any such Award shall remain in full force and effect.</w:t>
      </w:r>
    </w:p>
    <w:p>
      <w:pPr>
        <w:spacing w:after="0" w:line="183" w:lineRule="exact"/>
        <w:rPr>
          <w:rFonts w:ascii="Times New Roman" w:cs="Times New Roman" w:eastAsia="Times New Roman" w:hAnsi="Times New Roman"/>
          <w:sz w:val="18"/>
          <w:szCs w:val="18"/>
          <w:color w:val="auto"/>
        </w:rPr>
      </w:pPr>
    </w:p>
    <w:p>
      <w:pPr>
        <w:jc w:val="both"/>
        <w:ind w:left="-436" w:right="580" w:firstLine="436"/>
        <w:spacing w:after="0" w:line="266" w:lineRule="auto"/>
        <w:tabs>
          <w:tab w:leader="none" w:pos="21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Binding on Successors</w:t>
      </w:r>
      <w:r>
        <w:rPr>
          <w:rFonts w:ascii="Times New Roman" w:cs="Times New Roman" w:eastAsia="Times New Roman" w:hAnsi="Times New Roman"/>
          <w:sz w:val="18"/>
          <w:szCs w:val="18"/>
          <w:color w:val="auto"/>
        </w:rPr>
        <w:t>.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4" w:lineRule="auto"/>
        <w:tabs>
          <w:tab w:leader="none" w:pos="641"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the Plan to the contrary, it is intended that the provisions of the Plan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(including any taxes and penalties under Section 409A of the Code), and neither the Service Recipient nor any other member of the Company Group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a separate payment.</w:t>
      </w:r>
    </w:p>
    <w:p>
      <w:pPr>
        <w:sectPr>
          <w:pgSz w:w="11900" w:h="16838" w:orient="portrait"/>
          <w:cols w:equalWidth="0" w:num="1">
            <w:col w:w="10544"/>
          </w:cols>
          <w:pgMar w:left="876" w:top="270" w:right="479" w:bottom="1440" w:gutter="0" w:footer="0" w:header="0"/>
        </w:sectPr>
      </w:pPr>
    </w:p>
    <w:bookmarkStart w:id="399" w:name="page400"/>
    <w:bookmarkEnd w:id="399"/>
    <w:p>
      <w:pPr>
        <w:ind w:left="444" w:firstLine="419"/>
        <w:spacing w:after="0" w:line="256" w:lineRule="auto"/>
        <w:tabs>
          <w:tab w:leader="none" w:pos="1132"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in the Plan to the contrary, if a Participant is a “specified employee” within the meaning of Section 409A(a)(2) (B)(i) of the Code, no payments in respect of any Awards that are “deferred compensation” subject to Section 409A of the Code and which would otherwise be payable upon the Participant’s “separation from service” (as defined in Section 409A of the Code) shall be made to such Participant prior to the date that is six (6) months after the date of such Participant’s “separation from service” or, if earlier, the date of the Participant’s death. Following any applicable six (6) month delay, all such delayed payments will be paid in a single lump sum on the earliest date permitted under Section 409A of the Code that is also a business day.</w:t>
      </w:r>
    </w:p>
    <w:p>
      <w:pPr>
        <w:spacing w:after="0" w:line="79" w:lineRule="exact"/>
        <w:rPr>
          <w:rFonts w:ascii="Times New Roman" w:cs="Times New Roman" w:eastAsia="Times New Roman" w:hAnsi="Times New Roman"/>
          <w:sz w:val="18"/>
          <w:szCs w:val="18"/>
          <w:color w:val="auto"/>
        </w:rPr>
      </w:pPr>
    </w:p>
    <w:p>
      <w:pPr>
        <w:ind w:left="444" w:firstLine="419"/>
        <w:spacing w:after="0" w:line="256" w:lineRule="auto"/>
        <w:tabs>
          <w:tab w:leader="none" w:pos="1182"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Committee in an Award Agreement or otherwise, 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or (B) a Disability, no such acceleration shall be permitted unless the Disability also satisfies the definition of “Disability” pursuant to Section 409A of the Code.</w:t>
      </w:r>
    </w:p>
    <w:p>
      <w:pPr>
        <w:spacing w:after="0" w:line="187" w:lineRule="exact"/>
        <w:rPr>
          <w:sz w:val="20"/>
          <w:szCs w:val="20"/>
          <w:color w:val="auto"/>
        </w:rPr>
      </w:pPr>
    </w:p>
    <w:p>
      <w:pPr>
        <w:ind w:left="704" w:hanging="264"/>
        <w:spacing w:after="0"/>
        <w:tabs>
          <w:tab w:leader="none" w:pos="704"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Clawback/Repayment</w:t>
      </w:r>
      <w:r>
        <w:rPr>
          <w:rFonts w:ascii="Times New Roman" w:cs="Times New Roman" w:eastAsia="Times New Roman" w:hAnsi="Times New Roman"/>
          <w:sz w:val="18"/>
          <w:szCs w:val="18"/>
          <w:color w:val="auto"/>
        </w:rPr>
        <w:t>. All Awards shall be subject to reduction, cancellation, forfeiture or recoupment to the extent necessary to comply with</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clawback, forfeiture or other similar policy adopted by the Board or the Committee and as in effect from time to time; and (ii) applicable</w:t>
      </w:r>
    </w:p>
    <w:p>
      <w:pPr>
        <w:spacing w:after="0" w:line="9"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color w:val="auto"/>
        </w:rPr>
        <w:t>law. Further,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may be required to repay any such excess amount to the Company.</w:t>
      </w:r>
    </w:p>
    <w:p>
      <w:pPr>
        <w:spacing w:after="0" w:line="186" w:lineRule="exact"/>
        <w:rPr>
          <w:sz w:val="20"/>
          <w:szCs w:val="20"/>
          <w:color w:val="auto"/>
        </w:rPr>
      </w:pPr>
    </w:p>
    <w:p>
      <w:pPr>
        <w:ind w:left="4" w:firstLine="436"/>
        <w:spacing w:after="0" w:line="254" w:lineRule="auto"/>
        <w:tabs>
          <w:tab w:leader="none" w:pos="739"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Offset</w:t>
      </w:r>
      <w:r>
        <w:rPr>
          <w:rFonts w:ascii="Times New Roman" w:cs="Times New Roman" w:eastAsia="Times New Roman" w:hAnsi="Times New Roman"/>
          <w:sz w:val="18"/>
          <w:szCs w:val="18"/>
          <w:color w:val="auto"/>
        </w:rPr>
        <w:t>. The Company will have the right to offset against its obligation to deliver shares of Common Stock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Participant then owes to any member of the Company Group and any amounts the Committee otherwise deems appropriate pursuant to any tax equalization policy or agreement. Notwithstanding the foregoing, if an Award is “deferred compensation” subject to Section 409A of the Code, the Committee will have no right to offset against its obligation to deliver shares of Common Stock (or other property or cash) under the Plan or any Award Agreement if such offset could subject the Participant to the additional tax imposed under Section 409A of the Code in respect of an outstanding Award.</w:t>
      </w:r>
    </w:p>
    <w:p>
      <w:pPr>
        <w:spacing w:after="0" w:line="191" w:lineRule="exact"/>
        <w:rPr>
          <w:rFonts w:ascii="Times New Roman" w:cs="Times New Roman" w:eastAsia="Times New Roman" w:hAnsi="Times New Roman"/>
          <w:sz w:val="18"/>
          <w:szCs w:val="18"/>
          <w:color w:val="auto"/>
        </w:rPr>
      </w:pPr>
    </w:p>
    <w:p>
      <w:pPr>
        <w:jc w:val="both"/>
        <w:ind w:left="4" w:right="160" w:firstLine="436"/>
        <w:spacing w:after="0" w:line="266" w:lineRule="auto"/>
        <w:tabs>
          <w:tab w:leader="none" w:pos="699"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Titles and Headings</w:t>
      </w:r>
      <w:r>
        <w:rPr>
          <w:rFonts w:ascii="Times New Roman" w:cs="Times New Roman" w:eastAsia="Times New Roman" w:hAnsi="Times New Roman"/>
          <w:sz w:val="18"/>
          <w:szCs w:val="18"/>
          <w:color w:val="auto"/>
        </w:rPr>
        <w:t>. The expenses of administering the Plan shall be borne by the Company Group. The titles and headings of the sections in the Plan are for convenience of reference only, and in the event of any conflict, the text of the Plan, rather than such titles or headings, shall control.</w:t>
      </w:r>
    </w:p>
    <w:p>
      <w:pPr>
        <w:sectPr>
          <w:pgSz w:w="11900" w:h="16838" w:orient="portrait"/>
          <w:cols w:equalWidth="0" w:num="1">
            <w:col w:w="11004"/>
          </w:cols>
          <w:pgMar w:left="436" w:top="270" w:right="459" w:bottom="1440" w:gutter="0" w:footer="0" w:header="0"/>
        </w:sectPr>
      </w:pPr>
    </w:p>
    <w:bookmarkStart w:id="400" w:name="page401"/>
    <w:bookmarkEnd w:id="400"/>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2020 Time Options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OPTION GRANT NOTICE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UNDER THE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2020 OMNIBUS INCENTIVE PLAN</w:t>
      </w:r>
    </w:p>
    <w:p>
      <w:pPr>
        <w:spacing w:after="0" w:line="207" w:lineRule="exact"/>
        <w:rPr>
          <w:sz w:val="20"/>
          <w:szCs w:val="20"/>
          <w:color w:val="auto"/>
        </w:rPr>
      </w:pPr>
    </w:p>
    <w:p>
      <w:pPr>
        <w:ind w:left="4" w:right="60" w:firstLine="991"/>
        <w:spacing w:after="0" w:line="255" w:lineRule="auto"/>
        <w:rPr>
          <w:sz w:val="20"/>
          <w:szCs w:val="20"/>
          <w:color w:val="auto"/>
        </w:rPr>
      </w:pPr>
      <w:r>
        <w:rPr>
          <w:rFonts w:ascii="Times New Roman" w:cs="Times New Roman" w:eastAsia="Times New Roman" w:hAnsi="Times New Roman"/>
          <w:sz w:val="18"/>
          <w:szCs w:val="18"/>
          <w:color w:val="auto"/>
        </w:rPr>
        <w:t>Academy Sports and Outdoors,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its 2020 Omnibus Incentive Plan, as it may be amended and restated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hereby grants to the Participant set forth below the number of Options (each Option representing the right to purchase one share of Common Stock) set forth below, at an Exercise Price per share as set forth below. The Options are subject to all of the terms and conditions as set forth herein, in the Option Agreement (attached hereto or previously provided to the Participant in connection with a prior grant) and in the Plan, all of which are incorporated herein in their entirety. Capitalized terms not otherwise defined herein shall have the meaning set forth in the Plan.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IPO GRANTS</w:t>
      </w:r>
      <w:r>
        <w:rPr>
          <w:rFonts w:ascii="Times New Roman" w:cs="Times New Roman" w:eastAsia="Times New Roman" w:hAnsi="Times New Roman"/>
          <w:sz w:val="18"/>
          <w:szCs w:val="18"/>
          <w:color w:val="auto"/>
        </w:rPr>
        <w:t>: In the event the initial public offering of the Company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is not consummated within thirty (30) days following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this Option Grant Notice shall be null and void and of no further force or effect.]</w:t>
      </w:r>
    </w:p>
    <w:p>
      <w:pPr>
        <w:sectPr>
          <w:pgSz w:w="11900" w:h="16838" w:orient="portrait"/>
          <w:cols w:equalWidth="0" w:num="1">
            <w:col w:w="11024"/>
          </w:cols>
          <w:pgMar w:left="436" w:top="117" w:right="439" w:bottom="1440" w:gutter="0" w:footer="0" w:header="0"/>
        </w:sectPr>
      </w:pPr>
    </w:p>
    <w:p>
      <w:pPr>
        <w:spacing w:after="0" w:line="2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Number of Options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Exercise Price per Share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Option Period Expiration Date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Type of Option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1545590</wp:posOffset>
            </wp:positionV>
            <wp:extent cx="77152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24" w:hanging="424"/>
        <w:spacing w:after="0"/>
        <w:tabs>
          <w:tab w:leader="none" w:pos="424"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To be included for CEO only.</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Name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Last Name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Number of Options Granted</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Date of Grant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Nonqualified Stock Option</w:t>
      </w:r>
    </w:p>
    <w:p>
      <w:pPr>
        <w:spacing w:after="0" w:line="1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Subject to the Participant’s continued service with the Company and its Subsidiaries on each applicable vesting date, the Options shall vest as follows: 25% of the Options shall vest and become exercisable on each of the first four anniversaries of the Date of Grant.</w:t>
      </w:r>
    </w:p>
    <w:p>
      <w:pPr>
        <w:spacing w:after="0" w:line="6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[Subject to the Participant’s continued service with the Company and its Subsidiaries on each applicable vesting date, the Options shall become vested and exercisable based on elapsed time, such that 1/48th of the Options shall become vested and exercisable on each monthly anniversary of the Date of Grant, with 100% of the Options being vested and exercisable on the 48th monthly anniversary of the Date of Grant; provided, that if Participant’s employment is terminated by the Company without Cause or due to Participant’s resignation for Good Reason at any time prior to the sixth monthly anniversary of the Date of Grant, then 6/48s of the Options shall be vested and exercisable on the date of such Termination.]</w:t>
      </w:r>
      <w:r>
        <w:rPr>
          <w:rFonts w:ascii="Times New Roman" w:cs="Times New Roman" w:eastAsia="Times New Roman" w:hAnsi="Times New Roman"/>
          <w:sz w:val="15"/>
          <w:szCs w:val="15"/>
          <w:color w:val="auto"/>
        </w:rPr>
        <w:t>1</w:t>
      </w:r>
    </w:p>
    <w:p>
      <w:pPr>
        <w:sectPr>
          <w:pgSz w:w="11900" w:h="16838" w:orient="portrait"/>
          <w:cols w:equalWidth="0" w:num="2">
            <w:col w:w="2924" w:space="720"/>
            <w:col w:w="7380"/>
          </w:cols>
          <w:pgMar w:left="436" w:top="117" w:right="439" w:bottom="1440" w:gutter="0" w:footer="0" w:header="0"/>
          <w:type w:val="continuous"/>
        </w:sectPr>
      </w:pPr>
    </w:p>
    <w:bookmarkStart w:id="401" w:name="page402"/>
    <w:bookmarkEnd w:id="401"/>
    <w:p>
      <w:pPr>
        <w:ind w:left="364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 of the foregoing, upon a Termination at any time by reason of death or Disability, any unvested Options that would have become vested and exercisable on the vesting date immediately following the date of such Termination, had the Participant remained in service with the Company and its Subsidiaries through such vesting date, will become vested and exercisable as of the Participant’s Termination.</w:t>
      </w:r>
    </w:p>
    <w:p>
      <w:pPr>
        <w:spacing w:after="0" w:line="75" w:lineRule="exact"/>
        <w:rPr>
          <w:sz w:val="20"/>
          <w:szCs w:val="20"/>
          <w:color w:val="auto"/>
        </w:rPr>
      </w:pPr>
    </w:p>
    <w:p>
      <w:pPr>
        <w:jc w:val="both"/>
        <w:ind w:left="3640" w:right="100"/>
        <w:spacing w:after="0" w:line="261" w:lineRule="auto"/>
        <w:rPr>
          <w:sz w:val="20"/>
          <w:szCs w:val="20"/>
          <w:color w:val="auto"/>
        </w:rPr>
      </w:pPr>
      <w:r>
        <w:rPr>
          <w:rFonts w:ascii="Times New Roman" w:cs="Times New Roman" w:eastAsia="Times New Roman" w:hAnsi="Times New Roman"/>
          <w:sz w:val="18"/>
          <w:szCs w:val="18"/>
          <w:color w:val="auto"/>
        </w:rPr>
        <w:t>If a Change in Control occurs and during the 24 month period following such Change in Control, the Participant’s service is terminated by the Service Recipient without Cause or due to the Participant’s resignation for Good Reason (as defined below), all unvested Options shall become fully vested and exercisable upon the date of the Participant’s Termination.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36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have the meaning given to such term in any employment or consulting agreement between the Participant and the Service Recipient in effect at the time of the Participant’s Termination. In the absence of any such employment or consulting agreement or the absence of any definition of “Good Reason” contained therein, “Good Reason” means the occurrence of one or more of the following events arising without the express written consent of the Participant, but only if the Participant notifies the Service Recipient in writing of the event within 60 days following the occurrence of the event, the event remains uncured after the expiration of 30 days from receipt of such notice, and the Participant resigns effective no later than 30 days following the Service Recipient’s failure to cure the event: (i) a material diminution in the Participant’s base salary or target bonus opportunity, (ii) the relocation of the Participant’s principal place of employment or service to a location more than 35 miles from the Participant’s then current principal place of employment or service, if a move to such other location materially increases the Participant’s commute, or (iii) any material breach by the Company or the Service Recipient of this Option Agreement or the Participant’s offer letter or employment agreement with the Service Recipient.</w:t>
      </w:r>
    </w:p>
    <w:p>
      <w:pPr>
        <w:spacing w:after="0" w:line="103" w:lineRule="exact"/>
        <w:rPr>
          <w:sz w:val="20"/>
          <w:szCs w:val="20"/>
          <w:color w:val="auto"/>
        </w:rPr>
      </w:pPr>
    </w:p>
    <w:p>
      <w:pPr>
        <w:ind w:left="3640" w:right="1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means, as to the Participant, (i) “Cause,” as defined in any employment or consulting agreement between the Participant and the Service Recipient in effect at the time of the Participant’s Termination [FOR NON-EXECUTIVE COMMITTEE EMPLOYEES: (except that any provision of such “Cause” definition relating to Participant’s unsatisfactory performance shall not apply for purposes of this Option Agreement)]; or (ii) in the absence of any such employment or consulting agreement (or the absence of any definition of “Cause” contained therein), the Participant’s</w:t>
      </w:r>
    </w:p>
    <w:p>
      <w:pPr>
        <w:spacing w:after="0" w:line="5" w:lineRule="exact"/>
        <w:rPr>
          <w:sz w:val="20"/>
          <w:szCs w:val="20"/>
          <w:color w:val="auto"/>
        </w:rPr>
      </w:pPr>
    </w:p>
    <w:p>
      <w:pPr>
        <w:ind w:left="3640" w:right="180" w:firstLine="1"/>
        <w:spacing w:after="0" w:line="260" w:lineRule="auto"/>
        <w:tabs>
          <w:tab w:leader="none" w:pos="3935"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neglect in the performance of the Participant’s duties for the Service Recipient or willful or repeated</w:t>
      </w:r>
    </w:p>
    <w:p>
      <w:pPr>
        <w:sectPr>
          <w:pgSz w:w="11900" w:h="16838" w:orient="portrait"/>
          <w:cols w:equalWidth="0" w:num="1">
            <w:col w:w="11000"/>
          </w:cols>
          <w:pgMar w:left="440" w:top="270" w:right="459" w:bottom="1440" w:gutter="0" w:footer="0" w:header="0"/>
        </w:sectPr>
      </w:pPr>
    </w:p>
    <w:bookmarkStart w:id="402" w:name="page403"/>
    <w:bookmarkEnd w:id="402"/>
    <w:p>
      <w:pPr>
        <w:ind w:left="26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failure or refusal to perform such duties; (B) engagement in conduct in connection with the Participant’s employment or service with the Service Recipient, which results in, or could reasonably be expected to result in, material harm to the business or reputation of the Company or any other member of the Company Group; (C) conviction of, or plea of guilty or no contest to, (I) any felony; or</w:t>
      </w:r>
    </w:p>
    <w:p>
      <w:pPr>
        <w:spacing w:after="0" w:line="3" w:lineRule="exact"/>
        <w:rPr>
          <w:sz w:val="20"/>
          <w:szCs w:val="20"/>
          <w:color w:val="auto"/>
        </w:rPr>
      </w:pPr>
    </w:p>
    <w:p>
      <w:pPr>
        <w:ind w:left="2640" w:firstLine="1"/>
        <w:spacing w:after="0" w:line="251" w:lineRule="auto"/>
        <w:tabs>
          <w:tab w:leader="none" w:pos="2925"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crime that results in, or could reasonably be expected to result in, material harm to the business or reputation of the Company or any other member of the Company Group; (D) material violation of the written policies of the Service Recipient, including, but not limited to, those relating to sexual harassment or the disclosure or misuse of confidential information, or those set forth in the manuals or statements of policy of the Service Recipient; (E) fraud or misappropriation, embezzlement or misuse of funds or property belonging to the Company or any other member of the Company Group; or (F) act of personal dishonesty that involves personal profit in connection with the Participant’s employment or service to the Service Recipient.</w:t>
      </w:r>
    </w:p>
    <w:p>
      <w:pPr>
        <w:spacing w:after="0" w:line="193" w:lineRule="exact"/>
        <w:rPr>
          <w:rFonts w:ascii="Times New Roman" w:cs="Times New Roman" w:eastAsia="Times New Roman" w:hAnsi="Times New Roman"/>
          <w:sz w:val="18"/>
          <w:szCs w:val="18"/>
          <w:color w:val="auto"/>
        </w:rPr>
      </w:pPr>
    </w:p>
    <w:p>
      <w:pPr>
        <w:ind w:left="4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ectPr>
          <w:pgSz w:w="11900" w:h="16838" w:orient="portrait"/>
          <w:cols w:equalWidth="0" w:num="1">
            <w:col w:w="10000"/>
          </w:cols>
          <w:pgMar w:left="1440" w:top="270" w:right="45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ACADEMY SPORTS AND OUTDOORS,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299085</wp:posOffset>
            </wp:positionV>
            <wp:extent cx="279463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404" w:name="page405"/>
    <w:bookmarkEnd w:id="404"/>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PARTICIPANT ACKNOWLEDGES RECEIPT OF THIS OPTION GRANT NOTICE, THE OPTION AGREEMENT AND THE PLAN, AND, AS AN EXPRESS CONDITION TO THE GRANT OF OPTIONS HEREUNDER, AGREES TO BE BOUND BY THE TERMS OF THIS OPTION GRANT NOTICE, THE OPTION AGREEMENT AND THE PLAN.</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PARTICIPANT</w:t>
      </w: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77152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5">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274320</wp:posOffset>
            </wp:positionV>
            <wp:extent cx="7715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24" w:right="900" w:hanging="424"/>
        <w:spacing w:after="0" w:line="282" w:lineRule="auto"/>
        <w:tabs>
          <w:tab w:leader="none" w:pos="424" w:val="left"/>
        </w:tabs>
        <w:numPr>
          <w:ilvl w:val="0"/>
          <w:numId w:val="37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ectPr>
          <w:pgSz w:w="11900" w:h="16838" w:orient="portrait"/>
          <w:cols w:equalWidth="0" w:num="1">
            <w:col w:w="11004"/>
          </w:cols>
          <w:pgMar w:left="436" w:top="266" w:right="459" w:bottom="1440" w:gutter="0" w:footer="0" w:header="0"/>
        </w:sectPr>
      </w:pPr>
    </w:p>
    <w:bookmarkStart w:id="405" w:name="page406"/>
    <w:bookmarkEnd w:id="4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2020 OMNIBUS INCENTIVE PLAN</w:t>
      </w:r>
    </w:p>
    <w:p>
      <w:pPr>
        <w:spacing w:after="0" w:line="207"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Pursuant to the Option Grant Notice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delivered to the Participant (as defined in the Grant Notice), and subject to the terms of this Option Agreement (this “</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and the Academy Sports and Outdoors, Inc. 2020 Omnibus Incentive Plan, as it may be amended and restated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Academy Sports and Outdoors,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Participant agree as follows. Capitalized terms not otherwise defined herein shall have the same meaning as set forth in the Plan.</w:t>
      </w:r>
    </w:p>
    <w:p>
      <w:pPr>
        <w:spacing w:after="0" w:line="68" w:lineRule="exact"/>
        <w:rPr>
          <w:sz w:val="20"/>
          <w:szCs w:val="20"/>
          <w:color w:val="auto"/>
        </w:rPr>
      </w:pPr>
    </w:p>
    <w:p>
      <w:pPr>
        <w:ind w:right="40" w:firstLine="987"/>
        <w:spacing w:after="0" w:line="257" w:lineRule="auto"/>
        <w:tabs>
          <w:tab w:leader="none" w:pos="1171"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Option</w:t>
      </w:r>
      <w:r>
        <w:rPr>
          <w:rFonts w:ascii="Times New Roman" w:cs="Times New Roman" w:eastAsia="Times New Roman" w:hAnsi="Times New Roman"/>
          <w:sz w:val="18"/>
          <w:szCs w:val="18"/>
          <w:color w:val="auto"/>
        </w:rPr>
        <w:t>. Subject to the terms and conditions set forth herein and in the Plan, the Company hereby grants to the Participant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Options provided in the Grant Notice (with each Option representing the right to purchase one share of Common Stock), at an Exercise Price per share as provided in the Grant Notice. The Company may make one or more additional grants of Options to the Participant under this Option Agreement by providing the Participant with a new Grant Notice, which may also include any terms and conditions differing from this Option Agreement to the extent provided therein. The Company reserves all rights with respect to the granting of additional Options hereunder and makes no implied promise to grant additional Options.</w:t>
      </w:r>
    </w:p>
    <w:p>
      <w:pPr>
        <w:spacing w:after="0" w:line="74"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w:t>
      </w:r>
      <w:r>
        <w:rPr>
          <w:rFonts w:ascii="Times New Roman" w:cs="Times New Roman" w:eastAsia="Times New Roman" w:hAnsi="Times New Roman"/>
          <w:sz w:val="18"/>
          <w:szCs w:val="18"/>
          <w:color w:val="auto"/>
        </w:rPr>
        <w:t>. Subject to the conditions contained herein and in the Plan, the Options shall vest as provided in the Grant Notice.</w:t>
      </w:r>
    </w:p>
    <w:p>
      <w:pPr>
        <w:spacing w:after="0" w:line="117" w:lineRule="exact"/>
        <w:rPr>
          <w:rFonts w:ascii="Times New Roman" w:cs="Times New Roman" w:eastAsia="Times New Roman" w:hAnsi="Times New Roman"/>
          <w:sz w:val="18"/>
          <w:szCs w:val="18"/>
          <w:color w:val="auto"/>
        </w:rPr>
      </w:pPr>
    </w:p>
    <w:p>
      <w:pPr>
        <w:ind w:firstLine="987"/>
        <w:spacing w:after="0" w:line="254" w:lineRule="auto"/>
        <w:tabs>
          <w:tab w:leader="none" w:pos="1171"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 of Options Following Termination</w:t>
      </w:r>
      <w:r>
        <w:rPr>
          <w:rFonts w:ascii="Times New Roman" w:cs="Times New Roman" w:eastAsia="Times New Roman" w:hAnsi="Times New Roman"/>
          <w:sz w:val="18"/>
          <w:szCs w:val="18"/>
          <w:color w:val="auto"/>
        </w:rPr>
        <w:t>. Except as otherwise provided in the Grant Notice or as otherwise may be provided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in the event of: (A) a Participant’s Termination by the Service Recipient for Cause, all outstanding Options granted to such Participant shall immediately terminate and expire; (B) a Participant’s Termination due to death or Disability, each outstanding unvested Option granted to such Participant shall immediately terminate and expire, and each outstanding vested Option shall remain exercisable for one (1) year thereafter (but in no event beyond the expiration of the Option Period); (C) a Participant’s Termination without Good Reason, each outstanding unvested Option granted to such Participant shall immediately terminate and expire, and each outstanding vested Option shall remain exercisable for thirty (30) days thereafter (but in no event beyond the expiration of the Option Period); and (D) a Participant’s Termination for any other reason (including, for the avoidance of doubt, termination by the Company without Cause or by the Participant for Good Reason), each outstanding unvested Option granted to such Participant shall immediately terminate and expire, and each outstanding vested Option shall remain exercisable for one hundred eighty (180) days thereafter (but in no event beyond the expiration of the Option Period).</w:t>
      </w:r>
    </w:p>
    <w:p>
      <w:pPr>
        <w:spacing w:after="0" w:line="77" w:lineRule="exact"/>
        <w:rPr>
          <w:rFonts w:ascii="Times New Roman" w:cs="Times New Roman" w:eastAsia="Times New Roman" w:hAnsi="Times New Roman"/>
          <w:sz w:val="18"/>
          <w:szCs w:val="18"/>
          <w:color w:val="auto"/>
        </w:rPr>
      </w:pPr>
    </w:p>
    <w:p>
      <w:pPr>
        <w:ind w:firstLine="987"/>
        <w:spacing w:after="0" w:line="255" w:lineRule="auto"/>
        <w:tabs>
          <w:tab w:leader="none" w:pos="1171"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Method of Exercising Options</w:t>
      </w:r>
      <w:r>
        <w:rPr>
          <w:rFonts w:ascii="Times New Roman" w:cs="Times New Roman" w:eastAsia="Times New Roman" w:hAnsi="Times New Roman"/>
          <w:sz w:val="18"/>
          <w:szCs w:val="18"/>
          <w:color w:val="auto"/>
        </w:rPr>
        <w:t>. The Options may be exercised by the delivery of notice of the number of Options that are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exercised accompanied by payment in full of the Exercise Price applicable to the Options so exercised. Such notice shall be delivered either (a) in writing to the Company at its principal office or at such other address as may be established by the Committee, to the attention of the Company’s Compensation Department or its designee; or (b) to a third-party plan administrator as may be arranged for by the Company or the Committee from time to time for purposes of the administration of outstanding Options under the Plan, in the case of either (a) or (b), as communicated to the Participant by the Company from time to time. Payment of the aggregate Exercise Price may be made using any of the methods described in Section 7(d)(i) or (ii) of the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Participant shall obtain written consent from the Committee prior to the use of the method described in Section 7(d)(ii)(A) of the Plan.</w:t>
      </w:r>
    </w:p>
    <w:p>
      <w:pPr>
        <w:sectPr>
          <w:pgSz w:w="11900" w:h="16838" w:orient="portrait"/>
          <w:cols w:equalWidth="0" w:num="1">
            <w:col w:w="10980"/>
          </w:cols>
          <w:pgMar w:left="440" w:top="266" w:right="479" w:bottom="1440" w:gutter="0" w:footer="0" w:header="0"/>
        </w:sectPr>
      </w:pPr>
    </w:p>
    <w:bookmarkStart w:id="406" w:name="page407"/>
    <w:bookmarkEnd w:id="406"/>
    <w:p>
      <w:pPr>
        <w:ind w:right="140" w:firstLine="987"/>
        <w:spacing w:after="0" w:line="259" w:lineRule="auto"/>
        <w:tabs>
          <w:tab w:leader="none" w:pos="1171"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Issuance of Shares of Common Stock</w:t>
      </w:r>
      <w:r>
        <w:rPr>
          <w:rFonts w:ascii="Times New Roman" w:cs="Times New Roman" w:eastAsia="Times New Roman" w:hAnsi="Times New Roman"/>
          <w:sz w:val="18"/>
          <w:szCs w:val="18"/>
          <w:color w:val="auto"/>
        </w:rPr>
        <w:t>. Following the exercise of an Option hereunder, as promptly as practical after receipt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notification and full payment of such Exercise Price and any required income or other tax withholding amount (as provided in Section 10 hereof), the Company shall issue or transfer, or cause such issue or transfer, to the Participant the number of shares of Common Stock with respect to which the Options have been so exercised, and shall either (a) deliver, or cause to be delivered, to the Participant a certificate or certificates therefor, registered in the Participant’s name or (b) cause such shares of Common Stock to be credited to the Participant’s account at the third-party plan administrator.</w:t>
      </w:r>
    </w:p>
    <w:p>
      <w:pPr>
        <w:spacing w:after="0" w:line="71" w:lineRule="exact"/>
        <w:rPr>
          <w:rFonts w:ascii="Times New Roman" w:cs="Times New Roman" w:eastAsia="Times New Roman" w:hAnsi="Times New Roman"/>
          <w:sz w:val="18"/>
          <w:szCs w:val="18"/>
          <w:color w:val="auto"/>
        </w:rPr>
      </w:pPr>
    </w:p>
    <w:p>
      <w:pPr>
        <w:ind w:right="20" w:firstLine="987"/>
        <w:spacing w:after="0" w:line="257" w:lineRule="auto"/>
        <w:tabs>
          <w:tab w:leader="none" w:pos="1171"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to Issuance of Common Stock</w:t>
      </w:r>
      <w:r>
        <w:rPr>
          <w:rFonts w:ascii="Times New Roman" w:cs="Times New Roman" w:eastAsia="Times New Roman" w:hAnsi="Times New Roman"/>
          <w:sz w:val="18"/>
          <w:szCs w:val="18"/>
          <w:color w:val="auto"/>
        </w:rPr>
        <w:t>. The Company shall not be required to record the ownership by the Participant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purchased upon the exercise of the Options or portion therefore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exercise of the Option as may otherwise be required by applicable law; and (iii) the execution and delivery to the Company, to the extent not so previously executed and delivered, of such other documents and instruments as may be reasonably required by the Committee.</w:t>
      </w:r>
    </w:p>
    <w:p>
      <w:pPr>
        <w:spacing w:after="0" w:line="74" w:lineRule="exact"/>
        <w:rPr>
          <w:rFonts w:ascii="Times New Roman" w:cs="Times New Roman" w:eastAsia="Times New Roman" w:hAnsi="Times New Roman"/>
          <w:sz w:val="18"/>
          <w:szCs w:val="18"/>
          <w:color w:val="auto"/>
        </w:rPr>
      </w:pPr>
    </w:p>
    <w:p>
      <w:pPr>
        <w:ind w:right="20" w:firstLine="987"/>
        <w:spacing w:after="0" w:line="268" w:lineRule="auto"/>
        <w:tabs>
          <w:tab w:leader="none" w:pos="1171"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color w:val="auto"/>
        </w:rPr>
        <w:t>. Whenever the word “Participant” is used in any provision of this Option Agreement under circumstances where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should logically be construed to apply to the executors, the administrators, or the person or persons to whom the Options may be transferred in accordance with Section 14(b) of the Plan, the word “Participant” shall be deemed to include such person or persons.</w:t>
      </w:r>
    </w:p>
    <w:p>
      <w:pPr>
        <w:spacing w:after="0" w:line="62" w:lineRule="exact"/>
        <w:rPr>
          <w:rFonts w:ascii="Times New Roman" w:cs="Times New Roman" w:eastAsia="Times New Roman" w:hAnsi="Times New Roman"/>
          <w:sz w:val="18"/>
          <w:szCs w:val="18"/>
          <w:color w:val="auto"/>
        </w:rPr>
      </w:pPr>
    </w:p>
    <w:p>
      <w:pPr>
        <w:ind w:right="60" w:firstLine="987"/>
        <w:spacing w:after="0" w:line="259" w:lineRule="auto"/>
        <w:tabs>
          <w:tab w:leader="none" w:pos="1171"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Non-Transferability</w:t>
      </w:r>
      <w:r>
        <w:rPr>
          <w:rFonts w:ascii="Times New Roman" w:cs="Times New Roman" w:eastAsia="Times New Roman" w:hAnsi="Times New Roman"/>
          <w:sz w:val="18"/>
          <w:szCs w:val="18"/>
          <w:color w:val="auto"/>
        </w:rPr>
        <w:t>. The Options are not transferable by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to the extent permitted by the Committee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14(b) of the Plan, vested Options may be transferred to Permitted Transferees. Except as otherwise provided herein, no assignment or transfer of the Options, or of the rights represented thereby, whether voluntary or involuntary, by operation of law or otherwise, shall vest in the assignee or transferee any interest or right herein whatsoever, but immediately upon such assignment or transfer the Options shall terminate and become of no further effect.</w:t>
      </w:r>
    </w:p>
    <w:p>
      <w:pPr>
        <w:spacing w:after="0" w:line="17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 IPO GRANTS AND GRANTS MADE WITHIN 180 DAYS FOLLOWING IPO:</w:t>
      </w:r>
      <w:r>
        <w:rPr>
          <w:rFonts w:ascii="Times New Roman" w:cs="Times New Roman" w:eastAsia="Times New Roman" w:hAnsi="Times New Roman"/>
          <w:sz w:val="18"/>
          <w:szCs w:val="18"/>
          <w:color w:val="auto"/>
        </w:rPr>
        <w:t xml:space="preserve"> The Participant further hereby agrees that the Participant shall, without further action on the part of the Participant, be bound by the provisions of the lock-up agreements executed by the executive officers of the Company to the same extent as if the Participant had directly executed such lock-up agreement himself or herself. Such lock-up agreement will provide that the Participant shall not, subject to certain customary exceptions, dispose of or hedge any shares of Common Stock or securities convertible into or exchangeable for shares of Common Stock during the period from the date of the final prospectus relating to the IPO and continuing through the date one hundred eighty (180) days following the date of such prospectus, except with the prior consent of the representative(s) of the underwriters.]</w:t>
      </w:r>
    </w:p>
    <w:p>
      <w:pPr>
        <w:spacing w:after="0" w:line="74" w:lineRule="exact"/>
        <w:rPr>
          <w:sz w:val="20"/>
          <w:szCs w:val="20"/>
          <w:color w:val="auto"/>
        </w:rPr>
      </w:pPr>
    </w:p>
    <w:p>
      <w:pPr>
        <w:ind w:right="20" w:firstLine="987"/>
        <w:spacing w:after="0" w:line="262" w:lineRule="auto"/>
        <w:tabs>
          <w:tab w:leader="none" w:pos="1171"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Rights as Shareholder</w:t>
      </w:r>
      <w:r>
        <w:rPr>
          <w:rFonts w:ascii="Times New Roman" w:cs="Times New Roman" w:eastAsia="Times New Roman" w:hAnsi="Times New Roman"/>
          <w:sz w:val="18"/>
          <w:szCs w:val="18"/>
          <w:color w:val="auto"/>
        </w:rPr>
        <w:t>. The Participant shall have no rights as a shareholder with respect to any share of Common Stock covered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ectPr>
          <w:pgSz w:w="11900" w:h="16838" w:orient="portrait"/>
          <w:cols w:equalWidth="0" w:num="1">
            <w:col w:w="11000"/>
          </w:cols>
          <w:pgMar w:left="440" w:top="266" w:right="459" w:bottom="1440" w:gutter="0" w:footer="0" w:header="0"/>
        </w:sectPr>
      </w:pPr>
    </w:p>
    <w:bookmarkStart w:id="407" w:name="page408"/>
    <w:bookmarkEnd w:id="407"/>
    <w:p>
      <w:pPr>
        <w:ind w:left="-987" w:right="20" w:firstLine="987"/>
        <w:spacing w:after="0" w:line="254" w:lineRule="auto"/>
        <w:tabs>
          <w:tab w:leader="none" w:pos="274"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 Withholding</w:t>
      </w:r>
      <w:r>
        <w:rPr>
          <w:rFonts w:ascii="Times New Roman" w:cs="Times New Roman" w:eastAsia="Times New Roman" w:hAnsi="Times New Roman"/>
          <w:sz w:val="18"/>
          <w:szCs w:val="18"/>
          <w:color w:val="auto"/>
        </w:rPr>
        <w:t>. Concurrently with the exercise of an Option, the Participant must pay to the Company any amount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determines it is required to withhold under applicable federal, state or local or foreign tax laws in respect of the exercise or the transfer of the shares of Common Stock in connection therewith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The Participant may elect to make payment: (i) in cash or by check or wire transfer (or any combination thereof) or (ii) and to the extent permitted by applicable law, by delivery of a notice that the Participant has placed a market sell order with a broker with respect to shares of Common Stock then issuable upon exercise of the Options being so exercised, and that the broker has been directed to pay a sufficient portion of the net proceeds of the sale to the Company in satisfaction of the Withholding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payment of such proceeds is then made to the Company upon settlement of such sale;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Committee may, in its sole discretion, allow such withholding obligation to be satisfied by any other method described in Section 14 of the Plan and, if Participant is a Section 16 officer of the Company under the Exchange Act, then the Committee shall establish the method of withholding required to be utilized by the Participant from alternatives available under the Plan prior to the exercise of any Options.</w:t>
      </w:r>
    </w:p>
    <w:p>
      <w:pPr>
        <w:spacing w:after="0" w:line="77" w:lineRule="exact"/>
        <w:rPr>
          <w:rFonts w:ascii="Times New Roman" w:cs="Times New Roman" w:eastAsia="Times New Roman" w:hAnsi="Times New Roman"/>
          <w:sz w:val="18"/>
          <w:szCs w:val="18"/>
          <w:color w:val="auto"/>
        </w:rPr>
      </w:pPr>
    </w:p>
    <w:p>
      <w:pPr>
        <w:ind w:left="-987" w:firstLine="987"/>
        <w:spacing w:after="0" w:line="255" w:lineRule="auto"/>
        <w:tabs>
          <w:tab w:leader="none" w:pos="267"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Every notice or other communication relating to this Option Agreement between the Company and the Participant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76" w:lineRule="exact"/>
        <w:rPr>
          <w:rFonts w:ascii="Times New Roman" w:cs="Times New Roman" w:eastAsia="Times New Roman" w:hAnsi="Times New Roman"/>
          <w:sz w:val="18"/>
          <w:szCs w:val="18"/>
          <w:color w:val="auto"/>
        </w:rPr>
      </w:pPr>
    </w:p>
    <w:p>
      <w:pPr>
        <w:ind w:left="-987" w:right="60" w:firstLine="987"/>
        <w:spacing w:after="0" w:line="286" w:lineRule="auto"/>
        <w:tabs>
          <w:tab w:leader="none" w:pos="274"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 to Continued Service</w:t>
      </w:r>
      <w:r>
        <w:rPr>
          <w:rFonts w:ascii="Times New Roman" w:cs="Times New Roman" w:eastAsia="Times New Roman" w:hAnsi="Times New Roman"/>
          <w:sz w:val="18"/>
          <w:szCs w:val="18"/>
          <w:color w:val="auto"/>
        </w:rPr>
        <w:t>. This Option Agreement does not confer upon the Participant any right to continue as an employee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provider to the Company or any of its Subsidiaries.</w:t>
      </w:r>
    </w:p>
    <w:p>
      <w:pPr>
        <w:spacing w:after="0" w:line="46" w:lineRule="exact"/>
        <w:rPr>
          <w:rFonts w:ascii="Times New Roman" w:cs="Times New Roman" w:eastAsia="Times New Roman" w:hAnsi="Times New Roman"/>
          <w:sz w:val="18"/>
          <w:szCs w:val="18"/>
          <w:color w:val="auto"/>
        </w:rPr>
      </w:pPr>
    </w:p>
    <w:p>
      <w:pPr>
        <w:ind w:left="273" w:hanging="273"/>
        <w:spacing w:after="0"/>
        <w:tabs>
          <w:tab w:leader="none" w:pos="273"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Option Agreement shall be binding upon the heirs, executors, administrators and successors of the parties hereto.</w:t>
      </w:r>
    </w:p>
    <w:p>
      <w:pPr>
        <w:spacing w:after="0" w:line="117" w:lineRule="exact"/>
        <w:rPr>
          <w:rFonts w:ascii="Times New Roman" w:cs="Times New Roman" w:eastAsia="Times New Roman" w:hAnsi="Times New Roman"/>
          <w:sz w:val="18"/>
          <w:szCs w:val="18"/>
          <w:color w:val="auto"/>
        </w:rPr>
      </w:pPr>
    </w:p>
    <w:p>
      <w:pPr>
        <w:ind w:left="-987" w:right="60" w:firstLine="987"/>
        <w:spacing w:after="0" w:line="259" w:lineRule="auto"/>
        <w:tabs>
          <w:tab w:leader="none" w:pos="274"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 and Amendments</w:t>
      </w:r>
      <w:r>
        <w:rPr>
          <w:rFonts w:ascii="Times New Roman" w:cs="Times New Roman" w:eastAsia="Times New Roman" w:hAnsi="Times New Roman"/>
          <w:sz w:val="18"/>
          <w:szCs w:val="18"/>
          <w:color w:val="auto"/>
        </w:rPr>
        <w:t>. Except as otherwise set forth in Section 13 of the Plan, any waiver, alteration, amendment or modification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any of the terms of this Option Agreement shall be valid only if made in writing and signed by the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71" w:lineRule="exact"/>
        <w:rPr>
          <w:rFonts w:ascii="Times New Roman" w:cs="Times New Roman" w:eastAsia="Times New Roman" w:hAnsi="Times New Roman"/>
          <w:sz w:val="18"/>
          <w:szCs w:val="18"/>
          <w:color w:val="auto"/>
        </w:rPr>
      </w:pPr>
    </w:p>
    <w:p>
      <w:pPr>
        <w:ind w:left="-987" w:right="180" w:firstLine="987"/>
        <w:spacing w:after="0" w:line="257" w:lineRule="auto"/>
        <w:tabs>
          <w:tab w:leader="none" w:pos="274"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Clawback; Forfeiture</w:t>
      </w:r>
      <w:r>
        <w:rPr>
          <w:rFonts w:ascii="Times New Roman" w:cs="Times New Roman" w:eastAsia="Times New Roman" w:hAnsi="Times New Roman"/>
          <w:sz w:val="18"/>
          <w:szCs w:val="18"/>
          <w:color w:val="auto"/>
        </w:rPr>
        <w:t>. Notwithstanding anything to the contrary contained herein or in the Plan, if the Participant has engaged in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engages in any Detrimental Activity, then the Committee may, in its sole discretion, take actions permitted under the Plan, including: (a) canceling the Options, or (b) requiring that the Participant forfeit any gain realized on the exercise of the Options or the disposition of any shares of Common Stock received upon exercise of the Options, and repay such gain to the Company. In addition, if the Participant receives any amount in excess of what the Participant should have received under the terms of this Option Agreement for any reason (including without limitation by reason of a financial restatement, mistake in calculations or other administrative error), then the Participant shall be</w:t>
      </w:r>
    </w:p>
    <w:p>
      <w:pPr>
        <w:sectPr>
          <w:pgSz w:w="11900" w:h="16838" w:orient="portrait"/>
          <w:cols w:equalWidth="0" w:num="1">
            <w:col w:w="10013"/>
          </w:cols>
          <w:pgMar w:left="1427" w:top="266" w:right="459" w:bottom="1440" w:gutter="0" w:footer="0" w:header="0"/>
        </w:sectPr>
      </w:pPr>
    </w:p>
    <w:bookmarkStart w:id="408" w:name="page409"/>
    <w:bookmarkEnd w:id="408"/>
    <w:p>
      <w:pPr>
        <w:ind w:left="4" w:right="5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required to repay any such excess amount to the Company. Without limiting the foregoing, all Options shall be subject to reduction, cancellation, forfeiture, offset or recoupment to the extent necessary to comply with applicable law. “</w:t>
      </w:r>
      <w:r>
        <w:rPr>
          <w:rFonts w:ascii="Times New Roman" w:cs="Times New Roman" w:eastAsia="Times New Roman" w:hAnsi="Times New Roman"/>
          <w:sz w:val="17"/>
          <w:szCs w:val="17"/>
          <w:u w:val="single" w:color="auto"/>
          <w:color w:val="auto"/>
        </w:rPr>
        <w:t>Detrimental Activity</w:t>
      </w:r>
      <w:r>
        <w:rPr>
          <w:rFonts w:ascii="Times New Roman" w:cs="Times New Roman" w:eastAsia="Times New Roman" w:hAnsi="Times New Roman"/>
          <w:sz w:val="17"/>
          <w:szCs w:val="17"/>
          <w:color w:val="auto"/>
        </w:rPr>
        <w:t>” means any of the following:</w:t>
      </w:r>
    </w:p>
    <w:p>
      <w:pPr>
        <w:spacing w:after="0" w:line="1" w:lineRule="exact"/>
        <w:rPr>
          <w:sz w:val="20"/>
          <w:szCs w:val="20"/>
          <w:color w:val="auto"/>
        </w:rPr>
      </w:pPr>
    </w:p>
    <w:p>
      <w:pPr>
        <w:ind w:left="4" w:hanging="4"/>
        <w:spacing w:after="0" w:line="253" w:lineRule="auto"/>
        <w:tabs>
          <w:tab w:leader="none" w:pos="219"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disclosure of any confidential or proprietary information of any member of the Company Group; (ii) any activity that would be grounds to terminate the Participant’s employment or service with the Service Recipient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spacing w:after="0" w:line="74" w:lineRule="exact"/>
        <w:rPr>
          <w:rFonts w:ascii="Times New Roman" w:cs="Times New Roman" w:eastAsia="Times New Roman" w:hAnsi="Times New Roman"/>
          <w:sz w:val="18"/>
          <w:szCs w:val="18"/>
          <w:color w:val="auto"/>
        </w:rPr>
      </w:pPr>
    </w:p>
    <w:p>
      <w:pPr>
        <w:ind w:left="4" w:right="40" w:firstLine="987"/>
        <w:spacing w:after="0" w:line="262" w:lineRule="auto"/>
        <w:tabs>
          <w:tab w:leader="none" w:pos="1265"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Venue</w:t>
      </w:r>
      <w:r>
        <w:rPr>
          <w:rFonts w:ascii="Times New Roman" w:cs="Times New Roman" w:eastAsia="Times New Roman" w:hAnsi="Times New Roman"/>
          <w:sz w:val="18"/>
          <w:szCs w:val="18"/>
          <w:color w:val="auto"/>
        </w:rPr>
        <w:t>. This Option Agreement shall be construed and interpreted in accordance with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without regard to the principles of conflicts of law thereof. Notwithstanding anything contained in this Option Agreement, the Grant Notice or the Plan to the contrary, if any suit or claim is instituted by the Participant or the Company relating to this Option Agreement, the Grant Notice or the Plan, the Participant hereby submits to the exclusive jurisdiction of and venue in the courts of Houston, Texas.</w:t>
      </w:r>
    </w:p>
    <w:p>
      <w:pPr>
        <w:spacing w:after="0" w:line="68" w:lineRule="exact"/>
        <w:rPr>
          <w:rFonts w:ascii="Times New Roman" w:cs="Times New Roman" w:eastAsia="Times New Roman" w:hAnsi="Times New Roman"/>
          <w:sz w:val="18"/>
          <w:szCs w:val="18"/>
          <w:color w:val="auto"/>
        </w:rPr>
      </w:pPr>
    </w:p>
    <w:p>
      <w:pPr>
        <w:ind w:left="4" w:firstLine="987"/>
        <w:spacing w:after="0" w:line="256" w:lineRule="auto"/>
        <w:tabs>
          <w:tab w:leader="none" w:pos="1265"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Award Subject to Plan</w:t>
      </w:r>
      <w:r>
        <w:rPr>
          <w:rFonts w:ascii="Times New Roman" w:cs="Times New Roman" w:eastAsia="Times New Roman" w:hAnsi="Times New Roman"/>
          <w:sz w:val="18"/>
          <w:szCs w:val="18"/>
          <w:color w:val="auto"/>
        </w:rPr>
        <w:t>. The Options granted hereunder, and the shares of Common Stock issued to the Participant upon exercise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Options, are subject to the Plan and the terms of the Plan are hereby incorporated into this Option Agreement. By accepting the Options, the Participant acknowledges that the Participant has received and read the Plan and agrees to be bound by the terms, conditions, and restrictions set forth in the Plan, this Option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Option Agreement shall survive the termination of this Award to the extent consistent with, or necessary to carry out, the purposes thereof.</w:t>
      </w:r>
    </w:p>
    <w:p>
      <w:pPr>
        <w:spacing w:after="0" w:line="74" w:lineRule="exact"/>
        <w:rPr>
          <w:rFonts w:ascii="Times New Roman" w:cs="Times New Roman" w:eastAsia="Times New Roman" w:hAnsi="Times New Roman"/>
          <w:sz w:val="18"/>
          <w:szCs w:val="18"/>
          <w:color w:val="auto"/>
        </w:rPr>
      </w:pPr>
    </w:p>
    <w:p>
      <w:pPr>
        <w:ind w:left="4" w:right="120" w:firstLine="987"/>
        <w:spacing w:after="0" w:line="262" w:lineRule="auto"/>
        <w:tabs>
          <w:tab w:leader="none" w:pos="1265"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Imposition of Other Requirements</w:t>
      </w:r>
      <w:r>
        <w:rPr>
          <w:rFonts w:ascii="Times New Roman" w:cs="Times New Roman" w:eastAsia="Times New Roman" w:hAnsi="Times New Roman"/>
          <w:sz w:val="18"/>
          <w:szCs w:val="18"/>
          <w:color w:val="auto"/>
        </w:rPr>
        <w:t>. The Company reserves the right to impose other requirements on the Participant’s participation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Plan, on the Options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68" w:lineRule="exact"/>
        <w:rPr>
          <w:rFonts w:ascii="Times New Roman" w:cs="Times New Roman" w:eastAsia="Times New Roman" w:hAnsi="Times New Roman"/>
          <w:sz w:val="18"/>
          <w:szCs w:val="18"/>
          <w:color w:val="auto"/>
        </w:rPr>
      </w:pPr>
    </w:p>
    <w:p>
      <w:pPr>
        <w:ind w:left="4" w:right="140" w:firstLine="987"/>
        <w:spacing w:after="0" w:line="262" w:lineRule="auto"/>
        <w:tabs>
          <w:tab w:leader="none" w:pos="1265"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Transmission Acknowledgement</w:t>
      </w:r>
      <w:r>
        <w:rPr>
          <w:rFonts w:ascii="Times New Roman" w:cs="Times New Roman" w:eastAsia="Times New Roman" w:hAnsi="Times New Roman"/>
          <w:sz w:val="18"/>
          <w:szCs w:val="18"/>
          <w:color w:val="auto"/>
        </w:rPr>
        <w:t>. To the extent necessary, the Participant authorizes, agrees and unambiguously consents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spacing w:after="0" w:line="68" w:lineRule="exact"/>
        <w:rPr>
          <w:rFonts w:ascii="Times New Roman" w:cs="Times New Roman" w:eastAsia="Times New Roman" w:hAnsi="Times New Roman"/>
          <w:sz w:val="18"/>
          <w:szCs w:val="18"/>
          <w:color w:val="auto"/>
        </w:rPr>
      </w:pPr>
    </w:p>
    <w:p>
      <w:pPr>
        <w:ind w:left="4" w:right="80" w:firstLine="987"/>
        <w:spacing w:after="0" w:line="257" w:lineRule="auto"/>
        <w:tabs>
          <w:tab w:leader="none" w:pos="1265"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current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Options provided to the Participant through the third-party stock plan administrator’s web portal or otherwise conflicts with any of the terms and conditions of this Option Agreement or the Plan (collectively, the “</w:t>
      </w:r>
      <w:r>
        <w:rPr>
          <w:rFonts w:ascii="Times New Roman" w:cs="Times New Roman" w:eastAsia="Times New Roman" w:hAnsi="Times New Roman"/>
          <w:sz w:val="18"/>
          <w:szCs w:val="18"/>
          <w:u w:val="single" w:color="auto"/>
          <w:color w:val="auto"/>
        </w:rPr>
        <w:t>Option Governing Documents</w:t>
      </w:r>
      <w:r>
        <w:rPr>
          <w:rFonts w:ascii="Times New Roman" w:cs="Times New Roman" w:eastAsia="Times New Roman" w:hAnsi="Times New Roman"/>
          <w:sz w:val="18"/>
          <w:szCs w:val="18"/>
          <w:color w:val="auto"/>
        </w:rPr>
        <w:t>”), the Option Governing Documents shall control.</w:t>
      </w:r>
    </w:p>
    <w:p>
      <w:pPr>
        <w:sectPr>
          <w:pgSz w:w="11900" w:h="16838" w:orient="portrait"/>
          <w:cols w:equalWidth="0" w:num="1">
            <w:col w:w="10964"/>
          </w:cols>
          <w:pgMar w:left="436" w:top="270" w:right="499" w:bottom="1440" w:gutter="0" w:footer="0" w:header="0"/>
        </w:sectPr>
      </w:pPr>
    </w:p>
    <w:bookmarkStart w:id="409" w:name="page410"/>
    <w:bookmarkEnd w:id="409"/>
    <w:p>
      <w:pPr>
        <w:ind w:left="-987" w:firstLine="987"/>
        <w:spacing w:after="0" w:line="317" w:lineRule="auto"/>
        <w:tabs>
          <w:tab w:leader="none" w:pos="274" w:val="left"/>
        </w:tabs>
        <w:numPr>
          <w:ilvl w:val="0"/>
          <w:numId w:val="3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Entire Agreement</w:t>
      </w:r>
      <w:r>
        <w:rPr>
          <w:rFonts w:ascii="Times New Roman" w:cs="Times New Roman" w:eastAsia="Times New Roman" w:hAnsi="Times New Roman"/>
          <w:sz w:val="17"/>
          <w:szCs w:val="17"/>
          <w:color w:val="auto"/>
        </w:rPr>
        <w:t>. The Option Governing Documents constitute the entire agreement of the parties hereto in respect of the subject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matter contained herein and supersede all prior agreements and understandings of the parties, oral and written, with respect to such subject matter.</w:t>
      </w:r>
    </w:p>
    <w:p>
      <w:pPr>
        <w:sectPr>
          <w:pgSz w:w="11900" w:h="16838" w:orient="portrait"/>
          <w:cols w:equalWidth="0" w:num="1">
            <w:col w:w="9733"/>
          </w:cols>
          <w:pgMar w:left="1427" w:top="266" w:right="739" w:bottom="1440" w:gutter="0" w:footer="0" w:header="0"/>
        </w:sectPr>
      </w:pPr>
    </w:p>
    <w:bookmarkStart w:id="410" w:name="page411"/>
    <w:bookmarkEnd w:id="410"/>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2020 Director Time RSUs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GRANT NOTICE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OMNIBUS INCENTIVE PLAN</w:t>
      </w:r>
    </w:p>
    <w:p>
      <w:pPr>
        <w:spacing w:after="0" w:line="207"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Academy Sports and Outdoors,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its 2020 Omnibus Incentive Plan, as it may be amended and restated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tc>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Name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Last Name</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w:t>
            </w:r>
          </w:p>
        </w:tc>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324"/>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Restricted Stock Units:</w:t>
            </w:r>
          </w:p>
        </w:tc>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Number of Restricted Stock Units Granted</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8"/>
                <w:szCs w:val="18"/>
                <w:color w:val="auto"/>
              </w:rPr>
              <w:t>:</w:t>
            </w:r>
          </w:p>
        </w:tc>
        <w:tc>
          <w:tcPr>
            <w:tcW w:w="78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Subject to the Participant’s continued service with the Company on each applicable vesting date,</w:t>
            </w: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100% of the Restricted Stock Units shall vest on the earliest of (i) the first anniversary of the Date of</w:t>
            </w:r>
          </w:p>
        </w:tc>
        <w:tc>
          <w:tcPr>
            <w:tcW w:w="0" w:type="dxa"/>
            <w:vAlign w:val="bottom"/>
          </w:tcPr>
          <w:p>
            <w:pPr>
              <w:spacing w:after="0"/>
              <w:rPr>
                <w:sz w:val="1"/>
                <w:szCs w:val="1"/>
                <w:color w:val="auto"/>
              </w:rPr>
            </w:pPr>
          </w:p>
        </w:tc>
      </w:tr>
      <w:tr>
        <w:trPr>
          <w:trHeight w:val="214"/>
        </w:trPr>
        <w:tc>
          <w:tcPr>
            <w:tcW w:w="3140" w:type="dxa"/>
            <w:vAlign w:val="bottom"/>
          </w:tcPr>
          <w:p>
            <w:pPr>
              <w:spacing w:after="0"/>
              <w:rPr>
                <w:sz w:val="18"/>
                <w:szCs w:val="18"/>
                <w:color w:val="auto"/>
              </w:rPr>
            </w:pPr>
          </w:p>
        </w:tc>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Grant, or, if earlier, the date which is the business day immediately preceeding the date of the annual</w:t>
            </w:r>
          </w:p>
        </w:tc>
        <w:tc>
          <w:tcPr>
            <w:tcW w:w="0" w:type="dxa"/>
            <w:vAlign w:val="bottom"/>
          </w:tcPr>
          <w:p>
            <w:pPr>
              <w:spacing w:after="0"/>
              <w:rPr>
                <w:sz w:val="1"/>
                <w:szCs w:val="1"/>
                <w:color w:val="auto"/>
              </w:rPr>
            </w:pPr>
          </w:p>
        </w:tc>
      </w:tr>
      <w:tr>
        <w:trPr>
          <w:trHeight w:val="218"/>
        </w:trPr>
        <w:tc>
          <w:tcPr>
            <w:tcW w:w="3140" w:type="dxa"/>
            <w:vAlign w:val="bottom"/>
          </w:tcPr>
          <w:p>
            <w:pPr>
              <w:spacing w:after="0"/>
              <w:rPr>
                <w:sz w:val="18"/>
                <w:szCs w:val="18"/>
                <w:color w:val="auto"/>
              </w:rPr>
            </w:pPr>
          </w:p>
        </w:tc>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meeting of the Company’s stockholders in [</w:t>
            </w:r>
            <w:r>
              <w:rPr>
                <w:rFonts w:ascii="Times New Roman" w:cs="Times New Roman" w:eastAsia="Times New Roman" w:hAnsi="Times New Roman"/>
                <w:sz w:val="18"/>
                <w:szCs w:val="18"/>
                <w:i w:val="1"/>
                <w:iCs w:val="1"/>
                <w:color w:val="auto"/>
                <w:w w:val="99"/>
              </w:rPr>
              <w:t>Insert Year</w:t>
            </w:r>
            <w:r>
              <w:rPr>
                <w:rFonts w:ascii="Times New Roman" w:cs="Times New Roman" w:eastAsia="Times New Roman" w:hAnsi="Times New Roman"/>
                <w:sz w:val="18"/>
                <w:szCs w:val="18"/>
                <w:color w:val="auto"/>
                <w:w w:val="99"/>
              </w:rPr>
              <w:t>], (ii) Participant’s Termination due to death or</w:t>
            </w: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Disability or (iii) a Change in Control.</w:t>
            </w:r>
          </w:p>
        </w:tc>
        <w:tc>
          <w:tcPr>
            <w:tcW w:w="0" w:type="dxa"/>
            <w:vAlign w:val="bottom"/>
          </w:tcPr>
          <w:p>
            <w:pPr>
              <w:spacing w:after="0"/>
              <w:rPr>
                <w:sz w:val="1"/>
                <w:szCs w:val="1"/>
                <w:color w:val="auto"/>
              </w:rPr>
            </w:pPr>
          </w:p>
        </w:tc>
      </w:tr>
      <w:tr>
        <w:trPr>
          <w:trHeight w:val="432"/>
        </w:trPr>
        <w:tc>
          <w:tcPr>
            <w:tcW w:w="3140" w:type="dxa"/>
            <w:vAlign w:val="bottom"/>
          </w:tcPr>
          <w:p>
            <w:pPr>
              <w:spacing w:after="0"/>
              <w:rPr>
                <w:sz w:val="24"/>
                <w:szCs w:val="24"/>
                <w:color w:val="auto"/>
              </w:rPr>
            </w:pPr>
          </w:p>
        </w:tc>
        <w:tc>
          <w:tcPr>
            <w:tcW w:w="78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   *   *</w:t>
            </w:r>
          </w:p>
        </w:tc>
        <w:tc>
          <w:tcPr>
            <w:tcW w:w="0" w:type="dxa"/>
            <w:vAlign w:val="bottom"/>
          </w:tcPr>
          <w:p>
            <w:pPr>
              <w:spacing w:after="0"/>
              <w:rPr>
                <w:sz w:val="1"/>
                <w:szCs w:val="1"/>
                <w:color w:val="auto"/>
              </w:rPr>
            </w:pPr>
          </w:p>
        </w:tc>
      </w:tr>
    </w:tbl>
    <w:p>
      <w:pPr>
        <w:sectPr>
          <w:pgSz w:w="11900" w:h="16838" w:orient="portrait"/>
          <w:cols w:equalWidth="0" w:num="1">
            <w:col w:w="11020"/>
          </w:cols>
          <w:pgMar w:left="440" w:top="117" w:right="43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ACADEMY SPORTS AND OUTDOORS,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299085</wp:posOffset>
            </wp:positionV>
            <wp:extent cx="27946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412" w:name="page413"/>
    <w:bookmarkEnd w:id="412"/>
    <w:p>
      <w:pPr>
        <w:ind w:left="4"/>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PARTICIPANT</w:t>
      </w: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77152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5">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274320</wp:posOffset>
            </wp:positionV>
            <wp:extent cx="77152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24" w:right="900" w:hanging="424"/>
        <w:spacing w:after="0" w:line="282" w:lineRule="auto"/>
        <w:tabs>
          <w:tab w:leader="none" w:pos="424" w:val="left"/>
        </w:tabs>
        <w:numPr>
          <w:ilvl w:val="0"/>
          <w:numId w:val="38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ectPr>
          <w:pgSz w:w="11900" w:h="16838" w:orient="portrait"/>
          <w:cols w:equalWidth="0" w:num="1">
            <w:col w:w="11004"/>
          </w:cols>
          <w:pgMar w:left="436" w:top="266" w:right="459" w:bottom="1440" w:gutter="0" w:footer="0" w:header="0"/>
        </w:sectPr>
      </w:pPr>
    </w:p>
    <w:bookmarkStart w:id="413" w:name="page414"/>
    <w:bookmarkEnd w:id="4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RESTRICTED STOCK UNIT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OMNIBUS INCENTIVE PLAN</w:t>
      </w:r>
    </w:p>
    <w:p>
      <w:pPr>
        <w:spacing w:after="0" w:line="207"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Pursuant to the Restricted Stock Unit Grant Notice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delivered to the Participant (as defined in the Grant Notice), and subject to the terms of this Restricted Stock Unit Agreement (this “</w:t>
      </w:r>
      <w:r>
        <w:rPr>
          <w:rFonts w:ascii="Times New Roman" w:cs="Times New Roman" w:eastAsia="Times New Roman" w:hAnsi="Times New Roman"/>
          <w:sz w:val="18"/>
          <w:szCs w:val="18"/>
          <w:u w:val="single" w:color="auto"/>
          <w:color w:val="auto"/>
        </w:rPr>
        <w:t>Restricted Stock Unit Agreement</w:t>
      </w:r>
      <w:r>
        <w:rPr>
          <w:rFonts w:ascii="Times New Roman" w:cs="Times New Roman" w:eastAsia="Times New Roman" w:hAnsi="Times New Roman"/>
          <w:sz w:val="18"/>
          <w:szCs w:val="18"/>
          <w:color w:val="auto"/>
        </w:rPr>
        <w:t>”) and the Academy Sports and Outdoors, Inc. 2020 Omnibus Incentive Plan, as it may be amended and restated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Academy Sports and Outdoors,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Participant agree as follows. Capitalized terms not otherwise defined herein shall have the same meaning as set forth in the Plan.</w:t>
      </w:r>
    </w:p>
    <w:p>
      <w:pPr>
        <w:spacing w:after="0" w:line="68" w:lineRule="exact"/>
        <w:rPr>
          <w:sz w:val="20"/>
          <w:szCs w:val="20"/>
          <w:color w:val="auto"/>
        </w:rPr>
      </w:pPr>
    </w:p>
    <w:p>
      <w:pPr>
        <w:ind w:right="20" w:firstLine="987"/>
        <w:spacing w:after="0" w:line="257" w:lineRule="auto"/>
        <w:tabs>
          <w:tab w:leader="none" w:pos="1171"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Restricted Stock Units</w:t>
      </w:r>
      <w:r>
        <w:rPr>
          <w:rFonts w:ascii="Times New Roman" w:cs="Times New Roman" w:eastAsia="Times New Roman" w:hAnsi="Times New Roman"/>
          <w:sz w:val="18"/>
          <w:szCs w:val="18"/>
          <w:color w:val="auto"/>
        </w:rPr>
        <w:t>. Subject to the terms and conditions set forth herein and in the Plan, the Company hereby grants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the 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74"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3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Vesting</w:t>
      </w:r>
      <w:r>
        <w:rPr>
          <w:rFonts w:ascii="Times New Roman" w:cs="Times New Roman" w:eastAsia="Times New Roman" w:hAnsi="Times New Roman"/>
          <w:sz w:val="17"/>
          <w:szCs w:val="17"/>
          <w:color w:val="auto"/>
        </w:rPr>
        <w:t>. Subject to the conditions contained herein and in the Plan, the Restricted Stock Units shall vest as provided in the Grant Notice.</w:t>
      </w:r>
    </w:p>
    <w:p>
      <w:pPr>
        <w:spacing w:after="0" w:line="128" w:lineRule="exact"/>
        <w:rPr>
          <w:rFonts w:ascii="Times New Roman" w:cs="Times New Roman" w:eastAsia="Times New Roman" w:hAnsi="Times New Roman"/>
          <w:sz w:val="17"/>
          <w:szCs w:val="17"/>
          <w:color w:val="auto"/>
        </w:rPr>
      </w:pPr>
    </w:p>
    <w:p>
      <w:pPr>
        <w:ind w:right="40" w:firstLine="987"/>
        <w:spacing w:after="0" w:line="254" w:lineRule="auto"/>
        <w:tabs>
          <w:tab w:leader="none" w:pos="1171"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Settlement of Restricted Stock Units</w:t>
      </w:r>
      <w:r>
        <w:rPr>
          <w:rFonts w:ascii="Times New Roman" w:cs="Times New Roman" w:eastAsia="Times New Roman" w:hAnsi="Times New Roman"/>
          <w:sz w:val="18"/>
          <w:szCs w:val="18"/>
          <w:color w:val="auto"/>
        </w:rPr>
        <w:t>. Subject to any election by the Committee pursuant to Section 9(d)(ii) of the Plan,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deliver to the Participant, without charge, as soon as reasonably practicable (and, in any event, within two and one-half months) following the applicable vesting date, one share of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80" w:lineRule="exact"/>
        <w:rPr>
          <w:rFonts w:ascii="Times New Roman" w:cs="Times New Roman" w:eastAsia="Times New Roman" w:hAnsi="Times New Roman"/>
          <w:sz w:val="18"/>
          <w:szCs w:val="18"/>
          <w:color w:val="auto"/>
        </w:rPr>
      </w:pPr>
    </w:p>
    <w:p>
      <w:pPr>
        <w:ind w:right="280" w:firstLine="987"/>
        <w:spacing w:after="0" w:line="262" w:lineRule="auto"/>
        <w:tabs>
          <w:tab w:leader="none" w:pos="1171"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Treatment of Restricted Stock Units Upon Termination</w:t>
      </w:r>
      <w:r>
        <w:rPr>
          <w:rFonts w:ascii="Times New Roman" w:cs="Times New Roman" w:eastAsia="Times New Roman" w:hAnsi="Times New Roman"/>
          <w:sz w:val="18"/>
          <w:szCs w:val="18"/>
          <w:color w:val="auto"/>
        </w:rPr>
        <w:t>. Except as otherwise provided in the Grant Notice or as otherwise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the Committee, in the event of a Participant’s Termination for any reason prior to the time that such Participant’s Restricted Stock Units have vested, (A) all vesting with respect to such Participant’s Restricted Stock Units shall cease and (B) unvested Restricted Stock Units shall be forfeited to the Company by the Participant for no consideration as of the date of such Termination.</w:t>
      </w:r>
    </w:p>
    <w:p>
      <w:pPr>
        <w:spacing w:after="0" w:line="68" w:lineRule="exact"/>
        <w:rPr>
          <w:rFonts w:ascii="Times New Roman" w:cs="Times New Roman" w:eastAsia="Times New Roman" w:hAnsi="Times New Roman"/>
          <w:sz w:val="18"/>
          <w:szCs w:val="18"/>
          <w:color w:val="auto"/>
        </w:rPr>
      </w:pPr>
    </w:p>
    <w:p>
      <w:pPr>
        <w:ind w:right="100" w:firstLine="987"/>
        <w:spacing w:after="0" w:line="257" w:lineRule="auto"/>
        <w:tabs>
          <w:tab w:leader="none" w:pos="1171"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to Issuance of Common Stock</w:t>
      </w:r>
      <w:r>
        <w:rPr>
          <w:rFonts w:ascii="Times New Roman" w:cs="Times New Roman" w:eastAsia="Times New Roman" w:hAnsi="Times New Roman"/>
          <w:sz w:val="18"/>
          <w:szCs w:val="18"/>
          <w:color w:val="auto"/>
        </w:rPr>
        <w:t>. The Company shall not be required to record the ownership by the Participant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issued upon the settlement of vested Restricted Stock Units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settlement of the vested Restricted Stock Units as may otherwise be required by applicable law; and (iii) the execution and delivery to the Company, to the extent not so previously executed and delivered, of such other documents and instruments as may be reasonably required by the Committee.</w:t>
      </w:r>
    </w:p>
    <w:p>
      <w:pPr>
        <w:sectPr>
          <w:pgSz w:w="11900" w:h="16838" w:orient="portrait"/>
          <w:cols w:equalWidth="0" w:num="1">
            <w:col w:w="11020"/>
          </w:cols>
          <w:pgMar w:left="440" w:top="266" w:right="439" w:bottom="1440" w:gutter="0" w:footer="0" w:header="0"/>
        </w:sectPr>
      </w:pPr>
    </w:p>
    <w:bookmarkStart w:id="414" w:name="page415"/>
    <w:bookmarkEnd w:id="414"/>
    <w:p>
      <w:pPr>
        <w:jc w:val="both"/>
        <w:ind w:right="220" w:firstLine="987"/>
        <w:spacing w:after="0" w:line="291" w:lineRule="auto"/>
        <w:tabs>
          <w:tab w:leader="none" w:pos="1171" w:val="left"/>
        </w:tabs>
        <w:numPr>
          <w:ilvl w:val="0"/>
          <w:numId w:val="3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Participant</w:t>
      </w:r>
      <w:r>
        <w:rPr>
          <w:rFonts w:ascii="Times New Roman" w:cs="Times New Roman" w:eastAsia="Times New Roman" w:hAnsi="Times New Roman"/>
          <w:sz w:val="17"/>
          <w:szCs w:val="17"/>
          <w:color w:val="auto"/>
        </w:rPr>
        <w:t>. Whenever the word “Participant” is used in any provision of this Restricted Stock Unit Agreement under circumstances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where the provision should logically be construed to apply to the executors, the administrators, or the person or persons to whom the Restricted Stock Units may be transferred in accordance with Section 14(b) of the Plan, the word “Participant” shall be deemed to include such person or persons.</w:t>
      </w:r>
    </w:p>
    <w:p>
      <w:pPr>
        <w:spacing w:after="0" w:line="44" w:lineRule="exact"/>
        <w:rPr>
          <w:rFonts w:ascii="Times New Roman" w:cs="Times New Roman" w:eastAsia="Times New Roman" w:hAnsi="Times New Roman"/>
          <w:sz w:val="17"/>
          <w:szCs w:val="17"/>
          <w:color w:val="auto"/>
        </w:rPr>
      </w:pPr>
    </w:p>
    <w:p>
      <w:pPr>
        <w:ind w:right="60" w:firstLine="987"/>
        <w:spacing w:after="0" w:line="262" w:lineRule="auto"/>
        <w:tabs>
          <w:tab w:leader="none" w:pos="1171"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Non-Transferability</w:t>
      </w:r>
      <w:r>
        <w:rPr>
          <w:rFonts w:ascii="Times New Roman" w:cs="Times New Roman" w:eastAsia="Times New Roman" w:hAnsi="Times New Roman"/>
          <w:sz w:val="18"/>
          <w:szCs w:val="18"/>
          <w:color w:val="auto"/>
        </w:rPr>
        <w:t>. The Restricted Stock Units are not transferable by the Participant except to Permitted Transferees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 IPO GRANTS AND GRANTS MADE WITHIN 180 DAYS FOLLOWING IPO:</w:t>
      </w:r>
      <w:r>
        <w:rPr>
          <w:rFonts w:ascii="Times New Roman" w:cs="Times New Roman" w:eastAsia="Times New Roman" w:hAnsi="Times New Roman"/>
          <w:sz w:val="18"/>
          <w:szCs w:val="18"/>
          <w:color w:val="auto"/>
        </w:rPr>
        <w:t xml:space="preserve"> The Participant further hereby agrees that the Participant shall, without further action on the part of the Participant, be bound by the provisions of the lock-up agreements executed by the executive officers of the Company to the same extent as if the Participant had directly executed such lock-up agreement himself or herself. Such lock-up agreement will provide that the Participant shall not, subject to certain customary exceptions, dispose of or hedge any shares of Common Stock or securities convertible into or exchangeable for shares of Common Stock during the period from the date of the final prospectus relating to initial public offering of the Company and continuing through the date one hundred eighty (180) days following the date of such prospectus, except with the prior consent of the representative(s) of the underwriters.]</w:t>
      </w:r>
    </w:p>
    <w:p>
      <w:pPr>
        <w:spacing w:after="0" w:line="75" w:lineRule="exact"/>
        <w:rPr>
          <w:sz w:val="20"/>
          <w:szCs w:val="20"/>
          <w:color w:val="auto"/>
        </w:rPr>
      </w:pPr>
    </w:p>
    <w:p>
      <w:pPr>
        <w:ind w:firstLine="987"/>
        <w:spacing w:after="0" w:line="259" w:lineRule="auto"/>
        <w:tabs>
          <w:tab w:leader="none" w:pos="1171"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Rights as Shareholder</w:t>
      </w:r>
      <w:r>
        <w:rPr>
          <w:rFonts w:ascii="Times New Roman" w:cs="Times New Roman" w:eastAsia="Times New Roman" w:hAnsi="Times New Roman"/>
          <w:sz w:val="18"/>
          <w:szCs w:val="18"/>
          <w:color w:val="auto"/>
        </w:rPr>
        <w:t>. The Participant or a Permitted Transferee of the Restricted Stock Units shall have no rights as a shareholder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71" w:lineRule="exact"/>
        <w:rPr>
          <w:rFonts w:ascii="Times New Roman" w:cs="Times New Roman" w:eastAsia="Times New Roman" w:hAnsi="Times New Roman"/>
          <w:sz w:val="18"/>
          <w:szCs w:val="18"/>
          <w:color w:val="auto"/>
        </w:rPr>
      </w:pPr>
    </w:p>
    <w:p>
      <w:pPr>
        <w:ind w:right="120" w:firstLine="987"/>
        <w:spacing w:after="0" w:line="257" w:lineRule="auto"/>
        <w:tabs>
          <w:tab w:leader="none" w:pos="1171"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The Participant may be required to pay to the Company and the Company shall have the right and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to withhold, any applicable withholding taxes in respect of the Restricted Stock Units, their vesting or settlement or any payment or transfer with respect to the Restricted Stock Units at the minimum applicable statutory rates, and to take such action as may be necessary in the opinion of the Committee to satisfy all obligations for the payment of such withholding taxes. The Committee may, in its sole discretion, permit the Participant to satisfy such withholding tax obligations, in whole or in part, by delivering shares of Common Stock, including shares of Common Stock received upon settlement of Restricted Stock Units pursuant to this Restricted Stock Unit Agreement.</w:t>
      </w:r>
    </w:p>
    <w:p>
      <w:pPr>
        <w:spacing w:after="0" w:line="74" w:lineRule="exact"/>
        <w:rPr>
          <w:rFonts w:ascii="Times New Roman" w:cs="Times New Roman" w:eastAsia="Times New Roman" w:hAnsi="Times New Roman"/>
          <w:sz w:val="18"/>
          <w:szCs w:val="18"/>
          <w:color w:val="auto"/>
        </w:rPr>
      </w:pPr>
    </w:p>
    <w:p>
      <w:pPr>
        <w:ind w:right="40" w:firstLine="987"/>
        <w:spacing w:after="0" w:line="254" w:lineRule="auto"/>
        <w:tabs>
          <w:tab w:leader="none" w:pos="1261"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Every notice or other communication relating to this Restricted Stock Unit Agreement between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ectPr>
          <w:pgSz w:w="11900" w:h="16838" w:orient="portrait"/>
          <w:cols w:equalWidth="0" w:num="1">
            <w:col w:w="11000"/>
          </w:cols>
          <w:pgMar w:left="440" w:top="266" w:right="459" w:bottom="1440" w:gutter="0" w:footer="0" w:header="0"/>
        </w:sectPr>
      </w:pPr>
    </w:p>
    <w:bookmarkStart w:id="415" w:name="page416"/>
    <w:bookmarkEnd w:id="415"/>
    <w:p>
      <w:pPr>
        <w:ind w:right="180" w:firstLine="987"/>
        <w:spacing w:after="0" w:line="286" w:lineRule="auto"/>
        <w:tabs>
          <w:tab w:leader="none" w:pos="125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Right to Continued Service</w:t>
      </w:r>
      <w:r>
        <w:rPr>
          <w:rFonts w:ascii="Times New Roman" w:cs="Times New Roman" w:eastAsia="Times New Roman" w:hAnsi="Times New Roman"/>
          <w:sz w:val="18"/>
          <w:szCs w:val="18"/>
          <w:color w:val="auto"/>
        </w:rPr>
        <w:t>. This Restricted Stock Unit Agreement does not confer upon the Participant any right to continue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employee or other service provider to the Company or any of its Subsidiaries.</w:t>
      </w:r>
    </w:p>
    <w:p>
      <w:pPr>
        <w:spacing w:after="0" w:line="46"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Restricted Stock Unit Agreement shall be binding upon the heirs, executors, administrators and successors of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hereto.</w:t>
      </w:r>
    </w:p>
    <w:p>
      <w:pPr>
        <w:spacing w:after="0" w:line="94" w:lineRule="exact"/>
        <w:rPr>
          <w:rFonts w:ascii="Times New Roman" w:cs="Times New Roman" w:eastAsia="Times New Roman" w:hAnsi="Times New Roman"/>
          <w:sz w:val="18"/>
          <w:szCs w:val="18"/>
          <w:color w:val="auto"/>
        </w:rPr>
      </w:pPr>
    </w:p>
    <w:p>
      <w:pPr>
        <w:ind w:firstLine="987"/>
        <w:spacing w:after="0" w:line="259" w:lineRule="auto"/>
        <w:tabs>
          <w:tab w:leader="none" w:pos="1261"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 and Amendments</w:t>
      </w:r>
      <w:r>
        <w:rPr>
          <w:rFonts w:ascii="Times New Roman" w:cs="Times New Roman" w:eastAsia="Times New Roman" w:hAnsi="Times New Roman"/>
          <w:sz w:val="18"/>
          <w:szCs w:val="18"/>
          <w:color w:val="auto"/>
        </w:rPr>
        <w:t>. Except as otherwise set forth in Section 13 of the Plan, any waiver, alteration, amendment or modification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any of the terms of this Restricted Stock Unit Agreement shall be valid only if made in writing and signed by the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71" w:lineRule="exact"/>
        <w:rPr>
          <w:rFonts w:ascii="Times New Roman" w:cs="Times New Roman" w:eastAsia="Times New Roman" w:hAnsi="Times New Roman"/>
          <w:sz w:val="18"/>
          <w:szCs w:val="18"/>
          <w:color w:val="auto"/>
        </w:rPr>
      </w:pPr>
    </w:p>
    <w:p>
      <w:pPr>
        <w:ind w:right="60" w:firstLine="987"/>
        <w:spacing w:after="0" w:line="253" w:lineRule="auto"/>
        <w:tabs>
          <w:tab w:leader="none" w:pos="1261"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Clawback; Forfeiture</w:t>
      </w:r>
      <w:r>
        <w:rPr>
          <w:rFonts w:ascii="Times New Roman" w:cs="Times New Roman" w:eastAsia="Times New Roman" w:hAnsi="Times New Roman"/>
          <w:sz w:val="18"/>
          <w:szCs w:val="18"/>
          <w:color w:val="auto"/>
        </w:rPr>
        <w:t>. Notwithstanding anything to the contrary contained herein or in the Plan, if the Participant has engaged in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engages in any 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 “</w:t>
      </w:r>
      <w:r>
        <w:rPr>
          <w:rFonts w:ascii="Times New Roman" w:cs="Times New Roman" w:eastAsia="Times New Roman" w:hAnsi="Times New Roman"/>
          <w:sz w:val="18"/>
          <w:szCs w:val="18"/>
          <w:u w:val="single" w:color="auto"/>
          <w:color w:val="auto"/>
        </w:rPr>
        <w:t>Detrimental Activity</w:t>
      </w:r>
      <w:r>
        <w:rPr>
          <w:rFonts w:ascii="Times New Roman" w:cs="Times New Roman" w:eastAsia="Times New Roman" w:hAnsi="Times New Roman"/>
          <w:sz w:val="18"/>
          <w:szCs w:val="18"/>
          <w:color w:val="auto"/>
        </w:rPr>
        <w:t>” means any, offset of the following: (i) unauthorized disclosure of any confidential or proprietary information of any member of the Company Group; (ii) any activity that would be grounds to terminate the Participant’s employment or service with the Company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spacing w:after="0" w:line="81" w:lineRule="exact"/>
        <w:rPr>
          <w:rFonts w:ascii="Times New Roman" w:cs="Times New Roman" w:eastAsia="Times New Roman" w:hAnsi="Times New Roman"/>
          <w:sz w:val="18"/>
          <w:szCs w:val="18"/>
          <w:color w:val="auto"/>
        </w:rPr>
      </w:pPr>
    </w:p>
    <w:p>
      <w:pPr>
        <w:ind w:right="160" w:firstLine="987"/>
        <w:spacing w:after="0" w:line="259" w:lineRule="auto"/>
        <w:tabs>
          <w:tab w:leader="none" w:pos="1261"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Venue</w:t>
      </w:r>
      <w:r>
        <w:rPr>
          <w:rFonts w:ascii="Times New Roman" w:cs="Times New Roman" w:eastAsia="Times New Roman" w:hAnsi="Times New Roman"/>
          <w:sz w:val="18"/>
          <w:szCs w:val="18"/>
          <w:color w:val="auto"/>
        </w:rPr>
        <w:t>. This Restricted Stock Unit Agreement shall be construed and interpreted in accordance with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Houston, Texas.</w:t>
      </w:r>
    </w:p>
    <w:p>
      <w:pPr>
        <w:spacing w:after="0" w:line="71" w:lineRule="exact"/>
        <w:rPr>
          <w:rFonts w:ascii="Times New Roman" w:cs="Times New Roman" w:eastAsia="Times New Roman" w:hAnsi="Times New Roman"/>
          <w:sz w:val="18"/>
          <w:szCs w:val="18"/>
          <w:color w:val="auto"/>
        </w:rPr>
      </w:pPr>
    </w:p>
    <w:p>
      <w:pPr>
        <w:ind w:firstLine="987"/>
        <w:spacing w:after="0" w:line="262" w:lineRule="auto"/>
        <w:tabs>
          <w:tab w:leader="none" w:pos="1261"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Award Subject to Plan</w:t>
      </w:r>
      <w:r>
        <w:rPr>
          <w:rFonts w:ascii="Times New Roman" w:cs="Times New Roman" w:eastAsia="Times New Roman" w:hAnsi="Times New Roman"/>
          <w:sz w:val="18"/>
          <w:szCs w:val="18"/>
          <w:color w:val="auto"/>
        </w:rPr>
        <w:t>. The Restricted Stock Units granted hereunder, and the shares of Common Stock issued to the Participant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of vested Restricted Stock Units, are subject to the Plan and the terms of the Plan are hereby incorporated into this Restricted Stock Unit Agreement. By accepting the Restricted Stock Units, the Participant acknowledges that the Participant has received and read the Plan and agrees to be bound by the terms, conditions, and restrictions set forth in the Plan, this</w:t>
      </w:r>
    </w:p>
    <w:p>
      <w:pPr>
        <w:sectPr>
          <w:pgSz w:w="11900" w:h="16838" w:orient="portrait"/>
          <w:cols w:equalWidth="0" w:num="1">
            <w:col w:w="11020"/>
          </w:cols>
          <w:pgMar w:left="440" w:top="266" w:right="439" w:bottom="1440" w:gutter="0" w:footer="0" w:header="0"/>
        </w:sectPr>
      </w:pPr>
    </w:p>
    <w:bookmarkStart w:id="416" w:name="page417"/>
    <w:bookmarkEnd w:id="416"/>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Restricted Stock Unit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Restricted Stock Unit Agreement shall survive the termination of this Award to the extent consistent with, or necessary to carry out, the purposes thereof.</w:t>
      </w:r>
    </w:p>
    <w:p>
      <w:pPr>
        <w:spacing w:after="0" w:line="68" w:lineRule="exact"/>
        <w:rPr>
          <w:sz w:val="20"/>
          <w:szCs w:val="20"/>
          <w:color w:val="auto"/>
        </w:rPr>
      </w:pPr>
    </w:p>
    <w:p>
      <w:pPr>
        <w:ind w:right="160" w:firstLine="987"/>
        <w:spacing w:after="0" w:line="268" w:lineRule="auto"/>
        <w:tabs>
          <w:tab w:leader="none" w:pos="1261"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It is intended that the Restricted Stock Units granted hereunder shall be exempt from Section 409A of the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“short-term deferral” rule applicable to such section, as set forth in the regulations or other guidance published by the Internal Revenue Service thereunder.</w:t>
      </w:r>
    </w:p>
    <w:p>
      <w:pPr>
        <w:spacing w:after="0" w:line="62" w:lineRule="exact"/>
        <w:rPr>
          <w:rFonts w:ascii="Times New Roman" w:cs="Times New Roman" w:eastAsia="Times New Roman" w:hAnsi="Times New Roman"/>
          <w:sz w:val="18"/>
          <w:szCs w:val="18"/>
          <w:color w:val="auto"/>
        </w:rPr>
      </w:pPr>
    </w:p>
    <w:p>
      <w:pPr>
        <w:ind w:right="160" w:firstLine="987"/>
        <w:spacing w:after="0" w:line="262" w:lineRule="auto"/>
        <w:tabs>
          <w:tab w:leader="none" w:pos="1261"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Imposition of Other Requirements</w:t>
      </w:r>
      <w:r>
        <w:rPr>
          <w:rFonts w:ascii="Times New Roman" w:cs="Times New Roman" w:eastAsia="Times New Roman" w:hAnsi="Times New Roman"/>
          <w:sz w:val="18"/>
          <w:szCs w:val="18"/>
          <w:color w:val="auto"/>
        </w:rPr>
        <w:t>. The Company reserves the right to impose other requirements on the Participant’s participation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68" w:lineRule="exact"/>
        <w:rPr>
          <w:rFonts w:ascii="Times New Roman" w:cs="Times New Roman" w:eastAsia="Times New Roman" w:hAnsi="Times New Roman"/>
          <w:sz w:val="18"/>
          <w:szCs w:val="18"/>
          <w:color w:val="auto"/>
        </w:rPr>
      </w:pPr>
    </w:p>
    <w:p>
      <w:pPr>
        <w:ind w:right="180" w:firstLine="987"/>
        <w:spacing w:after="0" w:line="262" w:lineRule="auto"/>
        <w:tabs>
          <w:tab w:leader="none" w:pos="1261"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Transmission Acknowledgement</w:t>
      </w:r>
      <w:r>
        <w:rPr>
          <w:rFonts w:ascii="Times New Roman" w:cs="Times New Roman" w:eastAsia="Times New Roman" w:hAnsi="Times New Roman"/>
          <w:sz w:val="18"/>
          <w:szCs w:val="18"/>
          <w:color w:val="auto"/>
        </w:rPr>
        <w:t>. To the extent necessary, the Participant authorizes, agrees and unambiguously consents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spacing w:after="0" w:line="68" w:lineRule="exact"/>
        <w:rPr>
          <w:rFonts w:ascii="Times New Roman" w:cs="Times New Roman" w:eastAsia="Times New Roman" w:hAnsi="Times New Roman"/>
          <w:sz w:val="18"/>
          <w:szCs w:val="18"/>
          <w:color w:val="auto"/>
        </w:rPr>
      </w:pPr>
    </w:p>
    <w:p>
      <w:pPr>
        <w:ind w:firstLine="987"/>
        <w:spacing w:after="0" w:line="257" w:lineRule="auto"/>
        <w:tabs>
          <w:tab w:leader="none" w:pos="1261"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current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Restricted Stock Units provided to the Participant through the third-party stock plan administrator’s web portal or otherwise conflicts with any of the terms and conditions of this Restricted Stock Unit Agreement or the Plan (collectively, the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Unit Governing Documents</w:t>
      </w:r>
      <w:r>
        <w:rPr>
          <w:rFonts w:ascii="Times New Roman" w:cs="Times New Roman" w:eastAsia="Times New Roman" w:hAnsi="Times New Roman"/>
          <w:sz w:val="18"/>
          <w:szCs w:val="18"/>
          <w:color w:val="auto"/>
        </w:rPr>
        <w:t>”), the Restricted Stock Unit Governing Documents shall control.</w:t>
      </w:r>
    </w:p>
    <w:p>
      <w:pPr>
        <w:spacing w:after="0" w:line="74" w:lineRule="exact"/>
        <w:rPr>
          <w:rFonts w:ascii="Times New Roman" w:cs="Times New Roman" w:eastAsia="Times New Roman" w:hAnsi="Times New Roman"/>
          <w:sz w:val="18"/>
          <w:szCs w:val="18"/>
          <w:color w:val="auto"/>
        </w:rPr>
      </w:pPr>
    </w:p>
    <w:p>
      <w:pPr>
        <w:ind w:right="60" w:firstLine="987"/>
        <w:spacing w:after="0" w:line="268" w:lineRule="auto"/>
        <w:tabs>
          <w:tab w:leader="none" w:pos="1261"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The Restricted Stock Unit Governing Documents constitute the entire agreement of the parties hereto in respect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subject matter contained herein and supersede all prior agreements and understandings of the parties, oral and written, with respect to such subject matter.</w:t>
      </w:r>
    </w:p>
    <w:p>
      <w:pPr>
        <w:sectPr>
          <w:pgSz w:w="11900" w:h="16838" w:orient="portrait"/>
          <w:cols w:equalWidth="0" w:num="1">
            <w:col w:w="11000"/>
          </w:cols>
          <w:pgMar w:left="440" w:top="270" w:right="459" w:bottom="1440" w:gutter="0" w:footer="0" w:header="0"/>
        </w:sectPr>
      </w:pPr>
    </w:p>
    <w:bookmarkStart w:id="417" w:name="page418"/>
    <w:bookmarkEnd w:id="417"/>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2020 Performance RSUs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RESTRICTED STOCK UNIT GRANT NOTICE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UNDER THE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2020 OMNIBUS INCENTIVE PLAN</w:t>
      </w:r>
    </w:p>
    <w:p>
      <w:pPr>
        <w:spacing w:after="0" w:line="207" w:lineRule="exact"/>
        <w:rPr>
          <w:sz w:val="20"/>
          <w:szCs w:val="20"/>
          <w:color w:val="auto"/>
        </w:rPr>
      </w:pPr>
    </w:p>
    <w:p>
      <w:pPr>
        <w:ind w:left="4" w:right="140" w:firstLine="991"/>
        <w:spacing w:after="0" w:line="258" w:lineRule="auto"/>
        <w:rPr>
          <w:sz w:val="20"/>
          <w:szCs w:val="20"/>
          <w:color w:val="auto"/>
        </w:rPr>
      </w:pPr>
      <w:r>
        <w:rPr>
          <w:rFonts w:ascii="Times New Roman" w:cs="Times New Roman" w:eastAsia="Times New Roman" w:hAnsi="Times New Roman"/>
          <w:sz w:val="18"/>
          <w:szCs w:val="18"/>
          <w:color w:val="auto"/>
        </w:rPr>
        <w:t>Academy Sports and Outdoors,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its 2020 Omnibus Incentive Plan, as it may be amended and restated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tc>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Name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Last Name</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w:t>
            </w:r>
          </w:p>
        </w:tc>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432"/>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w:t>
            </w:r>
          </w:p>
        </w:tc>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Number of Restricted Stock Units Granted</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Commencement Date</w:t>
            </w:r>
            <w:r>
              <w:rPr>
                <w:rFonts w:ascii="Times New Roman" w:cs="Times New Roman" w:eastAsia="Times New Roman" w:hAnsi="Times New Roman"/>
                <w:sz w:val="18"/>
                <w:szCs w:val="18"/>
                <w:color w:val="auto"/>
              </w:rPr>
              <w:t>:</w:t>
            </w:r>
          </w:p>
        </w:tc>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[_____]</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306"/>
        </w:trPr>
        <w:tc>
          <w:tcPr>
            <w:tcW w:w="2540" w:type="dxa"/>
            <w:vAlign w:val="bottom"/>
          </w:tcPr>
          <w:p>
            <w:pPr>
              <w:spacing w:after="0"/>
              <w:rPr>
                <w:sz w:val="24"/>
                <w:szCs w:val="24"/>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The earlier to occur of: (a) the date on which settlement</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all vested Restricted Stock Units granted hereunder</w:t>
            </w:r>
          </w:p>
        </w:tc>
        <w:tc>
          <w:tcPr>
            <w:tcW w:w="0" w:type="dxa"/>
            <w:vAlign w:val="bottom"/>
          </w:tcPr>
          <w:p>
            <w:pPr>
              <w:spacing w:after="0"/>
              <w:rPr>
                <w:sz w:val="1"/>
                <w:szCs w:val="1"/>
                <w:color w:val="auto"/>
              </w:rPr>
            </w:pPr>
          </w:p>
        </w:tc>
      </w:tr>
      <w:tr>
        <w:trPr>
          <w:trHeight w:val="216"/>
        </w:trPr>
        <w:tc>
          <w:tcPr>
            <w:tcW w:w="2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occurs and (b) the tenth (10th) anniversary of the Date</w:t>
            </w:r>
          </w:p>
        </w:tc>
        <w:tc>
          <w:tcPr>
            <w:tcW w:w="0" w:type="dxa"/>
            <w:vAlign w:val="bottom"/>
          </w:tcPr>
          <w:p>
            <w:pPr>
              <w:spacing w:after="0"/>
              <w:rPr>
                <w:sz w:val="1"/>
                <w:szCs w:val="1"/>
                <w:color w:val="auto"/>
              </w:rPr>
            </w:pPr>
          </w:p>
        </w:tc>
      </w:tr>
      <w:tr>
        <w:trPr>
          <w:trHeight w:val="234"/>
        </w:trPr>
        <w:tc>
          <w:tcPr>
            <w:tcW w:w="2540" w:type="dxa"/>
            <w:vAlign w:val="bottom"/>
            <w:vMerge w:val="continue"/>
          </w:tcPr>
          <w:p>
            <w:pPr>
              <w:spacing w:after="0"/>
              <w:rPr>
                <w:sz w:val="20"/>
                <w:szCs w:val="20"/>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Grant.</w:t>
            </w:r>
          </w:p>
        </w:tc>
        <w:tc>
          <w:tcPr>
            <w:tcW w:w="0" w:type="dxa"/>
            <w:vAlign w:val="bottom"/>
          </w:tcPr>
          <w:p>
            <w:pPr>
              <w:spacing w:after="0"/>
              <w:rPr>
                <w:sz w:val="1"/>
                <w:szCs w:val="1"/>
                <w:color w:val="auto"/>
              </w:rPr>
            </w:pPr>
          </w:p>
        </w:tc>
      </w:tr>
      <w:tr>
        <w:trPr>
          <w:trHeight w:val="432"/>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120" w:firstLine="440"/>
        <w:spacing w:after="0" w:line="276" w:lineRule="auto"/>
        <w:rPr>
          <w:sz w:val="20"/>
          <w:szCs w:val="20"/>
          <w:color w:val="auto"/>
        </w:rPr>
      </w:pPr>
      <w:r>
        <w:rPr>
          <w:rFonts w:ascii="Times New Roman" w:cs="Times New Roman" w:eastAsia="Times New Roman" w:hAnsi="Times New Roman"/>
          <w:sz w:val="17"/>
          <w:szCs w:val="17"/>
          <w:color w:val="auto"/>
        </w:rPr>
        <w:t>Only “Earned Restricted Stock Units” are eligible to become vested in accordance with the vesting schedule set forth below. Restricted Stock Units become “</w:t>
      </w:r>
      <w:r>
        <w:rPr>
          <w:rFonts w:ascii="Times New Roman" w:cs="Times New Roman" w:eastAsia="Times New Roman" w:hAnsi="Times New Roman"/>
          <w:sz w:val="17"/>
          <w:szCs w:val="17"/>
          <w:u w:val="single" w:color="auto"/>
          <w:color w:val="auto"/>
        </w:rPr>
        <w:t>Earned Restricted Stock Units</w:t>
      </w:r>
      <w:r>
        <w:rPr>
          <w:rFonts w:ascii="Times New Roman" w:cs="Times New Roman" w:eastAsia="Times New Roman" w:hAnsi="Times New Roman"/>
          <w:sz w:val="17"/>
          <w:szCs w:val="17"/>
          <w:color w:val="auto"/>
        </w:rPr>
        <w:t>” based on (i) the Company’s level of achievement of consolidated annual EBITDA for the Grant Year, or</w:t>
      </w:r>
    </w:p>
    <w:p>
      <w:pPr>
        <w:spacing w:after="0" w:line="1" w:lineRule="exact"/>
        <w:rPr>
          <w:sz w:val="20"/>
          <w:szCs w:val="20"/>
          <w:color w:val="auto"/>
        </w:rPr>
      </w:pPr>
    </w:p>
    <w:p>
      <w:pPr>
        <w:ind w:left="4" w:right="140" w:hanging="4"/>
        <w:spacing w:after="0" w:line="260" w:lineRule="auto"/>
        <w:tabs>
          <w:tab w:leader="none" w:pos="269"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achievement of the Target Share Price, or (iii) a Change in Control occurring during the Grant Year, in each case in accordance with the terms set forth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attached hereto.</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Settlement of Earned Restricted Stock Units is conditioned on satisfaction of a time and service based requirement (the “</w:t>
      </w:r>
      <w:r>
        <w:rPr>
          <w:rFonts w:ascii="Times New Roman" w:cs="Times New Roman" w:eastAsia="Times New Roman" w:hAnsi="Times New Roman"/>
          <w:sz w:val="18"/>
          <w:szCs w:val="18"/>
          <w:u w:val="single" w:color="auto"/>
          <w:color w:val="auto"/>
        </w:rPr>
        <w:t>Time and Service 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Requirement</w:t>
      </w:r>
      <w:r>
        <w:rPr>
          <w:rFonts w:ascii="Times New Roman" w:cs="Times New Roman" w:eastAsia="Times New Roman" w:hAnsi="Times New Roman"/>
          <w:sz w:val="18"/>
          <w:szCs w:val="18"/>
          <w:color w:val="auto"/>
        </w:rPr>
        <w:t>”) before the tenth (10th) anniversary of the Date of Grant:</w:t>
      </w:r>
    </w:p>
    <w:p>
      <w:pPr>
        <w:spacing w:after="0" w:line="54" w:lineRule="exact"/>
        <w:rPr>
          <w:sz w:val="20"/>
          <w:szCs w:val="20"/>
          <w:color w:val="auto"/>
        </w:rPr>
      </w:pPr>
    </w:p>
    <w:p>
      <w:pPr>
        <w:ind w:left="444" w:right="20"/>
        <w:spacing w:after="0" w:line="282" w:lineRule="auto"/>
        <w:rPr>
          <w:sz w:val="20"/>
          <w:szCs w:val="20"/>
          <w:color w:val="auto"/>
        </w:rPr>
      </w:pPr>
      <w:r>
        <w:rPr>
          <w:rFonts w:ascii="Times New Roman" w:cs="Times New Roman" w:eastAsia="Times New Roman" w:hAnsi="Times New Roman"/>
          <w:sz w:val="18"/>
          <w:szCs w:val="18"/>
          <w:color w:val="auto"/>
        </w:rPr>
        <w:t>Provided that Participant is in continuous service with the Company and its Subsidiaries on each applicable vesting date described below, the Time and Service Based Requirement will be satisfied as to the following percentages of the Earned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7152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5" w:lineRule="exact"/>
        <w:rPr>
          <w:sz w:val="20"/>
          <w:szCs w:val="20"/>
          <w:color w:val="auto"/>
        </w:rPr>
      </w:pPr>
    </w:p>
    <w:p>
      <w:pPr>
        <w:ind w:left="424" w:hanging="424"/>
        <w:spacing w:after="0"/>
        <w:tabs>
          <w:tab w:leader="none" w:pos="424" w:val="left"/>
        </w:tabs>
        <w:numPr>
          <w:ilvl w:val="0"/>
          <w:numId w:val="39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will be the first day of the fiscal year in which the grant is made.</w:t>
      </w:r>
    </w:p>
    <w:p>
      <w:pPr>
        <w:sectPr>
          <w:pgSz w:w="11900" w:h="16838" w:orient="portrait"/>
          <w:cols w:equalWidth="0" w:num="1">
            <w:col w:w="11024"/>
          </w:cols>
          <w:pgMar w:left="436" w:top="117" w:right="439" w:bottom="1440" w:gutter="0" w:footer="0" w:header="0"/>
        </w:sectPr>
      </w:pPr>
    </w:p>
    <w:bookmarkStart w:id="418" w:name="page419"/>
    <w:bookmarkEnd w:id="418"/>
    <w:p>
      <w:pPr>
        <w:ind w:left="1964" w:right="360" w:hanging="533"/>
        <w:spacing w:after="0" w:line="312" w:lineRule="auto"/>
        <w:tabs>
          <w:tab w:leader="none" w:pos="1964" w:val="left"/>
        </w:tabs>
        <w:numPr>
          <w:ilvl w:val="0"/>
          <w:numId w:val="3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Twenty-five percent (25%) on or after the date of determination by the Committee of the Company’s actual consolidated annual EBITDA for the Grant Year but prior to the second anniversary of the Vesting Commencement Date,</w:t>
      </w:r>
    </w:p>
    <w:p>
      <w:pPr>
        <w:spacing w:after="0" w:line="45" w:lineRule="exact"/>
        <w:rPr>
          <w:rFonts w:ascii="Times New Roman" w:cs="Times New Roman" w:eastAsia="Times New Roman" w:hAnsi="Times New Roman"/>
          <w:sz w:val="17"/>
          <w:szCs w:val="17"/>
          <w:color w:val="auto"/>
        </w:rPr>
      </w:pPr>
    </w:p>
    <w:p>
      <w:pPr>
        <w:ind w:left="1964" w:right="80" w:hanging="533"/>
        <w:spacing w:after="0" w:line="282" w:lineRule="auto"/>
        <w:tabs>
          <w:tab w:leader="none" w:pos="1964"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on or after the second anniversary of the Vesting Commencement Date but prior to the third anniversary of the Vesting Commencement Date,</w:t>
      </w:r>
    </w:p>
    <w:p>
      <w:pPr>
        <w:spacing w:after="0" w:line="67" w:lineRule="exact"/>
        <w:rPr>
          <w:rFonts w:ascii="Times New Roman" w:cs="Times New Roman" w:eastAsia="Times New Roman" w:hAnsi="Times New Roman"/>
          <w:sz w:val="18"/>
          <w:szCs w:val="18"/>
          <w:color w:val="auto"/>
        </w:rPr>
      </w:pPr>
    </w:p>
    <w:p>
      <w:pPr>
        <w:ind w:left="1964" w:right="720" w:hanging="533"/>
        <w:spacing w:after="0" w:line="282" w:lineRule="auto"/>
        <w:tabs>
          <w:tab w:leader="none" w:pos="1964"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Seventy-five percent (75%) on or after third anniversary of the Vesting Commencement Date but prior to the fourth anniversary of the Vesting Commencement Date, and</w:t>
      </w:r>
    </w:p>
    <w:p>
      <w:pPr>
        <w:spacing w:after="0" w:line="67"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hundred percent (100%) on or after the fourth anniversary of the Vesting Commencement Date;</w:t>
      </w:r>
    </w:p>
    <w:p>
      <w:pPr>
        <w:spacing w:after="0" w:line="117" w:lineRule="exact"/>
        <w:rPr>
          <w:sz w:val="20"/>
          <w:szCs w:val="20"/>
          <w:color w:val="auto"/>
        </w:rPr>
      </w:pPr>
    </w:p>
    <w:p>
      <w:pPr>
        <w:ind w:left="1424" w:right="20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 Change in Control occurs and, during the 24 month period following such Change in Control, the Participant’s service is terminated by the Service Recipient without Cause or due to the Participant’s resignation for Good Reason (as defined below), then the Time and Service Based Requirement will thereupon be satisfied as to one hundred percent (100%) of the Earned Restricted Stock Units upon the date of the Participant’s Termination.</w:t>
      </w:r>
    </w:p>
    <w:p>
      <w:pPr>
        <w:spacing w:after="0" w:line="180" w:lineRule="exact"/>
        <w:rPr>
          <w:sz w:val="20"/>
          <w:szCs w:val="20"/>
          <w:color w:val="auto"/>
        </w:rPr>
      </w:pPr>
    </w:p>
    <w:p>
      <w:pPr>
        <w:ind w:left="4" w:right="400" w:firstLine="440"/>
        <w:spacing w:after="0" w:line="312" w:lineRule="auto"/>
        <w:rPr>
          <w:sz w:val="20"/>
          <w:szCs w:val="20"/>
          <w:color w:val="auto"/>
        </w:rPr>
      </w:pPr>
      <w:r>
        <w:rPr>
          <w:rFonts w:ascii="Times New Roman" w:cs="Times New Roman" w:eastAsia="Times New Roman" w:hAnsi="Times New Roman"/>
          <w:sz w:val="17"/>
          <w:szCs w:val="17"/>
          <w:color w:val="auto"/>
        </w:rPr>
        <w:t>If application of a vesting percentage would cause vesting of a fractional share, then such vesting shall be rounded down to the nearest whole share and such fractional share shall cumulate with any other fractional shares and such fractions shall vest as they aggregate into a whole share.</w:t>
      </w:r>
    </w:p>
    <w:p>
      <w:pPr>
        <w:spacing w:after="0" w:line="13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4" w:right="20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means, as to the Participant, (i) “Cause,” as defined in any employment or consulting agreement between the Participant and the Service Recipient in effect at the time of the Participant’s Termination [FOR NON-EXECUTIVE COMMITTEE EMPLOYEES: (except that any provision of such “Cause” definition relating to Participant’s unsatisfactory performance shall not apply for purposes of this Restricted Stock Unit Agreement)]; or</w:t>
      </w:r>
    </w:p>
    <w:p>
      <w:pPr>
        <w:spacing w:after="0" w:line="2" w:lineRule="exact"/>
        <w:rPr>
          <w:sz w:val="20"/>
          <w:szCs w:val="20"/>
          <w:color w:val="auto"/>
        </w:rPr>
      </w:pPr>
    </w:p>
    <w:p>
      <w:pPr>
        <w:ind w:left="264" w:hanging="264"/>
        <w:spacing w:after="0"/>
        <w:tabs>
          <w:tab w:leader="none" w:pos="264"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any such employment or consulting agreement (or the absence of any definition of “Cause” contained therein), the Participant’s</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willful neglect in the performance of the Participant’s duties for the Service Recipient or willful or repeated failure or refusal to perform such duties;</w:t>
      </w:r>
    </w:p>
    <w:p>
      <w:pPr>
        <w:spacing w:after="0" w:line="9" w:lineRule="exact"/>
        <w:rPr>
          <w:rFonts w:ascii="Times New Roman" w:cs="Times New Roman" w:eastAsia="Times New Roman" w:hAnsi="Times New Roman"/>
          <w:sz w:val="18"/>
          <w:szCs w:val="18"/>
          <w:color w:val="auto"/>
        </w:rPr>
      </w:pPr>
    </w:p>
    <w:p>
      <w:pPr>
        <w:ind w:left="4"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engagement in conduct in connection with the Participant’s employment or service with the Service Recipient, which results in, or could reasonably be expected to result in, material harm to the business or reputation of the Company or any other member of the Company Group; (C) conviction of, or plea of guilty or no contest to, (I) any felony; or (II) any other crime that results in, or could reasonably be expected to result in, material harm to the business or reputation of the Company or any other member of the Company Group; (D) material violation of the written policies of the Service Recipient, including, but not limited to, those relating to sexual harassment or the disclosure or misuse of confidential information, or those set forth in the manuals or statements of policy of the Service Recipient; (E) fraud or misappropriation, embezzlement or misuse of funds or property belonging to the Company or any other member of the Company Group; or (F) act of personal dishonesty that involves personal profit in connection with the Participant’s employment or service to the Service Recipient.</w:t>
      </w:r>
    </w:p>
    <w:p>
      <w:pPr>
        <w:spacing w:after="0" w:line="194"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means operating earnings before interest, taxes, depreciation and amortization, excluding transaction, management and/or similar fees paid to Kohlberg Kravis Roberts &amp; Co. L.P. and/or its affiliates. The Committee shall, fairly and appropriately, adjust the calculation of EBITDA to reflect, to the extent not contemplated in the management plan, the following: acquisitions, divestitures, any change required by GAAP relating to stock-based compensation or for other changes in GAAP promulgated by accounting standard setters and any extraordinary items that, in each case, the Committee in good faith determines require adjustment of EBITDA. The Committee’s determination of such adjustment shall be based on the Company’s accounting as set forth in its books and records and on the financial plan of the Company pursuant to which the performance target was originally established.</w:t>
      </w:r>
    </w:p>
    <w:p>
      <w:pPr>
        <w:sectPr>
          <w:pgSz w:w="11900" w:h="16838" w:orient="portrait"/>
          <w:cols w:equalWidth="0" w:num="1">
            <w:col w:w="11004"/>
          </w:cols>
          <w:pgMar w:left="436" w:top="270" w:right="459" w:bottom="1440" w:gutter="0" w:footer="0" w:header="0"/>
        </w:sectPr>
      </w:pPr>
    </w:p>
    <w:bookmarkStart w:id="419" w:name="page420"/>
    <w:bookmarkEnd w:id="41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have the meaning given to such term in any employment or consulting agreement between the Participant and the Service Recipient in effect at the time of the Participant’s Termination. In the absence of any such employment or consulting agreement or the absence of any definition of “Good Reason” contained therein, “Good Reason” means the occurrence of one or more of the following events arising without the express written consent of the Participant, but only if the Participant notifies the Service Recipient in writing of the event within 60 days following the occurrence of the event, the event remains uncured after the expiration of 30 days from receipt of such notice, and the Participant resigns effective no later than 30 days following the Service Recipient’s failure to cure the event: (i) a material diminution in the Participant’s base salary or target bonus opportunity, (ii) the relocation of the Participant’s principal place of employment or service to a location more than 35 miles from the Participant’s then current principal place of employment or service, if a move to such other location materially increases the Participant’s commute, or (iii) any material breach by the Company or the Service Recipient of this Restricted Stock Unit Agreement or the Participant’s offer letter or employment agreement with the Service Recipient.</w:t>
      </w:r>
    </w:p>
    <w:p>
      <w:pPr>
        <w:spacing w:after="0" w:line="194" w:lineRule="exact"/>
        <w:rPr>
          <w:sz w:val="20"/>
          <w:szCs w:val="20"/>
          <w:color w:val="auto"/>
        </w:rPr>
      </w:pPr>
    </w:p>
    <w:p>
      <w:pPr>
        <w:jc w:val="center"/>
        <w:ind w:right="-19"/>
        <w:spacing w:after="0"/>
        <w:tabs>
          <w:tab w:leader="none" w:pos="200" w:val="left"/>
          <w:tab w:leader="none" w:pos="220" w:val="left"/>
        </w:tabs>
        <w:rPr>
          <w:sz w:val="20"/>
          <w:szCs w:val="20"/>
          <w:color w:val="auto"/>
        </w:rPr>
      </w:pP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10980"/>
          </w:cols>
          <w:pgMar w:left="440" w:top="270" w:right="47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ACADEMY SPORTS AND OUTDOORS,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299085</wp:posOffset>
            </wp:positionV>
            <wp:extent cx="279463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421" w:name="page422"/>
    <w:bookmarkEnd w:id="421"/>
    <w:p>
      <w:pPr>
        <w:ind w:left="4"/>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PARTICIPANT</w:t>
      </w: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77152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7">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274320</wp:posOffset>
            </wp:positionV>
            <wp:extent cx="77152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24" w:right="900" w:hanging="424"/>
        <w:spacing w:after="0" w:line="282" w:lineRule="auto"/>
        <w:tabs>
          <w:tab w:leader="none" w:pos="424" w:val="left"/>
        </w:tabs>
        <w:numPr>
          <w:ilvl w:val="0"/>
          <w:numId w:val="39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ectPr>
          <w:pgSz w:w="11900" w:h="16838" w:orient="portrait"/>
          <w:cols w:equalWidth="0" w:num="1">
            <w:col w:w="11004"/>
          </w:cols>
          <w:pgMar w:left="436" w:top="266" w:right="459" w:bottom="1440" w:gutter="0" w:footer="0" w:header="0"/>
        </w:sectPr>
      </w:pPr>
    </w:p>
    <w:bookmarkStart w:id="422" w:name="page423"/>
    <w:bookmarkEnd w:id="42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Performance Targets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Restricted Stock Units shall become Earned Restricted Stock Units based on the Company’s level of achievement of consolidated annual EBITDA for the [____] fiscal year, which shall be the [__]-week period ending on [_____] (such [__]-week period, the “</w:t>
      </w:r>
      <w:r>
        <w:rPr>
          <w:rFonts w:ascii="Times New Roman" w:cs="Times New Roman" w:eastAsia="Times New Roman" w:hAnsi="Times New Roman"/>
          <w:sz w:val="18"/>
          <w:szCs w:val="18"/>
          <w:u w:val="single" w:color="auto"/>
          <w:color w:val="auto"/>
        </w:rPr>
        <w:t>Grant Year</w:t>
      </w:r>
      <w:r>
        <w:rPr>
          <w:rFonts w:ascii="Times New Roman" w:cs="Times New Roman" w:eastAsia="Times New Roman" w:hAnsi="Times New Roman"/>
          <w:sz w:val="18"/>
          <w:szCs w:val="18"/>
          <w:color w:val="auto"/>
        </w:rPr>
        <w:t>”), in accordance with the following terms and conditions.</w:t>
      </w:r>
    </w:p>
    <w:p>
      <w:pPr>
        <w:spacing w:after="0" w:line="176" w:lineRule="exact"/>
        <w:rPr>
          <w:sz w:val="20"/>
          <w:szCs w:val="20"/>
          <w:color w:val="auto"/>
        </w:rPr>
      </w:pPr>
    </w:p>
    <w:p>
      <w:pPr>
        <w:ind w:right="40" w:firstLine="436"/>
        <w:spacing w:after="0" w:line="266" w:lineRule="auto"/>
        <w:tabs>
          <w:tab w:leader="none" w:pos="548"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actual consolidated annual EBITDA for the Grant Year is equal to or greater than $[_____] million, which amount is the Company’s target consolidated annual EBITDA for the Grant Year (such amount, the “</w:t>
      </w:r>
      <w:r>
        <w:rPr>
          <w:rFonts w:ascii="Times New Roman" w:cs="Times New Roman" w:eastAsia="Times New Roman" w:hAnsi="Times New Roman"/>
          <w:sz w:val="18"/>
          <w:szCs w:val="18"/>
          <w:u w:val="single" w:color="auto"/>
          <w:color w:val="auto"/>
        </w:rPr>
        <w:t>Grant Year High Performance Target</w:t>
      </w:r>
      <w:r>
        <w:rPr>
          <w:rFonts w:ascii="Times New Roman" w:cs="Times New Roman" w:eastAsia="Times New Roman" w:hAnsi="Times New Roman"/>
          <w:sz w:val="18"/>
          <w:szCs w:val="18"/>
          <w:color w:val="auto"/>
        </w:rPr>
        <w:t>”), then one hundred percent (100%) of the Restricted Stock Units shall be Earned Restricted Stock Units.</w:t>
      </w:r>
    </w:p>
    <w:p>
      <w:pPr>
        <w:spacing w:after="0" w:line="175" w:lineRule="exact"/>
        <w:rPr>
          <w:rFonts w:ascii="Times New Roman" w:cs="Times New Roman" w:eastAsia="Times New Roman" w:hAnsi="Times New Roman"/>
          <w:sz w:val="18"/>
          <w:szCs w:val="18"/>
          <w:color w:val="auto"/>
        </w:rPr>
      </w:pPr>
    </w:p>
    <w:p>
      <w:pPr>
        <w:ind w:right="80" w:firstLine="436"/>
        <w:spacing w:after="0" w:line="254" w:lineRule="auto"/>
        <w:tabs>
          <w:tab w:leader="none" w:pos="548"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actual consolidated annual EBITDA for the Grant Year is less than the Grant Year High Performance Target but equal to or greater than $[_____] million (such amount, the “</w:t>
      </w:r>
      <w:r>
        <w:rPr>
          <w:rFonts w:ascii="Times New Roman" w:cs="Times New Roman" w:eastAsia="Times New Roman" w:hAnsi="Times New Roman"/>
          <w:sz w:val="18"/>
          <w:szCs w:val="18"/>
          <w:u w:val="single" w:color="auto"/>
          <w:color w:val="auto"/>
        </w:rPr>
        <w:t>Grant Year Low Performance Target</w:t>
      </w:r>
      <w:r>
        <w:rPr>
          <w:rFonts w:ascii="Times New Roman" w:cs="Times New Roman" w:eastAsia="Times New Roman" w:hAnsi="Times New Roman"/>
          <w:sz w:val="18"/>
          <w:szCs w:val="18"/>
          <w:color w:val="auto"/>
        </w:rPr>
        <w:t>”), then the portion of the Restricted Stock Units that shall be Earned Restricted Stock Units shall be equal to a percentage, rounded to two decimal places (the “</w:t>
      </w:r>
      <w:r>
        <w:rPr>
          <w:rFonts w:ascii="Times New Roman" w:cs="Times New Roman" w:eastAsia="Times New Roman" w:hAnsi="Times New Roman"/>
          <w:sz w:val="18"/>
          <w:szCs w:val="18"/>
          <w:u w:val="single" w:color="auto"/>
          <w:color w:val="auto"/>
        </w:rPr>
        <w:t>Earned Percentage</w:t>
      </w:r>
      <w:r>
        <w:rPr>
          <w:rFonts w:ascii="Times New Roman" w:cs="Times New Roman" w:eastAsia="Times New Roman" w:hAnsi="Times New Roman"/>
          <w:sz w:val="18"/>
          <w:szCs w:val="18"/>
          <w:color w:val="auto"/>
        </w:rPr>
        <w:t>”), calculated based on a fraction wherein the numerator is equal to the difference between (i) the Company’s actual consolidated annual EBITDA for the Grant Year and (ii) $[_____] million, which amount was the Company’s consolidated annual EBITDA for the [_____] fiscal year (the “</w:t>
      </w:r>
      <w:r>
        <w:rPr>
          <w:rFonts w:ascii="Times New Roman" w:cs="Times New Roman" w:eastAsia="Times New Roman" w:hAnsi="Times New Roman"/>
          <w:sz w:val="18"/>
          <w:szCs w:val="18"/>
          <w:u w:val="single" w:color="auto"/>
          <w:color w:val="auto"/>
        </w:rPr>
        <w:t>Prior Year Performance Amount</w:t>
      </w:r>
      <w:r>
        <w:rPr>
          <w:rFonts w:ascii="Times New Roman" w:cs="Times New Roman" w:eastAsia="Times New Roman" w:hAnsi="Times New Roman"/>
          <w:sz w:val="18"/>
          <w:szCs w:val="18"/>
          <w:color w:val="auto"/>
        </w:rPr>
        <w:t>”), and the denominator is equal to the difference between (i) the Grant Year High Performance Target and (ii) the Prior Year Performance Amount. The number of Restricted Stock Units that shall become Earned Restricted Stock Units shall be equal to an amount determined by multiplying (x) the Earned Percentage, by (y) the number of Restricted Stock Units granted (rounded down to the nearest whole Restricted Stock Unit).</w:t>
      </w:r>
    </w:p>
    <w:p>
      <w:pPr>
        <w:spacing w:after="0" w:line="8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 illustrative example below assumes that the Company’s actual consolidated annual EBITDA for the Grant Year is equal to $[_____]</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million. Based on such assumption, [_____]% of the Restricted Stock Units shall become Earned Restricted Stock Units.</w:t>
      </w:r>
    </w:p>
    <w:p>
      <w:pPr>
        <w:sectPr>
          <w:pgSz w:w="11900" w:h="16838" w:orient="portrait"/>
          <w:cols w:equalWidth="0" w:num="1">
            <w:col w:w="11000"/>
          </w:cols>
          <w:pgMar w:left="440" w:top="266" w:right="459" w:bottom="1440" w:gutter="0" w:footer="0" w:header="0"/>
        </w:sectPr>
      </w:pPr>
    </w:p>
    <w:p>
      <w:pPr>
        <w:spacing w:after="0" w:line="2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(Actual consolidated annual EBITDA for the Grant Year</w:t>
      </w:r>
    </w:p>
    <w:p>
      <w:pPr>
        <w:spacing w:after="0" w:line="2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Prior Year Performance Amount)</w:t>
      </w:r>
    </w:p>
    <w:p>
      <w:pPr>
        <w:spacing w:after="0" w:line="2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color w:val="auto"/>
        </w:rPr>
        <w:t>(Grant Year High Performance Target –</w:t>
      </w:r>
    </w:p>
    <w:p>
      <w:pPr>
        <w:spacing w:after="0" w:line="3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Prior Year Performance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[_____]%</w:t>
      </w:r>
    </w:p>
    <w:p>
      <w:pPr>
        <w:spacing w:after="0" w:line="650" w:lineRule="exact"/>
        <w:rPr>
          <w:sz w:val="20"/>
          <w:szCs w:val="20"/>
          <w:color w:val="auto"/>
        </w:rPr>
      </w:pPr>
    </w:p>
    <w:p>
      <w:pPr>
        <w:sectPr>
          <w:pgSz w:w="11900" w:h="16838" w:orient="portrait"/>
          <w:cols w:equalWidth="0" w:num="4">
            <w:col w:w="6380" w:space="720"/>
            <w:col w:w="140" w:space="260"/>
            <w:col w:w="820" w:space="540"/>
            <w:col w:w="2140"/>
          </w:cols>
          <w:pgMar w:left="440" w:top="266" w:right="459" w:bottom="1440" w:gutter="0" w:footer="0" w:header="0"/>
          <w:type w:val="continuous"/>
        </w:sectPr>
      </w:pPr>
    </w:p>
    <w:p>
      <w:pPr>
        <w:spacing w:after="0" w:line="7" w:lineRule="exact"/>
        <w:rPr>
          <w:sz w:val="20"/>
          <w:szCs w:val="20"/>
          <w:color w:val="auto"/>
        </w:rPr>
      </w:pPr>
    </w:p>
    <w:p>
      <w:pPr>
        <w:ind w:firstLine="436"/>
        <w:spacing w:after="0" w:line="282" w:lineRule="auto"/>
        <w:tabs>
          <w:tab w:leader="none" w:pos="548"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actual consolidated annual EBITDA for the Grant Year is less than the Grant Year Low Performance Target, then none (0.00%) of the Restricted Stock Units shall become Earned Restricted Stock Units.</w:t>
      </w:r>
    </w:p>
    <w:p>
      <w:pPr>
        <w:spacing w:after="0" w:line="161" w:lineRule="exact"/>
        <w:rPr>
          <w:rFonts w:ascii="Times New Roman" w:cs="Times New Roman" w:eastAsia="Times New Roman" w:hAnsi="Times New Roman"/>
          <w:sz w:val="18"/>
          <w:szCs w:val="18"/>
          <w:color w:val="auto"/>
        </w:rPr>
      </w:pPr>
    </w:p>
    <w:p>
      <w:pPr>
        <w:ind w:right="140" w:firstLine="436"/>
        <w:spacing w:after="0" w:line="266" w:lineRule="auto"/>
        <w:tabs>
          <w:tab w:leader="none" w:pos="548"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determinations and interpretations relating to the Company’s achievement of the Grant Year Low Performance Target and/or the Grant Year High Performance Target and the Fair Market Value of each share of Common Stock shall be made in good faith by the Committee, and all determinations and interpretations made in good faith by the Committee shall be final and binding upon Participant and all other interested persons.</w:t>
      </w:r>
    </w:p>
    <w:p>
      <w:pPr>
        <w:sectPr>
          <w:pgSz w:w="11900" w:h="16838" w:orient="portrait"/>
          <w:cols w:equalWidth="0" w:num="1">
            <w:col w:w="11000"/>
          </w:cols>
          <w:pgMar w:left="440" w:top="266" w:right="459" w:bottom="1440" w:gutter="0" w:footer="0" w:header="0"/>
          <w:type w:val="continuous"/>
        </w:sectPr>
      </w:pPr>
    </w:p>
    <w:bookmarkStart w:id="423" w:name="page424"/>
    <w:bookmarkEnd w:id="423"/>
    <w:p>
      <w:pPr>
        <w:ind w:right="380" w:firstLine="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if prior to consummation of a Change in Control (i) any Restricted Stock Units that have not become Earned Restricted Stock Units remain outstanding and unvested as of [_____], and (ii) the Committee determines that the Fair Market Value of a share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as of such date equals or exceeds $[_____] (as such amount may be equitably adjusted by the Committee to reflect stock splits, reverse</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stock splits and other Adjustment Events pursuant to Section 9(a) of the Plan, the “</w:t>
      </w:r>
      <w:r>
        <w:rPr>
          <w:rFonts w:ascii="Times New Roman" w:cs="Times New Roman" w:eastAsia="Times New Roman" w:hAnsi="Times New Roman"/>
          <w:sz w:val="18"/>
          <w:szCs w:val="18"/>
          <w:u w:val="single" w:color="auto"/>
          <w:color w:val="auto"/>
        </w:rPr>
        <w:t>Target Share Price</w:t>
      </w:r>
      <w:r>
        <w:rPr>
          <w:rFonts w:ascii="Times New Roman" w:cs="Times New Roman" w:eastAsia="Times New Roman" w:hAnsi="Times New Roman"/>
          <w:sz w:val="18"/>
          <w:szCs w:val="18"/>
          <w:color w:val="auto"/>
        </w:rPr>
        <w:t>”), then one hundred percent (100%) of the Restricted Stock Units that have not become Earned Restricted Stock Units as of such date shall become Earned Restricted Stock Units immediately upon such determination by the Committee. For the avoidance of doubt, no Restricted Stock Units may become Earned Restricted Stock Units pursuant to this paragraph following a Termination of Participant’s employment for any reason or following the consummation of a Change in Control.</w:t>
      </w:r>
    </w:p>
    <w:p>
      <w:pPr>
        <w:spacing w:after="0" w:line="18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(i) if a Change in Control occurs during the Grant Year, then all outstanding Restricted Stock Units shall automatically become Earned Restricted Stock Units immediately prior to such Change in Control and (ii) if a Change in Control occurs following the Grant Year, any Restricted Stock Units that are not Earned Restricted Stock Units as of immediately prior to such Change in Control shall be automatically forfeited upon the consummation of such Change in Control.</w:t>
      </w:r>
    </w:p>
    <w:p>
      <w:pPr>
        <w:sectPr>
          <w:pgSz w:w="11900" w:h="16838" w:orient="portrait"/>
          <w:cols w:equalWidth="0" w:num="1">
            <w:col w:w="10920"/>
          </w:cols>
          <w:pgMar w:left="440" w:top="270" w:right="539" w:bottom="1440" w:gutter="0" w:footer="0" w:header="0"/>
        </w:sectPr>
      </w:pPr>
    </w:p>
    <w:bookmarkStart w:id="424" w:name="page425"/>
    <w:bookmarkEnd w:id="42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RESTRICTED STOCK UNIT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OMNIBUS INCENTIVE PLAN</w:t>
      </w:r>
    </w:p>
    <w:p>
      <w:pPr>
        <w:spacing w:after="0" w:line="207"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Pursuant to the Restricted Stock Unit Grant Notice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delivered to the Participant (as defined in the Grant Notice), and subject to the terms of this Restricted Stock Unit Agreement (this “</w:t>
      </w:r>
      <w:r>
        <w:rPr>
          <w:rFonts w:ascii="Times New Roman" w:cs="Times New Roman" w:eastAsia="Times New Roman" w:hAnsi="Times New Roman"/>
          <w:sz w:val="18"/>
          <w:szCs w:val="18"/>
          <w:u w:val="single" w:color="auto"/>
          <w:color w:val="auto"/>
        </w:rPr>
        <w:t>Restricted Stock Unit Agreement</w:t>
      </w:r>
      <w:r>
        <w:rPr>
          <w:rFonts w:ascii="Times New Roman" w:cs="Times New Roman" w:eastAsia="Times New Roman" w:hAnsi="Times New Roman"/>
          <w:sz w:val="18"/>
          <w:szCs w:val="18"/>
          <w:color w:val="auto"/>
        </w:rPr>
        <w:t>”) and the Academy Sports and Outdoors, Inc. 2020 Omnibus Incentive Plan, as it may be amended and restated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Academy Sports and Outdoors,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Participant agree as follows. Capitalized terms not otherwise defined herein shall have the same meaning as set forth in the Plan.</w:t>
      </w:r>
    </w:p>
    <w:p>
      <w:pPr>
        <w:spacing w:after="0" w:line="68" w:lineRule="exact"/>
        <w:rPr>
          <w:sz w:val="20"/>
          <w:szCs w:val="20"/>
          <w:color w:val="auto"/>
        </w:rPr>
      </w:pPr>
    </w:p>
    <w:p>
      <w:pPr>
        <w:ind w:right="20" w:firstLine="987"/>
        <w:spacing w:after="0" w:line="257" w:lineRule="auto"/>
        <w:tabs>
          <w:tab w:leader="none" w:pos="1171"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Restricted Stock Units</w:t>
      </w:r>
      <w:r>
        <w:rPr>
          <w:rFonts w:ascii="Times New Roman" w:cs="Times New Roman" w:eastAsia="Times New Roman" w:hAnsi="Times New Roman"/>
          <w:sz w:val="18"/>
          <w:szCs w:val="18"/>
          <w:color w:val="auto"/>
        </w:rPr>
        <w:t>. Subject to the terms and conditions set forth herein and in the Plan, the Company hereby grants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the 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74"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3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Vesting</w:t>
      </w:r>
      <w:r>
        <w:rPr>
          <w:rFonts w:ascii="Times New Roman" w:cs="Times New Roman" w:eastAsia="Times New Roman" w:hAnsi="Times New Roman"/>
          <w:sz w:val="17"/>
          <w:szCs w:val="17"/>
          <w:color w:val="auto"/>
        </w:rPr>
        <w:t>. Subject to the conditions contained herein and in the Plan, the Restricted Stock Units shall vest as provided in the Grant Notice.</w:t>
      </w:r>
    </w:p>
    <w:p>
      <w:pPr>
        <w:spacing w:after="0" w:line="128" w:lineRule="exact"/>
        <w:rPr>
          <w:rFonts w:ascii="Times New Roman" w:cs="Times New Roman" w:eastAsia="Times New Roman" w:hAnsi="Times New Roman"/>
          <w:sz w:val="17"/>
          <w:szCs w:val="17"/>
          <w:color w:val="auto"/>
        </w:rPr>
      </w:pPr>
    </w:p>
    <w:p>
      <w:pPr>
        <w:ind w:right="20" w:firstLine="987"/>
        <w:spacing w:after="0" w:line="254" w:lineRule="auto"/>
        <w:tabs>
          <w:tab w:leader="none" w:pos="1171"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Settlement of Earned Restricted Stock Units</w:t>
      </w:r>
      <w:r>
        <w:rPr>
          <w:rFonts w:ascii="Times New Roman" w:cs="Times New Roman" w:eastAsia="Times New Roman" w:hAnsi="Times New Roman"/>
          <w:sz w:val="18"/>
          <w:szCs w:val="18"/>
          <w:color w:val="auto"/>
        </w:rPr>
        <w:t>. Subject to any election by the Committee pursuant to Section 9(d)(ii) of the Plan,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deliver to the Participant, without charge, as soon as reasonably practicable (and, in any event, within two and one-half months) following the applicable vesting date, one share of Common Stock for each Earned Restricted Stock Unit (as adjusted under the Plan, as applicable) which becomes vested hereunder and such vested Earned Restricted Stock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80" w:lineRule="exact"/>
        <w:rPr>
          <w:rFonts w:ascii="Times New Roman" w:cs="Times New Roman" w:eastAsia="Times New Roman" w:hAnsi="Times New Roman"/>
          <w:sz w:val="18"/>
          <w:szCs w:val="18"/>
          <w:color w:val="auto"/>
        </w:rPr>
      </w:pPr>
    </w:p>
    <w:p>
      <w:pPr>
        <w:ind w:right="280" w:firstLine="987"/>
        <w:spacing w:after="0" w:line="262" w:lineRule="auto"/>
        <w:tabs>
          <w:tab w:leader="none" w:pos="1171"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Treatment of Restricted Stock Units Upon Termination</w:t>
      </w:r>
      <w:r>
        <w:rPr>
          <w:rFonts w:ascii="Times New Roman" w:cs="Times New Roman" w:eastAsia="Times New Roman" w:hAnsi="Times New Roman"/>
          <w:sz w:val="18"/>
          <w:szCs w:val="18"/>
          <w:color w:val="auto"/>
        </w:rPr>
        <w:t>. Except as otherwise provided in the Grant Notice or as otherwise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the Committee, in the event of a Participant’s Termination for any reason prior to the time that such Participant’s Restricted Stock Units have vested, (A) all vesting with respect to such Participant’s Restricted Stock Units shall cease and (B) unvested Restricted Stock Units shall be forfeited to the Company by the Participant for no consideration as of the date of such Termination.</w:t>
      </w:r>
    </w:p>
    <w:p>
      <w:pPr>
        <w:spacing w:after="0" w:line="68" w:lineRule="exact"/>
        <w:rPr>
          <w:rFonts w:ascii="Times New Roman" w:cs="Times New Roman" w:eastAsia="Times New Roman" w:hAnsi="Times New Roman"/>
          <w:sz w:val="18"/>
          <w:szCs w:val="18"/>
          <w:color w:val="auto"/>
        </w:rPr>
      </w:pPr>
    </w:p>
    <w:p>
      <w:pPr>
        <w:ind w:right="20" w:firstLine="987"/>
        <w:spacing w:after="0" w:line="257" w:lineRule="auto"/>
        <w:tabs>
          <w:tab w:leader="none" w:pos="1171"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to Issuance of Common Stock</w:t>
      </w:r>
      <w:r>
        <w:rPr>
          <w:rFonts w:ascii="Times New Roman" w:cs="Times New Roman" w:eastAsia="Times New Roman" w:hAnsi="Times New Roman"/>
          <w:sz w:val="18"/>
          <w:szCs w:val="18"/>
          <w:color w:val="auto"/>
        </w:rPr>
        <w:t>. The Company shall not be required to record the ownership by the Participant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issued upon the settlement of vested Earned Restricted Stock Units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vesting of the Earned Restricted Stock Units as may otherwise be required by applicable law; and (iii) the execution and delivery to the Company, to the extent not so previously executed and delivered, of such other documents and instruments as may be reasonably required by the Committee.</w:t>
      </w:r>
    </w:p>
    <w:p>
      <w:pPr>
        <w:sectPr>
          <w:pgSz w:w="11900" w:h="16838" w:orient="portrait"/>
          <w:cols w:equalWidth="0" w:num="1">
            <w:col w:w="11020"/>
          </w:cols>
          <w:pgMar w:left="440" w:top="266" w:right="439" w:bottom="1440" w:gutter="0" w:footer="0" w:header="0"/>
        </w:sectPr>
      </w:pPr>
    </w:p>
    <w:bookmarkStart w:id="425" w:name="page426"/>
    <w:bookmarkEnd w:id="425"/>
    <w:p>
      <w:pPr>
        <w:jc w:val="both"/>
        <w:ind w:right="220" w:firstLine="987"/>
        <w:spacing w:after="0" w:line="291" w:lineRule="auto"/>
        <w:tabs>
          <w:tab w:leader="none" w:pos="1171" w:val="left"/>
        </w:tabs>
        <w:numPr>
          <w:ilvl w:val="0"/>
          <w:numId w:val="3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Participant</w:t>
      </w:r>
      <w:r>
        <w:rPr>
          <w:rFonts w:ascii="Times New Roman" w:cs="Times New Roman" w:eastAsia="Times New Roman" w:hAnsi="Times New Roman"/>
          <w:sz w:val="17"/>
          <w:szCs w:val="17"/>
          <w:color w:val="auto"/>
        </w:rPr>
        <w:t>. Whenever the word “Participant” is used in any provision of this Restricted Stock Unit Agreement under circumstances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where the provision should logically be construed to apply to the executors, the administrators, or the person or persons to whom the Restricted Stock Units may be transferred in accordance with Section 14(b) of the Plan, the word “Participant” shall be deemed to include such person or persons.</w:t>
      </w:r>
    </w:p>
    <w:p>
      <w:pPr>
        <w:spacing w:after="0" w:line="44" w:lineRule="exact"/>
        <w:rPr>
          <w:rFonts w:ascii="Times New Roman" w:cs="Times New Roman" w:eastAsia="Times New Roman" w:hAnsi="Times New Roman"/>
          <w:sz w:val="17"/>
          <w:szCs w:val="17"/>
          <w:color w:val="auto"/>
        </w:rPr>
      </w:pPr>
    </w:p>
    <w:p>
      <w:pPr>
        <w:ind w:right="60" w:firstLine="987"/>
        <w:spacing w:after="0" w:line="262" w:lineRule="auto"/>
        <w:tabs>
          <w:tab w:leader="none" w:pos="1171"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Non-Transferability</w:t>
      </w:r>
      <w:r>
        <w:rPr>
          <w:rFonts w:ascii="Times New Roman" w:cs="Times New Roman" w:eastAsia="Times New Roman" w:hAnsi="Times New Roman"/>
          <w:sz w:val="18"/>
          <w:szCs w:val="18"/>
          <w:color w:val="auto"/>
        </w:rPr>
        <w:t>. The Restricted Stock Units are not transferable by the Participant except to Permitted Transferees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 IPO GRANTS AND GRANTS MADE WITHIN 180 DAYS FOLLOWING IPO:</w:t>
      </w:r>
      <w:r>
        <w:rPr>
          <w:rFonts w:ascii="Times New Roman" w:cs="Times New Roman" w:eastAsia="Times New Roman" w:hAnsi="Times New Roman"/>
          <w:sz w:val="18"/>
          <w:szCs w:val="18"/>
          <w:color w:val="auto"/>
        </w:rPr>
        <w:t xml:space="preserve"> The Participant further hereby agrees that the Participant shall, without further action on the part of the Participant, be bound by the provisions of the lock-up agreements executed by the executive officers of the Company to the same extent as if the Participant had directly executed such lock-up agreement himself or herself. Such lock-up agreement will provide that the Participant shall not, subject to certain customary exceptions, dispose of or hedge any shares of Common Stock or securities convertible into or exchangeable for shares of Common Stock during the period from the date of the final prospectus relating to initial public offering of the Company and continuing through the date one hundred eighty (180) days following the date of such prospectus, except with the prior consent of the representative(s) of the underwriters.]</w:t>
      </w:r>
    </w:p>
    <w:p>
      <w:pPr>
        <w:spacing w:after="0" w:line="75" w:lineRule="exact"/>
        <w:rPr>
          <w:sz w:val="20"/>
          <w:szCs w:val="20"/>
          <w:color w:val="auto"/>
        </w:rPr>
      </w:pPr>
    </w:p>
    <w:p>
      <w:pPr>
        <w:ind w:firstLine="987"/>
        <w:spacing w:after="0" w:line="259" w:lineRule="auto"/>
        <w:tabs>
          <w:tab w:leader="none" w:pos="1171"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Rights as Shareholder</w:t>
      </w:r>
      <w:r>
        <w:rPr>
          <w:rFonts w:ascii="Times New Roman" w:cs="Times New Roman" w:eastAsia="Times New Roman" w:hAnsi="Times New Roman"/>
          <w:sz w:val="18"/>
          <w:szCs w:val="18"/>
          <w:color w:val="auto"/>
        </w:rPr>
        <w:t>. The Participant or a Permitted Transferee of the Restricted Stock Units shall have no rights as a shareholder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71" w:lineRule="exact"/>
        <w:rPr>
          <w:rFonts w:ascii="Times New Roman" w:cs="Times New Roman" w:eastAsia="Times New Roman" w:hAnsi="Times New Roman"/>
          <w:sz w:val="18"/>
          <w:szCs w:val="18"/>
          <w:color w:val="auto"/>
        </w:rPr>
      </w:pPr>
    </w:p>
    <w:p>
      <w:pPr>
        <w:ind w:right="100" w:firstLine="987"/>
        <w:spacing w:after="0" w:line="257" w:lineRule="auto"/>
        <w:tabs>
          <w:tab w:leader="none" w:pos="1171"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The Participant may be required to pay to the Company or the Service Recipient and the Company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and is hereby authorized to withhold, any applicable withholding taxes in respect of the Restricted Stock Units, their vesting or settlement or any payment or transfer with respect to the Restricted Stock Units at the minimum applicable statutory rates, and to take such action as may be necessary in the opinion of the Committee to satisfy all obligations for the payment of such withholding taxes. The Committee may, in its sole discretion, permit the Participant to satisfy such withholding tax obligations, in whole or in part, by delivering shares of Common Stock, including shares of Common Stock received upon settlement of Restricted Stock Units pursuant to this Restricted Stock Unit Agreement.</w:t>
      </w:r>
    </w:p>
    <w:p>
      <w:pPr>
        <w:spacing w:after="0" w:line="74" w:lineRule="exact"/>
        <w:rPr>
          <w:rFonts w:ascii="Times New Roman" w:cs="Times New Roman" w:eastAsia="Times New Roman" w:hAnsi="Times New Roman"/>
          <w:sz w:val="18"/>
          <w:szCs w:val="18"/>
          <w:color w:val="auto"/>
        </w:rPr>
      </w:pPr>
    </w:p>
    <w:p>
      <w:pPr>
        <w:ind w:right="180" w:firstLine="987"/>
        <w:spacing w:after="0" w:line="262" w:lineRule="auto"/>
        <w:tabs>
          <w:tab w:leader="none" w:pos="1261"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Every notice or other communication relating to this Restricted Stock Unit Agreement between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and until some other address be so designated, all notices or communications by the Participant to the</w:t>
      </w:r>
    </w:p>
    <w:p>
      <w:pPr>
        <w:sectPr>
          <w:pgSz w:w="11900" w:h="16838" w:orient="portrait"/>
          <w:cols w:equalWidth="0" w:num="1">
            <w:col w:w="11000"/>
          </w:cols>
          <w:pgMar w:left="440" w:top="266" w:right="459" w:bottom="1440" w:gutter="0" w:footer="0" w:header="0"/>
        </w:sectPr>
      </w:pPr>
    </w:p>
    <w:bookmarkStart w:id="426" w:name="page427"/>
    <w:bookmarkEnd w:id="426"/>
    <w:p>
      <w:pPr>
        <w:ind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71" w:lineRule="exact"/>
        <w:rPr>
          <w:sz w:val="20"/>
          <w:szCs w:val="20"/>
          <w:color w:val="auto"/>
        </w:rPr>
      </w:pPr>
    </w:p>
    <w:p>
      <w:pPr>
        <w:ind w:right="180" w:firstLine="987"/>
        <w:spacing w:after="0" w:line="286" w:lineRule="auto"/>
        <w:tabs>
          <w:tab w:leader="none" w:pos="1254"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 to Continued Service</w:t>
      </w:r>
      <w:r>
        <w:rPr>
          <w:rFonts w:ascii="Times New Roman" w:cs="Times New Roman" w:eastAsia="Times New Roman" w:hAnsi="Times New Roman"/>
          <w:sz w:val="18"/>
          <w:szCs w:val="18"/>
          <w:color w:val="auto"/>
        </w:rPr>
        <w:t>. This Restricted Stock Unit Agreement does not confer upon the Participant any right to continue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employee or other service provider to the Company or any of its Subsidiaries.</w:t>
      </w:r>
    </w:p>
    <w:p>
      <w:pPr>
        <w:spacing w:after="0" w:line="46"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Restricted Stock Unit Agreement shall be binding upon the heirs, executors, administrators and successors of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hereto.</w:t>
      </w:r>
    </w:p>
    <w:p>
      <w:pPr>
        <w:spacing w:after="0" w:line="94" w:lineRule="exact"/>
        <w:rPr>
          <w:rFonts w:ascii="Times New Roman" w:cs="Times New Roman" w:eastAsia="Times New Roman" w:hAnsi="Times New Roman"/>
          <w:sz w:val="18"/>
          <w:szCs w:val="18"/>
          <w:color w:val="auto"/>
        </w:rPr>
      </w:pPr>
    </w:p>
    <w:p>
      <w:pPr>
        <w:ind w:firstLine="987"/>
        <w:spacing w:after="0" w:line="259" w:lineRule="auto"/>
        <w:tabs>
          <w:tab w:leader="none" w:pos="1261"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 and Amendments</w:t>
      </w:r>
      <w:r>
        <w:rPr>
          <w:rFonts w:ascii="Times New Roman" w:cs="Times New Roman" w:eastAsia="Times New Roman" w:hAnsi="Times New Roman"/>
          <w:sz w:val="18"/>
          <w:szCs w:val="18"/>
          <w:color w:val="auto"/>
        </w:rPr>
        <w:t>. Except as otherwise set forth in Section 13 of the Plan, any waiver, alteration, amendment or modification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any of the terms of this Restricted Stock Unit Agreement shall be valid only if made in writing and signed by the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71" w:lineRule="exact"/>
        <w:rPr>
          <w:rFonts w:ascii="Times New Roman" w:cs="Times New Roman" w:eastAsia="Times New Roman" w:hAnsi="Times New Roman"/>
          <w:sz w:val="18"/>
          <w:szCs w:val="18"/>
          <w:color w:val="auto"/>
        </w:rPr>
      </w:pPr>
    </w:p>
    <w:p>
      <w:pPr>
        <w:ind w:right="60" w:firstLine="987"/>
        <w:spacing w:after="0" w:line="269" w:lineRule="auto"/>
        <w:tabs>
          <w:tab w:leader="none" w:pos="1261" w:val="left"/>
        </w:tabs>
        <w:numPr>
          <w:ilvl w:val="0"/>
          <w:numId w:val="4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Clawback; Forfeiture</w:t>
      </w:r>
      <w:r>
        <w:rPr>
          <w:rFonts w:ascii="Times New Roman" w:cs="Times New Roman" w:eastAsia="Times New Roman" w:hAnsi="Times New Roman"/>
          <w:sz w:val="17"/>
          <w:szCs w:val="17"/>
          <w:color w:val="auto"/>
        </w:rPr>
        <w:t>. Notwithstanding anything to the contrary contained herein or in the Plan, if the Participant has engaged in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engages in any 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 “</w:t>
      </w:r>
      <w:r>
        <w:rPr>
          <w:rFonts w:ascii="Times New Roman" w:cs="Times New Roman" w:eastAsia="Times New Roman" w:hAnsi="Times New Roman"/>
          <w:sz w:val="17"/>
          <w:szCs w:val="17"/>
          <w:u w:val="single" w:color="auto"/>
          <w:color w:val="auto"/>
        </w:rPr>
        <w:t>Detrimental Activity</w:t>
      </w:r>
      <w:r>
        <w:rPr>
          <w:rFonts w:ascii="Times New Roman" w:cs="Times New Roman" w:eastAsia="Times New Roman" w:hAnsi="Times New Roman"/>
          <w:sz w:val="17"/>
          <w:szCs w:val="17"/>
          <w:color w:val="auto"/>
        </w:rPr>
        <w:t>” means any, offset of the following: (i) unauthorized disclosure of any confidential or proprietary information of any member of the Company Group; (ii) any activity that would be grounds to terminate the Participant’s employment or service with the Service Recipient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spacing w:after="0" w:line="70" w:lineRule="exact"/>
        <w:rPr>
          <w:rFonts w:ascii="Times New Roman" w:cs="Times New Roman" w:eastAsia="Times New Roman" w:hAnsi="Times New Roman"/>
          <w:sz w:val="17"/>
          <w:szCs w:val="17"/>
          <w:color w:val="auto"/>
        </w:rPr>
      </w:pPr>
    </w:p>
    <w:p>
      <w:pPr>
        <w:ind w:right="160" w:firstLine="987"/>
        <w:spacing w:after="0" w:line="259" w:lineRule="auto"/>
        <w:tabs>
          <w:tab w:leader="none" w:pos="1261"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Venue</w:t>
      </w:r>
      <w:r>
        <w:rPr>
          <w:rFonts w:ascii="Times New Roman" w:cs="Times New Roman" w:eastAsia="Times New Roman" w:hAnsi="Times New Roman"/>
          <w:sz w:val="18"/>
          <w:szCs w:val="18"/>
          <w:color w:val="auto"/>
        </w:rPr>
        <w:t>. This Restricted Stock Unit Agreement shall be construed and interpreted in accordance with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Houston, Texas.</w:t>
      </w:r>
    </w:p>
    <w:p>
      <w:pPr>
        <w:sectPr>
          <w:pgSz w:w="11900" w:h="16838" w:orient="portrait"/>
          <w:cols w:equalWidth="0" w:num="1">
            <w:col w:w="11020"/>
          </w:cols>
          <w:pgMar w:left="440" w:top="270" w:right="439" w:bottom="1440" w:gutter="0" w:footer="0" w:header="0"/>
        </w:sectPr>
      </w:pPr>
    </w:p>
    <w:bookmarkStart w:id="427" w:name="page428"/>
    <w:bookmarkEnd w:id="427"/>
    <w:p>
      <w:pPr>
        <w:ind w:left="-987" w:firstLine="987"/>
        <w:spacing w:after="0" w:line="256" w:lineRule="auto"/>
        <w:tabs>
          <w:tab w:leader="none" w:pos="274"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Award Subject to Plan</w:t>
      </w:r>
      <w:r>
        <w:rPr>
          <w:rFonts w:ascii="Times New Roman" w:cs="Times New Roman" w:eastAsia="Times New Roman" w:hAnsi="Times New Roman"/>
          <w:sz w:val="18"/>
          <w:szCs w:val="18"/>
          <w:color w:val="auto"/>
        </w:rPr>
        <w:t>. The Restricted Stock Units granted hereunder, and the shares of Common Stock issued to the Participant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of vested Earned Restricted Stock Units, are subject to the Plan and the terms of the Plan are hereby incorporated into this Restricted Stock Unit Agreement. By accepting the Restricted Stock Units, the Participant acknowledges that the Participant has received and read the Plan and agrees to be bound by the terms, conditions, and restrictions set forth in the Plan, this Restricted Stock Unit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Restricted Stock Unit Agreement shall survive the termination of this Award to the extent consistent with, or necessary to carry out, the purposes thereof.</w:t>
      </w:r>
    </w:p>
    <w:p>
      <w:pPr>
        <w:spacing w:after="0" w:line="74" w:lineRule="exact"/>
        <w:rPr>
          <w:rFonts w:ascii="Times New Roman" w:cs="Times New Roman" w:eastAsia="Times New Roman" w:hAnsi="Times New Roman"/>
          <w:sz w:val="18"/>
          <w:szCs w:val="18"/>
          <w:color w:val="auto"/>
        </w:rPr>
      </w:pPr>
    </w:p>
    <w:p>
      <w:pPr>
        <w:ind w:left="-987" w:right="180" w:firstLine="987"/>
        <w:spacing w:after="0" w:line="268" w:lineRule="auto"/>
        <w:tabs>
          <w:tab w:leader="none" w:pos="274"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It is intended that the Restricted Stock Units granted hereunder shall be exempt from Section 409A of the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“short-term deferral” rule applicable to such section, as set forth in the regulations or other guidance published by the Internal Revenue Service thereunder.</w:t>
      </w:r>
    </w:p>
    <w:p>
      <w:pPr>
        <w:spacing w:after="0" w:line="62" w:lineRule="exact"/>
        <w:rPr>
          <w:rFonts w:ascii="Times New Roman" w:cs="Times New Roman" w:eastAsia="Times New Roman" w:hAnsi="Times New Roman"/>
          <w:sz w:val="18"/>
          <w:szCs w:val="18"/>
          <w:color w:val="auto"/>
        </w:rPr>
      </w:pPr>
    </w:p>
    <w:p>
      <w:pPr>
        <w:ind w:left="-987" w:right="180" w:firstLine="987"/>
        <w:spacing w:after="0" w:line="262" w:lineRule="auto"/>
        <w:tabs>
          <w:tab w:leader="none" w:pos="274"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Imposition of Other Requirements</w:t>
      </w:r>
      <w:r>
        <w:rPr>
          <w:rFonts w:ascii="Times New Roman" w:cs="Times New Roman" w:eastAsia="Times New Roman" w:hAnsi="Times New Roman"/>
          <w:sz w:val="18"/>
          <w:szCs w:val="18"/>
          <w:color w:val="auto"/>
        </w:rPr>
        <w:t>. The Company reserves the right to impose other requirements on the Participant’s participation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68" w:lineRule="exact"/>
        <w:rPr>
          <w:rFonts w:ascii="Times New Roman" w:cs="Times New Roman" w:eastAsia="Times New Roman" w:hAnsi="Times New Roman"/>
          <w:sz w:val="18"/>
          <w:szCs w:val="18"/>
          <w:color w:val="auto"/>
        </w:rPr>
      </w:pPr>
    </w:p>
    <w:p>
      <w:pPr>
        <w:ind w:left="-987" w:right="200" w:firstLine="987"/>
        <w:spacing w:after="0" w:line="262" w:lineRule="auto"/>
        <w:tabs>
          <w:tab w:leader="none" w:pos="274"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Transmission Acknowledgement</w:t>
      </w:r>
      <w:r>
        <w:rPr>
          <w:rFonts w:ascii="Times New Roman" w:cs="Times New Roman" w:eastAsia="Times New Roman" w:hAnsi="Times New Roman"/>
          <w:sz w:val="18"/>
          <w:szCs w:val="18"/>
          <w:color w:val="auto"/>
        </w:rPr>
        <w:t>. To the extent necessary, the Participant authorizes, agrees and unambiguously consents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spacing w:after="0" w:line="68" w:lineRule="exact"/>
        <w:rPr>
          <w:rFonts w:ascii="Times New Roman" w:cs="Times New Roman" w:eastAsia="Times New Roman" w:hAnsi="Times New Roman"/>
          <w:sz w:val="18"/>
          <w:szCs w:val="18"/>
          <w:color w:val="auto"/>
        </w:rPr>
      </w:pPr>
    </w:p>
    <w:p>
      <w:pPr>
        <w:ind w:left="-987" w:right="20" w:firstLine="987"/>
        <w:spacing w:after="0" w:line="257" w:lineRule="auto"/>
        <w:tabs>
          <w:tab w:leader="none" w:pos="274"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current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Restricted Stock Units provided to the Participant through the third-party stock plan administrator’s web portal or otherwise conflicts with any of the terms and conditions of this Restricted Stock Unit Agreement or the Plan (collectively, the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Unit Governing Documents</w:t>
      </w:r>
      <w:r>
        <w:rPr>
          <w:rFonts w:ascii="Times New Roman" w:cs="Times New Roman" w:eastAsia="Times New Roman" w:hAnsi="Times New Roman"/>
          <w:sz w:val="18"/>
          <w:szCs w:val="18"/>
          <w:color w:val="auto"/>
        </w:rPr>
        <w:t>”), the Restricted Stock Unit Governing Documents shall control.</w:t>
      </w:r>
    </w:p>
    <w:p>
      <w:pPr>
        <w:spacing w:after="0" w:line="74" w:lineRule="exact"/>
        <w:rPr>
          <w:rFonts w:ascii="Times New Roman" w:cs="Times New Roman" w:eastAsia="Times New Roman" w:hAnsi="Times New Roman"/>
          <w:sz w:val="18"/>
          <w:szCs w:val="18"/>
          <w:color w:val="auto"/>
        </w:rPr>
      </w:pPr>
    </w:p>
    <w:p>
      <w:pPr>
        <w:ind w:left="-987" w:right="80" w:firstLine="987"/>
        <w:spacing w:after="0" w:line="268" w:lineRule="auto"/>
        <w:tabs>
          <w:tab w:leader="none" w:pos="274"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The Restricted Stock Unit Governing Documents constitute the entire agreement of the parties hereto in respect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subject matter contained herein and supersede all prior agreements and understandings of the parties, oral and written, with respect to such subject matter.</w:t>
      </w:r>
    </w:p>
    <w:p>
      <w:pPr>
        <w:sectPr>
          <w:pgSz w:w="11900" w:h="16838" w:orient="portrait"/>
          <w:cols w:equalWidth="0" w:num="1">
            <w:col w:w="10033"/>
          </w:cols>
          <w:pgMar w:left="1427" w:top="266" w:right="439" w:bottom="1440" w:gutter="0" w:footer="0" w:header="0"/>
        </w:sectPr>
      </w:pPr>
    </w:p>
    <w:bookmarkStart w:id="428" w:name="page429"/>
    <w:bookmarkEnd w:id="428"/>
    <w:p>
      <w:pPr>
        <w:jc w:val="right"/>
        <w:spacing w:after="0"/>
        <w:rPr>
          <w:sz w:val="20"/>
          <w:szCs w:val="20"/>
          <w:color w:val="auto"/>
        </w:rPr>
      </w:pPr>
      <w:r>
        <w:rPr>
          <w:rFonts w:ascii="Times New Roman" w:cs="Times New Roman" w:eastAsia="Times New Roman" w:hAnsi="Times New Roman"/>
          <w:sz w:val="18"/>
          <w:szCs w:val="18"/>
          <w:b w:val="1"/>
          <w:bCs w:val="1"/>
          <w:color w:val="auto"/>
        </w:rPr>
        <w:t>Exhibit 10.34</w:t>
      </w:r>
    </w:p>
    <w:p>
      <w:pPr>
        <w:spacing w:after="0" w:line="2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203" w:lineRule="exact"/>
        <w:rPr>
          <w:sz w:val="20"/>
          <w:szCs w:val="20"/>
          <w:color w:val="auto"/>
        </w:rPr>
      </w:pPr>
    </w:p>
    <w:p>
      <w:pPr>
        <w:ind w:right="40" w:firstLine="436"/>
        <w:spacing w:after="0" w:line="254" w:lineRule="auto"/>
        <w:tabs>
          <w:tab w:leader="none" w:pos="620"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purpose of the Plan is to provide Eligible Employees (as defined below) with an opportunity to purchase Common Stock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accumulated Contributions. The Company intends for the Plan to have two components: a Code Section 423 Component (“</w:t>
      </w:r>
      <w:r>
        <w:rPr>
          <w:rFonts w:ascii="Times New Roman" w:cs="Times New Roman" w:eastAsia="Times New Roman" w:hAnsi="Times New Roman"/>
          <w:sz w:val="18"/>
          <w:szCs w:val="18"/>
          <w:b w:val="1"/>
          <w:bCs w:val="1"/>
          <w:u w:val="single" w:color="auto"/>
          <w:color w:val="auto"/>
        </w:rPr>
        <w:t>423 Component</w:t>
      </w:r>
      <w:r>
        <w:rPr>
          <w:rFonts w:ascii="Times New Roman" w:cs="Times New Roman" w:eastAsia="Times New Roman" w:hAnsi="Times New Roman"/>
          <w:sz w:val="18"/>
          <w:szCs w:val="18"/>
          <w:color w:val="auto"/>
        </w:rPr>
        <w:t>”) and a non-Code Section 423 Component (“</w:t>
      </w:r>
      <w:r>
        <w:rPr>
          <w:rFonts w:ascii="Times New Roman" w:cs="Times New Roman" w:eastAsia="Times New Roman" w:hAnsi="Times New Roman"/>
          <w:sz w:val="18"/>
          <w:szCs w:val="18"/>
          <w:b w:val="1"/>
          <w:bCs w:val="1"/>
          <w:u w:val="single" w:color="auto"/>
          <w:color w:val="auto"/>
        </w:rPr>
        <w:t>Non-423 Component</w:t>
      </w:r>
      <w:r>
        <w:rPr>
          <w:rFonts w:ascii="Times New Roman" w:cs="Times New Roman" w:eastAsia="Times New Roman" w:hAnsi="Times New Roman"/>
          <w:sz w:val="18"/>
          <w:szCs w:val="18"/>
          <w:color w:val="auto"/>
        </w:rPr>
        <w:t>”). The Company intends to have the 423 Component of the Plan qualify as an “employee stock purchase plan” under Section 423 of the Code. The provisions of the 423 Component, accordingly, will be construed so as to extend and limit Plan participation in a uniform and nondiscriminatory basis consistent with the requirements of Section 423 of the Code. In addition, the Plan authorizes the grant of an option to purchase shares of Common Stock under the Non-423 Component that does not qualify as an “employee stock purchase plan” under Section 423 of the Code; such an option will be granted pursuant to rules, procedures or sub-plans adopted by the Administrator designed to achieve tax, securities laws or other objectives for Eligible Employees and the Company. Except as otherwise provided herein, the Non-423 Component will operate and be administered in the same manner as the 423 Component.</w:t>
      </w:r>
    </w:p>
    <w:p>
      <w:pPr>
        <w:spacing w:after="0" w:line="188"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5"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423 Component</w:t>
      </w:r>
      <w:r>
        <w:rPr>
          <w:rFonts w:ascii="Times New Roman" w:cs="Times New Roman" w:eastAsia="Times New Roman" w:hAnsi="Times New Roman"/>
          <w:sz w:val="18"/>
          <w:szCs w:val="18"/>
          <w:color w:val="auto"/>
        </w:rPr>
        <w:t>” is defined in Section 1 of the Plan.</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Administrator</w:t>
      </w:r>
      <w:r>
        <w:rPr>
          <w:rFonts w:ascii="Times New Roman" w:cs="Times New Roman" w:eastAsia="Times New Roman" w:hAnsi="Times New Roman"/>
          <w:sz w:val="18"/>
          <w:szCs w:val="18"/>
          <w:color w:val="auto"/>
        </w:rPr>
        <w:t>” means the Committee or the Board.</w:t>
      </w:r>
    </w:p>
    <w:p>
      <w:pPr>
        <w:spacing w:after="0" w:line="225" w:lineRule="exact"/>
        <w:rPr>
          <w:rFonts w:ascii="Times New Roman" w:cs="Times New Roman" w:eastAsia="Times New Roman" w:hAnsi="Times New Roman"/>
          <w:sz w:val="18"/>
          <w:szCs w:val="18"/>
          <w:color w:val="auto"/>
        </w:rPr>
      </w:pPr>
    </w:p>
    <w:p>
      <w:pPr>
        <w:ind w:right="620" w:firstLine="987"/>
        <w:spacing w:after="0" w:line="286" w:lineRule="auto"/>
        <w:tabs>
          <w:tab w:leader="none" w:pos="1236"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any entity, other than a Subsidiary, that is an “affiliate” within the meaning of Rule 12b-2 promulgated under Section 12 of the Exchange Act.</w:t>
      </w:r>
    </w:p>
    <w:p>
      <w:pPr>
        <w:spacing w:after="0" w:line="154" w:lineRule="exact"/>
        <w:rPr>
          <w:rFonts w:ascii="Times New Roman" w:cs="Times New Roman" w:eastAsia="Times New Roman" w:hAnsi="Times New Roman"/>
          <w:sz w:val="18"/>
          <w:szCs w:val="18"/>
          <w:color w:val="auto"/>
        </w:rPr>
      </w:pPr>
    </w:p>
    <w:p>
      <w:pPr>
        <w:ind w:right="100" w:firstLine="987"/>
        <w:spacing w:after="0" w:line="262" w:lineRule="auto"/>
        <w:tabs>
          <w:tab w:leader="none" w:pos="1246"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Laws</w:t>
      </w:r>
      <w:r>
        <w:rPr>
          <w:rFonts w:ascii="Times New Roman" w:cs="Times New Roman" w:eastAsia="Times New Roman" w:hAnsi="Times New Roman"/>
          <w:sz w:val="18"/>
          <w:szCs w:val="18"/>
          <w:color w:val="auto"/>
        </w:rPr>
        <w:t>” means the requirements relating to the administration of equity-based awards and the related issuance of shares of Common Stock under U.S. state corporate laws, U.S. federal and state securities laws, the Code, any stock exchange or quotation system on which the Common Stock is listed or quoted and the applicable securities and exchange control laws of any foreign country or jurisdiction where options are, or will be, granted under the Plan.</w:t>
      </w:r>
    </w:p>
    <w:p>
      <w:pPr>
        <w:spacing w:after="0" w:line="17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Beneficial Owner</w:t>
      </w:r>
      <w:r>
        <w:rPr>
          <w:rFonts w:ascii="Times New Roman" w:cs="Times New Roman" w:eastAsia="Times New Roman" w:hAnsi="Times New Roman"/>
          <w:sz w:val="18"/>
          <w:szCs w:val="18"/>
          <w:color w:val="auto"/>
        </w:rPr>
        <w:t>” means a beneficial owner as determined under Rule 13d-3 under the Exchange Act.</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right="40" w:firstLine="987"/>
        <w:spacing w:after="0" w:line="286" w:lineRule="auto"/>
        <w:tabs>
          <w:tab w:leader="none" w:pos="1246"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shall have the meaning given such term in the Academy Sports and Outdoors, Inc. 2020 Omnibus Incentive Plan or any successor plan thereto, in each case, as amended and/or restated from time to time.</w:t>
      </w:r>
    </w:p>
    <w:p>
      <w:pPr>
        <w:spacing w:after="0" w:line="154" w:lineRule="exact"/>
        <w:rPr>
          <w:rFonts w:ascii="Times New Roman" w:cs="Times New Roman" w:eastAsia="Times New Roman" w:hAnsi="Times New Roman"/>
          <w:sz w:val="18"/>
          <w:szCs w:val="18"/>
          <w:color w:val="auto"/>
        </w:rPr>
      </w:pPr>
    </w:p>
    <w:p>
      <w:pPr>
        <w:ind w:right="340" w:firstLine="987"/>
        <w:spacing w:after="0" w:line="291" w:lineRule="auto"/>
        <w:tabs>
          <w:tab w:leader="none" w:pos="1246" w:val="left"/>
        </w:tabs>
        <w:numPr>
          <w:ilvl w:val="1"/>
          <w:numId w:val="4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Code</w:t>
      </w:r>
      <w:r>
        <w:rPr>
          <w:rFonts w:ascii="Times New Roman" w:cs="Times New Roman" w:eastAsia="Times New Roman" w:hAnsi="Times New Roman"/>
          <w:sz w:val="17"/>
          <w:szCs w:val="17"/>
          <w:color w:val="auto"/>
        </w:rPr>
        <w:t>” means the U.S. Internal Revenue Code of 1986, as amended. References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152" w:lineRule="exact"/>
        <w:rPr>
          <w:rFonts w:ascii="Times New Roman" w:cs="Times New Roman" w:eastAsia="Times New Roman" w:hAnsi="Times New Roman"/>
          <w:sz w:val="17"/>
          <w:szCs w:val="17"/>
          <w:color w:val="auto"/>
        </w:rPr>
      </w:pPr>
    </w:p>
    <w:p>
      <w:pPr>
        <w:ind w:right="180" w:firstLine="987"/>
        <w:spacing w:after="0" w:line="268" w:lineRule="auto"/>
        <w:tabs>
          <w:tab w:leader="none" w:pos="1206"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Committee</w:t>
      </w:r>
      <w:r>
        <w:rPr>
          <w:rFonts w:ascii="Times New Roman" w:cs="Times New Roman" w:eastAsia="Times New Roman" w:hAnsi="Times New Roman"/>
          <w:sz w:val="18"/>
          <w:szCs w:val="18"/>
          <w:color w:val="auto"/>
        </w:rPr>
        <w:t>” means the Compensation Committee of the Board, and any successor committee thereto or such other committee of the Board as may be designated by the Board to administer the Plan in whole or in part, including any subcommittee of the Board as designated by the Board in accordance with Section 14 hereof.</w:t>
      </w:r>
    </w:p>
    <w:p>
      <w:pPr>
        <w:sectPr>
          <w:pgSz w:w="11900" w:h="16838" w:orient="portrait"/>
          <w:cols w:equalWidth="0" w:num="1">
            <w:col w:w="11020"/>
          </w:cols>
          <w:pgMar w:left="440" w:top="117" w:right="439" w:bottom="1440" w:gutter="0" w:footer="0" w:header="0"/>
        </w:sectPr>
      </w:pPr>
    </w:p>
    <w:bookmarkStart w:id="429" w:name="page430"/>
    <w:bookmarkEnd w:id="429"/>
    <w:p>
      <w:pPr>
        <w:ind w:left="-80" w:right="180" w:firstLine="987"/>
        <w:spacing w:after="0" w:line="286" w:lineRule="auto"/>
        <w:tabs>
          <w:tab w:leader="none" w:pos="112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stock or other securities into which such Common Stock may be converted or into which it may be exchanged).</w:t>
      </w:r>
    </w:p>
    <w:p>
      <w:pPr>
        <w:spacing w:after="0" w:line="154" w:lineRule="exact"/>
        <w:rPr>
          <w:rFonts w:ascii="Times New Roman" w:cs="Times New Roman" w:eastAsia="Times New Roman" w:hAnsi="Times New Roman"/>
          <w:sz w:val="18"/>
          <w:szCs w:val="18"/>
          <w:color w:val="auto"/>
        </w:rPr>
      </w:pPr>
    </w:p>
    <w:p>
      <w:pPr>
        <w:ind w:left="1160" w:hanging="253"/>
        <w:spacing w:after="0"/>
        <w:tabs>
          <w:tab w:leader="none" w:pos="116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means Academy Sports and Outdoors, Inc., a Delaware corporation, and any successor thereto.</w:t>
      </w:r>
    </w:p>
    <w:p>
      <w:pPr>
        <w:spacing w:after="0" w:line="225" w:lineRule="exact"/>
        <w:rPr>
          <w:rFonts w:ascii="Times New Roman" w:cs="Times New Roman" w:eastAsia="Times New Roman" w:hAnsi="Times New Roman"/>
          <w:sz w:val="18"/>
          <w:szCs w:val="18"/>
          <w:color w:val="auto"/>
        </w:rPr>
      </w:pPr>
    </w:p>
    <w:p>
      <w:pPr>
        <w:ind w:left="-80" w:right="160" w:firstLine="987"/>
        <w:spacing w:after="0" w:line="286" w:lineRule="auto"/>
        <w:tabs>
          <w:tab w:leader="none" w:pos="112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 means an Eligible Employee’s base salary or hourly wages. The Administrator, in its discretion, may, on a uniform and nondiscriminatory basis, establish a different definition of Compensation for a subsequent Offering Period.</w:t>
      </w:r>
    </w:p>
    <w:p>
      <w:pPr>
        <w:spacing w:after="0" w:line="154" w:lineRule="exact"/>
        <w:rPr>
          <w:rFonts w:ascii="Times New Roman" w:cs="Times New Roman" w:eastAsia="Times New Roman" w:hAnsi="Times New Roman"/>
          <w:sz w:val="18"/>
          <w:szCs w:val="18"/>
          <w:color w:val="auto"/>
        </w:rPr>
      </w:pPr>
    </w:p>
    <w:p>
      <w:pPr>
        <w:ind w:left="-80" w:right="640" w:firstLine="987"/>
        <w:spacing w:after="0" w:line="286" w:lineRule="auto"/>
        <w:tabs>
          <w:tab w:leader="none" w:pos="121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Contributions</w:t>
      </w:r>
      <w:r>
        <w:rPr>
          <w:rFonts w:ascii="Times New Roman" w:cs="Times New Roman" w:eastAsia="Times New Roman" w:hAnsi="Times New Roman"/>
          <w:sz w:val="18"/>
          <w:szCs w:val="18"/>
          <w:color w:val="auto"/>
        </w:rPr>
        <w:t>” means the payroll deductions and other additional payments that the Company may permit to be made by a Participant to fund the exercise of options granted pursuant to the Plan.</w:t>
      </w:r>
    </w:p>
    <w:p>
      <w:pPr>
        <w:spacing w:after="0" w:line="154" w:lineRule="exact"/>
        <w:rPr>
          <w:rFonts w:ascii="Times New Roman" w:cs="Times New Roman" w:eastAsia="Times New Roman" w:hAnsi="Times New Roman"/>
          <w:sz w:val="18"/>
          <w:szCs w:val="18"/>
          <w:color w:val="auto"/>
        </w:rPr>
      </w:pPr>
    </w:p>
    <w:p>
      <w:pPr>
        <w:ind w:left="-80" w:right="20" w:firstLine="987"/>
        <w:spacing w:after="0" w:line="262" w:lineRule="auto"/>
        <w:tabs>
          <w:tab w:leader="none" w:pos="116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Designated Company</w:t>
      </w:r>
      <w:r>
        <w:rPr>
          <w:rFonts w:ascii="Times New Roman" w:cs="Times New Roman" w:eastAsia="Times New Roman" w:hAnsi="Times New Roman"/>
          <w:sz w:val="18"/>
          <w:szCs w:val="18"/>
          <w:color w:val="auto"/>
        </w:rPr>
        <w:t xml:space="preserve">” means any Subsidiary or Affiliate that has been designated by the Administrator from time to time in its sole discretion as eligible to participate in the Plan. For purposes of the 423 Component, only the Company and its Subsidiaries may be Designated Companies;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any given time, a Subsidiary that is a Designated Company under the 423 Component shall not be a Designated Company under the Non-423 Component. The Designated Companies under the Plan are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76" w:lineRule="exact"/>
        <w:rPr>
          <w:rFonts w:ascii="Times New Roman" w:cs="Times New Roman" w:eastAsia="Times New Roman" w:hAnsi="Times New Roman"/>
          <w:sz w:val="18"/>
          <w:szCs w:val="18"/>
          <w:color w:val="auto"/>
        </w:rPr>
      </w:pPr>
    </w:p>
    <w:p>
      <w:pPr>
        <w:ind w:left="1160" w:hanging="253"/>
        <w:spacing w:after="0"/>
        <w:tabs>
          <w:tab w:leader="none" w:pos="116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ind w:left="-80" w:firstLine="987"/>
        <w:spacing w:after="0" w:line="253" w:lineRule="auto"/>
        <w:tabs>
          <w:tab w:leader="none" w:pos="116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Eligible Employee</w:t>
      </w:r>
      <w:r>
        <w:rPr>
          <w:rFonts w:ascii="Times New Roman" w:cs="Times New Roman" w:eastAsia="Times New Roman" w:hAnsi="Times New Roman"/>
          <w:sz w:val="18"/>
          <w:szCs w:val="18"/>
          <w:color w:val="auto"/>
        </w:rPr>
        <w:t xml:space="preserve">” means any individual who is a common law employee providing services to the Company or a Designated Company and has completed at least twelve (12) consecutive calendar months of service since his or her last hire date (or such lesser period of time as may be determined by the Administrator in its discretion). For purposes of the Plan, the employment relationship will be treated as continuing intact while the individual is on sick leave or other leave of absence that the Employer approves or is legally protected under applicable laws.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Treasury Regulation Section 1.423-2) that the definition of Eligible Employee will or will not include an individual if he or she: (i) is a highly compensated employee within the meaning of Section 414(q) of the Code, or (ii) is a highly compensated employee within the meaning of Section 414(q) of the Code with compensation above a certain level or is an officer or subject to the disclosure requirements of Section 16(a) of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exclusion is applied with respect to each Offering under the 423 Component in an identical manner to all highly compensated employees of the Employer whose employees are participating in that Offering. Each exclusion shall be applied with respect to an Offering under a 423 Component in a manner complying with U.S. Treasury Regulation Section 1.423-2(e)(2)(ii). Such exclusions may be applied with respect to an Offering under the Non-423 Component without regard to the limitations of Treasury Regulation Section 1.423-2.</w:t>
      </w:r>
    </w:p>
    <w:p>
      <w:pPr>
        <w:spacing w:after="0" w:line="183" w:lineRule="exact"/>
        <w:rPr>
          <w:rFonts w:ascii="Times New Roman" w:cs="Times New Roman" w:eastAsia="Times New Roman" w:hAnsi="Times New Roman"/>
          <w:sz w:val="18"/>
          <w:szCs w:val="18"/>
          <w:color w:val="auto"/>
        </w:rPr>
      </w:pPr>
    </w:p>
    <w:p>
      <w:pPr>
        <w:ind w:left="1160" w:hanging="253"/>
        <w:spacing w:after="0"/>
        <w:tabs>
          <w:tab w:leader="none" w:pos="116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Employer</w:t>
      </w:r>
      <w:r>
        <w:rPr>
          <w:rFonts w:ascii="Times New Roman" w:cs="Times New Roman" w:eastAsia="Times New Roman" w:hAnsi="Times New Roman"/>
          <w:sz w:val="18"/>
          <w:szCs w:val="18"/>
          <w:color w:val="auto"/>
        </w:rPr>
        <w:t>” means the employer of the applicable Eligible Employee(s).</w:t>
      </w:r>
    </w:p>
    <w:p>
      <w:pPr>
        <w:spacing w:after="0" w:line="225" w:lineRule="exact"/>
        <w:rPr>
          <w:rFonts w:ascii="Times New Roman" w:cs="Times New Roman" w:eastAsia="Times New Roman" w:hAnsi="Times New Roman"/>
          <w:sz w:val="18"/>
          <w:szCs w:val="18"/>
          <w:color w:val="auto"/>
        </w:rPr>
      </w:pPr>
    </w:p>
    <w:p>
      <w:pPr>
        <w:ind w:left="1140" w:hanging="233"/>
        <w:spacing w:after="0"/>
        <w:tabs>
          <w:tab w:leader="none" w:pos="114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Enrollment Date</w:t>
      </w:r>
      <w:r>
        <w:rPr>
          <w:rFonts w:ascii="Times New Roman" w:cs="Times New Roman" w:eastAsia="Times New Roman" w:hAnsi="Times New Roman"/>
          <w:sz w:val="18"/>
          <w:szCs w:val="18"/>
          <w:color w:val="auto"/>
        </w:rPr>
        <w:t>” means the first Trading Day of each Offering Period.</w:t>
      </w:r>
    </w:p>
    <w:p>
      <w:pPr>
        <w:spacing w:after="0" w:line="225" w:lineRule="exact"/>
        <w:rPr>
          <w:rFonts w:ascii="Times New Roman" w:cs="Times New Roman" w:eastAsia="Times New Roman" w:hAnsi="Times New Roman"/>
          <w:sz w:val="18"/>
          <w:szCs w:val="18"/>
          <w:color w:val="auto"/>
        </w:rPr>
      </w:pPr>
    </w:p>
    <w:p>
      <w:pPr>
        <w:ind w:left="1140" w:hanging="233"/>
        <w:spacing w:after="0"/>
        <w:tabs>
          <w:tab w:leader="none" w:pos="114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Enrollment Window</w:t>
      </w:r>
      <w:r>
        <w:rPr>
          <w:rFonts w:ascii="Times New Roman" w:cs="Times New Roman" w:eastAsia="Times New Roman" w:hAnsi="Times New Roman"/>
          <w:sz w:val="18"/>
          <w:szCs w:val="18"/>
          <w:color w:val="auto"/>
        </w:rPr>
        <w:t>” is defined in Section 5(a) of the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520" w:top="266" w:right="539" w:bottom="1440" w:gutter="0" w:footer="0" w:header="0"/>
        </w:sectPr>
      </w:pPr>
    </w:p>
    <w:bookmarkStart w:id="430" w:name="page431"/>
    <w:bookmarkEnd w:id="43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U.S. Securities Exchange Act of 1934, as amended, including the rules and regulations promulgated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3" w:lineRule="exact"/>
        <w:rPr>
          <w:sz w:val="20"/>
          <w:szCs w:val="20"/>
          <w:color w:val="auto"/>
        </w:rPr>
      </w:pPr>
    </w:p>
    <w:p>
      <w:pPr>
        <w:ind w:left="1240" w:hanging="253"/>
        <w:spacing w:after="0"/>
        <w:tabs>
          <w:tab w:leader="none" w:pos="124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Exercise Date</w:t>
      </w:r>
      <w:r>
        <w:rPr>
          <w:rFonts w:ascii="Times New Roman" w:cs="Times New Roman" w:eastAsia="Times New Roman" w:hAnsi="Times New Roman"/>
          <w:sz w:val="18"/>
          <w:szCs w:val="18"/>
          <w:color w:val="auto"/>
        </w:rPr>
        <w:t>” means the last Trading Day of each Purchase Period.</w:t>
      </w:r>
    </w:p>
    <w:p>
      <w:pPr>
        <w:spacing w:after="0" w:line="225"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Fair Market Value</w:t>
      </w:r>
      <w:r>
        <w:rPr>
          <w:rFonts w:ascii="Times New Roman" w:cs="Times New Roman" w:eastAsia="Times New Roman" w:hAnsi="Times New Roman"/>
          <w:sz w:val="18"/>
          <w:szCs w:val="18"/>
          <w:color w:val="auto"/>
        </w:rPr>
        <w:t>” means, on a given date: (i) if the Common Stock is listed on a national securities exchange, the closing sales price of the Common Stock reported on the primary exchange on which the Common Stock is listed and traded on such date, or, if there are no such sales on that date, then on the last preceding date on which such sales were reported; (ii) if the Common Stock is not listed on any national securities exchange but is quoted in an inter-dealer quotation system on a last-sale basis, the average between the closing bid price and ask price reported on such date, or, if there is no such sale on that date, then on the last preceding date on which a sale was reported; or (iii) if the Common Stock is not listed on a national securities exchange or quoted in an inter-dealer quotation system on a last-sale basis, the amount determined by the Board in good faith to be the fair market value of the Common Stock.</w:t>
      </w:r>
    </w:p>
    <w:p>
      <w:pPr>
        <w:spacing w:after="0" w:line="182"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Fiscal Year</w:t>
      </w:r>
      <w:r>
        <w:rPr>
          <w:rFonts w:ascii="Times New Roman" w:cs="Times New Roman" w:eastAsia="Times New Roman" w:hAnsi="Times New Roman"/>
          <w:sz w:val="18"/>
          <w:szCs w:val="18"/>
          <w:color w:val="auto"/>
        </w:rPr>
        <w:t>” means the fiscal year of the Company.</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Group</w:t>
      </w:r>
      <w:r>
        <w:rPr>
          <w:rFonts w:ascii="Times New Roman" w:cs="Times New Roman" w:eastAsia="Times New Roman" w:hAnsi="Times New Roman"/>
          <w:sz w:val="18"/>
          <w:szCs w:val="18"/>
          <w:color w:val="auto"/>
        </w:rPr>
        <w:t>” shall have the meaning given the term for purposes of Section 13(d)(3) of the Exchange Act.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New Exercise Date</w:t>
      </w:r>
      <w:r>
        <w:rPr>
          <w:rFonts w:ascii="Times New Roman" w:cs="Times New Roman" w:eastAsia="Times New Roman" w:hAnsi="Times New Roman"/>
          <w:sz w:val="18"/>
          <w:szCs w:val="18"/>
          <w:color w:val="auto"/>
        </w:rPr>
        <w:t>” means a new Exercise Date if the Administrator shortens any Offering Period then in progress.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Non-423 Component</w:t>
      </w:r>
      <w:r>
        <w:rPr>
          <w:rFonts w:ascii="Times New Roman" w:cs="Times New Roman" w:eastAsia="Times New Roman" w:hAnsi="Times New Roman"/>
          <w:sz w:val="18"/>
          <w:szCs w:val="18"/>
          <w:color w:val="auto"/>
        </w:rPr>
        <w:t>” is defined in Section 1 of the Plan.</w:t>
      </w:r>
    </w:p>
    <w:p>
      <w:pPr>
        <w:spacing w:after="0" w:line="225" w:lineRule="exact"/>
        <w:rPr>
          <w:sz w:val="20"/>
          <w:szCs w:val="20"/>
          <w:color w:val="auto"/>
        </w:rPr>
      </w:pPr>
    </w:p>
    <w:p>
      <w:pPr>
        <w:ind w:right="340" w:firstLine="987"/>
        <w:spacing w:after="0" w:line="257" w:lineRule="auto"/>
        <w:tabs>
          <w:tab w:leader="none" w:pos="1316"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Offering</w:t>
      </w:r>
      <w:r>
        <w:rPr>
          <w:rFonts w:ascii="Times New Roman" w:cs="Times New Roman" w:eastAsia="Times New Roman" w:hAnsi="Times New Roman"/>
          <w:sz w:val="18"/>
          <w:szCs w:val="18"/>
          <w:color w:val="auto"/>
        </w:rPr>
        <w:t xml:space="preserve">” means an offer under the Plan of an option that may be exercised during an Offering Period as further described in Section 4 of the Plan.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 Section 1.423-2(a)(1), the terms of each Offering need not be identical;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terms of the Plan and an Offering together satisfy U.S. Treasury Regulation Section 1.423-2(a)(2) and (a)(3).</w:t>
      </w:r>
    </w:p>
    <w:p>
      <w:pPr>
        <w:spacing w:after="0" w:line="182" w:lineRule="exact"/>
        <w:rPr>
          <w:rFonts w:ascii="Times New Roman" w:cs="Times New Roman" w:eastAsia="Times New Roman" w:hAnsi="Times New Roman"/>
          <w:sz w:val="18"/>
          <w:szCs w:val="18"/>
          <w:color w:val="auto"/>
        </w:rPr>
      </w:pPr>
    </w:p>
    <w:p>
      <w:pPr>
        <w:ind w:right="80" w:firstLine="987"/>
        <w:spacing w:after="0" w:line="268" w:lineRule="auto"/>
        <w:tabs>
          <w:tab w:leader="none" w:pos="1336"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Offering Periods</w:t>
      </w:r>
      <w:r>
        <w:rPr>
          <w:rFonts w:ascii="Times New Roman" w:cs="Times New Roman" w:eastAsia="Times New Roman" w:hAnsi="Times New Roman"/>
          <w:sz w:val="18"/>
          <w:szCs w:val="18"/>
          <w:color w:val="auto"/>
        </w:rPr>
        <w:t>” means the periods of approximately six (6) months or such other period or periods set by the Administrator during which an option may be granted pursuant to the Plan and may be exercised, as determined under Section 4 of the Plan. The duration and timing of Offering Periods may be changed pursuant to Sections 4 and 20 of the Plan.</w:t>
      </w:r>
    </w:p>
    <w:p>
      <w:pPr>
        <w:spacing w:after="0" w:line="170" w:lineRule="exact"/>
        <w:rPr>
          <w:rFonts w:ascii="Times New Roman" w:cs="Times New Roman" w:eastAsia="Times New Roman" w:hAnsi="Times New Roman"/>
          <w:sz w:val="18"/>
          <w:szCs w:val="18"/>
          <w:color w:val="auto"/>
        </w:rPr>
      </w:pPr>
    </w:p>
    <w:p>
      <w:pPr>
        <w:ind w:left="1320" w:hanging="333"/>
        <w:spacing w:after="0"/>
        <w:tabs>
          <w:tab w:leader="none" w:pos="132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Other Extraordinary Event</w:t>
      </w:r>
      <w:r>
        <w:rPr>
          <w:rFonts w:ascii="Times New Roman" w:cs="Times New Roman" w:eastAsia="Times New Roman" w:hAnsi="Times New Roman"/>
          <w:sz w:val="18"/>
          <w:szCs w:val="18"/>
          <w:color w:val="auto"/>
        </w:rPr>
        <w:t>” is defined in Section 19(a) of the Plan.</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w:t>
      </w:r>
    </w:p>
    <w:p>
      <w:pPr>
        <w:spacing w:after="0" w:line="225" w:lineRule="exact"/>
        <w:rPr>
          <w:rFonts w:ascii="Times New Roman" w:cs="Times New Roman" w:eastAsia="Times New Roman" w:hAnsi="Times New Roman"/>
          <w:sz w:val="18"/>
          <w:szCs w:val="18"/>
          <w:color w:val="auto"/>
        </w:rPr>
      </w:pPr>
    </w:p>
    <w:p>
      <w:pPr>
        <w:ind w:left="1320" w:hanging="333"/>
        <w:spacing w:after="0"/>
        <w:tabs>
          <w:tab w:leader="none" w:pos="132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color w:val="auto"/>
        </w:rPr>
        <w:t>” means an Eligible Employee that participates in the Plan.</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 individual, entity or group.</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means this Academy Sports and Outdoors, Inc. 2020 Employee Stock Purchase Plan.</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40" w:top="266" w:right="559" w:bottom="1440" w:gutter="0" w:footer="0" w:header="0"/>
        </w:sectPr>
      </w:pPr>
    </w:p>
    <w:bookmarkStart w:id="431" w:name="page432"/>
    <w:bookmarkEnd w:id="431"/>
    <w:p>
      <w:pPr>
        <w:ind w:left="1344" w:hanging="353"/>
        <w:spacing w:after="0"/>
        <w:tabs>
          <w:tab w:leader="none" w:pos="1344" w:val="left"/>
        </w:tabs>
        <w:numPr>
          <w:ilvl w:val="2"/>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Proceeding</w:t>
      </w:r>
      <w:r>
        <w:rPr>
          <w:rFonts w:ascii="Times New Roman" w:cs="Times New Roman" w:eastAsia="Times New Roman" w:hAnsi="Times New Roman"/>
          <w:sz w:val="18"/>
          <w:szCs w:val="18"/>
          <w:color w:val="auto"/>
        </w:rPr>
        <w:t>” is defined in Section 30 of the Plan.</w:t>
      </w:r>
    </w:p>
    <w:p>
      <w:pPr>
        <w:spacing w:after="0" w:line="225" w:lineRule="exact"/>
        <w:rPr>
          <w:rFonts w:ascii="Times New Roman" w:cs="Times New Roman" w:eastAsia="Times New Roman" w:hAnsi="Times New Roman"/>
          <w:sz w:val="18"/>
          <w:szCs w:val="18"/>
          <w:color w:val="auto"/>
        </w:rPr>
      </w:pPr>
    </w:p>
    <w:p>
      <w:pPr>
        <w:jc w:val="both"/>
        <w:ind w:left="4" w:right="480" w:firstLine="987"/>
        <w:spacing w:after="0" w:line="268" w:lineRule="auto"/>
        <w:tabs>
          <w:tab w:leader="none" w:pos="1260" w:val="left"/>
        </w:tabs>
        <w:numPr>
          <w:ilvl w:val="2"/>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 Period</w:t>
      </w:r>
      <w:r>
        <w:rPr>
          <w:rFonts w:ascii="Times New Roman" w:cs="Times New Roman" w:eastAsia="Times New Roman" w:hAnsi="Times New Roman"/>
          <w:sz w:val="18"/>
          <w:szCs w:val="18"/>
          <w:color w:val="auto"/>
        </w:rPr>
        <w:t>” means, unless changed by the Administrator, the approximately six (6) month period commencing after one Exercise Date and ending with the next Exercise Date. Unless otherwise determined by the Administrator, the Purchase Period will have the same duration and coincide with the length of the Offering Period.</w:t>
      </w:r>
    </w:p>
    <w:p>
      <w:pPr>
        <w:spacing w:after="0" w:line="170" w:lineRule="exact"/>
        <w:rPr>
          <w:rFonts w:ascii="Times New Roman" w:cs="Times New Roman" w:eastAsia="Times New Roman" w:hAnsi="Times New Roman"/>
          <w:sz w:val="18"/>
          <w:szCs w:val="18"/>
          <w:color w:val="auto"/>
        </w:rPr>
      </w:pPr>
    </w:p>
    <w:p>
      <w:pPr>
        <w:jc w:val="both"/>
        <w:ind w:left="4" w:right="140" w:firstLine="987"/>
        <w:spacing w:after="0" w:line="262" w:lineRule="auto"/>
        <w:tabs>
          <w:tab w:leader="none" w:pos="1260" w:val="left"/>
        </w:tabs>
        <w:numPr>
          <w:ilvl w:val="2"/>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color w:val="auto"/>
        </w:rPr>
        <w:t xml:space="preserve">” means an amount equal to eighty-five percent (85%) of the Fair Market Value of a share of Common Stock on the Enrollment Date or on the Exercise Date, whichever is lower;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Purchase Price may be determined for subsequent Offering Periods by the Administrator subject to compliance with Section 423 of the Code (or any successor rule or provision or any other Applicable Law, regulation or stock exchange rule) or pursuant to Section 20 of the Plan.</w:t>
      </w:r>
    </w:p>
    <w:p>
      <w:pPr>
        <w:spacing w:after="0" w:line="176"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2"/>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Section 424(f) of the Code.</w:t>
      </w:r>
    </w:p>
    <w:p>
      <w:pPr>
        <w:spacing w:after="0" w:line="22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2"/>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 day on which the national stock exchange upon which the Common Stock is listed is open for trading.</w:t>
      </w:r>
    </w:p>
    <w:p>
      <w:pPr>
        <w:spacing w:after="0" w:line="225" w:lineRule="exact"/>
        <w:rPr>
          <w:rFonts w:ascii="Times New Roman" w:cs="Times New Roman" w:eastAsia="Times New Roman" w:hAnsi="Times New Roman"/>
          <w:sz w:val="18"/>
          <w:szCs w:val="18"/>
          <w:color w:val="auto"/>
        </w:rPr>
      </w:pPr>
    </w:p>
    <w:p>
      <w:pPr>
        <w:jc w:val="both"/>
        <w:ind w:left="4" w:right="100" w:firstLine="987"/>
        <w:spacing w:after="0" w:line="268" w:lineRule="auto"/>
        <w:tabs>
          <w:tab w:leader="none" w:pos="1440" w:val="left"/>
        </w:tabs>
        <w:numPr>
          <w:ilvl w:val="2"/>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U.S. Treasury Regulations</w:t>
      </w:r>
      <w:r>
        <w:rPr>
          <w:rFonts w:ascii="Times New Roman" w:cs="Times New Roman" w:eastAsia="Times New Roman" w:hAnsi="Times New Roman"/>
          <w:sz w:val="18"/>
          <w:szCs w:val="18"/>
          <w:color w:val="auto"/>
        </w:rPr>
        <w:t>” means the Treasury regulations of the Code. References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spacing w:after="0" w:line="170"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229" w:lineRule="exact"/>
        <w:rPr>
          <w:rFonts w:ascii="Times New Roman" w:cs="Times New Roman" w:eastAsia="Times New Roman" w:hAnsi="Times New Roman"/>
          <w:sz w:val="18"/>
          <w:szCs w:val="18"/>
          <w:b w:val="1"/>
          <w:bCs w:val="1"/>
          <w:color w:val="auto"/>
        </w:rPr>
      </w:pPr>
    </w:p>
    <w:p>
      <w:pPr>
        <w:ind w:left="4" w:right="80" w:firstLine="987"/>
        <w:spacing w:after="0" w:line="282" w:lineRule="auto"/>
        <w:tabs>
          <w:tab w:leader="none" w:pos="1240" w:val="left"/>
        </w:tabs>
        <w:numPr>
          <w:ilvl w:val="2"/>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Offering Period</w:t>
      </w:r>
      <w:r>
        <w:rPr>
          <w:rFonts w:ascii="Times New Roman" w:cs="Times New Roman" w:eastAsia="Times New Roman" w:hAnsi="Times New Roman"/>
          <w:sz w:val="18"/>
          <w:szCs w:val="18"/>
          <w:color w:val="auto"/>
        </w:rPr>
        <w:t>. Any individual who is an Eligible Employee immediately prior to the first Offering Period will be automatically enrolled in the first Offering Period, subject to the provisions of Section 5 of the Plan.</w:t>
      </w:r>
    </w:p>
    <w:p>
      <w:pPr>
        <w:spacing w:after="0" w:line="161"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50" w:val="left"/>
        </w:tabs>
        <w:numPr>
          <w:ilvl w:val="2"/>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Offering Periods</w:t>
      </w:r>
      <w:r>
        <w:rPr>
          <w:rFonts w:ascii="Times New Roman" w:cs="Times New Roman" w:eastAsia="Times New Roman" w:hAnsi="Times New Roman"/>
          <w:sz w:val="18"/>
          <w:szCs w:val="18"/>
          <w:color w:val="auto"/>
        </w:rPr>
        <w:t>. Any Eligible Employee on a given Enrollment Date following the first Offering Period will be eligible to participate in the Plan, subject to the requirements of Section 5 of the Plan.</w:t>
      </w:r>
    </w:p>
    <w:p>
      <w:pPr>
        <w:spacing w:after="0" w:line="161" w:lineRule="exact"/>
        <w:rPr>
          <w:rFonts w:ascii="Times New Roman" w:cs="Times New Roman" w:eastAsia="Times New Roman" w:hAnsi="Times New Roman"/>
          <w:sz w:val="18"/>
          <w:szCs w:val="18"/>
          <w:color w:val="auto"/>
        </w:rPr>
      </w:pPr>
    </w:p>
    <w:p>
      <w:pPr>
        <w:ind w:left="4" w:right="80" w:firstLine="987"/>
        <w:spacing w:after="0" w:line="256" w:lineRule="auto"/>
        <w:tabs>
          <w:tab w:leader="none" w:pos="1240" w:val="left"/>
        </w:tabs>
        <w:numPr>
          <w:ilvl w:val="2"/>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Non-U.S. Employees</w:t>
      </w:r>
      <w:r>
        <w:rPr>
          <w:rFonts w:ascii="Times New Roman" w:cs="Times New Roman" w:eastAsia="Times New Roman" w:hAnsi="Times New Roman"/>
          <w:sz w:val="18"/>
          <w:szCs w:val="18"/>
          <w:color w:val="auto"/>
        </w:rPr>
        <w:t>.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 In the case of the Non-423 Component, an Eligible Employee may be excluded from participation in the Plan or an Offering if the Administrator has determined that participation of such Eligible Employee is not advisable or practicable.</w:t>
      </w:r>
    </w:p>
    <w:p>
      <w:pPr>
        <w:spacing w:after="0" w:line="18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4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Limitations</w:t>
      </w:r>
      <w:r>
        <w:rPr>
          <w:rFonts w:ascii="Times New Roman" w:cs="Times New Roman" w:eastAsia="Times New Roman" w:hAnsi="Times New Roman"/>
          <w:sz w:val="17"/>
          <w:szCs w:val="17"/>
          <w:color w:val="auto"/>
        </w:rPr>
        <w:t>. Any provisions of the Plan to the contrary notwithstanding, no Eligible Employee will be granted an option under the Plan</w:t>
      </w:r>
    </w:p>
    <w:p>
      <w:pPr>
        <w:spacing w:after="0" w:line="38" w:lineRule="exact"/>
        <w:rPr>
          <w:rFonts w:ascii="Times New Roman" w:cs="Times New Roman" w:eastAsia="Times New Roman" w:hAnsi="Times New Roman"/>
          <w:sz w:val="17"/>
          <w:szCs w:val="17"/>
          <w:color w:val="auto"/>
        </w:rPr>
      </w:pPr>
    </w:p>
    <w:p>
      <w:pPr>
        <w:ind w:left="4" w:right="20" w:hanging="4"/>
        <w:spacing w:after="0" w:line="253" w:lineRule="auto"/>
        <w:tabs>
          <w:tab w:leader="none" w:pos="219"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66" w:right="479" w:bottom="1440" w:gutter="0" w:footer="0" w:header="0"/>
        </w:sectPr>
      </w:pPr>
    </w:p>
    <w:bookmarkStart w:id="432" w:name="page433"/>
    <w:bookmarkEnd w:id="432"/>
    <w:p>
      <w:pPr>
        <w:ind w:left="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or any Parent or Subsidiary of the Company accrues at a rate that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172" w:lineRule="exact"/>
        <w:rPr>
          <w:sz w:val="20"/>
          <w:szCs w:val="20"/>
          <w:color w:val="auto"/>
        </w:rPr>
      </w:pPr>
    </w:p>
    <w:p>
      <w:pPr>
        <w:ind w:left="624" w:hanging="184"/>
        <w:spacing w:after="0"/>
        <w:tabs>
          <w:tab w:leader="none" w:pos="624" w:val="left"/>
        </w:tabs>
        <w:numPr>
          <w:ilvl w:val="1"/>
          <w:numId w:val="4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Periods.</w:t>
      </w:r>
    </w:p>
    <w:p>
      <w:pPr>
        <w:spacing w:after="0" w:line="229" w:lineRule="exact"/>
        <w:rPr>
          <w:rFonts w:ascii="Times New Roman" w:cs="Times New Roman" w:eastAsia="Times New Roman" w:hAnsi="Times New Roman"/>
          <w:sz w:val="18"/>
          <w:szCs w:val="18"/>
          <w:b w:val="1"/>
          <w:bCs w:val="1"/>
          <w:color w:val="auto"/>
        </w:rPr>
      </w:pPr>
    </w:p>
    <w:p>
      <w:pPr>
        <w:ind w:left="4" w:right="40" w:firstLine="987"/>
        <w:spacing w:after="0" w:line="282" w:lineRule="auto"/>
        <w:tabs>
          <w:tab w:leader="none" w:pos="1240" w:val="left"/>
        </w:tabs>
        <w:numPr>
          <w:ilvl w:val="2"/>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Frequency and Duration</w:t>
      </w:r>
      <w:r>
        <w:rPr>
          <w:rFonts w:ascii="Times New Roman" w:cs="Times New Roman" w:eastAsia="Times New Roman" w:hAnsi="Times New Roman"/>
          <w:sz w:val="18"/>
          <w:szCs w:val="18"/>
          <w:color w:val="auto"/>
        </w:rPr>
        <w:t>. The Administrator may establish Offering Periods of such frequency and duration as it may from time to time determine as appropriate.</w:t>
      </w:r>
    </w:p>
    <w:p>
      <w:pPr>
        <w:spacing w:after="0" w:line="161"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250" w:val="left"/>
        </w:tabs>
        <w:numPr>
          <w:ilvl w:val="2"/>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Offering Period</w:t>
      </w:r>
      <w:r>
        <w:rPr>
          <w:rFonts w:ascii="Times New Roman" w:cs="Times New Roman" w:eastAsia="Times New Roman" w:hAnsi="Times New Roman"/>
          <w:sz w:val="18"/>
          <w:szCs w:val="18"/>
          <w:color w:val="auto"/>
        </w:rPr>
        <w:t>. The first Offering Period under the Plan shall commence on the date determined by the Administrator and shall end on the last Trading Day on or immediately preceding the earlier to occur of June 30 or December 31 of the year in which the first Offering Period commences.</w:t>
      </w:r>
    </w:p>
    <w:p>
      <w:pPr>
        <w:spacing w:after="0" w:line="175" w:lineRule="exact"/>
        <w:rPr>
          <w:rFonts w:ascii="Times New Roman" w:cs="Times New Roman" w:eastAsia="Times New Roman" w:hAnsi="Times New Roman"/>
          <w:sz w:val="18"/>
          <w:szCs w:val="18"/>
          <w:color w:val="auto"/>
        </w:rPr>
      </w:pPr>
    </w:p>
    <w:p>
      <w:pPr>
        <w:jc w:val="both"/>
        <w:ind w:left="4" w:right="200" w:firstLine="987"/>
        <w:spacing w:after="0" w:line="266" w:lineRule="auto"/>
        <w:tabs>
          <w:tab w:leader="none" w:pos="1240" w:val="left"/>
        </w:tabs>
        <w:numPr>
          <w:ilvl w:val="2"/>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Successive Offering Periods</w:t>
      </w:r>
      <w:r>
        <w:rPr>
          <w:rFonts w:ascii="Times New Roman" w:cs="Times New Roman" w:eastAsia="Times New Roman" w:hAnsi="Times New Roman"/>
          <w:sz w:val="18"/>
          <w:szCs w:val="18"/>
          <w:color w:val="auto"/>
        </w:rPr>
        <w:t>. Unless the Administrator determines otherwise, following the completion of the first Offering Period, a new Offering Period shall commence on the first Trading Day on or following January 1 and July 1 of each calendar year and end on or following the last Trading Day on or immediately preceding June 30 and December 31, respectively, approximately six (6) months later.</w:t>
      </w:r>
    </w:p>
    <w:p>
      <w:pPr>
        <w:spacing w:after="0" w:line="175"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2"/>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Offering Periods</w:t>
      </w:r>
      <w:r>
        <w:rPr>
          <w:rFonts w:ascii="Times New Roman" w:cs="Times New Roman" w:eastAsia="Times New Roman" w:hAnsi="Times New Roman"/>
          <w:sz w:val="18"/>
          <w:szCs w:val="18"/>
          <w:color w:val="auto"/>
        </w:rPr>
        <w:t>. At the discretion of the Administrator, additional Offering Periods may be conducted under the Plan. Such additional Offering Periods may, but need not, qualify under Section 423 of the Code. The Administrator shall determine the commencement and duration of each additional Offering Period, and additional Offering Periods may be consecutive or overlapping. The other terms and conditions of each additional Offering Period shall be those set forth in the Plan document, with such changes or additional features as the Administrator determines necessary to comply with Section 423 of the Code (or any successor rule or provision or any other Applicable Law, regulation or stock exchange rule). The Administrator shall have the power to change the duration of Offering Periods (including the commencement dates thereof) with respect to future Offerings without stockholder approval.</w:t>
      </w:r>
    </w:p>
    <w:p>
      <w:pPr>
        <w:spacing w:after="0" w:line="18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Period Limit</w:t>
      </w:r>
      <w:r>
        <w:rPr>
          <w:rFonts w:ascii="Times New Roman" w:cs="Times New Roman" w:eastAsia="Times New Roman" w:hAnsi="Times New Roman"/>
          <w:sz w:val="18"/>
          <w:szCs w:val="18"/>
          <w:color w:val="auto"/>
        </w:rPr>
        <w:t>. No Offering Period may last more than twenty-seven (27) months.</w:t>
      </w:r>
    </w:p>
    <w:p>
      <w:pPr>
        <w:spacing w:after="0" w:line="225"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2"/>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Offering Period</w:t>
      </w:r>
      <w:r>
        <w:rPr>
          <w:rFonts w:ascii="Times New Roman" w:cs="Times New Roman" w:eastAsia="Times New Roman" w:hAnsi="Times New Roman"/>
          <w:sz w:val="18"/>
          <w:szCs w:val="18"/>
          <w:color w:val="auto"/>
        </w:rPr>
        <w:t>. For purposes of calculating the Purchase Price, the applicable Offering Period shall be determined as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 Once a Participant is enrolled in the Plan for an Offering Period, such Offering Period shall continue to apply to him or her until the earliest of</w:t>
      </w:r>
    </w:p>
    <w:p>
      <w:pPr>
        <w:spacing w:after="0" w:line="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such Offering Period, or (y) the end of his or her participation under Section 10 of the Plan.</w:t>
      </w:r>
    </w:p>
    <w:p>
      <w:pPr>
        <w:spacing w:after="0" w:line="202"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4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Participation.</w:t>
      </w:r>
    </w:p>
    <w:p>
      <w:pPr>
        <w:spacing w:after="0" w:line="229"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2"/>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Offering Period</w:t>
      </w:r>
      <w:r>
        <w:rPr>
          <w:rFonts w:ascii="Times New Roman" w:cs="Times New Roman" w:eastAsia="Times New Roman" w:hAnsi="Times New Roman"/>
          <w:sz w:val="18"/>
          <w:szCs w:val="18"/>
          <w:color w:val="auto"/>
        </w:rPr>
        <w:t>. An Eligible Employee will be entitled to continue to participate in the first Offering Period pursuant to</w:t>
      </w:r>
    </w:p>
    <w:p>
      <w:pPr>
        <w:spacing w:after="0" w:line="27" w:lineRule="exact"/>
        <w:rPr>
          <w:sz w:val="20"/>
          <w:szCs w:val="20"/>
          <w:color w:val="auto"/>
        </w:rPr>
      </w:pPr>
    </w:p>
    <w:p>
      <w:pPr>
        <w:ind w:left="4" w:right="20"/>
        <w:spacing w:after="0" w:line="250" w:lineRule="auto"/>
        <w:rPr>
          <w:sz w:val="20"/>
          <w:szCs w:val="20"/>
          <w:color w:val="auto"/>
        </w:rPr>
      </w:pPr>
      <w:r>
        <w:rPr>
          <w:rFonts w:ascii="Times New Roman" w:cs="Times New Roman" w:eastAsia="Times New Roman" w:hAnsi="Times New Roman"/>
          <w:sz w:val="18"/>
          <w:szCs w:val="18"/>
          <w:color w:val="auto"/>
        </w:rPr>
        <w:t xml:space="preserve">Section 3(a) of the Plan only if such individual submits a subscription agreement authorizing Contributions in a form determined by the Administrator (which may be similar to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 the Company’s designated third-party broker/plan administrator (i) no earlier than the effective date of the Form S-8 registration statement that registers the offer and sale of Common Stock under the Plan and (ii) no later than ten</w:t>
      </w:r>
    </w:p>
    <w:p>
      <w:pPr>
        <w:spacing w:after="0" w:line="1" w:lineRule="exact"/>
        <w:rPr>
          <w:sz w:val="20"/>
          <w:szCs w:val="20"/>
          <w:color w:val="auto"/>
        </w:rPr>
      </w:pPr>
    </w:p>
    <w:p>
      <w:pPr>
        <w:ind w:left="4" w:right="180" w:hanging="4"/>
        <w:spacing w:after="0" w:line="260" w:lineRule="auto"/>
        <w:tabs>
          <w:tab w:leader="none" w:pos="349"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effective date of such S-8 registration statement or such other period of time as the Administrator may determine (the “</w:t>
      </w:r>
      <w:r>
        <w:rPr>
          <w:rFonts w:ascii="Times New Roman" w:cs="Times New Roman" w:eastAsia="Times New Roman" w:hAnsi="Times New Roman"/>
          <w:sz w:val="18"/>
          <w:szCs w:val="18"/>
          <w:b w:val="1"/>
          <w:bCs w:val="1"/>
          <w:u w:val="single" w:color="auto"/>
          <w:color w:val="auto"/>
        </w:rPr>
        <w:t>Enrollment Window</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50"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Offering Periods</w:t>
      </w:r>
      <w:r>
        <w:rPr>
          <w:rFonts w:ascii="Times New Roman" w:cs="Times New Roman" w:eastAsia="Times New Roman" w:hAnsi="Times New Roman"/>
          <w:sz w:val="18"/>
          <w:szCs w:val="18"/>
          <w:color w:val="auto"/>
        </w:rPr>
        <w:t>. Once an Eligible Employee begins participation in an Offering Period, then such Eligible Employee will automatically participate in each subsequent Offering</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433" w:name="page434"/>
    <w:bookmarkEnd w:id="433"/>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Period unless the Eligible Employee withdraws or is deemed to withdraw from this Plan or terminates further participation in an Offering Period as set forth in Section 10 below. An Eligible Employee who is continuing participation pursuant to the immediately preceding sentence is not required to file any additional subscription agreement in order to continue participation in this Plan; during each subsequent Offering Period an Eligible Employee who is not continuing participation pursuant to the immediately preceding sentence is required to file a subscription agreement prior to the commencement of the Offering Period (or such earlier date as the Administrator may determine) to which such agreement relates in order to participate in such Offering Period.</w:t>
      </w:r>
    </w:p>
    <w:p>
      <w:pPr>
        <w:spacing w:after="0" w:line="183" w:lineRule="exact"/>
        <w:rPr>
          <w:sz w:val="20"/>
          <w:szCs w:val="20"/>
          <w:color w:val="auto"/>
        </w:rPr>
      </w:pPr>
    </w:p>
    <w:p>
      <w:pPr>
        <w:ind w:left="620" w:hanging="184"/>
        <w:spacing w:after="0"/>
        <w:tabs>
          <w:tab w:leader="none" w:pos="620" w:val="left"/>
        </w:tabs>
        <w:numPr>
          <w:ilvl w:val="0"/>
          <w:numId w:val="4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Contributions.</w:t>
      </w:r>
    </w:p>
    <w:p>
      <w:pPr>
        <w:spacing w:after="0" w:line="229" w:lineRule="exact"/>
        <w:rPr>
          <w:rFonts w:ascii="Times New Roman" w:cs="Times New Roman" w:eastAsia="Times New Roman" w:hAnsi="Times New Roman"/>
          <w:sz w:val="18"/>
          <w:szCs w:val="18"/>
          <w:b w:val="1"/>
          <w:bCs w:val="1"/>
          <w:color w:val="auto"/>
        </w:rPr>
      </w:pPr>
    </w:p>
    <w:p>
      <w:pPr>
        <w:ind w:right="120" w:firstLine="987"/>
        <w:spacing w:after="0" w:line="254" w:lineRule="auto"/>
        <w:tabs>
          <w:tab w:leader="none" w:pos="1236"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a Participant enrolls in the Plan pursuant to Section 5 of the Plan,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(for illustrative purposes, should a pay day occur on an Exercise Date, a Participant will have any payroll deductions made on such day applied to his or her account under the then-current Purchase Period or Offering Period).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10 hereof.</w:t>
      </w:r>
    </w:p>
    <w:p>
      <w:pPr>
        <w:spacing w:after="0" w:line="191" w:lineRule="exact"/>
        <w:rPr>
          <w:rFonts w:ascii="Times New Roman" w:cs="Times New Roman" w:eastAsia="Times New Roman" w:hAnsi="Times New Roman"/>
          <w:sz w:val="18"/>
          <w:szCs w:val="18"/>
          <w:color w:val="auto"/>
        </w:rPr>
      </w:pPr>
    </w:p>
    <w:p>
      <w:pPr>
        <w:jc w:val="both"/>
        <w:ind w:firstLine="987"/>
        <w:spacing w:after="0" w:line="261" w:lineRule="auto"/>
        <w:tabs>
          <w:tab w:leader="none" w:pos="1246"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Contributions are made in the form of payroll deductions, such payroll deductions for a Participant will commence on the first day of the payroll cycle following the Enrollment Date and will end on the last pay day prior to the Exercise Date of such Offering Period to which such authorization is applicable, unless sooner terminated by the Participant as provided in Section 10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the first Offering Period, payroll deductions will commence on the first day of the payroll cycle following the end of the Enrollment Window.</w:t>
      </w:r>
    </w:p>
    <w:p>
      <w:pPr>
        <w:spacing w:after="0" w:line="179" w:lineRule="exact"/>
        <w:rPr>
          <w:rFonts w:ascii="Times New Roman" w:cs="Times New Roman" w:eastAsia="Times New Roman" w:hAnsi="Times New Roman"/>
          <w:sz w:val="18"/>
          <w:szCs w:val="18"/>
          <w:color w:val="auto"/>
        </w:rPr>
      </w:pPr>
    </w:p>
    <w:p>
      <w:pPr>
        <w:ind w:right="80" w:firstLine="987"/>
        <w:spacing w:after="0" w:line="282" w:lineRule="auto"/>
        <w:tabs>
          <w:tab w:leader="none" w:pos="1236"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Contributions made for a Participant will be credited to his or her account under the Plan, and Contributions will be made in whole percentages of Compensation only. A Participant may not make any additional payments into such account.</w:t>
      </w:r>
    </w:p>
    <w:p>
      <w:pPr>
        <w:spacing w:after="0" w:line="161"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discontinue his or her participation in the Plan as provided in Section 10 of the Plan. If permitted by the Administrator, as determined in its sole discretion, a Participant may, on a single occasion, reduce his or her rate of contribution during an on-going Offering Period by filing with the Company’s designated third-party broker/plan administrator a new authorization for payroll deductions, with the new rate to become effective as soon as reasonably practicable and continuing for the remainder of the Offering Period.</w:t>
      </w:r>
    </w:p>
    <w:p>
      <w:pPr>
        <w:spacing w:after="0" w:line="179" w:lineRule="exact"/>
        <w:rPr>
          <w:rFonts w:ascii="Times New Roman" w:cs="Times New Roman" w:eastAsia="Times New Roman" w:hAnsi="Times New Roman"/>
          <w:sz w:val="18"/>
          <w:szCs w:val="18"/>
          <w:color w:val="auto"/>
        </w:rPr>
      </w:pPr>
    </w:p>
    <w:p>
      <w:pPr>
        <w:jc w:val="both"/>
        <w:ind w:right="240" w:firstLine="987"/>
        <w:spacing w:after="0" w:line="261" w:lineRule="auto"/>
        <w:tabs>
          <w:tab w:leader="none" w:pos="1236"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to comply with Section 423(b)(8) of the Code and Section 3(d) hereof, a Participant’s Contributions may be decreased to zero percent (0%) at any time during a Purchase Period. Subject to Section 423(b)(8) of the Code and Section 3(d) hereof, Contributions will recommence at the rate originally elected by the Participant effective as of the beginning of the first Purchase Period scheduled to end in the following calendar year, unless terminated by the Participant as provided in Section 10 of the Plan.</w:t>
      </w:r>
    </w:p>
    <w:p>
      <w:pPr>
        <w:spacing w:after="0" w:line="179" w:lineRule="exact"/>
        <w:rPr>
          <w:rFonts w:ascii="Times New Roman" w:cs="Times New Roman" w:eastAsia="Times New Roman" w:hAnsi="Times New Roman"/>
          <w:sz w:val="18"/>
          <w:szCs w:val="18"/>
          <w:color w:val="auto"/>
        </w:rPr>
      </w:pPr>
    </w:p>
    <w:p>
      <w:pPr>
        <w:ind w:right="160" w:firstLine="987"/>
        <w:spacing w:after="0" w:line="266" w:lineRule="auto"/>
        <w:tabs>
          <w:tab w:leader="none" w:pos="1216"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to the contrary in the Plan, the Administrator may allow Eligible Employees to participate in the Plan via cash contributions instead of payroll deductions if (i) payroll deductions are not permitted under applicable local law, (ii) the Administrator determines that cash contributions are permissible under Section 423 of the Code or (iii) for Participants participating in the Non-423 Component.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34" w:name="page435"/>
    <w:bookmarkEnd w:id="434"/>
    <w:p>
      <w:pPr>
        <w:ind w:left="-20" w:right="60" w:firstLine="987"/>
        <w:spacing w:after="0" w:line="253" w:lineRule="auto"/>
        <w:tabs>
          <w:tab w:leader="none" w:pos="1226"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the time the option is exercised, in whole or in part, or at the time some or all of the Common Stock issued under the Plan is disposed of (or any other time that a taxable event related to the Plan occurs), the Participant must make adequate provision for the Company’s or the Employer’s federal, state, local or any other tax liability payable to any authority including taxes imposed by jurisdictions outside of the U.S., national insurance, social security or other tax withholding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1.423-2(f).</w:t>
      </w:r>
    </w:p>
    <w:p>
      <w:pPr>
        <w:spacing w:after="0" w:line="190" w:lineRule="exact"/>
        <w:rPr>
          <w:rFonts w:ascii="Times New Roman" w:cs="Times New Roman" w:eastAsia="Times New Roman" w:hAnsi="Times New Roman"/>
          <w:sz w:val="18"/>
          <w:szCs w:val="18"/>
          <w:color w:val="auto"/>
        </w:rPr>
      </w:pPr>
    </w:p>
    <w:p>
      <w:pPr>
        <w:ind w:left="-20" w:right="20" w:firstLine="436"/>
        <w:spacing w:after="0" w:line="253" w:lineRule="auto"/>
        <w:tabs>
          <w:tab w:leader="none" w:pos="600" w:val="left"/>
        </w:tabs>
        <w:numPr>
          <w:ilvl w:val="0"/>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 of Option. </w:t>
      </w:r>
      <w:r>
        <w:rPr>
          <w:rFonts w:ascii="Times New Roman" w:cs="Times New Roman" w:eastAsia="Times New Roman" w:hAnsi="Times New Roman"/>
          <w:sz w:val="18"/>
          <w:szCs w:val="18"/>
          <w:color w:val="auto"/>
        </w:rPr>
        <w:t>On the Enrollment Date of an applicable Offering Period, each Eligible Employee participating in such Offering Period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will an Eligible Employee be permitted to purchase during each Purchase Period more than 1,500 shares of Common Stock and, during any one year period, more than 3,000 shares of Common Stock, subject, in each case, to any adjustment pursuant to Section 19 of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such purchase will be subject to the limitations set forth in Sections 3(d) and 13 of the Plan. The Eligible Employee may accept the grant of such option (i) with respect to the first Offering Period by submitting a properly completed subscription agreement in accordance with the requirements of Section 5 of the Plan on or before the last day of the Enrollment Window, and (ii) with respect to any subsequent Offering Period under the Plan, by continuing to (or electing to, as applicable) participate in the Plan in accordance with the requirements of Section 5 of the Plan. The Administrator may, for future Offering Periods, increase or decrease, in its absolute discretion, the maximum number of shares of Common Stock that an Eligible Employee may purchase during each Purchase Period of an Offering Period or during any one-year period. Exercise of the option will occur as provided in Section 8, unless the Participant has withdrawn pursuant to Section 10 of the Plan. To the extent not otherwise exercised in full, the option will expire on the last day of the Offering Period.</w:t>
      </w:r>
    </w:p>
    <w:p>
      <w:pPr>
        <w:spacing w:after="0" w:line="187" w:lineRule="exact"/>
        <w:rPr>
          <w:rFonts w:ascii="Times New Roman" w:cs="Times New Roman" w:eastAsia="Times New Roman" w:hAnsi="Times New Roman"/>
          <w:sz w:val="18"/>
          <w:szCs w:val="18"/>
          <w:b w:val="1"/>
          <w:bCs w:val="1"/>
          <w:color w:val="auto"/>
        </w:rPr>
      </w:pPr>
    </w:p>
    <w:p>
      <w:pPr>
        <w:ind w:left="600" w:hanging="184"/>
        <w:spacing w:after="0"/>
        <w:tabs>
          <w:tab w:leader="none" w:pos="600" w:val="left"/>
        </w:tabs>
        <w:numPr>
          <w:ilvl w:val="0"/>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Option.</w:t>
      </w:r>
    </w:p>
    <w:p>
      <w:pPr>
        <w:spacing w:after="0" w:line="229" w:lineRule="exact"/>
        <w:rPr>
          <w:rFonts w:ascii="Times New Roman" w:cs="Times New Roman" w:eastAsia="Times New Roman" w:hAnsi="Times New Roman"/>
          <w:sz w:val="18"/>
          <w:szCs w:val="18"/>
          <w:b w:val="1"/>
          <w:bCs w:val="1"/>
          <w:color w:val="auto"/>
        </w:rPr>
      </w:pPr>
    </w:p>
    <w:p>
      <w:pPr>
        <w:ind w:left="-20" w:firstLine="987"/>
        <w:spacing w:after="0" w:line="254" w:lineRule="auto"/>
        <w:tabs>
          <w:tab w:leader="none" w:pos="1216"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Participant withdraws from the Plan as provided in Section 10 of the Plan,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subject to earlier withdrawal by the Participant. Any other funds left over in a Participant’s account after the Exercise Date will also be retained in the Participant’s account for the subsequent Purchase Period or Offering Period, subject to earlier withdrawal by the Participant. During a Participant’s lifetime, a Participant’s option to purchase shares hereunder is exercisable only by him or her.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60" w:top="270" w:right="459" w:bottom="1440" w:gutter="0" w:footer="0" w:header="0"/>
        </w:sectPr>
      </w:pPr>
    </w:p>
    <w:bookmarkStart w:id="435" w:name="page436"/>
    <w:bookmarkEnd w:id="435"/>
    <w:p>
      <w:pPr>
        <w:ind w:right="20" w:firstLine="987"/>
        <w:spacing w:after="0" w:line="253" w:lineRule="auto"/>
        <w:tabs>
          <w:tab w:leader="none" w:pos="1246"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20 of the Plan. The Company may make a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w:t>
      </w:r>
    </w:p>
    <w:p>
      <w:pPr>
        <w:spacing w:after="0" w:line="185" w:lineRule="exact"/>
        <w:rPr>
          <w:rFonts w:ascii="Times New Roman" w:cs="Times New Roman" w:eastAsia="Times New Roman" w:hAnsi="Times New Roman"/>
          <w:sz w:val="18"/>
          <w:szCs w:val="18"/>
          <w:color w:val="auto"/>
        </w:rPr>
      </w:pPr>
    </w:p>
    <w:p>
      <w:pPr>
        <w:ind w:right="20" w:firstLine="436"/>
        <w:spacing w:after="0" w:line="255" w:lineRule="auto"/>
        <w:tabs>
          <w:tab w:leader="none" w:pos="620"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Delivery. </w:t>
      </w:r>
      <w:r>
        <w:rPr>
          <w:rFonts w:ascii="Times New Roman" w:cs="Times New Roman" w:eastAsia="Times New Roman" w:hAnsi="Times New Roman"/>
          <w:sz w:val="18"/>
          <w:szCs w:val="18"/>
          <w:color w:val="auto"/>
        </w:rPr>
        <w:t>As soon as reasonably practicable after each Exercise Date on which a purchase of shares of Common Stock occurs,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184"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Withdrawal.</w:t>
      </w:r>
    </w:p>
    <w:p>
      <w:pPr>
        <w:spacing w:after="0" w:line="229" w:lineRule="exact"/>
        <w:rPr>
          <w:rFonts w:ascii="Times New Roman" w:cs="Times New Roman" w:eastAsia="Times New Roman" w:hAnsi="Times New Roman"/>
          <w:sz w:val="18"/>
          <w:szCs w:val="18"/>
          <w:b w:val="1"/>
          <w:bCs w:val="1"/>
          <w:color w:val="auto"/>
        </w:rPr>
      </w:pPr>
    </w:p>
    <w:p>
      <w:pPr>
        <w:ind w:firstLine="987"/>
        <w:spacing w:after="0" w:line="270" w:lineRule="auto"/>
        <w:tabs>
          <w:tab w:leader="none" w:pos="1236" w:val="left"/>
        </w:tabs>
        <w:numPr>
          <w:ilvl w:val="1"/>
          <w:numId w:val="4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Participant may withdraw all but not less than all the Contributions credited to his or her account and not yet used to exercise his or her option under the Plan at any time prior to the last thirty (30) days of the applicable Offering Period by (i) submitting to the Company’s stock administration office (or its designee) a written notice of withdrawal in the form determined by the Administrator for such purpose (which may be similar to the form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or (ii) following an electronic or other withdrawal procedure determined by the Administrator;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 Participant may not withdraw during any blackout period applicable to such Participant. All of the Participant’s Contributions credited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his or her account will be paid to such Participant promptly and as soon as administratively feasible after receipt of notice of withdrawal by the Company’s stock administration office (or its designee)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by submitting a subscription agreement to the Company’s designated third-party broker/plan administrator prior to the commencement of such succeeding Offering Period.</w:t>
      </w:r>
    </w:p>
    <w:p>
      <w:pPr>
        <w:spacing w:after="0" w:line="176" w:lineRule="exact"/>
        <w:rPr>
          <w:rFonts w:ascii="Times New Roman" w:cs="Times New Roman" w:eastAsia="Times New Roman" w:hAnsi="Times New Roman"/>
          <w:sz w:val="17"/>
          <w:szCs w:val="17"/>
          <w:color w:val="auto"/>
        </w:rPr>
      </w:pPr>
    </w:p>
    <w:p>
      <w:pPr>
        <w:jc w:val="both"/>
        <w:ind w:right="20" w:firstLine="987"/>
        <w:spacing w:after="0" w:line="266" w:lineRule="auto"/>
        <w:tabs>
          <w:tab w:leader="none" w:pos="1246"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436" w:name="page437"/>
    <w:bookmarkEnd w:id="436"/>
    <w:p>
      <w:pPr>
        <w:ind w:left="-20" w:right="60" w:firstLine="436"/>
        <w:spacing w:after="0" w:line="254" w:lineRule="auto"/>
        <w:tabs>
          <w:tab w:leader="none" w:pos="680" w:val="left"/>
        </w:tabs>
        <w:numPr>
          <w:ilvl w:val="0"/>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Termination of Employment. </w:t>
      </w:r>
      <w:r>
        <w:rPr>
          <w:rFonts w:ascii="Times New Roman" w:cs="Times New Roman" w:eastAsia="Times New Roman" w:hAnsi="Times New Roman"/>
          <w:sz w:val="18"/>
          <w:szCs w:val="18"/>
          <w:color w:val="auto"/>
        </w:rPr>
        <w:t>Upon a Participant’s ceasing to be an Eligible Employee, for any reason, he or she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15 of the Plan, and such Participant’s option will be automatically terminated. Unless determined otherwise by the Administrator in a manner that, with respect to an Offering under the 423 Component, is permitted by, and compliant with, Section 423 of the Code, a Participant whose employment transfers between entities through a termination with an immediate rehire (with no break in service) by the Company or a Designated Company shall not be treated as terminated under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Participant shall be deemed to switch from an Offering under the Non-423 Component to an Offering under the 423 Component or vice versa unless (and then only to the extent) such switch would not cause the 423 Component or any Option thereunder to fail to comply with Section 423 of the Code.</w:t>
      </w:r>
    </w:p>
    <w:p>
      <w:pPr>
        <w:spacing w:after="0" w:line="188" w:lineRule="exact"/>
        <w:rPr>
          <w:rFonts w:ascii="Times New Roman" w:cs="Times New Roman" w:eastAsia="Times New Roman" w:hAnsi="Times New Roman"/>
          <w:sz w:val="18"/>
          <w:szCs w:val="18"/>
          <w:b w:val="1"/>
          <w:bCs w:val="1"/>
          <w:color w:val="auto"/>
        </w:rPr>
      </w:pPr>
    </w:p>
    <w:p>
      <w:pPr>
        <w:ind w:left="-20" w:firstLine="436"/>
        <w:spacing w:after="0" w:line="268" w:lineRule="auto"/>
        <w:tabs>
          <w:tab w:leader="none" w:pos="690" w:val="left"/>
        </w:tabs>
        <w:numPr>
          <w:ilvl w:val="0"/>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 </w:t>
      </w:r>
      <w:r>
        <w:rPr>
          <w:rFonts w:ascii="Times New Roman" w:cs="Times New Roman" w:eastAsia="Times New Roman" w:hAnsi="Times New Roman"/>
          <w:sz w:val="18"/>
          <w:szCs w:val="18"/>
          <w:color w:val="auto"/>
        </w:rPr>
        <w:t>No interest will accrue on the Contributions of a participant in the Plan, except as may be required by Applicable Law, as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Company, and if so required by the laws of a particular jurisdiction, shall, with respect to Offerings under the 423 Component, apply to all Participants in the relevant Offering, except to the extent otherwise permitted by U.S. Treasury Regulation Section 1.423-2(f).</w:t>
      </w:r>
    </w:p>
    <w:p>
      <w:pPr>
        <w:spacing w:after="0" w:line="170" w:lineRule="exact"/>
        <w:rPr>
          <w:rFonts w:ascii="Times New Roman" w:cs="Times New Roman" w:eastAsia="Times New Roman" w:hAnsi="Times New Roman"/>
          <w:sz w:val="18"/>
          <w:szCs w:val="18"/>
          <w:b w:val="1"/>
          <w:bCs w:val="1"/>
          <w:color w:val="auto"/>
        </w:rPr>
      </w:pPr>
    </w:p>
    <w:p>
      <w:pPr>
        <w:ind w:left="680" w:hanging="264"/>
        <w:spacing w:after="0"/>
        <w:tabs>
          <w:tab w:leader="none" w:pos="680" w:val="left"/>
        </w:tabs>
        <w:numPr>
          <w:ilvl w:val="0"/>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w:t>
      </w:r>
    </w:p>
    <w:p>
      <w:pPr>
        <w:spacing w:after="0" w:line="229" w:lineRule="exact"/>
        <w:rPr>
          <w:rFonts w:ascii="Times New Roman" w:cs="Times New Roman" w:eastAsia="Times New Roman" w:hAnsi="Times New Roman"/>
          <w:sz w:val="18"/>
          <w:szCs w:val="18"/>
          <w:b w:val="1"/>
          <w:bCs w:val="1"/>
          <w:color w:val="auto"/>
        </w:rPr>
      </w:pPr>
    </w:p>
    <w:p>
      <w:pPr>
        <w:ind w:left="-20" w:right="20" w:firstLine="987"/>
        <w:spacing w:after="0" w:line="258" w:lineRule="auto"/>
        <w:tabs>
          <w:tab w:leader="none" w:pos="1216"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upon changes in capitalization of the Company as provided in Section 19 hereof, the aggregate number of shares of Common Stock available for the issuance of shares pursuant to the Plan shall be no more than 1,000,000 shares, which number shall be automatically increased on the first day of each fiscal year following the fiscal year in which the Effective Date falls in an amount equal to the least of (x) 1,000,000 shares of Common Stock, (y) 2% of the total number of all classes of the Company’s common stock outstanding on the last day of the immediately preceding fiscal year and (z) a lower number of shares of Common Stock as determined by the Board.</w:t>
      </w:r>
    </w:p>
    <w:p>
      <w:pPr>
        <w:spacing w:after="0" w:line="183" w:lineRule="exact"/>
        <w:rPr>
          <w:rFonts w:ascii="Times New Roman" w:cs="Times New Roman" w:eastAsia="Times New Roman" w:hAnsi="Times New Roman"/>
          <w:sz w:val="18"/>
          <w:szCs w:val="18"/>
          <w:color w:val="auto"/>
        </w:rPr>
      </w:pPr>
    </w:p>
    <w:p>
      <w:pPr>
        <w:ind w:left="-20" w:right="240" w:firstLine="987"/>
        <w:spacing w:after="0" w:line="266" w:lineRule="auto"/>
        <w:tabs>
          <w:tab w:leader="none" w:pos="1226"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shares of Common Stock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w:t>
      </w:r>
    </w:p>
    <w:p>
      <w:pPr>
        <w:spacing w:after="0" w:line="175" w:lineRule="exact"/>
        <w:rPr>
          <w:rFonts w:ascii="Times New Roman" w:cs="Times New Roman" w:eastAsia="Times New Roman" w:hAnsi="Times New Roman"/>
          <w:sz w:val="18"/>
          <w:szCs w:val="18"/>
          <w:color w:val="auto"/>
        </w:rPr>
      </w:pPr>
    </w:p>
    <w:p>
      <w:pPr>
        <w:ind w:left="-20" w:right="20" w:firstLine="987"/>
        <w:spacing w:after="0" w:line="282" w:lineRule="auto"/>
        <w:tabs>
          <w:tab w:leader="none" w:pos="1216"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delivered to a Participant under the Plan will be registered in the name of the Participant or in the name of the Participant and his or her spouse.</w:t>
      </w:r>
    </w:p>
    <w:p>
      <w:pPr>
        <w:spacing w:after="0" w:line="157" w:lineRule="exact"/>
        <w:rPr>
          <w:rFonts w:ascii="Times New Roman" w:cs="Times New Roman" w:eastAsia="Times New Roman" w:hAnsi="Times New Roman"/>
          <w:sz w:val="18"/>
          <w:szCs w:val="18"/>
          <w:color w:val="auto"/>
        </w:rPr>
      </w:pPr>
    </w:p>
    <w:p>
      <w:pPr>
        <w:ind w:left="-20" w:firstLine="436"/>
        <w:spacing w:after="0" w:line="254" w:lineRule="auto"/>
        <w:tabs>
          <w:tab w:leader="none" w:pos="690" w:val="left"/>
        </w:tabs>
        <w:numPr>
          <w:ilvl w:val="0"/>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w:t>
      </w:r>
      <w:r>
        <w:rPr>
          <w:rFonts w:ascii="Times New Roman" w:cs="Times New Roman" w:eastAsia="Times New Roman" w:hAnsi="Times New Roman"/>
          <w:sz w:val="18"/>
          <w:szCs w:val="18"/>
          <w:color w:val="auto"/>
        </w:rPr>
        <w:t>The Plan will be administered by the Board or a Committee appointed by the Board, which Committee will be constituted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comply with Applicable Laws. The Administrator will have full and exclusive discretionary authority to construe, interpret and apply the terms of the Plan, to designate separate Offerings under the Plan, to designate Subsidiaries and Affiliates as participating in the 423 Component or Non-423 Component, to determine eligibility, to adjudicate all disputed claims filed under the Plan and to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U.S., the terms of which sub-plans may take precedence over other provisions of the Plan, with the exception of Section 13(a) hereof, but unless otherwise superseded by the terms of such sub-plan, the provisions of the Plan shall govern the operation of such sub-plan). Unless otherwise determined by the Administrator, the employees eligible to participate in each sub-plan will participate in a separate Offering and will be in the Non-423 Component, unless such designation would cause the 423 Component to violate the requirements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60" w:top="266" w:right="479" w:bottom="1440" w:gutter="0" w:footer="0" w:header="0"/>
        </w:sectPr>
      </w:pPr>
    </w:p>
    <w:bookmarkStart w:id="437" w:name="page438"/>
    <w:bookmarkEnd w:id="43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Section 423 of the Code.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88" w:lineRule="exact"/>
        <w:rPr>
          <w:sz w:val="20"/>
          <w:szCs w:val="20"/>
          <w:color w:val="auto"/>
        </w:rPr>
      </w:pPr>
    </w:p>
    <w:p>
      <w:pPr>
        <w:ind w:left="700" w:hanging="264"/>
        <w:spacing w:after="0"/>
        <w:tabs>
          <w:tab w:leader="none" w:pos="700"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Designation of Beneficiary.</w:t>
      </w:r>
    </w:p>
    <w:p>
      <w:pPr>
        <w:spacing w:after="0" w:line="229" w:lineRule="exact"/>
        <w:rPr>
          <w:rFonts w:ascii="Times New Roman" w:cs="Times New Roman" w:eastAsia="Times New Roman" w:hAnsi="Times New Roman"/>
          <w:sz w:val="18"/>
          <w:szCs w:val="18"/>
          <w:b w:val="1"/>
          <w:bCs w:val="1"/>
          <w:color w:val="auto"/>
        </w:rPr>
      </w:pPr>
    </w:p>
    <w:p>
      <w:pPr>
        <w:ind w:right="20" w:firstLine="987"/>
        <w:spacing w:after="0" w:line="256" w:lineRule="auto"/>
        <w:tabs>
          <w:tab w:leader="none" w:pos="1236"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permitted by the Administrator, a Participant may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spacing w:after="0" w:line="187" w:lineRule="exact"/>
        <w:rPr>
          <w:rFonts w:ascii="Times New Roman" w:cs="Times New Roman" w:eastAsia="Times New Roman" w:hAnsi="Times New Roman"/>
          <w:sz w:val="18"/>
          <w:szCs w:val="18"/>
          <w:color w:val="auto"/>
        </w:rPr>
      </w:pPr>
    </w:p>
    <w:p>
      <w:pPr>
        <w:ind w:right="60" w:firstLine="987"/>
        <w:spacing w:after="0" w:line="256" w:lineRule="auto"/>
        <w:tabs>
          <w:tab w:leader="none" w:pos="1246"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designation of beneficiary may be changed by the Participant at any time by notice to the Company’s stock administration office (or its designee)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87" w:lineRule="exact"/>
        <w:rPr>
          <w:rFonts w:ascii="Times New Roman" w:cs="Times New Roman" w:eastAsia="Times New Roman" w:hAnsi="Times New Roman"/>
          <w:sz w:val="18"/>
          <w:szCs w:val="18"/>
          <w:color w:val="auto"/>
        </w:rPr>
      </w:pPr>
    </w:p>
    <w:p>
      <w:pPr>
        <w:ind w:right="120" w:firstLine="987"/>
        <w:spacing w:after="0" w:line="266" w:lineRule="auto"/>
        <w:tabs>
          <w:tab w:leader="none" w:pos="1236"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beneficiary designations will be in such form and manner as the Administrator may designate from time to time. Notwithstanding Sections 15(a) and (b) above, the Company and/or the Administrator may decide not to permit such designations by Participants in non-U.S. jurisdictions to the extent permitted by U.S. Treasury Regulation Section 1.423-2(f).</w:t>
      </w:r>
    </w:p>
    <w:p>
      <w:pPr>
        <w:spacing w:after="0" w:line="171" w:lineRule="exact"/>
        <w:rPr>
          <w:rFonts w:ascii="Times New Roman" w:cs="Times New Roman" w:eastAsia="Times New Roman" w:hAnsi="Times New Roman"/>
          <w:sz w:val="18"/>
          <w:szCs w:val="18"/>
          <w:color w:val="auto"/>
        </w:rPr>
      </w:pPr>
    </w:p>
    <w:p>
      <w:pPr>
        <w:ind w:right="100" w:firstLine="436"/>
        <w:spacing w:after="0" w:line="259" w:lineRule="auto"/>
        <w:tabs>
          <w:tab w:leader="none" w:pos="710"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Neither Contributions credited to a Participant’s account nor any rights with regard to the exercise of an option or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under the Plan may be assigned, transferred, pledged or otherwise disposed of in any way (other than by will, the laws of descent and distribution or as provided in Section 15 hereof)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179" w:lineRule="exact"/>
        <w:rPr>
          <w:rFonts w:ascii="Times New Roman" w:cs="Times New Roman" w:eastAsia="Times New Roman" w:hAnsi="Times New Roman"/>
          <w:sz w:val="18"/>
          <w:szCs w:val="18"/>
          <w:b w:val="1"/>
          <w:bCs w:val="1"/>
          <w:color w:val="auto"/>
        </w:rPr>
      </w:pPr>
    </w:p>
    <w:p>
      <w:pPr>
        <w:ind w:firstLine="436"/>
        <w:spacing w:after="0" w:line="262" w:lineRule="auto"/>
        <w:tabs>
          <w:tab w:leader="none" w:pos="710"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Funds. </w:t>
      </w:r>
      <w:r>
        <w:rPr>
          <w:rFonts w:ascii="Times New Roman" w:cs="Times New Roman" w:eastAsia="Times New Roman" w:hAnsi="Times New Roman"/>
          <w:sz w:val="18"/>
          <w:szCs w:val="18"/>
          <w:color w:val="auto"/>
        </w:rPr>
        <w:t>The Company may use all Contributions received or held by it under the Plan for any corporate purpose, and the Company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sectPr>
      </w:pPr>
    </w:p>
    <w:bookmarkStart w:id="438" w:name="page439"/>
    <w:bookmarkEnd w:id="438"/>
    <w:p>
      <w:pPr>
        <w:ind w:left="-20" w:right="100" w:firstLine="436"/>
        <w:spacing w:after="0" w:line="268" w:lineRule="auto"/>
        <w:tabs>
          <w:tab w:leader="none" w:pos="690" w:val="left"/>
        </w:tabs>
        <w:numPr>
          <w:ilvl w:val="0"/>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Reports. </w:t>
      </w:r>
      <w:r>
        <w:rPr>
          <w:rFonts w:ascii="Times New Roman" w:cs="Times New Roman" w:eastAsia="Times New Roman" w:hAnsi="Times New Roman"/>
          <w:sz w:val="18"/>
          <w:szCs w:val="18"/>
          <w:color w:val="auto"/>
        </w:rPr>
        <w:t>Individual accounts will be maintained for each Participant in the Plan. Statements of account will be given to participating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at least annually, which statements will set forth the amounts of Contributions, the Purchase Price, the number of shares of Common Stock purchased and the remaining cash balance, if any.</w:t>
      </w:r>
    </w:p>
    <w:p>
      <w:pPr>
        <w:spacing w:after="0" w:line="170" w:lineRule="exact"/>
        <w:rPr>
          <w:rFonts w:ascii="Times New Roman" w:cs="Times New Roman" w:eastAsia="Times New Roman" w:hAnsi="Times New Roman"/>
          <w:sz w:val="18"/>
          <w:szCs w:val="18"/>
          <w:b w:val="1"/>
          <w:bCs w:val="1"/>
          <w:color w:val="auto"/>
        </w:rPr>
      </w:pPr>
    </w:p>
    <w:p>
      <w:pPr>
        <w:ind w:left="680" w:hanging="264"/>
        <w:spacing w:after="0"/>
        <w:tabs>
          <w:tab w:leader="none" w:pos="680" w:val="left"/>
        </w:tabs>
        <w:numPr>
          <w:ilvl w:val="0"/>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Dissolution, Liquidation, Merger or Change in Control.</w:t>
      </w:r>
    </w:p>
    <w:p>
      <w:pPr>
        <w:spacing w:after="0" w:line="229" w:lineRule="exact"/>
        <w:rPr>
          <w:rFonts w:ascii="Times New Roman" w:cs="Times New Roman" w:eastAsia="Times New Roman" w:hAnsi="Times New Roman"/>
          <w:sz w:val="18"/>
          <w:szCs w:val="18"/>
          <w:b w:val="1"/>
          <w:bCs w:val="1"/>
          <w:color w:val="auto"/>
        </w:rPr>
      </w:pPr>
    </w:p>
    <w:p>
      <w:pPr>
        <w:ind w:left="-20" w:right="20" w:firstLine="987"/>
        <w:spacing w:after="0" w:line="254" w:lineRule="auto"/>
        <w:tabs>
          <w:tab w:leader="none" w:pos="1216"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subdivision or consolidation of outstanding shares of Common Stock, declaration of a dividend payable in shares of Common Stock or other stock split, other recapitalization or capital reorganization of the Company, any consolidation or merger of the Company with another corporation or entity, the adoption by the Company of any plan of exchange affecting the Common Stock or any distribution to holders of Common Stock of securities or property (other than normal cash dividends or dividends payable in Common Stock),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Sections 7 and 13 of the Plan.</w:t>
      </w:r>
    </w:p>
    <w:p>
      <w:pPr>
        <w:spacing w:after="0" w:line="191" w:lineRule="exact"/>
        <w:rPr>
          <w:rFonts w:ascii="Times New Roman" w:cs="Times New Roman" w:eastAsia="Times New Roman" w:hAnsi="Times New Roman"/>
          <w:sz w:val="18"/>
          <w:szCs w:val="18"/>
          <w:color w:val="auto"/>
        </w:rPr>
      </w:pPr>
    </w:p>
    <w:p>
      <w:pPr>
        <w:ind w:left="-20" w:right="180" w:firstLine="987"/>
        <w:spacing w:after="0" w:line="255" w:lineRule="auto"/>
        <w:tabs>
          <w:tab w:leader="none" w:pos="1226"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Company’s stock administration office (or its designee)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88" w:lineRule="exact"/>
        <w:rPr>
          <w:rFonts w:ascii="Times New Roman" w:cs="Times New Roman" w:eastAsia="Times New Roman" w:hAnsi="Times New Roman"/>
          <w:sz w:val="18"/>
          <w:szCs w:val="18"/>
          <w:color w:val="auto"/>
        </w:rPr>
      </w:pPr>
    </w:p>
    <w:p>
      <w:pPr>
        <w:ind w:left="-20" w:right="20" w:firstLine="987"/>
        <w:spacing w:after="0" w:line="273" w:lineRule="auto"/>
        <w:tabs>
          <w:tab w:leader="none" w:pos="1216" w:val="left"/>
        </w:tabs>
        <w:numPr>
          <w:ilvl w:val="1"/>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Merger or Change in Control</w:t>
      </w:r>
      <w:r>
        <w:rPr>
          <w:rFonts w:ascii="Times New Roman" w:cs="Times New Roman" w:eastAsia="Times New Roman" w:hAnsi="Times New Roman"/>
          <w:sz w:val="17"/>
          <w:szCs w:val="17"/>
          <w:color w:val="auto"/>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or Change in Control. The Company’s stock administration office (or its designee)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67" w:lineRule="exact"/>
        <w:rPr>
          <w:rFonts w:ascii="Times New Roman" w:cs="Times New Roman" w:eastAsia="Times New Roman" w:hAnsi="Times New Roman"/>
          <w:sz w:val="17"/>
          <w:szCs w:val="17"/>
          <w:color w:val="auto"/>
        </w:rPr>
      </w:pPr>
    </w:p>
    <w:p>
      <w:pPr>
        <w:ind w:left="680" w:hanging="264"/>
        <w:spacing w:after="0"/>
        <w:tabs>
          <w:tab w:leader="none" w:pos="680" w:val="left"/>
        </w:tabs>
        <w:numPr>
          <w:ilvl w:val="0"/>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or Termination.</w:t>
      </w:r>
    </w:p>
    <w:p>
      <w:pPr>
        <w:spacing w:after="0" w:line="229" w:lineRule="exact"/>
        <w:rPr>
          <w:rFonts w:ascii="Times New Roman" w:cs="Times New Roman" w:eastAsia="Times New Roman" w:hAnsi="Times New Roman"/>
          <w:sz w:val="18"/>
          <w:szCs w:val="18"/>
          <w:b w:val="1"/>
          <w:bCs w:val="1"/>
          <w:color w:val="auto"/>
        </w:rPr>
      </w:pPr>
    </w:p>
    <w:p>
      <w:pPr>
        <w:ind w:left="-20" w:firstLine="987"/>
        <w:spacing w:after="0" w:line="255" w:lineRule="auto"/>
        <w:tabs>
          <w:tab w:leader="none" w:pos="1216"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the Administrator, in its sole discretion, may amend, suspend, or terminate the Plan, or any part thereof, at any time and for any reason. If the Plan is terminated, the Board or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19 hereof).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12 hereof) as soon as administratively practicable.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60" w:top="266" w:right="479" w:bottom="1440" w:gutter="0" w:footer="0" w:header="0"/>
        </w:sectPr>
      </w:pPr>
    </w:p>
    <w:bookmarkStart w:id="439" w:name="page440"/>
    <w:bookmarkEnd w:id="439"/>
    <w:p>
      <w:pPr>
        <w:ind w:right="20" w:firstLine="987"/>
        <w:spacing w:after="0" w:line="255" w:lineRule="auto"/>
        <w:tabs>
          <w:tab w:leader="none" w:pos="1246"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stockholder consent and without limiting Section 20(a) hereof,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88" w:lineRule="exact"/>
        <w:rPr>
          <w:rFonts w:ascii="Times New Roman" w:cs="Times New Roman" w:eastAsia="Times New Roman" w:hAnsi="Times New Roman"/>
          <w:sz w:val="18"/>
          <w:szCs w:val="18"/>
          <w:color w:val="auto"/>
        </w:rPr>
      </w:pPr>
    </w:p>
    <w:p>
      <w:pPr>
        <w:jc w:val="both"/>
        <w:ind w:right="560" w:firstLine="987"/>
        <w:spacing w:after="0" w:line="266" w:lineRule="auto"/>
        <w:tabs>
          <w:tab w:leader="none" w:pos="1236"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75" w:lineRule="exact"/>
        <w:rPr>
          <w:rFonts w:ascii="Times New Roman" w:cs="Times New Roman" w:eastAsia="Times New Roman" w:hAnsi="Times New Roman"/>
          <w:sz w:val="18"/>
          <w:szCs w:val="18"/>
          <w:color w:val="auto"/>
        </w:rPr>
      </w:pPr>
    </w:p>
    <w:p>
      <w:pPr>
        <w:ind w:right="520" w:firstLine="1428"/>
        <w:spacing w:after="0" w:line="282" w:lineRule="auto"/>
        <w:tabs>
          <w:tab w:leader="none" w:pos="1647"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61" w:lineRule="exact"/>
        <w:rPr>
          <w:rFonts w:ascii="Times New Roman" w:cs="Times New Roman" w:eastAsia="Times New Roman" w:hAnsi="Times New Roman"/>
          <w:sz w:val="18"/>
          <w:szCs w:val="18"/>
          <w:color w:val="auto"/>
        </w:rPr>
      </w:pPr>
    </w:p>
    <w:p>
      <w:pPr>
        <w:ind w:right="720" w:firstLine="1428"/>
        <w:spacing w:after="0" w:line="282" w:lineRule="auto"/>
        <w:tabs>
          <w:tab w:leader="none" w:pos="1697"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the Purchase Price for any Offering Period or Purchase Period including an Offering Period or Purchase Period underway at the time of the change in Purchase Price;</w:t>
      </w:r>
    </w:p>
    <w:p>
      <w:pPr>
        <w:spacing w:after="0" w:line="161" w:lineRule="exact"/>
        <w:rPr>
          <w:rFonts w:ascii="Times New Roman" w:cs="Times New Roman" w:eastAsia="Times New Roman" w:hAnsi="Times New Roman"/>
          <w:sz w:val="18"/>
          <w:szCs w:val="18"/>
          <w:color w:val="auto"/>
        </w:rPr>
      </w:pPr>
    </w:p>
    <w:p>
      <w:pPr>
        <w:ind w:right="260" w:firstLine="1428"/>
        <w:spacing w:after="0" w:line="282" w:lineRule="auto"/>
        <w:tabs>
          <w:tab w:leader="none" w:pos="1747"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shortening any Offering Period or Purchase Period by setting a New Exercise Date, including an Offering Period or Purchase Period underway at the time of the Administrator action;</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maximum percentage of Compensation a Participant may elect to set aside as Contributions; and</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maximum number of shares of Common Stock a Participant may purchase during any Offering Period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modifications or amendments will not require stockholder approval or the consent of any Plan Participants.</w:t>
      </w:r>
    </w:p>
    <w:p>
      <w:pPr>
        <w:spacing w:after="0" w:line="221" w:lineRule="exact"/>
        <w:rPr>
          <w:sz w:val="20"/>
          <w:szCs w:val="20"/>
          <w:color w:val="auto"/>
        </w:rPr>
      </w:pPr>
    </w:p>
    <w:p>
      <w:pPr>
        <w:ind w:right="20" w:firstLine="436"/>
        <w:spacing w:after="0" w:line="262" w:lineRule="auto"/>
        <w:tabs>
          <w:tab w:leader="none" w:pos="710" w:val="left"/>
        </w:tabs>
        <w:numPr>
          <w:ilvl w:val="0"/>
          <w:numId w:val="4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All notices or other communications by a Participant to the Company under or in connection with the Plan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duly given when received by the Company’s stock administration office (or its designee) in the form and manner specified by the Company’s stock administration office (or its designee)at the location, or by the Person, designated by the Company’s stock administration office (or its designee) for the receipt thereof.</w:t>
      </w:r>
    </w:p>
    <w:p>
      <w:pPr>
        <w:spacing w:after="0" w:line="176"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4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Upon Issuance of Shares.</w:t>
      </w:r>
    </w:p>
    <w:p>
      <w:pPr>
        <w:spacing w:after="0" w:line="229" w:lineRule="exact"/>
        <w:rPr>
          <w:rFonts w:ascii="Times New Roman" w:cs="Times New Roman" w:eastAsia="Times New Roman" w:hAnsi="Times New Roman"/>
          <w:sz w:val="18"/>
          <w:szCs w:val="18"/>
          <w:b w:val="1"/>
          <w:bCs w:val="1"/>
          <w:color w:val="auto"/>
        </w:rPr>
      </w:pPr>
    </w:p>
    <w:p>
      <w:pPr>
        <w:ind w:firstLine="987"/>
        <w:spacing w:after="0" w:line="261" w:lineRule="auto"/>
        <w:tabs>
          <w:tab w:leader="none" w:pos="1236"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will not be issued with respect to an option unless the exercise of such option and the issuance and delivery of such shares pursuant thereto will comply with all applicable provisions of law, domestic or foreign, including, without limitation, the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440" w:name="page441"/>
    <w:bookmarkEnd w:id="440"/>
    <w:p>
      <w:pPr>
        <w:jc w:val="both"/>
        <w:ind w:right="20" w:firstLine="1428"/>
        <w:spacing w:after="0" w:line="266" w:lineRule="auto"/>
        <w:tabs>
          <w:tab w:leader="none" w:pos="1687"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71" w:lineRule="exact"/>
        <w:rPr>
          <w:rFonts w:ascii="Times New Roman" w:cs="Times New Roman" w:eastAsia="Times New Roman" w:hAnsi="Times New Roman"/>
          <w:sz w:val="18"/>
          <w:szCs w:val="18"/>
          <w:color w:val="auto"/>
        </w:rPr>
      </w:pPr>
    </w:p>
    <w:p>
      <w:pPr>
        <w:ind w:right="120" w:firstLine="436"/>
        <w:spacing w:after="0" w:line="259" w:lineRule="auto"/>
        <w:tabs>
          <w:tab w:leader="none" w:pos="710" w:val="left"/>
        </w:tabs>
        <w:numPr>
          <w:ilvl w:val="0"/>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Data Protection. </w:t>
      </w:r>
      <w:r>
        <w:rPr>
          <w:rFonts w:ascii="Times New Roman" w:cs="Times New Roman" w:eastAsia="Times New Roman" w:hAnsi="Times New Roman"/>
          <w:sz w:val="18"/>
          <w:szCs w:val="18"/>
          <w:color w:val="auto"/>
        </w:rPr>
        <w:t>By participating in the Plan or accepting any rights granted under it, each Participant consents to the collection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processing of personal data relating to the Participant so that the Company and its Affiliates can fulfill their obligations and exercise their rights under the Plan and generally administer and manage the Plan. This data will include, but may not be limited to, data about participation in the Plan and shares offered or received, purchased, or sold under the Plan from time to time and other appropriate financial and other data about the Participant and the Participant’s participation in the Plan.</w:t>
      </w:r>
    </w:p>
    <w:p>
      <w:pPr>
        <w:spacing w:after="0" w:line="179" w:lineRule="exact"/>
        <w:rPr>
          <w:rFonts w:ascii="Times New Roman" w:cs="Times New Roman" w:eastAsia="Times New Roman" w:hAnsi="Times New Roman"/>
          <w:sz w:val="18"/>
          <w:szCs w:val="18"/>
          <w:b w:val="1"/>
          <w:bCs w:val="1"/>
          <w:color w:val="auto"/>
        </w:rPr>
      </w:pPr>
    </w:p>
    <w:p>
      <w:pPr>
        <w:ind w:firstLine="436"/>
        <w:spacing w:after="0" w:line="254" w:lineRule="auto"/>
        <w:tabs>
          <w:tab w:leader="none" w:pos="710" w:val="left"/>
        </w:tabs>
        <w:numPr>
          <w:ilvl w:val="0"/>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Code Section 409A. </w:t>
      </w:r>
      <w:r>
        <w:rPr>
          <w:rFonts w:ascii="Times New Roman" w:cs="Times New Roman" w:eastAsia="Times New Roman" w:hAnsi="Times New Roman"/>
          <w:sz w:val="18"/>
          <w:szCs w:val="18"/>
          <w:color w:val="auto"/>
        </w:rPr>
        <w:t>The 423 Component of the Plan is exempt from the application of Code Section 409A and any ambiguities herein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interpreted to so be exempt from Code Section 409A. In furtherance of the foregoing and notwithstanding any provision in the Plan to the contrary, if the Administrator determines that an option granted under the Plan may be subject to Code Section 409A or that any provision in the Plan would cause an option under the Plan to be subject to Code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Code</w:t>
      </w:r>
    </w:p>
    <w:p>
      <w:pPr>
        <w:spacing w:after="0" w:line="3" w:lineRule="exact"/>
        <w:rPr>
          <w:rFonts w:ascii="Times New Roman" w:cs="Times New Roman" w:eastAsia="Times New Roman" w:hAnsi="Times New Roman"/>
          <w:sz w:val="18"/>
          <w:szCs w:val="18"/>
          <w:b w:val="1"/>
          <w:bCs w:val="1"/>
          <w:color w:val="auto"/>
        </w:rPr>
      </w:pPr>
    </w:p>
    <w:p>
      <w:pPr>
        <w:ind w:right="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409A, but only to the extent any such amendments or action by the Administrator would not violate Code Section 409A. Notwithstanding the foregoing, the Company shall have no liability to a Participant or any other party if the option to purchase Common Stock under the Plan that is intended to be exempt from or compliant with Code Section 409A is not so exempt or compliant or for any action taken by the Administrator with respect thereto. The Company makes no representation that the option to purchase Common Stock under the Plan is compliant with Code Section 409A.</w:t>
      </w:r>
    </w:p>
    <w:p>
      <w:pPr>
        <w:spacing w:after="0" w:line="184" w:lineRule="exact"/>
        <w:rPr>
          <w:rFonts w:ascii="Times New Roman" w:cs="Times New Roman" w:eastAsia="Times New Roman" w:hAnsi="Times New Roman"/>
          <w:sz w:val="18"/>
          <w:szCs w:val="18"/>
          <w:b w:val="1"/>
          <w:bCs w:val="1"/>
          <w:color w:val="auto"/>
        </w:rPr>
      </w:pPr>
    </w:p>
    <w:p>
      <w:pPr>
        <w:ind w:right="120" w:firstLine="436"/>
        <w:spacing w:after="0" w:line="286" w:lineRule="auto"/>
        <w:tabs>
          <w:tab w:leader="none" w:pos="710" w:val="left"/>
        </w:tabs>
        <w:numPr>
          <w:ilvl w:val="0"/>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of Plan. </w:t>
      </w:r>
      <w:r>
        <w:rPr>
          <w:rFonts w:ascii="Times New Roman" w:cs="Times New Roman" w:eastAsia="Times New Roman" w:hAnsi="Times New Roman"/>
          <w:sz w:val="18"/>
          <w:szCs w:val="18"/>
          <w:color w:val="auto"/>
        </w:rPr>
        <w:t>The Plan will become effective upon the earlier to occur of its adoption by the Board or its approval by the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It will continue in effect for a term of ten (10) years, unless sooner terminated under Section 20 of the Plan.</w:t>
      </w:r>
    </w:p>
    <w:p>
      <w:pPr>
        <w:spacing w:after="0" w:line="154" w:lineRule="exact"/>
        <w:rPr>
          <w:rFonts w:ascii="Times New Roman" w:cs="Times New Roman" w:eastAsia="Times New Roman" w:hAnsi="Times New Roman"/>
          <w:sz w:val="18"/>
          <w:szCs w:val="18"/>
          <w:b w:val="1"/>
          <w:bCs w:val="1"/>
          <w:color w:val="auto"/>
        </w:rPr>
      </w:pPr>
    </w:p>
    <w:p>
      <w:pPr>
        <w:ind w:right="140" w:firstLine="436"/>
        <w:spacing w:after="0" w:line="317" w:lineRule="auto"/>
        <w:tabs>
          <w:tab w:leader="none" w:pos="710" w:val="left"/>
        </w:tabs>
        <w:numPr>
          <w:ilvl w:val="0"/>
          <w:numId w:val="4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 Approval. </w:t>
      </w:r>
      <w:r>
        <w:rPr>
          <w:rFonts w:ascii="Times New Roman" w:cs="Times New Roman" w:eastAsia="Times New Roman" w:hAnsi="Times New Roman"/>
          <w:sz w:val="17"/>
          <w:szCs w:val="17"/>
          <w:color w:val="auto"/>
        </w:rPr>
        <w:t>The Plan will be subject to approval by the stockholders of the Company within twelve (12) months before or after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date the Plan is adopted by the Board. Such stockholder approval will be obtained in the manner and to the degree required under Applicable Laws.</w:t>
      </w:r>
    </w:p>
    <w:p>
      <w:pPr>
        <w:spacing w:after="0" w:line="131" w:lineRule="exact"/>
        <w:rPr>
          <w:rFonts w:ascii="Times New Roman" w:cs="Times New Roman" w:eastAsia="Times New Roman" w:hAnsi="Times New Roman"/>
          <w:sz w:val="17"/>
          <w:szCs w:val="17"/>
          <w:b w:val="1"/>
          <w:bCs w:val="1"/>
          <w:color w:val="auto"/>
        </w:rPr>
      </w:pPr>
    </w:p>
    <w:p>
      <w:pPr>
        <w:ind w:right="40" w:firstLine="436"/>
        <w:spacing w:after="0" w:line="286" w:lineRule="auto"/>
        <w:tabs>
          <w:tab w:leader="none" w:pos="710" w:val="left"/>
        </w:tabs>
        <w:numPr>
          <w:ilvl w:val="0"/>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The Plan shall be governed by, and construed in accordance with, the laws of the State of Delaware (except its choice-of-law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w:t>
      </w:r>
    </w:p>
    <w:p>
      <w:pPr>
        <w:spacing w:after="0" w:line="154" w:lineRule="exact"/>
        <w:rPr>
          <w:rFonts w:ascii="Times New Roman" w:cs="Times New Roman" w:eastAsia="Times New Roman" w:hAnsi="Times New Roman"/>
          <w:sz w:val="18"/>
          <w:szCs w:val="18"/>
          <w:b w:val="1"/>
          <w:bCs w:val="1"/>
          <w:color w:val="auto"/>
        </w:rPr>
      </w:pPr>
    </w:p>
    <w:p>
      <w:pPr>
        <w:ind w:right="40" w:firstLine="436"/>
        <w:spacing w:after="0" w:line="268" w:lineRule="auto"/>
        <w:tabs>
          <w:tab w:leader="none" w:pos="710" w:val="left"/>
        </w:tabs>
        <w:numPr>
          <w:ilvl w:val="0"/>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Right to Employment. </w:t>
      </w:r>
      <w:r>
        <w:rPr>
          <w:rFonts w:ascii="Times New Roman" w:cs="Times New Roman" w:eastAsia="Times New Roman" w:hAnsi="Times New Roman"/>
          <w:sz w:val="18"/>
          <w:szCs w:val="18"/>
          <w:color w:val="auto"/>
        </w:rPr>
        <w:t>Participation in the Plan by a Participant shall not be construed as giving a Participant the right to be retained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of the Company or a Subsidiary or Affiliate, as applicable. Furthermore, the Employer may dismiss a Participant from employment at any time, free from any liability or any claim under the Plan.</w:t>
      </w:r>
    </w:p>
    <w:p>
      <w:pPr>
        <w:spacing w:after="0" w:line="170" w:lineRule="exact"/>
        <w:rPr>
          <w:rFonts w:ascii="Times New Roman" w:cs="Times New Roman" w:eastAsia="Times New Roman" w:hAnsi="Times New Roman"/>
          <w:sz w:val="18"/>
          <w:szCs w:val="18"/>
          <w:b w:val="1"/>
          <w:bCs w:val="1"/>
          <w:color w:val="auto"/>
        </w:rPr>
      </w:pPr>
    </w:p>
    <w:p>
      <w:pPr>
        <w:ind w:right="120" w:firstLine="436"/>
        <w:spacing w:after="0" w:line="286" w:lineRule="auto"/>
        <w:tabs>
          <w:tab w:leader="none" w:pos="710" w:val="left"/>
        </w:tabs>
        <w:numPr>
          <w:ilvl w:val="0"/>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provision of the Plan is or becomes or is deemed to be invalid, illegal, or unenforceable for any reason in any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as to any Participant, such invalidity, illegality or</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441" w:name="page442"/>
    <w:bookmarkEnd w:id="44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unenforceability shall not affect the remaining parts of the Plan, and the Plan shall be construed and enforced as to such jurisdiction or Participant as if the invalid, illegal or unenforceable provision had not been included.</w:t>
      </w:r>
    </w:p>
    <w:p>
      <w:pPr>
        <w:spacing w:after="0" w:line="158" w:lineRule="exact"/>
        <w:rPr>
          <w:sz w:val="20"/>
          <w:szCs w:val="20"/>
          <w:color w:val="auto"/>
        </w:rPr>
      </w:pPr>
    </w:p>
    <w:p>
      <w:pPr>
        <w:ind w:right="720" w:firstLine="436"/>
        <w:spacing w:after="0" w:line="286" w:lineRule="auto"/>
        <w:tabs>
          <w:tab w:leader="none" w:pos="710" w:val="left"/>
        </w:tabs>
        <w:numPr>
          <w:ilvl w:val="0"/>
          <w:numId w:val="4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Applicable Laws. </w:t>
      </w:r>
      <w:r>
        <w:rPr>
          <w:rFonts w:ascii="Times New Roman" w:cs="Times New Roman" w:eastAsia="Times New Roman" w:hAnsi="Times New Roman"/>
          <w:sz w:val="18"/>
          <w:szCs w:val="18"/>
          <w:color w:val="auto"/>
        </w:rPr>
        <w:t>The terms of the Plan are intended to comply with all Applicable Laws and will be construed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accordingly.</w:t>
      </w:r>
    </w:p>
    <w:p>
      <w:pPr>
        <w:spacing w:after="0" w:line="154" w:lineRule="exact"/>
        <w:rPr>
          <w:rFonts w:ascii="Times New Roman" w:cs="Times New Roman" w:eastAsia="Times New Roman" w:hAnsi="Times New Roman"/>
          <w:sz w:val="18"/>
          <w:szCs w:val="18"/>
          <w:b w:val="1"/>
          <w:bCs w:val="1"/>
          <w:color w:val="auto"/>
        </w:rPr>
      </w:pPr>
    </w:p>
    <w:p>
      <w:pPr>
        <w:ind w:right="220" w:firstLine="436"/>
        <w:spacing w:after="0" w:line="259" w:lineRule="auto"/>
        <w:tabs>
          <w:tab w:leader="none" w:pos="710" w:val="left"/>
        </w:tabs>
        <w:numPr>
          <w:ilvl w:val="0"/>
          <w:numId w:val="4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Jurisdiction; Waiver of Jury Trial. </w:t>
      </w:r>
      <w:r>
        <w:rPr>
          <w:rFonts w:ascii="Times New Roman" w:cs="Times New Roman" w:eastAsia="Times New Roman" w:hAnsi="Times New Roman"/>
          <w:sz w:val="18"/>
          <w:szCs w:val="18"/>
          <w:color w:val="auto"/>
        </w:rPr>
        <w:t>The Plan shall be governed by and construed in accordance with the internal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applicable to contracts made and performed wholly within the State of Delaware, without giving effect to the conflict of laws provisions thereof. EACH PARTICIPANT IRREVOCABLY WAIVES ALL RIGHT TO A TRIAL BY JURY IN ANY SUIT, ACTION, OR OTHER PROCEEDING INSTITUTED BY OR AGAINST SUCH PARTICIPANT IN RESPECT OF THE PARTICIPANT’S RIGHTS OR OBLIGATIONS HEREUNDER.</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40"/>
          </w:cols>
          <w:pgMar w:left="440" w:top="270" w:right="619" w:bottom="1440" w:gutter="0" w:footer="0" w:header="0"/>
        </w:sectPr>
      </w:pPr>
    </w:p>
    <w:bookmarkStart w:id="442" w:name="page443"/>
    <w:bookmarkEnd w:id="44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Subscription Agreement</w:t>
      </w:r>
    </w:p>
    <w:p>
      <w:pPr>
        <w:sectPr>
          <w:pgSz w:w="11900" w:h="16838" w:orient="portrait"/>
          <w:cols w:equalWidth="0" w:num="1">
            <w:col w:w="9019"/>
          </w:cols>
          <w:pgMar w:left="1440" w:top="266" w:right="1440" w:bottom="1440" w:gutter="0" w:footer="0" w:header="0"/>
        </w:sectPr>
      </w:pPr>
    </w:p>
    <w:bookmarkStart w:id="443" w:name="page444"/>
    <w:bookmarkEnd w:id="44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Notice of Withdrawal</w:t>
      </w:r>
    </w:p>
    <w:p>
      <w:pPr>
        <w:sectPr>
          <w:pgSz w:w="11900" w:h="16838" w:orient="portrait"/>
          <w:cols w:equalWidth="0" w:num="1">
            <w:col w:w="9019"/>
          </w:cols>
          <w:pgMar w:left="1440" w:top="266" w:right="1440" w:bottom="1440" w:gutter="0" w:footer="0" w:header="0"/>
        </w:sectPr>
      </w:pPr>
    </w:p>
    <w:bookmarkStart w:id="444" w:name="page445"/>
    <w:bookmarkEnd w:id="444"/>
    <w:p>
      <w:pPr>
        <w:jc w:val="right"/>
        <w:spacing w:after="0"/>
        <w:rPr>
          <w:sz w:val="20"/>
          <w:szCs w:val="20"/>
          <w:color w:val="auto"/>
        </w:rPr>
      </w:pPr>
      <w:r>
        <w:rPr>
          <w:rFonts w:ascii="Times New Roman" w:cs="Times New Roman" w:eastAsia="Times New Roman" w:hAnsi="Times New Roman"/>
          <w:sz w:val="18"/>
          <w:szCs w:val="18"/>
          <w:b w:val="1"/>
          <w:bCs w:val="1"/>
          <w:color w:val="auto"/>
        </w:rPr>
        <w:t>Exhibit 10.35</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225" w:lineRule="exact"/>
        <w:rPr>
          <w:sz w:val="20"/>
          <w:szCs w:val="20"/>
          <w:color w:val="auto"/>
        </w:rPr>
      </w:pPr>
    </w:p>
    <w:tbl>
      <w:tblPr>
        <w:tblLayout w:type="fixed"/>
        <w:tblInd w:w="340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Dated as of</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2020</w:t>
            </w:r>
          </w:p>
        </w:tc>
      </w:tr>
    </w:tbl>
    <w:p>
      <w:pPr>
        <w:sectPr>
          <w:pgSz w:w="11900" w:h="16838" w:orient="portrait"/>
          <w:cols w:equalWidth="0" w:num="1">
            <w:col w:w="10020"/>
          </w:cols>
          <w:pgMar w:left="1440" w:top="117" w:right="439" w:bottom="1440" w:gutter="0" w:footer="0" w:header="0"/>
        </w:sectPr>
      </w:pPr>
    </w:p>
    <w:bookmarkStart w:id="445" w:name="page446"/>
    <w:bookmarkEnd w:id="4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1840" w:type="dxa"/>
            <w:vAlign w:val="bottom"/>
          </w:tcPr>
          <w:p>
            <w:pPr>
              <w:spacing w:after="0"/>
              <w:rPr>
                <w:sz w:val="20"/>
                <w:szCs w:val="20"/>
                <w:color w:val="auto"/>
              </w:rPr>
            </w:pPr>
          </w:p>
        </w:tc>
        <w:tc>
          <w:tcPr>
            <w:tcW w:w="6740" w:type="dxa"/>
            <w:vAlign w:val="bottom"/>
          </w:tcPr>
          <w:p>
            <w:pPr>
              <w:ind w:left="27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80" w:type="dxa"/>
            <w:vAlign w:val="bottom"/>
          </w:tcPr>
          <w:p>
            <w:pPr>
              <w:spacing w:after="0"/>
              <w:rPr>
                <w:sz w:val="20"/>
                <w:szCs w:val="20"/>
                <w:color w:val="auto"/>
              </w:rPr>
            </w:pPr>
          </w:p>
        </w:tc>
      </w:tr>
      <w:tr>
        <w:trPr>
          <w:trHeight w:val="408"/>
        </w:trPr>
        <w:tc>
          <w:tcPr>
            <w:tcW w:w="184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307"/>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674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Definitions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Corporate Governance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Committees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Consent Rights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Controlled Company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Permitted Disclosure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Article III Information</w:t>
            </w:r>
          </w:p>
        </w:tc>
        <w:tc>
          <w:tcPr>
            <w:tcW w:w="674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Books and Records; Access; Certain Reports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w w:val="99"/>
              </w:rPr>
              <w:t>Article IV Miscellaneous</w:t>
            </w:r>
          </w:p>
        </w:tc>
        <w:tc>
          <w:tcPr>
            <w:tcW w:w="674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Termination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Indemnification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Amendments and Waivers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Successors, Assigns and Transferees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4.5.</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Third Parties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4.6.</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Notices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4.7.</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Further Assurances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4.8.</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Entire Agreement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4.9.</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Restrictions on Other Agreements; Bylaws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4.10.</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Delays or Omissions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4.11.</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Governing Law; Jurisdiction; Waiver of Jury Trial</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4.12.</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Severability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4.13.</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Enforcement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4.14.</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Titles and Subtitles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4.15.</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No Recourse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4.16.</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Counterparts; Facsimile Signatures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4.17.</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Effectiveness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Assignment and Assumption Agreement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i -</w:t>
      </w:r>
    </w:p>
    <w:p>
      <w:pPr>
        <w:sectPr>
          <w:pgSz w:w="11900" w:h="16838" w:orient="portrait"/>
          <w:cols w:equalWidth="0" w:num="1">
            <w:col w:w="10960"/>
          </w:cols>
          <w:pgMar w:left="440" w:top="266" w:right="499" w:bottom="1440" w:gutter="0" w:footer="0" w:header="0"/>
        </w:sectPr>
      </w:pPr>
    </w:p>
    <w:bookmarkStart w:id="446" w:name="page447"/>
    <w:bookmarkEnd w:id="44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STOCKHOLDERS’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STOCKHOLDERS’ AGREEMENT (as the same may be amended from time to time in accordance with its terms,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w:t>
      </w:r>
    </w:p>
    <w:p>
      <w:pPr>
        <w:spacing w:after="0" w:line="27" w:lineRule="exact"/>
        <w:rPr>
          <w:sz w:val="20"/>
          <w:szCs w:val="20"/>
          <w:color w:val="auto"/>
        </w:rPr>
      </w:pPr>
    </w:p>
    <w:p>
      <w:pPr>
        <w:jc w:val="both"/>
        <w:ind w:right="740"/>
        <w:spacing w:after="0" w:line="260" w:lineRule="auto"/>
        <w:rPr>
          <w:sz w:val="20"/>
          <w:szCs w:val="20"/>
          <w:color w:val="auto"/>
        </w:rPr>
      </w:pPr>
      <w:r>
        <w:rPr>
          <w:rFonts w:ascii="Times New Roman" w:cs="Times New Roman" w:eastAsia="Times New Roman" w:hAnsi="Times New Roman"/>
          <w:sz w:val="18"/>
          <w:szCs w:val="18"/>
          <w:color w:val="auto"/>
        </w:rPr>
        <w:t>entered into as of , 2020, by and among Academy Sports and Outdoors,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stockholders of the Company whose name appears on the signature pages hereto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is currently contemplating an underwritten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of shares of its Common Stock (as defined below);</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WHEREAS, in connection with the IPO, each Stockholder that is a unitholder of New Academy Holding Company, LLC (“</w:t>
      </w:r>
      <w:r>
        <w:rPr>
          <w:rFonts w:ascii="Times New Roman" w:cs="Times New Roman" w:eastAsia="Times New Roman" w:hAnsi="Times New Roman"/>
          <w:sz w:val="18"/>
          <w:szCs w:val="18"/>
          <w:u w:val="single" w:color="auto"/>
          <w:color w:val="auto"/>
        </w:rPr>
        <w:t>NAHC</w:t>
      </w:r>
      <w:r>
        <w:rPr>
          <w:rFonts w:ascii="Times New Roman" w:cs="Times New Roman" w:eastAsia="Times New Roman" w:hAnsi="Times New Roman"/>
          <w:sz w:val="18"/>
          <w:szCs w:val="18"/>
          <w:color w:val="auto"/>
        </w:rPr>
        <w:t>”) will contribute its equity interests in NAHC to the Company in exchange for shares of Common Stock and NAHC will become a wholly owned subsidiary of the Company;</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WHEREAS, Section 4.8(a) of the Amended and Restated Limited Liability Company Agreement of NAHC (as amended, supplemented or modified from time to time, the “</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provides that the board of managers of NAHC (the “</w:t>
      </w:r>
      <w:r>
        <w:rPr>
          <w:rFonts w:ascii="Times New Roman" w:cs="Times New Roman" w:eastAsia="Times New Roman" w:hAnsi="Times New Roman"/>
          <w:sz w:val="18"/>
          <w:szCs w:val="18"/>
          <w:u w:val="single" w:color="auto"/>
          <w:color w:val="auto"/>
        </w:rPr>
        <w:t>NAHC Board</w:t>
      </w:r>
      <w:r>
        <w:rPr>
          <w:rFonts w:ascii="Times New Roman" w:cs="Times New Roman" w:eastAsia="Times New Roman" w:hAnsi="Times New Roman"/>
          <w:sz w:val="18"/>
          <w:szCs w:val="18"/>
          <w:color w:val="auto"/>
        </w:rPr>
        <w:t>”) may, without the need for any action or consent of any Person (as defined in the LLC Agreement), including any Members (as defined in the LLC Agreement), take any and all actions reasonably necessary or advisable to create and implement the IPO of the Company, subject to the requirements of Section 4.8 and Section 14.5 of the LLC Agreement;</w:t>
      </w:r>
    </w:p>
    <w:p>
      <w:pPr>
        <w:spacing w:after="0" w:line="183"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WHEREAS, the NAHC Board has determined that the IPO of the Company complies with the requirements of Section 4.8 and Section 14.5 of the LLC Agreement; and</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WHEREAS, in connection with, and effective upon, the date of completion of the IPO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parties hereto desire to enter into this Agreement to govern certain of their rights, duties and obligations with respect to their ownership of Common Stock after consummation of the IPO.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000"/>
          </w:cols>
          <w:pgMar w:left="440" w:top="266" w:right="459" w:bottom="1440" w:gutter="0" w:footer="0" w:header="0"/>
        </w:sectPr>
      </w:pPr>
    </w:p>
    <w:bookmarkStart w:id="447" w:name="page448"/>
    <w:bookmarkEnd w:id="447"/>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NOW, THEREFORE, in consideration of the mutual covenants contained herein and other good and valuable consideration, the receipt and sufficiency of which are hereby acknowledged, the parties to this Agreement hereby agree as follows: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herein shall have the following meanings:</w:t>
      </w:r>
    </w:p>
    <w:p>
      <w:pPr>
        <w:spacing w:after="0" w:line="117" w:lineRule="exact"/>
        <w:rPr>
          <w:sz w:val="20"/>
          <w:szCs w:val="20"/>
          <w:color w:val="auto"/>
        </w:rPr>
      </w:pPr>
    </w:p>
    <w:p>
      <w:pPr>
        <w:ind w:firstLine="991"/>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xml:space="preserve">” shall mean, (i) with respect to any Person (other than the KKR Investor), an “affiliate” as defined in Rule 405 of the regulations promulgated under the Securities Act, and (ii) with respect to the KKR Investor, an “affiliate” as defined in Rule 405 of the regulations promulgated under the Securities Act and any investment fund, vehicle or holding company of which the KKR Investor or an Affiliate of the KKR Investor serves as the general partner, managing member or discretionary manager or advisor;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notwithstanding the foregoing, except as used in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an Affiliate of the KKR Investor shall not include any Portfolio Company or other investment of any Person or the KKR Investor or any investment fund, vehicle or holding company or any investment fund, vehicle or holding company or any limited partners of the KKR Investor.</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xml:space="preserve">” shall have the meaning set forth in Rule 13d-3 under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Stockholder shall be deemed to beneficially own any securities of the Company held by any other Stockholder solely by virtue of the provisions of this Agreement (other than this definition which shall be deemed to be read for this purpose without the proviso 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that is not a Saturday, a Sunday or other day on which banks are required or authorized by Law to be closed in the City of New York.</w:t>
      </w:r>
    </w:p>
    <w:p>
      <w:pPr>
        <w:spacing w:after="0" w:line="162" w:lineRule="exact"/>
        <w:rPr>
          <w:sz w:val="20"/>
          <w:szCs w:val="20"/>
          <w:color w:val="auto"/>
        </w:rPr>
      </w:pPr>
    </w:p>
    <w:p>
      <w:pPr>
        <w:ind w:right="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Bylaws</w:t>
      </w:r>
      <w:r>
        <w:rPr>
          <w:rFonts w:ascii="Times New Roman" w:cs="Times New Roman" w:eastAsia="Times New Roman" w:hAnsi="Times New Roman"/>
          <w:sz w:val="17"/>
          <w:szCs w:val="17"/>
          <w:color w:val="auto"/>
        </w:rPr>
        <w:t>” shall mean the Amended and Restated Bylaws of the Company, as in effect on the date hereof and as the same may be amended, supplemented or otherwise modified from time to time in accordance with the terms thereof, the terms of the Charter and the terms of this Agreement.</w:t>
      </w:r>
    </w:p>
    <w:p>
      <w:pPr>
        <w:spacing w:after="0" w:line="140"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any transaction or series of related transactions (whether by merger, consolidation, recapitalization, liquidation or sale or transfer of Common Stock or assets (including equity securities of the Subsidiaries) or otherwise) as a result of which any Person or group, within the meaning of Section 13(d)(3) of the Exchange Act (other than (x) the KKR Investor and its Affiliates, any group of which the foregoing are members and any other members of such a group and (y) an employee benefit plan (or trust forming a part thereof) maintained by the Company or its controlled Affiliates), obtains ownership, directly or indirectly, of (i) Common Stock that represent more than 50% of the total voting power of the outstanding capital stock of the Company or applicable successor entity or (ii) all or substantially all of the assets of the Company and its Subsidiaries on a consolidated basis. For purposes of this definition, the term “Affiliates” shall include Portfolio Companies.</w:t>
      </w:r>
    </w:p>
    <w:p>
      <w:pPr>
        <w:spacing w:after="0" w:line="189" w:lineRule="exact"/>
        <w:rPr>
          <w:sz w:val="20"/>
          <w:szCs w:val="20"/>
          <w:color w:val="auto"/>
        </w:rPr>
      </w:pPr>
    </w:p>
    <w:p>
      <w:pPr>
        <w:jc w:val="both"/>
        <w:ind w:right="24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Charter</w:t>
      </w:r>
      <w:r>
        <w:rPr>
          <w:rFonts w:ascii="Times New Roman" w:cs="Times New Roman" w:eastAsia="Times New Roman" w:hAnsi="Times New Roman"/>
          <w:sz w:val="17"/>
          <w:szCs w:val="17"/>
          <w:color w:val="auto"/>
        </w:rPr>
        <w:t>” shall mean the Amended and Restated Certificate of Incorporation of the Company, as in effect on the date hereof and as the same may be amended, supplemented or otherwise modified from time to time in accordance with the terms thereof and the terms of this Agreement.</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have the meaning set forth in the Recitals.</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80"/>
          </w:cols>
          <w:pgMar w:left="440" w:top="270" w:right="479" w:bottom="1440" w:gutter="0" w:footer="0" w:header="0"/>
        </w:sectPr>
      </w:pPr>
    </w:p>
    <w:bookmarkStart w:id="448" w:name="page449"/>
    <w:bookmarkEnd w:id="448"/>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the common stock, par value $0.01 per share, of the Company and any securities issued in respect thereof, or in substitution therefor, in connection with any stock split, dividend or combination, or any reclassification, recapitalization, merger, consolidation, exchange or other similar reorganization.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with respect to the relationship between or among two or more Persons, shall mean the possession, directly or indirectly, of the power to direct or cause the direction of the affairs or management of a Person, whether through the ownership of voting securities, as trustee or executor, by contract or otherwise.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shall mean any member of the Board.</w:t>
      </w:r>
    </w:p>
    <w:p>
      <w:pPr>
        <w:spacing w:after="0" w:line="225" w:lineRule="exact"/>
        <w:rPr>
          <w:sz w:val="20"/>
          <w:szCs w:val="20"/>
          <w:color w:val="auto"/>
        </w:rPr>
      </w:pPr>
    </w:p>
    <w:p>
      <w:pPr>
        <w:ind w:right="6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Securities</w:t>
      </w:r>
      <w:r>
        <w:rPr>
          <w:rFonts w:ascii="Times New Roman" w:cs="Times New Roman" w:eastAsia="Times New Roman" w:hAnsi="Times New Roman"/>
          <w:sz w:val="17"/>
          <w:szCs w:val="17"/>
          <w:color w:val="auto"/>
        </w:rPr>
        <w:t>” shall mean any and all shares of (i) Common Stock, (ii) preferred stock of the Company, and (iii) any equity securities (including, without limitation, preferred stock) of the Company convertible into, or exchangeable or exercisable for, any of the foregoing shares, and options, warrants or other rights to acquire any of the foregoing shares or other securities. In the event any direct or indirect Subsidiary of the Company issues directly to any Stockholder any common stock of such Subsidiary or any equity securities of the type described in clauses (ii) and (iii), the term “Equity Securities” shall also include the common stock and equity securities of the type described in clauses (ii) and (iii) of such Subsidiary.</w:t>
      </w:r>
    </w:p>
    <w:p>
      <w:pPr>
        <w:spacing w:after="0" w:line="168" w:lineRule="exact"/>
        <w:rPr>
          <w:sz w:val="20"/>
          <w:szCs w:val="20"/>
          <w:color w:val="auto"/>
        </w:rPr>
      </w:pPr>
    </w:p>
    <w:p>
      <w:pPr>
        <w:ind w:right="9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from time to time, and the rules and regulations promulgated pursuant thereto.</w:t>
      </w:r>
    </w:p>
    <w:p>
      <w:pPr>
        <w:spacing w:after="0" w:line="162"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shall mean any: (i) nation, state, commonwealth, province, territory, county, municipality, district or other jurisdiction of any nature; (ii) U.S. and other federal, state, local, municipal, foreign or other government; or (iii) governmental or quasi-governmental authority of any nature (including any governmental division, department, agency, commission, instrumentality, official, organization, unit, body or entity and any court or other tribunal).</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KKR Designee(s)</w:t>
      </w:r>
      <w:r>
        <w:rPr>
          <w:rFonts w:ascii="Times New Roman" w:cs="Times New Roman" w:eastAsia="Times New Roman" w:hAnsi="Times New Roman"/>
          <w:sz w:val="18"/>
          <w:szCs w:val="18"/>
          <w:color w:val="auto"/>
        </w:rPr>
        <w:t xml:space="preserve">” shall mean any Director designated by the KKR Investor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KKR Investor</w:t>
      </w:r>
      <w:r>
        <w:rPr>
          <w:rFonts w:ascii="Times New Roman" w:cs="Times New Roman" w:eastAsia="Times New Roman" w:hAnsi="Times New Roman"/>
          <w:sz w:val="18"/>
          <w:szCs w:val="18"/>
          <w:color w:val="auto"/>
        </w:rPr>
        <w:t>” shall mean, collectively, Allstar LLC, Allstar Co-Invest Blocker L.P. and KKR 2006 Allstar Blocker L.P., and their Permitted Transferees.</w:t>
      </w:r>
    </w:p>
    <w:p>
      <w:pPr>
        <w:spacing w:after="0" w:line="162"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shall mean any applicable constitutional provision, statute, act, code, law, regulation, rule, ordinance, order, decree, ruling, proclamation, resolution, judgment, decision, declaration, or interpretative or advisory opinion or letter of a Governmental Authority.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0980"/>
          </w:cols>
          <w:pgMar w:left="440" w:top="270" w:right="479" w:bottom="1440" w:gutter="0" w:footer="0" w:header="0"/>
        </w:sectPr>
      </w:pPr>
    </w:p>
    <w:bookmarkStart w:id="449" w:name="page450"/>
    <w:bookmarkEnd w:id="44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NAHC Board</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shall mean, with respect to the KKR Investor, any Transferee that is an Affiliate of the KKR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Transferee shall agree in a writing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to be bound by and to comply with all applicable provisions of this Agreement.</w:t>
      </w:r>
    </w:p>
    <w:p>
      <w:pPr>
        <w:spacing w:after="0" w:line="176"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partnership, trust, joint stock company, business trust, unincorporated association, joint venture or other entity of any nature whatsoever.</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Company</w:t>
      </w:r>
      <w:r>
        <w:rPr>
          <w:rFonts w:ascii="Times New Roman" w:cs="Times New Roman" w:eastAsia="Times New Roman" w:hAnsi="Times New Roman"/>
          <w:sz w:val="18"/>
          <w:szCs w:val="18"/>
          <w:color w:val="auto"/>
        </w:rPr>
        <w:t>” shall mean, with respect to any Person, a “portfolio company” (as such term is customarily used among institutional investors), or any entity controlled by any “portfolio company”, of such Person or one of its Affiliates.</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shall mean the Amendment to the Registration Rights Agreement, dated as of , 2020, among the Company, New Academy Holding Company, LLC, the KKR Investor, and each of the other stockholders party thereto, as the same may be amended from time to time in accordance with its terms.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Repurchase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 from time to time, and the rules and regulations promulgated pursuant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shall mean The NASDAQ Global Select Market or such other securities exchange or interdealer quotation system on which shares of Common Stock are then listed or quoted.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with respect to an entity, (i) any corporation of which a majority of the securities entitled to vote generally in the election of directors thereof, at the time as of which any determination is being made, are owned by such entity, either directly or indirectly, and (ii) any joint venture, general or limited partnership, limited liability company or other legal entity in which the entity is the record or beneficial owner, directly or indirectly, of a majority of the voting interests or the general partner.</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Number of Directors</w:t>
      </w:r>
      <w:r>
        <w:rPr>
          <w:rFonts w:ascii="Times New Roman" w:cs="Times New Roman" w:eastAsia="Times New Roman" w:hAnsi="Times New Roman"/>
          <w:sz w:val="18"/>
          <w:szCs w:val="18"/>
          <w:color w:val="auto"/>
        </w:rPr>
        <w:t>” shall mean, at any time of determination, the total number of Directors comprising the Board.</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mean, directly or indirectly, to sell, transfer, assign, encumber, hypothecate or similarly dispose of, either voluntarily or involuntarily, or to enter into any contract, option or other arrangement or understanding with respect to the sale, transfer, assignment, encumbrance, hypothecation or similar disposition of, any shares of Equity Securities beneficially owned by a Person or any interest in any shares of Equity Securities beneficially owned by a</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940"/>
          </w:cols>
          <w:pgMar w:left="440" w:top="270" w:right="519" w:bottom="1440" w:gutter="0" w:footer="0" w:header="0"/>
        </w:sectPr>
      </w:pPr>
    </w:p>
    <w:bookmarkStart w:id="450" w:name="page451"/>
    <w:bookmarkEnd w:id="450"/>
    <w:p>
      <w:pPr>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Person. In the event that the KKR Investor that is a corporation, partnership, limited liability company or other legal entity (other than an individual, trust or estate) ceases to be controlled by the Person controlling the KKR Investor or a Permitted Transferee thereof, such event shall be deemed to constitute a “Transfer” subject to the restrictions on Transfer contained or referenced herein.</w:t>
      </w:r>
    </w:p>
    <w:p>
      <w:pPr>
        <w:spacing w:after="0" w:line="176"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shall mean any Person to whom any Stockholder or any Transferee thereof Transfers Equity Securities of the Company in accordance with the terms hereof.</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shall mean, at any time of determination, shares of any class of Equity Securities of the Company that are then entitled to vote generally in the election of Directors.</w:t>
      </w:r>
    </w:p>
    <w:p>
      <w:pPr>
        <w:spacing w:after="0" w:line="162"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Whenever the context requires, the gender of all words used in this Agreement includes the masculine, feminine and neuter forms and the singular form of words shall include the plural and vice versa. All references to Articles and Sections refer to articles and sections of this Agreement. Whenever the words “include,” “includes” or “including” are used in this Agreement, they shall be deemed to be followed by the words “without limitation.” This Agreement shall be construed without regard to any presumption or rule requiring construction or interpretation against the party drafting or causing any instrument to be drafted. Any percentage set forth herein shall be deemed to be automatically adjusted without any action on the part of any party hereto to take into account any stock split, stock dividend or similar transaction occurring after the date of this Agreement so that the rights provided to the Stockholders shall continue to apply to the same extent such rights would have applied absent such stock split, stock dividend or similar transaction.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CORPORATE GOVERNANCE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the KKR Investor shall have the right, but not the obligation, to nominate to the Board a number of designees equal to at least: (i) a majority of the Total Number of Directors, so long as the KKR Investor and its Affiliates collectively beneficially own 50% or more of the outstanding shares of Common Stock; (ii) 40% of the Total Number of Directors, in the event that the KKR Investor and its Affiliates collectively beneficially own 40% or more, but less than 50%, of the outstanding shares of Common Stock; (iii) 30% of the Total Number of Directors, in the event that the KKR Investor and its Affiliates collectively beneficially own 30% or more, but less than 40%, of the outstanding shares of Common Stock; (iv) 20% of the Total Number of Directors, in the event that the KKR Investor and its Affiliates collectively beneficially own 20% or more, but less than 30%, of the outstanding shares of Common Stock; and (v) 10% of the Total Number of Directors, in the event that the KKR Investor and its Affiliates collectively beneficially own 5% or more, but less than 20%, of the outstanding shares of Common Stock. For purposes of calculating the number of Directors that the KKR Investor is entitled to designate pursuant to the immediately preceding sentence, any fractional amounts shall automatically be rounded up to the nearest whole number (e.g., one and one quarter (1 and 1/4) Directors shall equate to two (2) Directors), and any such calculations shall be made after taking into account any increase in the Total Number of Directors.</w:t>
      </w:r>
    </w:p>
    <w:p>
      <w:pPr>
        <w:spacing w:after="0" w:line="12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980"/>
          </w:cols>
          <w:pgMar w:left="440" w:top="270" w:right="479" w:bottom="1440" w:gutter="0" w:footer="0" w:header="0"/>
        </w:sectPr>
      </w:pPr>
    </w:p>
    <w:bookmarkStart w:id="451" w:name="page452"/>
    <w:bookmarkEnd w:id="451"/>
    <w:p>
      <w:pPr>
        <w:ind w:left="-436" w:firstLine="436"/>
        <w:spacing w:after="0" w:line="282" w:lineRule="auto"/>
        <w:tabs>
          <w:tab w:leader="none" w:pos="259"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Effective as of the Closing Date, the KKR Designees shall initially be Nathaniel H. Taylor, Vishal V. Patel, Aileen X. Yan, Brian T. Marley and William S. Simon.</w:t>
      </w:r>
    </w:p>
    <w:p>
      <w:pPr>
        <w:spacing w:after="0" w:line="161" w:lineRule="exact"/>
        <w:rPr>
          <w:rFonts w:ascii="Times New Roman" w:cs="Times New Roman" w:eastAsia="Times New Roman" w:hAnsi="Times New Roman"/>
          <w:sz w:val="18"/>
          <w:szCs w:val="18"/>
          <w:color w:val="auto"/>
        </w:rPr>
      </w:pPr>
    </w:p>
    <w:p>
      <w:pPr>
        <w:ind w:left="-436" w:right="300" w:firstLine="436"/>
        <w:spacing w:after="0" w:line="258" w:lineRule="auto"/>
        <w:tabs>
          <w:tab w:leader="none" w:pos="249"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the fullest extent permitted by applicable Law (including with respect to fiduciary duties under Delaware law), to include the individuals designated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 the slate of nominees recommended by the Board for election at any meeting of stockholders called for the purpose of electing Directors and to use its best efforts to cause the election of each such designee to the Board, including nominating each such individual to be elected as a Director as provided herein, recommending such individual’s election and soliciting proxies or consents in favor thereof.</w:t>
      </w:r>
    </w:p>
    <w:p>
      <w:pPr>
        <w:spacing w:after="0" w:line="183" w:lineRule="exact"/>
        <w:rPr>
          <w:rFonts w:ascii="Times New Roman" w:cs="Times New Roman" w:eastAsia="Times New Roman" w:hAnsi="Times New Roman"/>
          <w:sz w:val="18"/>
          <w:szCs w:val="18"/>
          <w:color w:val="auto"/>
        </w:rPr>
      </w:pPr>
    </w:p>
    <w:p>
      <w:pPr>
        <w:ind w:left="-436" w:right="80" w:firstLine="436"/>
        <w:spacing w:after="0" w:line="256" w:lineRule="auto"/>
        <w:tabs>
          <w:tab w:leader="none" w:pos="259"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KKR Investor has nominated less than the total number of designees that it shall be entitled to nominate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then the KKR Investor shall have the right, at any time, to nominate such additional designee(s) to which it is entitled, in which case, the Company and the Directors shall take all necessary corporate action, to the fullest extent permitted by applicable Law (including with respect to fiduciary duties under Delaware law), to (x) enable the KKR Investor to nominate and effect the election or appointment of such additional individuals, whether by increasing the size of the Board or otherwise, and (y) designate such additional individuals nominated by the KKR Investor to fill such newly created vacancies or to fill any other existing vacancies.</w:t>
      </w:r>
    </w:p>
    <w:p>
      <w:pPr>
        <w:spacing w:after="0" w:line="187" w:lineRule="exact"/>
        <w:rPr>
          <w:rFonts w:ascii="Times New Roman" w:cs="Times New Roman" w:eastAsia="Times New Roman" w:hAnsi="Times New Roman"/>
          <w:sz w:val="18"/>
          <w:szCs w:val="18"/>
          <w:color w:val="auto"/>
        </w:rPr>
      </w:pPr>
    </w:p>
    <w:p>
      <w:pPr>
        <w:ind w:left="-436" w:right="100" w:firstLine="436"/>
        <w:spacing w:after="0" w:line="258" w:lineRule="auto"/>
        <w:tabs>
          <w:tab w:leader="none" w:pos="249"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vacancy is created at any time by the death, disability, retirement, resignation or removal (with or without cause) of any Director designated by the KKR Investor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the remaining Directors and the Company shall, to the fullest extent permitted by applicable Law (including with respect to fiduciary duties under Delaware law), cause the vacancy created thereby to be filled by a new designee of the KKR Investor as soon as possible, and the Company hereby agrees to take, to the fullest extent permitted by applicable Law (including with respect to fiduciary duties under Delaware law), at any time and from time to time, all actions necessary to accomplish the same.</w:t>
      </w:r>
    </w:p>
    <w:p>
      <w:pPr>
        <w:spacing w:after="0" w:line="183" w:lineRule="exact"/>
        <w:rPr>
          <w:rFonts w:ascii="Times New Roman" w:cs="Times New Roman" w:eastAsia="Times New Roman" w:hAnsi="Times New Roman"/>
          <w:sz w:val="18"/>
          <w:szCs w:val="18"/>
          <w:color w:val="auto"/>
        </w:rPr>
      </w:pPr>
    </w:p>
    <w:p>
      <w:pPr>
        <w:ind w:left="-436" w:firstLine="436"/>
        <w:spacing w:after="0" w:line="256" w:lineRule="auto"/>
        <w:tabs>
          <w:tab w:leader="none" w:pos="229"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KKR Investor shall cease to have the right to designate a Director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designee of the KKR Investor selected by the KKR Investor shall (i) at the request of a majority of the Directors then in office or the Chairman of the Board resign immediately or the KKR Investor shall take all action necessary to remove such designee or (ii) if no such request is made, continue to serve until his or her term expires at the next annual meeting of stockholders of the Company. In the event such designee resigns or is removed at the request of a majority of the Directors then in office or the Chairman of the Board, the Directors remaining in office shall be entitled to decrease the size of the Board to eliminate such vacancy and no consent under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be required in connection with such decrease.</w:t>
      </w:r>
    </w:p>
    <w:p>
      <w:pPr>
        <w:spacing w:after="0" w:line="187" w:lineRule="exact"/>
        <w:rPr>
          <w:rFonts w:ascii="Times New Roman" w:cs="Times New Roman" w:eastAsia="Times New Roman" w:hAnsi="Times New Roman"/>
          <w:sz w:val="18"/>
          <w:szCs w:val="18"/>
          <w:color w:val="auto"/>
        </w:rPr>
      </w:pPr>
    </w:p>
    <w:p>
      <w:pPr>
        <w:ind w:left="-436" w:right="180" w:firstLine="436"/>
        <w:spacing w:after="0" w:line="282" w:lineRule="auto"/>
        <w:tabs>
          <w:tab w:leader="none" w:pos="259"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KKR Investor shall have the right to representation on the board of directors or other similar governing body (or any committee thereof) of any Subsidiary of the Company in proportion to its representation on the Board.</w:t>
      </w:r>
    </w:p>
    <w:p>
      <w:pPr>
        <w:spacing w:after="0" w:line="94" w:lineRule="exact"/>
        <w:rPr>
          <w:rFonts w:ascii="Times New Roman" w:cs="Times New Roman" w:eastAsia="Times New Roman" w:hAnsi="Times New Roman"/>
          <w:sz w:val="18"/>
          <w:szCs w:val="18"/>
          <w:color w:val="auto"/>
        </w:rPr>
      </w:pPr>
    </w:p>
    <w:p>
      <w:pPr>
        <w:ind w:left="5024" w:hanging="106"/>
        <w:spacing w:after="0"/>
        <w:tabs>
          <w:tab w:leader="none" w:pos="5024"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564"/>
          </w:cols>
          <w:pgMar w:left="876" w:top="270" w:right="459" w:bottom="1440" w:gutter="0" w:footer="0" w:header="0"/>
        </w:sectPr>
      </w:pPr>
    </w:p>
    <w:bookmarkStart w:id="452" w:name="page453"/>
    <w:bookmarkEnd w:id="452"/>
    <w:p>
      <w:pPr>
        <w:ind w:right="100" w:firstLine="436"/>
        <w:spacing w:after="0" w:line="261" w:lineRule="auto"/>
        <w:tabs>
          <w:tab w:leader="none" w:pos="695"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shall reimburse the KKR Designee(s) for their reasonable out-of-pocket expenses incurred by them in connection with performing his or her duties as a member of the Board (or any committee thereof), including the reasonable out-of-pocket expenses incurred by such person for attending meetings of the Board (or any committee thereof), or in connection with their service on the board or other similar governing body of any Subsidiary of the Company (or any committee thereof).</w:t>
      </w:r>
    </w:p>
    <w:p>
      <w:pPr>
        <w:spacing w:after="0" w:line="179" w:lineRule="exact"/>
        <w:rPr>
          <w:rFonts w:ascii="Times New Roman" w:cs="Times New Roman" w:eastAsia="Times New Roman" w:hAnsi="Times New Roman"/>
          <w:sz w:val="18"/>
          <w:szCs w:val="18"/>
          <w:color w:val="auto"/>
        </w:rPr>
      </w:pPr>
    </w:p>
    <w:p>
      <w:pPr>
        <w:ind w:right="160" w:firstLine="436"/>
        <w:spacing w:after="0" w:line="282" w:lineRule="auto"/>
        <w:tabs>
          <w:tab w:leader="none" w:pos="655"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the Stockholders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are personal to the Stockholders and shall not be exercised by any Transferee other than a Permitted Transferee.</w:t>
      </w:r>
    </w:p>
    <w:p>
      <w:pPr>
        <w:spacing w:after="0" w:line="162"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xml:space="preserve">. For so long as the KKR Investor has the right to designate at least one (1) Director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KKR Investor shall have the right, but not the obligation, to designate one member of each committee of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of any Director to serve on a committee shall be subject to applicable Law and the Company’s obligation to comply with any applicable independence requirements of the Stock Exchange.</w:t>
      </w:r>
    </w:p>
    <w:p>
      <w:pPr>
        <w:spacing w:after="0" w:line="180" w:lineRule="exact"/>
        <w:rPr>
          <w:sz w:val="20"/>
          <w:szCs w:val="20"/>
          <w:color w:val="auto"/>
        </w:rPr>
      </w:pPr>
    </w:p>
    <w:p>
      <w:pPr>
        <w:ind w:right="4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Consent Rights</w:t>
      </w:r>
      <w:r>
        <w:rPr>
          <w:rFonts w:ascii="Times New Roman" w:cs="Times New Roman" w:eastAsia="Times New Roman" w:hAnsi="Times New Roman"/>
          <w:sz w:val="18"/>
          <w:szCs w:val="18"/>
          <w:color w:val="auto"/>
        </w:rPr>
        <w:t>. For so long as the KKR Investor and its Affiliates collectively beneficially own at least 25% of the outstanding shares of Common Stock, the following actions by the Company or any of its Subsidiaries shall require the approval, in addition to any approval by the stockholders of the Company or the Board’s approval (or the approval of the required governing body of any Subsidiary of the Company), of the KKR Investor:</w:t>
      </w:r>
    </w:p>
    <w:p>
      <w:pPr>
        <w:spacing w:after="0" w:line="72" w:lineRule="exact"/>
        <w:rPr>
          <w:sz w:val="20"/>
          <w:szCs w:val="20"/>
          <w:color w:val="auto"/>
        </w:rPr>
      </w:pPr>
    </w:p>
    <w:p>
      <w:pPr>
        <w:ind w:left="680" w:hanging="244"/>
        <w:spacing w:after="0"/>
        <w:tabs>
          <w:tab w:leader="none" w:pos="68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or effecting a Change in Control;</w:t>
      </w:r>
    </w:p>
    <w:p>
      <w:pPr>
        <w:spacing w:after="0" w:line="225" w:lineRule="exact"/>
        <w:rPr>
          <w:rFonts w:ascii="Times New Roman" w:cs="Times New Roman" w:eastAsia="Times New Roman" w:hAnsi="Times New Roman"/>
          <w:sz w:val="18"/>
          <w:szCs w:val="18"/>
          <w:color w:val="auto"/>
        </w:rPr>
      </w:pPr>
    </w:p>
    <w:p>
      <w:pPr>
        <w:ind w:right="240" w:firstLine="436"/>
        <w:spacing w:after="0" w:line="282" w:lineRule="auto"/>
        <w:tabs>
          <w:tab w:leader="none" w:pos="695"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any agreement providing for the acquisition or divestiture of assets or equity security of any Person, in each case providing for aggregate consideration in excess of $100 million;</w:t>
      </w:r>
    </w:p>
    <w:p>
      <w:pPr>
        <w:spacing w:after="0" w:line="161" w:lineRule="exact"/>
        <w:rPr>
          <w:rFonts w:ascii="Times New Roman" w:cs="Times New Roman" w:eastAsia="Times New Roman" w:hAnsi="Times New Roman"/>
          <w:sz w:val="18"/>
          <w:szCs w:val="18"/>
          <w:color w:val="auto"/>
        </w:rPr>
      </w:pPr>
    </w:p>
    <w:p>
      <w:pPr>
        <w:ind w:right="620" w:firstLine="436"/>
        <w:spacing w:after="0" w:line="282" w:lineRule="auto"/>
        <w:tabs>
          <w:tab w:leader="none" w:pos="685"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any joint venture or similar business alliance having a fair market value as of the date of formation thereof (as reasonably determined by the Board) in excess of $100 million;</w:t>
      </w:r>
    </w:p>
    <w:p>
      <w:pPr>
        <w:spacing w:after="0" w:line="161" w:lineRule="exact"/>
        <w:rPr>
          <w:rFonts w:ascii="Times New Roman" w:cs="Times New Roman" w:eastAsia="Times New Roman" w:hAnsi="Times New Roman"/>
          <w:sz w:val="18"/>
          <w:szCs w:val="18"/>
          <w:color w:val="auto"/>
        </w:rPr>
      </w:pPr>
    </w:p>
    <w:p>
      <w:pPr>
        <w:ind w:right="700" w:firstLine="436"/>
        <w:spacing w:after="0" w:line="282" w:lineRule="auto"/>
        <w:tabs>
          <w:tab w:leader="none" w:pos="695"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a voluntary liquidation, dissolution, receivership, bankruptcy or other insolvency proceeding involving the Company or any Subsidiary of the Company that is a “significant subsidiary” as defined in Rule 1-02 of Regulation S-X under the Exchange Act;</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the nature of the business of the Company and its Subsidiaries, taken as a whole;</w:t>
      </w:r>
    </w:p>
    <w:p>
      <w:pPr>
        <w:spacing w:after="0" w:line="225" w:lineRule="exact"/>
        <w:rPr>
          <w:rFonts w:ascii="Times New Roman" w:cs="Times New Roman" w:eastAsia="Times New Roman" w:hAnsi="Times New Roman"/>
          <w:sz w:val="18"/>
          <w:szCs w:val="18"/>
          <w:color w:val="auto"/>
        </w:rPr>
      </w:pPr>
    </w:p>
    <w:p>
      <w:pPr>
        <w:ind w:firstLine="436"/>
        <w:spacing w:after="0" w:line="281" w:lineRule="auto"/>
        <w:tabs>
          <w:tab w:leader="none" w:pos="665" w:val="left"/>
        </w:tabs>
        <w:numPr>
          <w:ilvl w:val="0"/>
          <w:numId w:val="4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redemption, acquisition or other purchase of any shares of Equity Securities (a “</w:t>
      </w:r>
      <w:r>
        <w:rPr>
          <w:rFonts w:ascii="Times New Roman" w:cs="Times New Roman" w:eastAsia="Times New Roman" w:hAnsi="Times New Roman"/>
          <w:sz w:val="17"/>
          <w:szCs w:val="17"/>
          <w:u w:val="single" w:color="auto"/>
          <w:color w:val="auto"/>
        </w:rPr>
        <w:t>Repurchase</w:t>
      </w:r>
      <w:r>
        <w:rPr>
          <w:rFonts w:ascii="Times New Roman" w:cs="Times New Roman" w:eastAsia="Times New Roman" w:hAnsi="Times New Roman"/>
          <w:sz w:val="17"/>
          <w:szCs w:val="17"/>
          <w:color w:val="auto"/>
        </w:rPr>
        <w:t>”) other than (x) open market Repurchases made pursuant to a share repurchase plan approved by the Board or (y) Repurchases in accordance with any existing compensation plan of the Company or any Subsidiary of the Company or a Repurchase from an employee in connection with such employee’s termination of employment with the Company or any Subsidiary of the Company or otherwise in accordance with such employee’s management stockholder’s agreement with the Company;</w:t>
      </w:r>
    </w:p>
    <w:p>
      <w:pPr>
        <w:spacing w:after="0" w:line="96" w:lineRule="exact"/>
        <w:rPr>
          <w:rFonts w:ascii="Times New Roman" w:cs="Times New Roman" w:eastAsia="Times New Roman" w:hAnsi="Times New Roman"/>
          <w:sz w:val="17"/>
          <w:szCs w:val="17"/>
          <w:color w:val="auto"/>
        </w:rPr>
      </w:pPr>
    </w:p>
    <w:p>
      <w:pPr>
        <w:ind w:left="5460" w:hanging="106"/>
        <w:spacing w:after="0"/>
        <w:tabs>
          <w:tab w:leader="none" w:pos="5460"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1000"/>
          </w:cols>
          <w:pgMar w:left="440" w:top="270" w:right="459" w:bottom="1440" w:gutter="0" w:footer="0" w:header="0"/>
        </w:sectPr>
      </w:pPr>
    </w:p>
    <w:bookmarkStart w:id="453" w:name="page454"/>
    <w:bookmarkEnd w:id="453"/>
    <w:p>
      <w:pPr>
        <w:ind w:right="300" w:firstLine="436"/>
        <w:spacing w:after="0" w:line="266" w:lineRule="auto"/>
        <w:tabs>
          <w:tab w:leader="none" w:pos="695"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incurrence of indebtedness for borrowed money (including through the issuance of debt securities or the guarantee of indebtedness of another Person) in an aggregate principal amount in excess of $100 million in any transaction or series of related transactions, other than borrowings under the Company’s revolving credit facility (or amendments, extensions, or replacements thereof);</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terminating the employment of the Chief Executive Officer of the Company or hiring a new Chief Executive Officer of the Company;</w:t>
      </w:r>
    </w:p>
    <w:p>
      <w:pPr>
        <w:spacing w:after="0" w:line="225" w:lineRule="exact"/>
        <w:rPr>
          <w:rFonts w:ascii="Times New Roman" w:cs="Times New Roman" w:eastAsia="Times New Roman" w:hAnsi="Times New Roman"/>
          <w:sz w:val="18"/>
          <w:szCs w:val="18"/>
          <w:color w:val="auto"/>
        </w:rPr>
      </w:pPr>
    </w:p>
    <w:p>
      <w:pPr>
        <w:ind w:firstLine="436"/>
        <w:spacing w:after="0" w:line="282" w:lineRule="auto"/>
        <w:tabs>
          <w:tab w:leader="none" w:pos="655"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any increase or decrease in the size or composition of the Board, committees of the Board, and boards and committees of Subsidiaries of the Company; and</w:t>
      </w:r>
    </w:p>
    <w:p>
      <w:pPr>
        <w:spacing w:after="0" w:line="161" w:lineRule="exact"/>
        <w:rPr>
          <w:rFonts w:ascii="Times New Roman" w:cs="Times New Roman" w:eastAsia="Times New Roman" w:hAnsi="Times New Roman"/>
          <w:sz w:val="18"/>
          <w:szCs w:val="18"/>
          <w:color w:val="auto"/>
        </w:rPr>
      </w:pPr>
    </w:p>
    <w:p>
      <w:pPr>
        <w:ind w:right="60" w:firstLine="436"/>
        <w:spacing w:after="0" w:line="256" w:lineRule="auto"/>
        <w:tabs>
          <w:tab w:leader="none" w:pos="655"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transaction with or involving any Affiliate of the Company (other than the KKR Investor and its Affiliates), other than (A) a Transfer to a Permitted Transferee, (B) transactions pursuant to any agreement in effect on the Closing Date, including, without limitation, the Registration Rights Agreement and this Agreement, and any amendment, termination or material waiver under such agreements, (C) customary indemnification agreements with Directors and officers of the Company or any Subsidiary, (D) transactions permitted by </w:t>
      </w:r>
      <w:r>
        <w:rPr>
          <w:rFonts w:ascii="Times New Roman" w:cs="Times New Roman" w:eastAsia="Times New Roman" w:hAnsi="Times New Roman"/>
          <w:sz w:val="18"/>
          <w:szCs w:val="18"/>
          <w:u w:val="single" w:color="auto"/>
          <w:color w:val="auto"/>
        </w:rPr>
        <w:t>Section 2.3(f)(y)</w:t>
      </w:r>
      <w:r>
        <w:rPr>
          <w:rFonts w:ascii="Times New Roman" w:cs="Times New Roman" w:eastAsia="Times New Roman" w:hAnsi="Times New Roman"/>
          <w:sz w:val="18"/>
          <w:szCs w:val="18"/>
          <w:color w:val="auto"/>
        </w:rPr>
        <w:t xml:space="preserve"> above and other customary compensation arrangements with employees of the Company; and (E) any transaction or series of related transactions in the ordinary course of business and on arms-length third-party terms and not involving amounts in excess of $25 million per annum.</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Controlled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61" w:lineRule="auto"/>
        <w:tabs>
          <w:tab w:leader="none" w:pos="685"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entities who fall under the definition of “KKR Investor” acknowledge and agree that, (i) by virtue of this Article II, they are acting as a “group” within the meaning of the Stock Exchange rules as of the date hereof, and (ii) by virtue of the combined voting power of Common Stock held by them representing more than 50% of the total voting power of the Common Stock outstanding as of the Closing Date, the Company qualifies as a “controlled company” within the meaning of Stock Exchange rules as of the Closing Date.</w:t>
      </w:r>
    </w:p>
    <w:p>
      <w:pPr>
        <w:spacing w:after="0" w:line="179"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Company qualifies as a “controlled company” for purposes of Stock Exchange rules, the Company will elect to be a “controlled company” for purposes of Stock Exchange rules, and will disclose in its annual meeting proxy statement that it is a “controlled company” and the basis for that determination. If the Company ceases to qualify as a “controlled company” for purposes of Stock Exchange rules, the KKR Investor and the Company will take whatever action may be reasonably necessary in relation to such party, if any, to cause the Company to comply with Stock Exchange rules as then in effect within the timeframe for compliance available under such rules.</w:t>
      </w:r>
    </w:p>
    <w:p>
      <w:pPr>
        <w:spacing w:after="0" w:line="183"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Permitted Disclosure</w:t>
      </w:r>
      <w:r>
        <w:rPr>
          <w:rFonts w:ascii="Times New Roman" w:cs="Times New Roman" w:eastAsia="Times New Roman" w:hAnsi="Times New Roman"/>
          <w:sz w:val="18"/>
          <w:szCs w:val="18"/>
          <w:color w:val="auto"/>
        </w:rPr>
        <w:t>. Each KKR Designee is permitted to disclose to the KKR Investor information about the Company and its Affiliates that he or she receives as a result of being a Director, subject to his or her fiduciary duties under Delaware law.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000"/>
          </w:cols>
          <w:pgMar w:left="440" w:top="270" w:right="459" w:bottom="1440" w:gutter="0" w:footer="0" w:header="0"/>
        </w:sectPr>
      </w:pPr>
    </w:p>
    <w:bookmarkStart w:id="454" w:name="page455"/>
    <w:bookmarkEnd w:id="45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INFORMATION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Books and Records; Access; Certain Reports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and shall cause its Subsidiaries to, keep proper books, records and accounts, in which full and correct entries shall be made of all financial transactions and the assets and business of the Company and each of its Subsidiaries in accordance with generally accepted accounting principles. For so long as the KKR Investor has the right to designate at least one (1) Director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Company shall, and shall cause its Subsidiaries to, permit the KKR Investor and its designated representatives, at reasonable times and upon reasonable prior notice to the Company, to review the books and records of the Company or any of such Subsidiaries and to discuss the affairs, finances and condition of the Company or any of such Subsidiaries with the officers of the Company or any such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disclose any privileged information of the Company so long as the Company has used its best efforts to provide such information to the KKR Investor, without the loss of any such privilege, and notified the KKR Investor that such information has not been provided.</w:t>
      </w:r>
    </w:p>
    <w:p>
      <w:pPr>
        <w:spacing w:after="0" w:line="191" w:lineRule="exact"/>
        <w:rPr>
          <w:rFonts w:ascii="Times New Roman" w:cs="Times New Roman" w:eastAsia="Times New Roman" w:hAnsi="Times New Roman"/>
          <w:sz w:val="18"/>
          <w:szCs w:val="18"/>
          <w:color w:val="auto"/>
        </w:rPr>
      </w:pPr>
    </w:p>
    <w:p>
      <w:pPr>
        <w:ind w:right="120" w:firstLine="436"/>
        <w:spacing w:after="0" w:line="282" w:lineRule="auto"/>
        <w:tabs>
          <w:tab w:leader="none" w:pos="695"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the KKR Investor has the right to designate at least one (1) Director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the Company shall deliver or cause to be delivered to the KKR Investor at its request:</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078"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otherwise prepared by the Company, operating and capital expenditure budgets and periodic information packages relating to the operations and cash flows of the Company and its Subsidiaries;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reports and information as may be reasonably requested by the KKR Investor;</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disclose any privileged information of the Company so long as the Company has used its best efforts to provide such information to the KKR Investor, without the loss of any such privilege, and notified the KKR Investor that such information has not been provided.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Subject to the early termination of any provision as a result of an amendment to this Agreement agreed to by the Board and the Stockholders as provided under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(i) the provisions of Article II shall, with respect to each Stockholder, terminate as provided in the applicable Section of Article II, (ii) the provisions of Article III shall, with respect to each Stockholder, terminate as provided in the applicable Section of Article III, and (iii) this Article IV shall not terminate. Nothing herein shall relieve any party from any liability for the breach of any of the agreements set forth in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000"/>
          </w:cols>
          <w:pgMar w:left="440" w:top="270" w:right="459" w:bottom="1440" w:gutter="0" w:footer="0" w:header="0"/>
        </w:sectPr>
      </w:pPr>
    </w:p>
    <w:bookmarkStart w:id="455" w:name="page456"/>
    <w:bookmarkEnd w:id="455"/>
    <w:p>
      <w:pPr>
        <w:ind w:left="5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4.2.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36" w:firstLine="436"/>
        <w:spacing w:after="0" w:line="251" w:lineRule="auto"/>
        <w:tabs>
          <w:tab w:leader="none" w:pos="249"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each Stockholder, their respective directors, officers, partners, members, direct and indirect owners, managers, Affiliates and controlling persons (each, an “</w:t>
      </w:r>
      <w:r>
        <w:rPr>
          <w:rFonts w:ascii="Times New Roman" w:cs="Times New Roman" w:eastAsia="Times New Roman" w:hAnsi="Times New Roman"/>
          <w:sz w:val="18"/>
          <w:szCs w:val="18"/>
          <w:u w:val="single" w:color="auto"/>
          <w:color w:val="auto"/>
        </w:rPr>
        <w:t>Stockholder Indemnitee</w:t>
      </w:r>
      <w:r>
        <w:rPr>
          <w:rFonts w:ascii="Times New Roman" w:cs="Times New Roman" w:eastAsia="Times New Roman" w:hAnsi="Times New Roman"/>
          <w:sz w:val="18"/>
          <w:szCs w:val="18"/>
          <w:color w:val="auto"/>
        </w:rPr>
        <w:t>”) from and against any and all liability, including, without limitation, all obligations, costs, fines, claims, actions, injuries, demands, suits, judgments, proceedings, investigations, arbitrations (including stockholder claims, actions, injuries, demands, suits, judgments, proceedings, investigations or arbitrations) and reasonable expenses, including reasonable accountant’s and reasonable attorney’s fees and expenses (together the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incurred by such Stockholder Indemnitee before or after the date of this Agreement to the extent arising out of, resulting from, or relating to (i) such Stockholder Indemnitee’s purchase and/or ownership of any Equity Securities or (ii) any litigation to which any Stockholder Indemnitee is made a party in its capacity as a stockholder or owner of securities (or as a director, officer, partner, member, manager, Affiliate or controlling person of any Stockholder)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indemnification rights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shall not be available to the extent that (a) any such Losses are incurred as a result of such Stockholder Indemnitee’s willful misconduct or gross negligence; (b) any such Losses are incurred as a result of non-compliance by such Stockholder Indemnitee with any laws or regulations applicable to any of them; or (c) subject to the rights of contribution provided for below, indemnification for any Losses would violate any applicable Law or public policy. For purposes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none of the circumstances described in the limitations contained in the proviso in the immediately preceding sentence shall be deemed to apply absent a final non-appealable judgment of a court of competent jurisdiction to such effect, in which case to the extent any such limitation is so determined to apply to any Stockholder Indemnitee as to any previously advanced indemnity payments made by the Company under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then such payments shall be promptly repaid by such Stockholder Indemnitee to the Company. The rights of any Stockholder Indemnitee to indemnification hereunder will be in addition to any other rights any such party may have under any other agreement or instrument to which such Stockholder Indemnitee is or becomes a party or is or otherwise becomes a beneficiary or under law or regulation. In the event of any payment of indemnification pursuant to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to the extent that any Stockholder Indemnitee is indemnified for Losses, the Company will be subrogated to the extent of such payment to all of the related rights of recovery of the Stockholder Indemnitee to which such payment is made against all other Persons. Such Stockholder Indemnitee shall execute all papers reasonably required to evidence such rights. The Company will be entitled at its election to participate in the defense of any third party claim upon which indemnification is due pursuant to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to assume the defense thereof, with counsel reasonably satisfactory to such Stockholder Indemnitee unless, in the reasonable judgment of the Stockholder Indemnitee, a conflict of interest between the Company and such Stockholder Indemnitee may exist, in which case such Stockholder Indemnitee shall have the right to assume its own defense and the Company shall be liable for all reasonable expenses therefor. Except as set forth above, should the Company assume such defense all further defense costs of the Stockholder Indemnitee in respect of such third party claim shall be for the sole account of such party and not subject to indemnification hereunder. The Company will not without the prior written consent of the Stockholder Indemnitee (which consent shall not be unreasonably withheld) effect any settlement of any threatened or pending third party claim in which such Stockholder Indemnitee is or could have been a party and be entitled to indemnification hereunder unless such settlement solely involves the payment of money and includes an unconditional release of such Stockholder Indemnitee from all liability and claims that are the subject matter of such claim. If the indemnification provided for above is unavailable in respect of any Losses, then the Company, in lieu of indemnifying a Stockholder Indemnitee, shall, if and to the extent permitted by Law, contribute to the amount paid or payable by such Stockholder Indemnitee in such proportion as is appropriate to reflect the relative fault of the Company and such Stockholder Indemnitee in connection with the actions which resulted in such Losses, as well as any other equitable considerations.</w:t>
      </w:r>
    </w:p>
    <w:p>
      <w:pPr>
        <w:spacing w:after="0" w:line="132"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0564"/>
          </w:cols>
          <w:pgMar w:left="876" w:top="270" w:right="459" w:bottom="1440" w:gutter="0" w:footer="0" w:header="0"/>
        </w:sectPr>
      </w:pPr>
    </w:p>
    <w:bookmarkStart w:id="456" w:name="page457"/>
    <w:bookmarkEnd w:id="456"/>
    <w:p>
      <w:pPr>
        <w:ind w:left="4" w:right="60" w:firstLine="436"/>
        <w:spacing w:after="0" w:line="268" w:lineRule="auto"/>
        <w:tabs>
          <w:tab w:leader="none" w:pos="699" w:val="left"/>
        </w:tabs>
        <w:numPr>
          <w:ilvl w:val="1"/>
          <w:numId w:val="4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agrees to pay or reimburse (i) the Stockholders for (A) all reasonable costs and expenses (including reasonable attorneys’ fees, charges, disbursement and expenses) incurred in connection with any amendment, supplement, modification or waiver of or to any of the terms or provisions of this Agreement or any related agreements and (B) in connection with any stamp, transfer, documentary or other similar taxes, assessments or charges levied by any governmental or revenue authority in respect of this Agreement or any related agreements; and (ii) each Stockholder for all costs and expenses of such Stockholder (including reasonable attorneys’ fees, charges, disbursement and expenses) incurred in connection with (1) the consent to any departure by the Company or any of its Subsidiaries from the terms of any provision of this Agreement or any related agreements and</w:t>
      </w:r>
    </w:p>
    <w:p>
      <w:pPr>
        <w:spacing w:after="0" w:line="4"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or exercise by such Stockholder of any right granted to it or provided for hereunder.</w:t>
      </w:r>
    </w:p>
    <w:p>
      <w:pPr>
        <w:spacing w:after="0" w:line="207"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Except as otherwise provided herein, no modification, amendment, restatement, amendment and restatement, or waiver of any provision of this Agreement shall be effective without the approval of the Board and the KKR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Stockholder may waive (in writing) the benefit of any provision of this Agreement with respect to itself for any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such modification, amendment, restatement, amendment and restatement or waiver that would disproportionately and adversely affect the rights of any Stockholder hereunder (in its capacity as a Stockholder) without similarly affecting the rights hereunder of all Stockholders (in their capacities as Stockholders) having the same rights or obligations under this Agreement to which such modification, amendment, restatement, amendment and restatement or waiver relates, as the case may be, shall not be effective as to such Stockholder without such Stockholder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s prior written consent. The failure of any party to enforce any of the provisions of this Agreement shall in no way be construed as a waiver of such provisions and shall not affect the right of such party thereafter to enforce each and every provision of this Agreement in accordance with its terms. Any written amendment, restatement, amendment and restatement, or waiver to this Agreement that receives the vote or consent of the Stockholders provided herein need not be signed by all Stockholders, but shall be effective in accordance with its terms and shall be binding upon all Stockholders and any Transferees.</w:t>
      </w:r>
    </w:p>
    <w:p>
      <w:pPr>
        <w:spacing w:after="0" w:line="190"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Successors, Assigns and Transferees</w:t>
      </w:r>
      <w:r>
        <w:rPr>
          <w:rFonts w:ascii="Times New Roman" w:cs="Times New Roman" w:eastAsia="Times New Roman" w:hAnsi="Times New Roman"/>
          <w:sz w:val="18"/>
          <w:szCs w:val="18"/>
          <w:color w:val="auto"/>
        </w:rPr>
        <w:t xml:space="preserve">. This Agreement shall bind and inure to the benefit of and be enforceable by the parties hereto and their respective successors and permitted assigns. This Agreement may not be assigned without the express prior written consent of the other parties hereto, and any attempted assignment, without such consents, will be null and void;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KKR Investor shall be entitled to assign, in whole or in part, any of its rights hereunder to any of its Permitted Transferees without such prior written consent.</w:t>
      </w:r>
    </w:p>
    <w:p>
      <w:pPr>
        <w:spacing w:after="0" w:line="180"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Except as may otherwise be expressly provided in this Agreement, this Agreement does not create any rights, claims or benefits inuring to any person that is not a party hereto nor create or establish any third party beneficiary hereto.</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457" w:name="page458"/>
    <w:bookmarkEnd w:id="457"/>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required or permitted under this Agreement shall be in writing and shall be deemed effectively given: (a) when delivered personally by hand to the party to be notified (with written confirmation of receipt), (b) when sent by e-mail (with written confirmation of transmission), (c) when received or rejected by the addressee if sent by registered or certified mail, postage prepaid, return receipt requested, or (d) one Business Day following the day sent by reputable overnight courier (with written confirmation of receipt), in each case at the following addresses (or to such other address as a party may have specified by notice given to the other party pursuant to this provision):</w:t>
      </w:r>
    </w:p>
    <w:p>
      <w:pPr>
        <w:spacing w:after="0" w:line="89" w:lineRule="exact"/>
        <w:rPr>
          <w:sz w:val="20"/>
          <w:szCs w:val="20"/>
          <w:color w:val="auto"/>
        </w:rPr>
      </w:pPr>
    </w:p>
    <w:p>
      <w:pPr>
        <w:ind w:left="1420" w:hanging="439"/>
        <w:spacing w:after="0"/>
        <w:tabs>
          <w:tab w:leader="none" w:pos="142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117" w:lineRule="exact"/>
        <w:rPr>
          <w:rFonts w:ascii="Times New Roman" w:cs="Times New Roman" w:eastAsia="Times New Roman" w:hAnsi="Times New Roman"/>
          <w:sz w:val="18"/>
          <w:szCs w:val="18"/>
          <w:color w:val="auto"/>
        </w:rPr>
      </w:pPr>
    </w:p>
    <w:p>
      <w:pPr>
        <w:ind w:left="1420" w:right="6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Academy Sports and Outdoors, Inc. 1800 North Mason Road</w:t>
      </w:r>
    </w:p>
    <w:p>
      <w:pPr>
        <w:ind w:left="1420" w:right="75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Katy, Texas 77449 Attention: General Counsel Email: legal@academy.com</w:t>
      </w:r>
    </w:p>
    <w:p>
      <w:pPr>
        <w:spacing w:after="0" w:line="9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KKR Investor, to:</w:t>
      </w:r>
    </w:p>
    <w:p>
      <w:pPr>
        <w:spacing w:after="0" w:line="11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Allstar LLC</w:t>
      </w:r>
    </w:p>
    <w:p>
      <w:pPr>
        <w:spacing w:after="0" w:line="27" w:lineRule="exact"/>
        <w:rPr>
          <w:rFonts w:ascii="Times New Roman" w:cs="Times New Roman" w:eastAsia="Times New Roman" w:hAnsi="Times New Roman"/>
          <w:sz w:val="18"/>
          <w:szCs w:val="18"/>
          <w:color w:val="auto"/>
        </w:rPr>
      </w:pPr>
    </w:p>
    <w:p>
      <w:pPr>
        <w:ind w:left="1420" w:right="73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Allstar Co-Invest Block L.P. KKR 2006 Allstar Blocker L.P.</w:t>
      </w:r>
    </w:p>
    <w:p>
      <w:pPr>
        <w:ind w:left="1420" w:right="66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Kohlberg Kravis Roberts &amp; Co. L.P. 9 West 57th Street</w:t>
      </w:r>
    </w:p>
    <w:p>
      <w:pPr>
        <w:ind w:left="1420" w:right="75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New York 10019 Attention:</w:t>
      </w: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any time or from time to time after the date hereof, the parties agree to cooperate with each other, and at the request of any other party, to execute and deliver any further instruments or documents and to take all such further action as the other party may reasonably request in order to evidence or effectuate the consummation of the transactions contemplated hereby and to otherwise carry out the intent of the parties hereunder.</w:t>
      </w:r>
    </w:p>
    <w:p>
      <w:pPr>
        <w:spacing w:after="0" w:line="180"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hereto with respect to the subject matter hereof. There are no agreements, representations, warranties, covenants or understandings with respect to the subject matter hereof or thereof other than those expressly set forth herein and therein. This Agreement supersedes all other prior agreements and understandings between the parties with respect to such subject matter.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458" w:name="page459"/>
    <w:bookmarkEnd w:id="45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4.9. </w:t>
      </w:r>
      <w:r>
        <w:rPr>
          <w:rFonts w:ascii="Times New Roman" w:cs="Times New Roman" w:eastAsia="Times New Roman" w:hAnsi="Times New Roman"/>
          <w:sz w:val="18"/>
          <w:szCs w:val="18"/>
          <w:u w:val="single" w:color="auto"/>
          <w:color w:val="auto"/>
        </w:rPr>
        <w:t>Restrictions on Other Agreements; Bylaws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80" w:firstLine="436"/>
        <w:spacing w:after="0" w:line="266" w:lineRule="auto"/>
        <w:tabs>
          <w:tab w:leader="none" w:pos="685"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date hereof, no Stockholder or any of its Permitted Transferees shall enter into or agree to be bound by any stockholder agreements or arrangements of any kind with any Person with respect to any Equity Securities except pursuant to the agreements specifically contemplated herein and the Registration Rights Agreement.</w:t>
      </w:r>
    </w:p>
    <w:p>
      <w:pPr>
        <w:spacing w:after="0" w:line="175" w:lineRule="exact"/>
        <w:rPr>
          <w:rFonts w:ascii="Times New Roman" w:cs="Times New Roman" w:eastAsia="Times New Roman" w:hAnsi="Times New Roman"/>
          <w:sz w:val="18"/>
          <w:szCs w:val="18"/>
          <w:color w:val="auto"/>
        </w:rPr>
      </w:pPr>
    </w:p>
    <w:p>
      <w:pPr>
        <w:ind w:right="300" w:firstLine="436"/>
        <w:spacing w:after="0" w:line="266" w:lineRule="auto"/>
        <w:tabs>
          <w:tab w:leader="none" w:pos="695"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shall be controlling if any such provisions or the operation thereof conflict with the provisions of the Company’s Bylaws. Each of the parties covenants and agrees to vote their Equity Securities and to take any other action reasonably requested by the Company or any Stockholder to amend the Company’s Bylaws so as to avoid any conflict with the provisions hereof.</w:t>
      </w:r>
    </w:p>
    <w:p>
      <w:pPr>
        <w:spacing w:after="0" w:line="176"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Delays or Omissions</w:t>
      </w:r>
      <w:r>
        <w:rPr>
          <w:rFonts w:ascii="Times New Roman" w:cs="Times New Roman" w:eastAsia="Times New Roman" w:hAnsi="Times New Roman"/>
          <w:sz w:val="18"/>
          <w:szCs w:val="18"/>
          <w:color w:val="auto"/>
        </w:rPr>
        <w:t>. It is agreed that no delay or omission to exercise any right, power or remedy accruing to any party, upon any breach, default or noncompliance by another party under this Agreement, shall impair any such right, power or remedy, nor shall it be construed to be a waiver of any such breach, default or noncompliance, or any acquiescence therein, or of or in any similar breach, default or noncompliance thereafter occurring. It is further agreed that any waiver, permit, consent or approval of any kind or character on the part of any party hereto of any breach, default or noncompliance under this Agreement or any waiver on such party’s part of any provisions or conditions of this Agreement, must be in writing and shall be effective only to the extent specifically set forth in such writing. All remedies, either under this Agreement, by law, or otherwise afforded to any party, shall be cumulative and not alternative.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Governing Law; Jurisdiction;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40" w:firstLine="436"/>
        <w:spacing w:after="0" w:line="282" w:lineRule="auto"/>
        <w:tabs>
          <w:tab w:leader="none" w:pos="685"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and enforced in accordance with, the laws of the State of Delaware, applicable to contracts executed in and to be performed entirely within that State, without giving effect to principles or rules of conflict of laws.</w:t>
      </w:r>
    </w:p>
    <w:p>
      <w:pPr>
        <w:spacing w:after="0" w:line="161"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judicial proceeding involving any dispute, controversy or claim arising out of or relating to this Agreement, each of the parties unconditionally accepts the jurisdiction and venue of the Delaware Court of Chancery or, if the Delaware Court of Chancery does not have subject matter jurisdiction over this matter, the Superior Court of the State of Delaware (Complex Commercial Division) or, if jurisdiction over the matter is vested exclusively in federal courts, the United States District Court for the District of Delaware, and the appellate courts to which orders and judgments thereof may be appealed. In any such judicial proceeding, the parties agree that in addition to any method for the service of process permitted or required by such courts, to the fullest extent permitted by Law, service of process may be made by delivery provided pursuant to the directions in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160" w:firstLine="436"/>
        <w:spacing w:after="0" w:line="266" w:lineRule="auto"/>
        <w:tabs>
          <w:tab w:leader="none" w:pos="685"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HEREBY WAIVES TO THE FULLEST EXTENT PERMITTED BY APPLICABLE LAW TRIAL BY JURY IN ANY JUDICIAL PROCEEDING INVOLVING ANY DISPUTE, CONTROVERSY OR CLAIM ARISING OUT OF OR RELATING TO THIS AGREEMENT.</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0980"/>
          </w:cols>
          <w:pgMar w:left="440" w:top="270" w:right="479" w:bottom="1440" w:gutter="0" w:footer="0" w:header="0"/>
        </w:sectPr>
      </w:pPr>
    </w:p>
    <w:bookmarkStart w:id="459" w:name="page460"/>
    <w:bookmarkEnd w:id="459"/>
    <w:p>
      <w:pPr>
        <w:ind w:right="40" w:firstLine="991"/>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4.12.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Whenever possible, each provision of this Agreement shall be interpreted in such manner as to be effective and valid under applicable Law, but if any provision of this Agreement is held to be invalid, illegal or unenforceable in any respect under any applicable Law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w:t>
      </w:r>
    </w:p>
    <w:p>
      <w:pPr>
        <w:spacing w:after="0" w:line="164"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Each party hereto acknowledges that money damages would not be an adequate remedy in the event that any of the covenants or agreements in this Agreement are not performed in accordance with its terms, and it is therefore agreed that in addition to and without limiting any other remedy or right it may have, the non-breaching party will have the right to an injunction, temporary restraining order or other equitable relief in any court of competent jurisdiction enjoining any such breach and enforcing specifically the terms and provisions hereof.</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of the sections and subsections of this Agreement are for convenience of reference only and are not to be considered in construing this Agreement.</w:t>
      </w:r>
    </w:p>
    <w:p>
      <w:pPr>
        <w:spacing w:after="0" w:line="162"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This Agreement may only be enforced against, and any claims or cause of action that may be based upon, arise out of or relate to this Agreement, or the negotiation, execution or performance of this Agreement, may be made only against the entities that are expressly identified as parties hereto, and no past, present or future Affiliate, director, officer, employee, incorporator, member, manager, partner, stockholder, agent, attorney or representative of any party hereto shall have any liability for any obligations or liabilities of the parties to this Agreement or for any claim based on, in respect of, or by reason of the transactions contemplated hereby.</w:t>
      </w:r>
    </w:p>
    <w:p>
      <w:pPr>
        <w:spacing w:after="0" w:line="183"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Counterparts; Electronic Signatures</w:t>
      </w:r>
      <w:r>
        <w:rPr>
          <w:rFonts w:ascii="Times New Roman" w:cs="Times New Roman" w:eastAsia="Times New Roman" w:hAnsi="Times New Roman"/>
          <w:sz w:val="18"/>
          <w:szCs w:val="18"/>
          <w:color w:val="auto"/>
        </w:rPr>
        <w:t>. This Agreement may be executed in any number of counterparts, each of which shall be an original, but all of which together shall constitute one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Agreement shall become effective upon the Closing Date.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Stockholders’ Agreement as of the date set forth in the first paragraph hereof.</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Academy Sports and Outdoors, Inc. Stockholders’ Agreement</w:t>
      </w:r>
      <w:r>
        <w:rPr>
          <w:rFonts w:ascii="Times New Roman" w:cs="Times New Roman" w:eastAsia="Times New Roman" w:hAnsi="Times New Roman"/>
          <w:sz w:val="18"/>
          <w:szCs w:val="18"/>
          <w:color w:val="auto"/>
        </w:rPr>
        <w:t>]</w:t>
      </w:r>
    </w:p>
    <w:p>
      <w:pPr>
        <w:sectPr>
          <w:pgSz w:w="11900" w:h="16838" w:orient="portrait"/>
          <w:cols w:equalWidth="0" w:num="1">
            <w:col w:w="10240"/>
          </w:cols>
          <w:pgMar w:left="880" w:top="270" w:right="779" w:bottom="1440" w:gutter="0" w:footer="0" w:header="0"/>
        </w:sectPr>
      </w:pPr>
    </w:p>
    <w:bookmarkStart w:id="461" w:name="page462"/>
    <w:bookmarkEnd w:id="46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ALLSTAR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ALLSTAR CO-INVEST BLOCKER L.P.</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KKR 2006 ALLSTAR BLOCKER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Academy Sports and Outdoors, Inc. Stockholders’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6" w:right="1440" w:bottom="1440" w:gutter="0" w:footer="0" w:header="0"/>
        </w:sectPr>
      </w:pPr>
    </w:p>
    <w:bookmarkStart w:id="462" w:name="page463"/>
    <w:bookmarkEnd w:id="462"/>
    <w:p>
      <w:pPr>
        <w:ind w:left="1026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Assumption Agreement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Pursuant to the Stockholders’ Agreement, dated as of [_________], 2020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among Academy Sports and</w:t>
      </w:r>
    </w:p>
    <w:p>
      <w:pPr>
        <w:spacing w:after="0" w:line="27"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Outdoors,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each of the stockholders of the Company whose name appears on the signature pages listed therein (each, a “</w:t>
      </w:r>
      <w:r>
        <w:rPr>
          <w:rFonts w:ascii="Times New Roman" w:cs="Times New Roman" w:eastAsia="Times New Roman" w:hAnsi="Times New Roman"/>
          <w:sz w:val="17"/>
          <w:szCs w:val="17"/>
          <w:u w:val="single" w:color="auto"/>
          <w:color w:val="auto"/>
        </w:rPr>
        <w:t>Stockholder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Stockholders</w:t>
      </w:r>
      <w:r>
        <w:rPr>
          <w:rFonts w:ascii="Times New Roman" w:cs="Times New Roman" w:eastAsia="Times New Roman" w:hAnsi="Times New Roman"/>
          <w:sz w:val="17"/>
          <w:szCs w:val="17"/>
          <w:color w:val="auto"/>
        </w:rPr>
        <w:t>”), _________, (the “</w:t>
      </w:r>
      <w:r>
        <w:rPr>
          <w:rFonts w:ascii="Times New Roman" w:cs="Times New Roman" w:eastAsia="Times New Roman" w:hAnsi="Times New Roman"/>
          <w:sz w:val="17"/>
          <w:szCs w:val="17"/>
          <w:u w:val="single" w:color="auto"/>
          <w:color w:val="auto"/>
        </w:rPr>
        <w:t>Transferor</w:t>
      </w:r>
      <w:r>
        <w:rPr>
          <w:rFonts w:ascii="Times New Roman" w:cs="Times New Roman" w:eastAsia="Times New Roman" w:hAnsi="Times New Roman"/>
          <w:sz w:val="17"/>
          <w:szCs w:val="17"/>
          <w:color w:val="auto"/>
        </w:rPr>
        <w:t>”) hereby assigns to the undersigned the rights</w:t>
      </w:r>
    </w:p>
    <w:p>
      <w:pPr>
        <w:spacing w:after="0" w:line="255" w:lineRule="auto"/>
        <w:rPr>
          <w:sz w:val="20"/>
          <w:szCs w:val="20"/>
          <w:color w:val="auto"/>
        </w:rPr>
      </w:pPr>
      <w:r>
        <w:rPr>
          <w:rFonts w:ascii="Times New Roman" w:cs="Times New Roman" w:eastAsia="Times New Roman" w:hAnsi="Times New Roman"/>
          <w:sz w:val="18"/>
          <w:szCs w:val="18"/>
          <w:color w:val="auto"/>
        </w:rPr>
        <w:t>that may be assigned thereunder, and the undersigned hereby agrees that, having acquired Equity Securities as permitted by the terms of the Stockholders’ Agreement, the undersigned shall assume the obligations of the Transferor under the Stockholders’ Agreement. Capitalized terms used but not defined herein shall have the meanings assigned to them in the Stockholders’ Agreement.</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Listed below is information regarding the Equity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Number of Shares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66" w:right="439" w:bottom="1440" w:gutter="0" w:footer="0" w:header="0"/>
        </w:sectPr>
      </w:pPr>
    </w:p>
    <w:bookmarkStart w:id="463" w:name="page464"/>
    <w:bookmarkEnd w:id="463"/>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undersigned has executed this Assumption Agreement as of __________ ___, ________.</w:t>
      </w: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TRANSFEROR]</w:t>
      </w:r>
    </w:p>
    <w:p>
      <w:pPr>
        <w:spacing w:after="0" w:line="200" w:lineRule="exact"/>
        <w:rPr>
          <w:sz w:val="20"/>
          <w:szCs w:val="20"/>
          <w:color w:val="auto"/>
        </w:rPr>
      </w:pPr>
    </w:p>
    <w:p>
      <w:pPr>
        <w:spacing w:after="0" w:line="32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TRANSFEREE]</w:t>
      </w:r>
    </w:p>
    <w:p>
      <w:pPr>
        <w:spacing w:after="0" w:line="200" w:lineRule="exact"/>
        <w:rPr>
          <w:sz w:val="20"/>
          <w:szCs w:val="20"/>
          <w:color w:val="auto"/>
        </w:rPr>
      </w:pPr>
    </w:p>
    <w:p>
      <w:pPr>
        <w:spacing w:after="0" w:line="32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by: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464" w:name="page465"/>
    <w:bookmarkEnd w:id="464"/>
    <w:p>
      <w:pPr>
        <w:jc w:val="right"/>
        <w:spacing w:after="0"/>
        <w:rPr>
          <w:sz w:val="20"/>
          <w:szCs w:val="20"/>
          <w:color w:val="auto"/>
        </w:rPr>
      </w:pPr>
      <w:r>
        <w:rPr>
          <w:rFonts w:ascii="Times New Roman" w:cs="Times New Roman" w:eastAsia="Times New Roman" w:hAnsi="Times New Roman"/>
          <w:sz w:val="18"/>
          <w:szCs w:val="18"/>
          <w:b w:val="1"/>
          <w:bCs w:val="1"/>
          <w:color w:val="auto"/>
        </w:rPr>
        <w:t>Exhibit 10.36</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Academy, Ltd.</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1800 North Mason Road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Katy, Texas 77449</w:t>
      </w:r>
    </w:p>
    <w:p>
      <w:pPr>
        <w:spacing w:after="0" w:line="207" w:lineRule="exact"/>
        <w:rPr>
          <w:sz w:val="20"/>
          <w:szCs w:val="20"/>
          <w:color w:val="auto"/>
        </w:rPr>
      </w:pPr>
    </w:p>
    <w:p>
      <w:pPr>
        <w:ind w:left="9924"/>
        <w:spacing w:after="0"/>
        <w:rPr>
          <w:sz w:val="20"/>
          <w:szCs w:val="20"/>
          <w:color w:val="auto"/>
        </w:rPr>
      </w:pPr>
      <w:r>
        <w:rPr>
          <w:rFonts w:ascii="Times New Roman" w:cs="Times New Roman" w:eastAsia="Times New Roman" w:hAnsi="Times New Roman"/>
          <w:sz w:val="17"/>
          <w:szCs w:val="17"/>
          <w:color w:val="auto"/>
        </w:rPr>
        <w:t>August 3, 2011</w:t>
      </w: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Kohlberg Kravis Roberts &amp; Co L.P.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 West 57th St., Suite 4200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34"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Re:</w:t>
        <w:tab/>
        <w:t>Monitoring Agreement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This letter serves to confirm that Academy,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Texas limited partnership and an indirect subsidiary of New Academy Holding Company, LLC, a Delaware limited liability company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has engaged Kohlberg Kravis Roberts &amp; Co. L.P. (the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to provide, and the Manager hereby agrees to provide management, consulting and financial services to the Company and its direct and indirect divisions, subsidiaries, parent entities and controlled affiliates (collectively,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as follows:</w:t>
      </w:r>
    </w:p>
    <w:p>
      <w:pPr>
        <w:spacing w:after="0" w:line="72" w:lineRule="exact"/>
        <w:rPr>
          <w:sz w:val="20"/>
          <w:szCs w:val="20"/>
          <w:color w:val="auto"/>
        </w:rPr>
      </w:pPr>
    </w:p>
    <w:p>
      <w:pPr>
        <w:jc w:val="both"/>
        <w:ind w:left="4" w:right="60" w:firstLine="987"/>
        <w:spacing w:after="0" w:line="272" w:lineRule="auto"/>
        <w:tabs>
          <w:tab w:leader="none" w:pos="1175" w:val="left"/>
        </w:tabs>
        <w:numPr>
          <w:ilvl w:val="1"/>
          <w:numId w:val="4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engaged the Manager, and the Manager hereby agrees to accept such engagement, to provide to the Company Group, when and if called upon, such services as mutually agreed by the Manager and the Company, which services may include, without limitation: (i) general executive and management services; (ii) identification, support, negotiation and analysis of acquisitions and dispositions by the Company Group;</w:t>
      </w:r>
    </w:p>
    <w:p>
      <w:pPr>
        <w:spacing w:after="0" w:line="1" w:lineRule="exact"/>
        <w:rPr>
          <w:rFonts w:ascii="Times New Roman" w:cs="Times New Roman" w:eastAsia="Times New Roman" w:hAnsi="Times New Roman"/>
          <w:sz w:val="17"/>
          <w:szCs w:val="17"/>
          <w:color w:val="auto"/>
        </w:rPr>
      </w:pPr>
    </w:p>
    <w:p>
      <w:pPr>
        <w:ind w:left="4" w:right="180" w:hanging="4"/>
        <w:spacing w:after="0" w:line="251" w:lineRule="auto"/>
        <w:tabs>
          <w:tab w:leader="none" w:pos="319"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negotiation and analysis of financing alternatives, including, without limitation, in connection with acquisitions, capital expenditures and refinancing of existing indebtedness; (iv) finance functions, including assistance in the preparation of financial projections and monitoring of compliance with financing agreements; (v) human resources functions, including searching and recruiting of executives, but excluding formulation or promulgation of personnel policies or involvement in personnel decision making; and (vi) other services for the Company Group upon which the Company and the Manager may agree from time to time. Commencing on the date hereof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Company agrees to pay the Manager (or such affiliate(s) as the Manger may designate) an aggregate annual fee (the “</w:t>
      </w:r>
      <w:r>
        <w:rPr>
          <w:rFonts w:ascii="Times New Roman" w:cs="Times New Roman" w:eastAsia="Times New Roman" w:hAnsi="Times New Roman"/>
          <w:sz w:val="18"/>
          <w:szCs w:val="18"/>
          <w:u w:val="single" w:color="auto"/>
          <w:color w:val="auto"/>
        </w:rPr>
        <w:t>Advisory Fee</w:t>
      </w:r>
      <w:r>
        <w:rPr>
          <w:rFonts w:ascii="Times New Roman" w:cs="Times New Roman" w:eastAsia="Times New Roman" w:hAnsi="Times New Roman"/>
          <w:sz w:val="18"/>
          <w:szCs w:val="18"/>
          <w:color w:val="auto"/>
        </w:rPr>
        <w:t>”) in an amount equal to $2,500,000, which amount shall increase annually by five percent (5%), beginning on the first anniversary of the Effective Date. Each Advisory Fee shall be payable in quarterly installments in arrears at the end of each fiscal quarter. The initial Advisory Fee shall be pro rated to reflect the portion of the current fiscal quarter that will elapse after the Effective Date. The final quarterly Advisory Fee shall be pro rated to reflect the portion of the final fiscal quarter prior to the end of the term of this agreement, as applicable. The Advisory Fee shall be payable regardless of the level of services actually provided during any fiscal quarter and shall not be refundable under any circumstances.</w:t>
      </w:r>
    </w:p>
    <w:p>
      <w:pPr>
        <w:sectPr>
          <w:pgSz w:w="11900" w:h="16838" w:orient="portrait"/>
          <w:cols w:equalWidth="0" w:num="1">
            <w:col w:w="11024"/>
          </w:cols>
          <w:pgMar w:left="436" w:top="117" w:right="439" w:bottom="1440" w:gutter="0" w:footer="0" w:header="0"/>
        </w:sectPr>
      </w:pPr>
    </w:p>
    <w:bookmarkStart w:id="465" w:name="page466"/>
    <w:bookmarkEnd w:id="465"/>
    <w:p>
      <w:pPr>
        <w:ind w:right="60" w:firstLine="987"/>
        <w:spacing w:after="0" w:line="255" w:lineRule="auto"/>
        <w:tabs>
          <w:tab w:leader="none" w:pos="1171"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time to time the Manager may charge the Company a customary fee (a “</w:t>
      </w:r>
      <w:r>
        <w:rPr>
          <w:rFonts w:ascii="Times New Roman" w:cs="Times New Roman" w:eastAsia="Times New Roman" w:hAnsi="Times New Roman"/>
          <w:sz w:val="18"/>
          <w:szCs w:val="18"/>
          <w:u w:val="single" w:color="auto"/>
          <w:color w:val="auto"/>
        </w:rPr>
        <w:t>Transaction Fee</w:t>
      </w:r>
      <w:r>
        <w:rPr>
          <w:rFonts w:ascii="Times New Roman" w:cs="Times New Roman" w:eastAsia="Times New Roman" w:hAnsi="Times New Roman"/>
          <w:sz w:val="18"/>
          <w:szCs w:val="18"/>
          <w:color w:val="auto"/>
        </w:rPr>
        <w:t>”) for services, including investment banking or other financial advisory services, rendered in connection with securing, structuring and negotiating equity and debt financing, including with respect to any acquisition, divestiture or other transaction, initial public offering, or a debt or equity financing, in each case, by or involving the Company Group; provided that no Transaction Fee shall be payable pursuant to this Agreement in connection with the transactions contemplated by the Purchase and Sale Agreement, dated as of May 27, 2011, by and among Academy Holdings, Inc., a Nevada corporation, Holdco, Academy Managing Co., LLC, a Texas limited liability company, Associated Investors, Inc., a Nevada corporation, Allstar LLC, a Delaware limited liability company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Allstar Sub LLC, a Delaware limited liability company.</w:t>
      </w:r>
    </w:p>
    <w:p>
      <w:pPr>
        <w:spacing w:after="0" w:line="188" w:lineRule="exact"/>
        <w:rPr>
          <w:rFonts w:ascii="Times New Roman" w:cs="Times New Roman" w:eastAsia="Times New Roman" w:hAnsi="Times New Roman"/>
          <w:sz w:val="18"/>
          <w:szCs w:val="18"/>
          <w:color w:val="auto"/>
        </w:rPr>
      </w:pPr>
    </w:p>
    <w:p>
      <w:pPr>
        <w:ind w:firstLine="987"/>
        <w:spacing w:after="0" w:line="254" w:lineRule="auto"/>
        <w:tabs>
          <w:tab w:leader="none" w:pos="1171"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fees that may be payable to the Manager under this agreement, the Company shall, or shall cause one or more of its affiliates to, on behalf of itself and the other members of the Company Group (subject to paragraph 4), reimburse the Manager and its affiliates and its employees and agents, from to time upon request, for all reasonable out-of-pocket expenses incurred, including unreimbursed out-of-pocket expenses incurred to the date hereof, in connection with this retention, including travel expenses and other disbursements and expenses of any legal, accounting or other professional advisors to the Manager or its affiliates. The Manager may submit monthly expense statements to the Company or any other member of the Company Group for such out-of-pocket expenses, which statements shall be payable within thirty days. Nothing in this paragraph 3 shall limit any obligations of Holdco to reimburse any costs and expenses to Purchaser, its subsidiaries or affiliates as provided in the Amended and Restated Limited Liability Company Agreement of Holdco, dated as of the date hereof, among the parties thereto, as the same may be amended from time to time (the “</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140" w:firstLine="987"/>
        <w:spacing w:after="0" w:line="282" w:lineRule="auto"/>
        <w:tabs>
          <w:tab w:leader="none" w:pos="1171"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(on behalf of itself and the other members of the Company Group) hereby acknowledges and agrees that the obligations of the Company under paragraphs 1 through 3 shall be borne jointly and severally by each member of the Company Group.</w:t>
      </w:r>
    </w:p>
    <w:p>
      <w:pPr>
        <w:spacing w:after="0" w:line="161" w:lineRule="exact"/>
        <w:rPr>
          <w:rFonts w:ascii="Times New Roman" w:cs="Times New Roman" w:eastAsia="Times New Roman" w:hAnsi="Times New Roman"/>
          <w:sz w:val="18"/>
          <w:szCs w:val="18"/>
          <w:color w:val="auto"/>
        </w:rPr>
      </w:pPr>
    </w:p>
    <w:p>
      <w:pPr>
        <w:ind w:right="20" w:firstLine="987"/>
        <w:spacing w:after="0" w:line="256" w:lineRule="auto"/>
        <w:tabs>
          <w:tab w:leader="none" w:pos="1171"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and will cause each member of the Company Group to, use its reasonable best efforts to furnish, or to cause their respective subsidiaries and agents to furnish, the Manager with such information (the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as the Manager reasonably believes appropriate to its engagement hereunder. The Manager will keep the Information confidential in accordance with the confidentiality provisions of the LLC Agreement. The Company acknowledges and agrees that (i) the Manager will rely on the Information and on information available from generally recognized public sources in performing the services contemplated hereunder and (ii) the Manager does not assume responsibility for the accuracy or completeness of the Information or such other information.</w:t>
      </w:r>
    </w:p>
    <w:p>
      <w:pPr>
        <w:spacing w:after="0" w:line="187" w:lineRule="exact"/>
        <w:rPr>
          <w:rFonts w:ascii="Times New Roman" w:cs="Times New Roman" w:eastAsia="Times New Roman" w:hAnsi="Times New Roman"/>
          <w:sz w:val="18"/>
          <w:szCs w:val="18"/>
          <w:color w:val="auto"/>
        </w:rPr>
      </w:pPr>
    </w:p>
    <w:p>
      <w:pPr>
        <w:ind w:right="360" w:firstLine="987"/>
        <w:spacing w:after="0" w:line="266" w:lineRule="auto"/>
        <w:tabs>
          <w:tab w:leader="none" w:pos="1171"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(on behalf of itself and the other members of the Company Group) hereby acknowledges and agrees that the services provided by the Manager hereunder are being provided subject to the terms of the Indemnification Agreement, dated as of the date hereof, among Purchaser, Holdco, the Company and the Manager (as the same may be amended from time to time, the “</w:t>
      </w:r>
      <w:r>
        <w:rPr>
          <w:rFonts w:ascii="Times New Roman" w:cs="Times New Roman" w:eastAsia="Times New Roman" w:hAnsi="Times New Roman"/>
          <w:sz w:val="18"/>
          <w:szCs w:val="18"/>
          <w:u w:val="single" w:color="auto"/>
          <w:color w:val="auto"/>
        </w:rPr>
        <w:t>Indemnification Agreement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66" w:name="page467"/>
    <w:bookmarkEnd w:id="466"/>
    <w:p>
      <w:pPr>
        <w:ind w:right="520" w:firstLine="987"/>
        <w:spacing w:after="0" w:line="282" w:lineRule="auto"/>
        <w:tabs>
          <w:tab w:leader="none" w:pos="1171"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advice or opinions provided by the Manager may not be disclosed or referred to publicly or to any third party (other than the Company Group’s legal, tax, financial or other advisors), except with the prior written consent of the Manager.</w:t>
      </w:r>
    </w:p>
    <w:p>
      <w:pPr>
        <w:spacing w:after="0" w:line="161" w:lineRule="exact"/>
        <w:rPr>
          <w:rFonts w:ascii="Times New Roman" w:cs="Times New Roman" w:eastAsia="Times New Roman" w:hAnsi="Times New Roman"/>
          <w:sz w:val="18"/>
          <w:szCs w:val="18"/>
          <w:color w:val="auto"/>
        </w:rPr>
      </w:pPr>
    </w:p>
    <w:p>
      <w:pPr>
        <w:ind w:right="40" w:firstLine="987"/>
        <w:spacing w:after="0" w:line="282" w:lineRule="auto"/>
        <w:tabs>
          <w:tab w:leader="none" w:pos="1171"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grants the Manager and its affiliates a non-exclusive license to use the Company’s trademarks and logos, solely in connection with describing the Manager’s relationship with the Company and the other members of the Company Group.</w:t>
      </w:r>
    </w:p>
    <w:p>
      <w:pPr>
        <w:spacing w:after="0" w:line="161" w:lineRule="exact"/>
        <w:rPr>
          <w:rFonts w:ascii="Times New Roman" w:cs="Times New Roman" w:eastAsia="Times New Roman" w:hAnsi="Times New Roman"/>
          <w:sz w:val="18"/>
          <w:szCs w:val="18"/>
          <w:color w:val="auto"/>
        </w:rPr>
      </w:pPr>
    </w:p>
    <w:p>
      <w:pPr>
        <w:ind w:firstLine="987"/>
        <w:spacing w:after="0" w:line="253" w:lineRule="auto"/>
        <w:tabs>
          <w:tab w:leader="none" w:pos="1171"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Manager shall act as an independent contractor, with duties solely to the Company Group. The provisions hereof shall inure to the benefit of and shall be binding upon the parties hereto and their respective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neither this agreement nor any right, interest or obligation hereunder may be assigned by any party, whether by operation of law or otherwise, without the express written consent of the other parties hereto and (ii) any assignment by the Manager of its rights but not the obligations under this agreement to any entity directly or indirectly controlling, controlled by or under common control with the Manager shall be expressly permitted hereunder and shall not require the prior written consent of the other parties hereto. Nothing in this agreement, expressed or implied, is intended to confer on any person other than the parties hereto or their respective successors and assigns, any rights or remedies under or by reason of this agreement. Without limiting the generality of the foregoing, the parties acknowledge that nothing in this agreement, expressed or implied, is intended to confer on any present or future holders of any securities of the Company or its subsidiaries or affiliates, or any present or future creditor of the Company or its subsidiaries or affiliates, any rights or remedies under or by reason of this agreement or any performance hereunder.</w:t>
      </w:r>
    </w:p>
    <w:p>
      <w:pPr>
        <w:spacing w:after="0" w:line="194" w:lineRule="exact"/>
        <w:rPr>
          <w:rFonts w:ascii="Times New Roman" w:cs="Times New Roman" w:eastAsia="Times New Roman" w:hAnsi="Times New Roman"/>
          <w:sz w:val="18"/>
          <w:szCs w:val="18"/>
          <w:color w:val="auto"/>
        </w:rPr>
      </w:pPr>
    </w:p>
    <w:p>
      <w:pPr>
        <w:ind w:right="80" w:firstLine="987"/>
        <w:spacing w:after="0" w:line="258" w:lineRule="auto"/>
        <w:tabs>
          <w:tab w:leader="none" w:pos="1261"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internal laws of the State of New York. Each of the parties hereby agrees that any action or proceeding arising out of this agreement or the transactions contemplated hereby shall be brought in the federal or state courts sitting in the County of New York, in the City of New York, New York, and each of the parties hereby consents to submit itself to the personal jurisdiction of such courts in any such action or proceeding, and hereby waives any defense of inconvenient forum to the maintenance of any action or proceeding so brought and waives any bond, surety or other security that might be required of any other party with respect thereto.</w:t>
      </w:r>
    </w:p>
    <w:p>
      <w:pPr>
        <w:spacing w:after="0" w:line="183"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and other communications provided for hereunder shall be in writing and shall be sent by first class mail, facsimile or hand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w:t>
      </w:r>
    </w:p>
    <w:p>
      <w:pPr>
        <w:sectPr>
          <w:pgSz w:w="11900" w:h="16838" w:orient="portrait"/>
          <w:cols w:equalWidth="0" w:num="1">
            <w:col w:w="11000"/>
          </w:cols>
          <w:pgMar w:left="440" w:top="270" w:right="459" w:bottom="1440" w:gutter="0" w:footer="0" w:header="0"/>
        </w:sectPr>
      </w:pPr>
    </w:p>
    <w:p>
      <w:pPr>
        <w:spacing w:after="0" w:line="23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1800 North Mason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Katy, Texas 77449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Facsimile: (281) 646-5071</w:t>
      </w:r>
    </w:p>
    <w:p>
      <w:pPr>
        <w:spacing w:after="0" w:line="164" w:lineRule="exact"/>
        <w:rPr>
          <w:sz w:val="20"/>
          <w:szCs w:val="20"/>
          <w:color w:val="auto"/>
        </w:rPr>
      </w:pPr>
    </w:p>
    <w:p>
      <w:pPr>
        <w:sectPr>
          <w:pgSz w:w="11900" w:h="16838" w:orient="portrait"/>
          <w:cols w:equalWidth="0" w:num="2">
            <w:col w:w="3260" w:space="720"/>
            <w:col w:w="7020"/>
          </w:cols>
          <w:pgMar w:left="440" w:top="270" w:right="4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000"/>
          </w:cols>
          <w:pgMar w:left="440" w:top="270" w:right="459" w:bottom="1440" w:gutter="0" w:footer="0" w:header="0"/>
          <w:type w:val="continuous"/>
        </w:sectPr>
      </w:pPr>
    </w:p>
    <w:bookmarkStart w:id="467" w:name="page468"/>
    <w:bookmarkEnd w:id="467"/>
    <w:p>
      <w:pPr>
        <w:ind w:left="1080"/>
        <w:spacing w:after="0"/>
        <w:rPr>
          <w:sz w:val="20"/>
          <w:szCs w:val="20"/>
          <w:color w:val="auto"/>
        </w:rPr>
      </w:pPr>
      <w:r>
        <w:rPr>
          <w:rFonts w:ascii="Times New Roman" w:cs="Times New Roman" w:eastAsia="Times New Roman" w:hAnsi="Times New Roman"/>
          <w:sz w:val="17"/>
          <w:szCs w:val="17"/>
          <w:color w:val="auto"/>
        </w:rPr>
        <w:t>If to the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Kohlberg Kravis Roberts &amp; Co.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-205740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West 57th St., Suite 4200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David Sorkin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750-0003</w:t>
      </w:r>
    </w:p>
    <w:p>
      <w:pPr>
        <w:spacing w:after="0" w:line="112" w:lineRule="exact"/>
        <w:rPr>
          <w:sz w:val="20"/>
          <w:szCs w:val="20"/>
          <w:color w:val="auto"/>
        </w:rPr>
      </w:pPr>
    </w:p>
    <w:p>
      <w:pPr>
        <w:sectPr>
          <w:pgSz w:w="11900" w:h="16838" w:orient="portrait"/>
          <w:cols w:equalWidth="0" w:num="2">
            <w:col w:w="3260" w:space="720"/>
            <w:col w:w="7000"/>
          </w:cols>
          <w:pgMar w:left="440" w:top="270" w:right="479" w:bottom="1440" w:gutter="0" w:footer="0" w:header="0"/>
        </w:sectPr>
      </w:pPr>
    </w:p>
    <w:p>
      <w:pPr>
        <w:ind w:left="3980"/>
        <w:spacing w:after="0"/>
        <w:rPr>
          <w:sz w:val="20"/>
          <w:szCs w:val="20"/>
          <w:color w:val="auto"/>
        </w:rPr>
      </w:pPr>
      <w:r>
        <w:rPr>
          <w:rFonts w:ascii="Times New Roman" w:cs="Times New Roman" w:eastAsia="Times New Roman" w:hAnsi="Times New Roman"/>
          <w:sz w:val="18"/>
          <w:szCs w:val="18"/>
          <w:color w:val="auto"/>
        </w:rPr>
        <w:t>and</w:t>
      </w:r>
    </w:p>
    <w:p>
      <w:pPr>
        <w:spacing w:after="0" w:line="1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color w:val="auto"/>
        </w:rPr>
        <w:t>Kohlberg Kravis Roberts &amp; Co. L.P.</w:t>
      </w:r>
    </w:p>
    <w:p>
      <w:pPr>
        <w:spacing w:after="0" w:line="3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2800 Sand Hill Road, Suite 200</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Menlo Park, California 94025</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Facsimile: (650) 233-6553</w:t>
      </w:r>
    </w:p>
    <w:p>
      <w:pPr>
        <w:sectPr>
          <w:pgSz w:w="11900" w:h="16838" w:orient="portrait"/>
          <w:cols w:equalWidth="0" w:num="1">
            <w:col w:w="10980"/>
          </w:cols>
          <w:pgMar w:left="440" w:top="270" w:right="479" w:bottom="1440" w:gutter="0" w:footer="0" w:header="0"/>
          <w:type w:val="continuous"/>
        </w:sectPr>
      </w:pPr>
    </w:p>
    <w:p>
      <w:pPr>
        <w:spacing w:after="0" w:line="1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(which shall not constitute notice)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Simpson Thacher &amp; Bartlett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Attention:Marni Lerner,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Facsimile:(212) 455-2502</w:t>
      </w:r>
    </w:p>
    <w:p>
      <w:pPr>
        <w:spacing w:after="0" w:line="200" w:lineRule="exact"/>
        <w:rPr>
          <w:sz w:val="20"/>
          <w:szCs w:val="20"/>
          <w:color w:val="auto"/>
        </w:rPr>
      </w:pPr>
    </w:p>
    <w:p>
      <w:pPr>
        <w:sectPr>
          <w:pgSz w:w="11900" w:h="16838" w:orient="portrait"/>
          <w:cols w:equalWidth="0" w:num="2">
            <w:col w:w="3520" w:space="460"/>
            <w:col w:w="7000"/>
          </w:cols>
          <w:pgMar w:left="440" w:top="270" w:right="479" w:bottom="1440" w:gutter="0" w:footer="0" w:header="0"/>
          <w:type w:val="continuous"/>
        </w:sectPr>
      </w:pPr>
    </w:p>
    <w:p>
      <w:pPr>
        <w:spacing w:after="0" w:line="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or to such other address as any of the above shall have designated in writing to the other above. All such notices and communications shall be deemed to have been given or made (i) when delivered by hand, (ii) five business days after being deposited in the mail, postage prepaid or (iii) when telecopied, receipt acknowledged.</w:t>
      </w:r>
    </w:p>
    <w:p>
      <w:pPr>
        <w:spacing w:after="0" w:line="176" w:lineRule="exact"/>
        <w:rPr>
          <w:sz w:val="20"/>
          <w:szCs w:val="20"/>
          <w:color w:val="auto"/>
        </w:rPr>
      </w:pPr>
    </w:p>
    <w:p>
      <w:pPr>
        <w:ind w:right="20" w:firstLine="987"/>
        <w:spacing w:after="0" w:line="252" w:lineRule="auto"/>
        <w:tabs>
          <w:tab w:leader="none" w:pos="1261"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continue in effect from year to year unless amended or terminated by the consent of all of the parties hereto. In addition, the Company may terminate this agreement by delivery of a written notice of termination to the Manager at any time after the Manager and its affiliates no longer holds any of the membership interests in Holdco;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such a termination the Company shall pay in cash to the Manager all unpaid Advisory Fees payable to the Manager hereunder and all expenses due under this agreement to the Manager with respect to periods prior to the termination date. In addition, (i) in connection with the consummation of a Change of Control (as defined in the LLC Agreement, without giving effect to the proviso set forth in such definition), the Company may terminate this agreement by delivery of a written notice of termination to the Manager and (ii) immediately following the consummation of an Initial Public Offering (as defined in the LLC Agreement), this agreement shall automatically terminate unless the Company, by delivery of a written notice to the Manager prior to such consummation, otherwise elects to continue this agreement in full force and effect. In the event of a termination of this agreement pursuant to the immediately preceding sentence, the Company shall upon such termination pay in cash to the Manager (a) all unpaid Advisory Fees payable to the Manager hereunder and all expenses due under this agreement to the Manager with respect to periods prior to the termination date, plus (b) the net present value (using a discount rate equal to the yield as of such termination date on U.S. Treasury securities of like maturity based on the times such payments would have been due) of the Advisory Fees that would have been payable with respect to the period from the termination date through the twelfth anniversary of the Effective Date, or, if terminated following the twelfth anniversary of the Effective Date, through the first anniversary of the Effective Date occurring after such termination date.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type w:val="continuous"/>
        </w:sectPr>
      </w:pPr>
    </w:p>
    <w:bookmarkStart w:id="468" w:name="page469"/>
    <w:bookmarkEnd w:id="468"/>
    <w:p>
      <w:pPr>
        <w:ind w:right="20" w:firstLine="987"/>
        <w:spacing w:after="0" w:line="282" w:lineRule="auto"/>
        <w:tabs>
          <w:tab w:leader="none" w:pos="1261"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party hereto represents and warrants that the execution and delivery of this agreement by such party has been duly authorized by all necessary action of such party.</w:t>
      </w:r>
    </w:p>
    <w:p>
      <w:pPr>
        <w:spacing w:after="0" w:line="161" w:lineRule="exact"/>
        <w:rPr>
          <w:rFonts w:ascii="Times New Roman" w:cs="Times New Roman" w:eastAsia="Times New Roman" w:hAnsi="Times New Roman"/>
          <w:sz w:val="18"/>
          <w:szCs w:val="18"/>
          <w:color w:val="auto"/>
        </w:rPr>
      </w:pPr>
    </w:p>
    <w:p>
      <w:pPr>
        <w:ind w:right="80" w:firstLine="987"/>
        <w:spacing w:after="0" w:line="258" w:lineRule="auto"/>
        <w:tabs>
          <w:tab w:leader="none" w:pos="1261"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term or provision of this agreement or the application thereof shall, in any jurisdiction and to any extent, be invalid and unenforceable, such term or provision shall be ineffective, as to such jurisdiction, solely to the extent of such invalidity or unenforceability without rendering invalid or unenforceable any remaining terms or provisions hereof or affecting the validity or enforceability of such term or provision in any other jurisdiction. To the extent permitted by applicable law, the parties hereto waive any provision of law that renders any term or provision of this agreement invalid or unenforceable in any respect.</w:t>
      </w:r>
    </w:p>
    <w:p>
      <w:pPr>
        <w:spacing w:after="0" w:line="183" w:lineRule="exact"/>
        <w:rPr>
          <w:rFonts w:ascii="Times New Roman" w:cs="Times New Roman" w:eastAsia="Times New Roman" w:hAnsi="Times New Roman"/>
          <w:sz w:val="18"/>
          <w:szCs w:val="18"/>
          <w:color w:val="auto"/>
        </w:rPr>
      </w:pPr>
    </w:p>
    <w:p>
      <w:pPr>
        <w:ind w:firstLine="987"/>
        <w:spacing w:after="0" w:line="266" w:lineRule="auto"/>
        <w:tabs>
          <w:tab w:leader="none" w:pos="1261"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waives all right to trial by jury in any action, proceeding or counterclaim (whether based upon contract, tort or otherwise) related to or arising out of the retention of the Manager pursuant to, or the performance by the Manager of the services contemplated by, this agreement.</w:t>
      </w:r>
    </w:p>
    <w:p>
      <w:pPr>
        <w:spacing w:after="0" w:line="17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expressly understood that the foregoing paragraphs 2-7, 9-12 and paragraphs 15—19, in their entirety, survive any termination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w:t>
      </w:r>
    </w:p>
    <w:p>
      <w:pPr>
        <w:spacing w:after="0" w:line="206" w:lineRule="exact"/>
        <w:rPr>
          <w:rFonts w:ascii="Times New Roman" w:cs="Times New Roman" w:eastAsia="Times New Roman" w:hAnsi="Times New Roman"/>
          <w:sz w:val="18"/>
          <w:szCs w:val="18"/>
          <w:color w:val="auto"/>
        </w:rPr>
      </w:pPr>
    </w:p>
    <w:p>
      <w:pPr>
        <w:ind w:right="40" w:firstLine="987"/>
        <w:spacing w:after="0" w:line="252" w:lineRule="auto"/>
        <w:tabs>
          <w:tab w:leader="none" w:pos="1261"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cases of fraud, gross negligence or willful misconduct, none of the Manager, its affiliates nor any of their respective employees, officers, directors, managers, partners, consultants, members, stockholders or their respective affiliates shall have any liability of any kind whatsoever to any member of the Company Group for any damages, losses or expenses (including, without limitation, special, punitive, incidental or consequential damages, lost profits and interest, penalties and fees and disbursements of attorneys, accountants, investment bankers and other professional advisors) with respect to the provision of services hereunder. The Company (on behalf of itself and the other members of the Company Group), by its acceptance of the benefits hereof, covenants, agrees and acknowledges that no person other than the Manager shall have any obligation hereunder and that it has no rights of recovery against, and no recourse hereunder or under any documents or instruments delivered in connection herewith shall be had against, any former, current or future director, officer, manager, agent, consultant, affiliate or employee of the Manager (or any of their successors or permitted assignees), against any former, current or future general or limited partner, member or stockholder of the Manager (or any of its successors or permitted assignees) or any affiliate thereof or against any former, current or future director, officer, agent, consultant, employee, affiliate, general or limited partner, stockholder, manager or member of any of the foregoing (collectively, the “</w:t>
      </w:r>
      <w:r>
        <w:rPr>
          <w:rFonts w:ascii="Times New Roman" w:cs="Times New Roman" w:eastAsia="Times New Roman" w:hAnsi="Times New Roman"/>
          <w:sz w:val="18"/>
          <w:szCs w:val="18"/>
          <w:u w:val="single" w:color="auto"/>
          <w:color w:val="auto"/>
        </w:rPr>
        <w:t>Manager Affiliates</w:t>
      </w:r>
      <w:r>
        <w:rPr>
          <w:rFonts w:ascii="Times New Roman" w:cs="Times New Roman" w:eastAsia="Times New Roman" w:hAnsi="Times New Roman"/>
          <w:sz w:val="18"/>
          <w:szCs w:val="18"/>
          <w:color w:val="auto"/>
        </w:rPr>
        <w:t>”), whether by or through attempted piercing of the corporate veil, by or through a claim by or on behalf of Purchaser, Holdco or the Company against the Manager Affiliates, by the enforcement of any judgment or assessment or by any legal or equitable proceeding, or by virtue of any statute, regulation or other applicable law, or otherwise.</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40" w:top="270" w:right="539" w:bottom="1440" w:gutter="0" w:footer="0" w:header="0"/>
        </w:sectPr>
      </w:pPr>
    </w:p>
    <w:bookmarkStart w:id="469" w:name="page470"/>
    <w:bookmarkEnd w:id="469"/>
    <w:p>
      <w:pPr>
        <w:ind w:left="-100" w:right="100" w:firstLine="987"/>
        <w:spacing w:after="0" w:line="256" w:lineRule="auto"/>
        <w:tabs>
          <w:tab w:leader="none" w:pos="1161"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letter agreement, the LLC Agreement and the Indemnification Agreement contain the complete and entire understanding and agreement between the Manager and the Company with respect to the subject matter hereof and supersede all prior and contemporaneous understandings, conditions and agreements, whether written or oral, express or implied, in respect of the subject matter hereof. The Company acknowledges and agrees that the Manager makes no representations or warranties in connection with this letter agreement or its provision of services pursuant hereto. The Company agrees that any acknowledgment or agreement made by the Company in this letter agreement is made on behalf of the Company and the other members of the Company Group.</w:t>
      </w:r>
    </w:p>
    <w:p>
      <w:pPr>
        <w:spacing w:after="0" w:line="187" w:lineRule="exact"/>
        <w:rPr>
          <w:rFonts w:ascii="Times New Roman" w:cs="Times New Roman" w:eastAsia="Times New Roman" w:hAnsi="Times New Roman"/>
          <w:sz w:val="18"/>
          <w:szCs w:val="18"/>
          <w:color w:val="auto"/>
        </w:rPr>
      </w:pPr>
    </w:p>
    <w:p>
      <w:pPr>
        <w:ind w:left="-100" w:firstLine="987"/>
        <w:spacing w:after="0" w:line="282" w:lineRule="auto"/>
        <w:tabs>
          <w:tab w:leader="none" w:pos="1161"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counterparts, each of which shall be deemed an original agreement, but all of which together shall constitute one and the same instrument.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00"/>
          </w:cols>
          <w:pgMar w:left="540" w:top="270" w:right="559" w:bottom="1440" w:gutter="0" w:footer="0" w:header="0"/>
        </w:sectPr>
      </w:pPr>
    </w:p>
    <w:bookmarkStart w:id="470" w:name="page471"/>
    <w:bookmarkEnd w:id="470"/>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sets forth the understanding between us, please so indicate on the enclosed signed copy of this letter in the space provided therefor and return it to us, whereupon this letter shall constitute a binding agreement among us.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ACADEMY, LTD.</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Academy Managing Co., LLC,</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Rodney Faldyn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Rodney Faldyn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&amp; CEO</w:t>
      </w:r>
    </w:p>
    <w:p>
      <w:pPr>
        <w:spacing w:after="0" w:line="1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Monitoring Agreement – Signature Page</w:t>
      </w:r>
    </w:p>
    <w:p>
      <w:pPr>
        <w:sectPr>
          <w:pgSz w:w="11900" w:h="16838" w:orient="portrait"/>
          <w:cols w:equalWidth="0" w:num="1">
            <w:col w:w="10940"/>
          </w:cols>
          <w:pgMar w:left="440" w:top="270" w:right="519"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AGREED TO AND ACCEPTED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KOHLBERG KRAVIS ROBERTS &amp; CO.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Sorkin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David Sorkin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Secretary</w:t>
      </w:r>
    </w:p>
    <w:p>
      <w:pPr>
        <w:spacing w:after="0" w:line="137"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Monitoring Agreement – Signature Page</w:t>
      </w:r>
    </w:p>
    <w:p>
      <w:pPr>
        <w:sectPr>
          <w:pgSz w:w="11900" w:h="16838" w:orient="portrait"/>
          <w:cols w:equalWidth="0" w:num="1">
            <w:col w:w="10019"/>
          </w:cols>
          <w:pgMar w:left="440" w:top="270" w:right="1440" w:bottom="1440" w:gutter="0" w:footer="0" w:header="0"/>
        </w:sectPr>
      </w:pPr>
    </w:p>
    <w:bookmarkStart w:id="472" w:name="page473"/>
    <w:bookmarkEnd w:id="472"/>
    <w:tbl>
      <w:tblPr>
        <w:tblLayout w:type="fixed"/>
        <w:tblInd w:w="98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6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w w:val="97"/>
              </w:rPr>
              <w:t>Exhibit 10.37</w:t>
            </w:r>
          </w:p>
        </w:tc>
      </w:tr>
      <w:tr>
        <w:trPr>
          <w:trHeight w:val="392"/>
        </w:trPr>
        <w:tc>
          <w:tcPr>
            <w:tcW w:w="3060" w:type="dxa"/>
            <w:vAlign w:val="bottom"/>
          </w:tcPr>
          <w:p>
            <w:pPr>
              <w:spacing w:after="0"/>
              <w:rPr>
                <w:sz w:val="24"/>
                <w:szCs w:val="24"/>
                <w:color w:val="auto"/>
              </w:rPr>
            </w:pPr>
          </w:p>
        </w:tc>
        <w:tc>
          <w:tcPr>
            <w:tcW w:w="6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tc>
      </w:tr>
      <w:tr>
        <w:trPr>
          <w:trHeight w:val="20"/>
        </w:trPr>
        <w:tc>
          <w:tcPr>
            <w:tcW w:w="3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412"/>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This Indemnification Agreement is dated as of</w:t>
            </w:r>
          </w:p>
        </w:tc>
        <w:tc>
          <w:tcPr>
            <w:tcW w:w="64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2020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is between Academy Sports and Outdoors, Inc., a</w:t>
            </w:r>
          </w:p>
        </w:tc>
      </w:tr>
      <w:tr>
        <w:trPr>
          <w:trHeight w:val="20"/>
        </w:trPr>
        <w:tc>
          <w:tcPr>
            <w:tcW w:w="3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the undersigned director/officer of the Company (“</w:t>
      </w:r>
      <w:r>
        <w:rPr>
          <w:rFonts w:ascii="Times New Roman" w:cs="Times New Roman" w:eastAsia="Times New Roman" w:hAnsi="Times New Roman"/>
          <w:sz w:val="18"/>
          <w:szCs w:val="18"/>
          <w:b w:val="1"/>
          <w:bCs w:val="1"/>
          <w:u w:val="single" w:color="auto"/>
          <w:color w:val="auto"/>
        </w:rPr>
        <w:t>Indemnitee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29"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The Company believes that, in order to attract and retain highly competent persons to serve as directors or in other capacities, including as officers, it must provide such persons with adequate protection through indemnification against the risks of claims and actions against them arising out of their services to and activities on behalf of the Company.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desires and has requested Indemnitee to serve as a director and/or officer of the Company and, in order to induce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Indemnitee to serve as a director and/or officer of the Company, the Company is willing to grant Indemnitee the indemnification provided for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Indemnitee is willing to so serve on the basis that such indemnification be provided.</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parties by this Agreement desire to set forth their agreement regarding indemnification and the advancement of expenses.</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In consideration of Indemnitee’s service to the Company and the covenants and agreements set forth below, and for other good and valuable consideration, the receipt and adequacy of which are hereby acknowledged, the parties hereto, intending to be legally bound, hereby agree as follows.</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 the fullest extent permitted by the General Corporation Law of the State of Delaware (the “</w:t>
      </w:r>
      <w:r>
        <w:rPr>
          <w:rFonts w:ascii="Times New Roman" w:cs="Times New Roman" w:eastAsia="Times New Roman" w:hAnsi="Times New Roman"/>
          <w:sz w:val="18"/>
          <w:szCs w:val="18"/>
          <w:b w:val="1"/>
          <w:bCs w:val="1"/>
          <w:u w:val="single" w:color="auto"/>
          <w:color w:val="auto"/>
        </w:rPr>
        <w:t>DGCL</w:t>
      </w:r>
      <w:r>
        <w:rPr>
          <w:rFonts w:ascii="Times New Roman" w:cs="Times New Roman" w:eastAsia="Times New Roman" w:hAnsi="Times New Roman"/>
          <w:sz w:val="18"/>
          <w:szCs w:val="18"/>
          <w:color w:val="auto"/>
        </w:rPr>
        <w:t>”), but subject to Section 6:</w:t>
      </w:r>
    </w:p>
    <w:p>
      <w:pPr>
        <w:spacing w:after="0" w:line="229" w:lineRule="exact"/>
        <w:rPr>
          <w:sz w:val="20"/>
          <w:szCs w:val="20"/>
          <w:color w:val="auto"/>
        </w:rPr>
      </w:pPr>
    </w:p>
    <w:p>
      <w:pPr>
        <w:ind w:right="80" w:firstLine="987"/>
        <w:spacing w:after="0" w:line="255" w:lineRule="auto"/>
        <w:tabs>
          <w:tab w:leader="none" w:pos="123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Indemnitee if Indemnitee was or is made or is threatened to be made a party to, or is otherwise involved in, as a witness or otherwise, any action, suit or proceeding (brought by or in the right of the Company or otherwise), whether civil, criminal, administrative or investigative, by reason of the fact that Indemnitee is or was or has agreed to serve as a director or officer of the Company, or while serving as a director or officer of the Company, is or was serving or has agreed to serve at the request of the Company as a director, officer, employee or agent (which, for purposes hereof, shall include a trustee, fiduciary, partner or manager or similar capacity) of another corporation, limited liability company, partnership, joint venture, trust, employee benefit plan or other enterprise, or by reason of any action alleged to have been taken or omitted in any such capacity.</w:t>
      </w:r>
    </w:p>
    <w:p>
      <w:pPr>
        <w:spacing w:after="0" w:line="188" w:lineRule="exact"/>
        <w:rPr>
          <w:rFonts w:ascii="Times New Roman" w:cs="Times New Roman" w:eastAsia="Times New Roman" w:hAnsi="Times New Roman"/>
          <w:sz w:val="18"/>
          <w:szCs w:val="18"/>
          <w:color w:val="auto"/>
        </w:rPr>
      </w:pPr>
    </w:p>
    <w:p>
      <w:pPr>
        <w:ind w:right="320" w:firstLine="987"/>
        <w:spacing w:after="0" w:line="266" w:lineRule="auto"/>
        <w:tabs>
          <w:tab w:leader="none" w:pos="124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provided by this Section 1 shall be from and against all loss and liability suffered and expenses (including reasonable attorneys’ fees), judgments, fines and amounts paid in settlement actually incurred by or on behalf of Indemnitee in connection with such action, suit or proceeding, including any appeals.</w:t>
      </w:r>
    </w:p>
    <w:p>
      <w:pPr>
        <w:spacing w:after="0" w:line="172"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Advance Payment of Expenses</w:t>
      </w:r>
      <w:r>
        <w:rPr>
          <w:rFonts w:ascii="Times New Roman" w:cs="Times New Roman" w:eastAsia="Times New Roman" w:hAnsi="Times New Roman"/>
          <w:sz w:val="18"/>
          <w:szCs w:val="18"/>
          <w:color w:val="auto"/>
        </w:rPr>
        <w:t>. To the fullest extent permitted by the DGCL, expenses (including attorneys’ fees) incurred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in appearing at, participating in or defending any action, suit or proceeding or in connection with an enforcement action as contemplated by Section 3(e), shall be paid by the Company in advance of the final disposition of such action, suit or proceeding within 30 days after receipt by the Company of a statement or statements from Indemnitee requesting such advance or advances from time to time. Indemnitee hereby undertakes to repay any amounts advanced (without interest) to the extent that it is ultimately determined that Indemnitee is not entitled under this Agreement to be indemnified by the Company in respect thereof. No other form of undertaking shall be required of Indemnitee other than the execution of this Agreement. This Section 2 shall be subject to Section 3(b) and shall not apply to any claim made by Indemnitee for which indemnity is excluded pursuant to Sections 6 and 7.</w:t>
      </w:r>
    </w:p>
    <w:p>
      <w:pPr>
        <w:sectPr>
          <w:pgSz w:w="11900" w:h="16838" w:orient="portrait"/>
          <w:cols w:equalWidth="0" w:num="1">
            <w:col w:w="11020"/>
          </w:cols>
          <w:pgMar w:left="440" w:top="117" w:right="439" w:bottom="1440" w:gutter="0" w:footer="0" w:header="0"/>
        </w:sectPr>
      </w:pPr>
    </w:p>
    <w:bookmarkStart w:id="473" w:name="page474"/>
    <w:bookmarkEnd w:id="473"/>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 </w:t>
      </w:r>
      <w:r>
        <w:rPr>
          <w:rFonts w:ascii="Times New Roman" w:cs="Times New Roman" w:eastAsia="Times New Roman" w:hAnsi="Times New Roman"/>
          <w:sz w:val="18"/>
          <w:szCs w:val="18"/>
          <w:b w:val="1"/>
          <w:bCs w:val="1"/>
          <w:u w:val="single" w:color="auto"/>
          <w:color w:val="auto"/>
        </w:rPr>
        <w:t>Procedure for Indemnification; Notification and Defense of Claim</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0" w:right="60" w:firstLine="987"/>
        <w:spacing w:after="0" w:line="255" w:lineRule="auto"/>
        <w:tabs>
          <w:tab w:leader="none" w:pos="121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Indemnitee of notice of the commencement of any action, suit or proceeding, Indemnitee shall, if a claim in respect thereof is to be made against the Company hereunder, notify the Company in writing of the commencement thereof. The failure to promptly notify the Company of the commencement of the action, suit or proceeding, or of Indemnitee’s request for indemnification, will not relieve the Company from any liability that it may have to Indemnitee hereunder, except to the extent the Company is actually and materially prejudiced in its defense of such action, suit or proceeding as a result of such failure. To obtain indemnification under this Agreement, Indemnitee shall submit to the Company a written request therefor including such documentation and information as is reasonably available to Indemnitee and is reasonably necessary to enable the Company to determine whether and to what extent Indemnitee is entitled to indemnification.</w:t>
      </w:r>
    </w:p>
    <w:p>
      <w:pPr>
        <w:spacing w:after="0" w:line="188"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action, suit or proceeding of which the Company is so notified as provided in this Agreement, the Company shall, subject to the last two sentences of this paragraph, be entitled to assume the defense of such action, suit or proceeding, with counsel reasonably acceptable to Indemnitee, upon the delivery to Indemnitee of written notice of its election to do so. After delivery of such notice, approval of such counsel by Indemnitee and the retention of such counsel by the Company, the Company will not be liable to Indemnitee under this Agreement for any subsequently-incurred fees of separate counsel engaged by Indemnitee with respect to the same action, suit or proceeding unless the employment of separate counsel by Indemnitee has been previously authorized in writing by the Company. Notwithstanding the foregoing, if Indemnitee, based on the advice of his or her counsel, shall have reasonably concluded (with written notice being given to the Company setting forth the basis for such conclusion) that, in the conduct of any such defense, there is or is reasonably likely to be a conflict of interest or position between the Company and Indemnitee with respect to a significant issue, then the Company will not be entitled, without the written consent of Indemnitee, to assume such defense, and, if the Company has already assumed such defense prior to receipt of such notice, Indemnitee will be entitled to take over such defense from the Company. In addition, the Company will not be entitled, without the written consent of Indemnitee, to assume the defense of any claim against Indemnitee brought by or in the right of the Company.</w:t>
      </w:r>
    </w:p>
    <w:p>
      <w:pPr>
        <w:spacing w:after="0" w:line="189" w:lineRule="exact"/>
        <w:rPr>
          <w:rFonts w:ascii="Times New Roman" w:cs="Times New Roman" w:eastAsia="Times New Roman" w:hAnsi="Times New Roman"/>
          <w:sz w:val="18"/>
          <w:szCs w:val="18"/>
          <w:color w:val="auto"/>
        </w:rPr>
      </w:pPr>
    </w:p>
    <w:p>
      <w:pPr>
        <w:ind w:left="-20" w:right="80" w:firstLine="987"/>
        <w:spacing w:after="0" w:line="256" w:lineRule="auto"/>
        <w:tabs>
          <w:tab w:leader="none" w:pos="121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DGCL, unless Indemnitee is ineligible for indemnification pursuant to Section 6, the Company’s assumption of the defense of an action, suit or proceeding in accordance with paragraph (b) above will constitute an irrevocable acknowledgement by the Company that any loss and liability suffered by Indemnitee and expenses (including attorneys’ fees), judgments, fines and amounts paid in settlement by or for the account of Indemnitee incurred in connection therewith are indemnifiable by the Company under Section 1, absent a misstatement by Indemnitee of a material fact, or an omission of a material fact necessary to make Indemnitee’s statement not materially misleading, in connection with the request for indemnification.</w:t>
      </w:r>
    </w:p>
    <w:p>
      <w:pPr>
        <w:spacing w:after="0" w:line="187" w:lineRule="exact"/>
        <w:rPr>
          <w:rFonts w:ascii="Times New Roman" w:cs="Times New Roman" w:eastAsia="Times New Roman" w:hAnsi="Times New Roman"/>
          <w:sz w:val="18"/>
          <w:szCs w:val="18"/>
          <w:color w:val="auto"/>
        </w:rPr>
      </w:pPr>
    </w:p>
    <w:p>
      <w:pPr>
        <w:ind w:left="-20" w:firstLine="987"/>
        <w:spacing w:after="0" w:line="272" w:lineRule="auto"/>
        <w:tabs>
          <w:tab w:leader="none" w:pos="1226" w:val="left"/>
        </w:tabs>
        <w:numPr>
          <w:ilvl w:val="0"/>
          <w:numId w:val="4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determination whether to grant Indemnitee’s indemnification request shall be made promptly and in any event within 30 days following the Company’s receipt of a request for indemnification in accordance with Section 3(a). If the Company determines that Indemnitee is entitled to such indemnification or, as contemplated by paragraph (c) above, the Company has acknowledged such entitlement, the Company will make payment to Indemnitee of the indemnifiable amount within such 30-day period. If the Company is not deemed to have so acknowledged such entitlement or the Company’s determination of whether to grant Indemnitee’s indemnification request shall not have been made within such 30-day period, the requisite determination of entitlement to indemnification shall, subject to Section 6, nonetheless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the DGCL.</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60" w:top="266" w:right="479" w:bottom="1440" w:gutter="0" w:footer="0" w:header="0"/>
        </w:sectPr>
      </w:pPr>
    </w:p>
    <w:bookmarkStart w:id="474" w:name="page475"/>
    <w:bookmarkEnd w:id="474"/>
    <w:p>
      <w:pPr>
        <w:ind w:right="100" w:firstLine="987"/>
        <w:spacing w:after="0" w:line="253" w:lineRule="auto"/>
        <w:tabs>
          <w:tab w:leader="none" w:pos="123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that (i) the Company determines in accordance with this Section 3 that Indemnitee is not entitled to indemnification under this Agreement, (ii) the Company denies a request for indemnification, in whole or in part, or fails to respond or make a determination of entitlement to indemnification within 30 days following receipt of a request for indemnification as described above, (iii) payment of indemnification is not made within such 30-day period, or (iv) the Company or any other person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in any court of competent jurisdiction of his or her entitlement to such indemnification and/or benefits. In the event that advancement of expenses is not timely made in accordance with Section 2, Indemnitee shall be entitled to an adjudication in any court of competent jurisdiction of his or her entitlement to such advancement of expenses. Indemnitee’s expenses (including attorneys’ fees) incurred in connection with successfully establishing Indemnitee’s right to indemnification or advancement of expenses, in whole or in part, in any such proceeding or otherwise shall also be indemnified by the Company to the fullest extent permitted by the DGCL.</w:t>
      </w:r>
    </w:p>
    <w:p>
      <w:pPr>
        <w:spacing w:after="0" w:line="191" w:lineRule="exact"/>
        <w:rPr>
          <w:rFonts w:ascii="Times New Roman" w:cs="Times New Roman" w:eastAsia="Times New Roman" w:hAnsi="Times New Roman"/>
          <w:sz w:val="18"/>
          <w:szCs w:val="18"/>
          <w:color w:val="auto"/>
        </w:rPr>
      </w:pPr>
    </w:p>
    <w:p>
      <w:pPr>
        <w:ind w:right="140" w:firstLine="987"/>
        <w:spacing w:after="0" w:line="261" w:lineRule="auto"/>
        <w:tabs>
          <w:tab w:leader="none" w:pos="121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6 and 7, Indemnitee shall be presumed to be entitled to indemnification and advancement of expenses under this Agreement upon submission of a request therefor in accordance with Sections 2 or 3, as the case may be. The Company shall have the burden of proof in overcoming such presumption, and such presumption shall be used as a basis for a determination of entitlement to indemnification and advancement of expenses unless the Company overcomes such presumption by clear and convincing evidence.</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Insurance and Subrogation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52" w:lineRule="auto"/>
        <w:tabs>
          <w:tab w:leader="none" w:pos="123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purchase and maintain a policy or policies of insurance with reputable insurance companies, providing Indemnitee with coverage for any liability asserted against, and incurred by, Indemnitee or on Indemnitee’s behalf by reason of the fact that Indemnitee is or was or has agreed to serve as a director or officer of the Company, or while serving as a director or officer of the Company, is or was serving or has agreed to serve at the request of the Company as a director, officer, employee or agent (which, for purposes hereof, shall include a trustee, fiduciary, partner or manager or similar capacity) of another corporation, limited liability company, partnership, joint venture, trust, employee benefit plan or other enterprise, or arising out of Indemnitee’s status as such, whether or not the Company would have the power to indemnify Indemnitee against such liability under the provisions of this Agreement. Such insurance policies shall have coverage terms and policy limits at least as favorable to Indemnitee as the insurance coverage provided to any other director or officer of the Company. Notwithstanding the foregoing, the Company shall have no obligation to obtain or maintain such insurance if the Company determines in good faith that such insurance is not reasonably available, if the premium costs for such insurance are disproportionate to the amount of the coverage provided, if the coverage provided by such insurance is limited by exclusions so as to provide an insufficient benefit or if the Company otherwise determines in good faith that obtaining or maintaining such insurance is not in the best interests of the Company. If the Company has such insurance in effect at the time the Company receives from Indemnitee any notice of the commencement of an action, suit or proceeding, the Company shall give prompt notice of the commencement of such action, suit or proceeding to 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w:t>
      </w:r>
    </w:p>
    <w:p>
      <w:pPr>
        <w:spacing w:after="0" w:line="194" w:lineRule="exact"/>
        <w:rPr>
          <w:rFonts w:ascii="Times New Roman" w:cs="Times New Roman" w:eastAsia="Times New Roman" w:hAnsi="Times New Roman"/>
          <w:sz w:val="18"/>
          <w:szCs w:val="18"/>
          <w:color w:val="auto"/>
        </w:rPr>
      </w:pPr>
    </w:p>
    <w:p>
      <w:pPr>
        <w:ind w:right="100" w:firstLine="987"/>
        <w:spacing w:after="0" w:line="258" w:lineRule="auto"/>
        <w:tabs>
          <w:tab w:leader="none" w:pos="124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9(b), in the event of any payment by the Company under this Agreement, the Company shall be subrogated to the extent of such payment to all of the rights of recovery of Indemnitee with respect to any insurance policy maintained by the Company. Indemnitee shall execute all papers required and take all action necessary to secure such rights, including execution of such documents as are necessary to enable the Company to bring suit to enforce such rights in accordance with the terms of such insurance policy. The Company shall pay or reimburse all expenses actually and reasonably incurred by Indemnitee in connection with such subrogation.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75" w:name="page476"/>
    <w:bookmarkEnd w:id="475"/>
    <w:p>
      <w:pPr>
        <w:ind w:right="320" w:firstLine="987"/>
        <w:spacing w:after="0" w:line="258" w:lineRule="auto"/>
        <w:tabs>
          <w:tab w:leader="none" w:pos="1236"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to Section 9(b), the Company shall not be liable under this Agreement to make any payment of amounts otherwise indemnifiable hereunder (including, but not limited to, judgments, fines and amounts paid in settlement, and excise taxes or penalties relating to the Employee Retirement Income Security Act of 1974, as amended) if and to the extent that Indemnitee has otherwise actually received such payment under this Agreement or any insurance policy other than an insurance policy maintained by an Indemnitee-related entity, contract, agreement or otherwise.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For purposes of this Agreement, the following definitions shall apply:</w:t>
      </w:r>
    </w:p>
    <w:p>
      <w:pPr>
        <w:spacing w:after="0" w:line="225" w:lineRule="exact"/>
        <w:rPr>
          <w:sz w:val="20"/>
          <w:szCs w:val="20"/>
          <w:color w:val="auto"/>
        </w:rPr>
      </w:pPr>
    </w:p>
    <w:p>
      <w:pPr>
        <w:ind w:right="180" w:firstLine="987"/>
        <w:spacing w:after="0" w:line="262" w:lineRule="auto"/>
        <w:tabs>
          <w:tab w:leader="none" w:pos="1236"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u w:val="single" w:color="auto"/>
          <w:color w:val="auto"/>
        </w:rPr>
        <w:t>action, suit or proceeding</w:t>
      </w:r>
      <w:r>
        <w:rPr>
          <w:rFonts w:ascii="Times New Roman" w:cs="Times New Roman" w:eastAsia="Times New Roman" w:hAnsi="Times New Roman"/>
          <w:sz w:val="18"/>
          <w:szCs w:val="18"/>
          <w:color w:val="auto"/>
        </w:rPr>
        <w:t>” shall be broadly construed and shall include, without limitation, the investigation, inquiry, hearing, preparation, prosecution, defense, mediation, settlement, arbitration and appeal of, and the giving of testimony in, any threatened, pending or completed claim, action, suit, arbitration, alternative dispute mechanism or proceeding, whether civil, criminal, administrative, investigative or other, and whether made pursuant to federal, state or other law.</w:t>
      </w:r>
    </w:p>
    <w:p>
      <w:pPr>
        <w:spacing w:after="0" w:line="176" w:lineRule="exact"/>
        <w:rPr>
          <w:rFonts w:ascii="Times New Roman" w:cs="Times New Roman" w:eastAsia="Times New Roman" w:hAnsi="Times New Roman"/>
          <w:sz w:val="18"/>
          <w:szCs w:val="18"/>
          <w:color w:val="auto"/>
        </w:rPr>
      </w:pPr>
    </w:p>
    <w:p>
      <w:pPr>
        <w:ind w:right="60" w:firstLine="987"/>
        <w:spacing w:after="0" w:line="259" w:lineRule="auto"/>
        <w:tabs>
          <w:tab w:leader="none" w:pos="1246"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u w:val="single" w:color="auto"/>
          <w:color w:val="auto"/>
        </w:rPr>
        <w:t>by reason of the fact that Indemnitee is or was or has agreed to serve as a director or officer of the Company,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while serving as a director or officer of the Company, is or was serving or has agreed to serve at the request of the Company as a director, officer, employee or agent (which, for purposes hereof, shall include a trustee, partner or manager or similar capacity) of another corporation, limited liability company, partnership, joint venture, trust, employee benefit plan or other enterprise</w:t>
      </w:r>
      <w:r>
        <w:rPr>
          <w:rFonts w:ascii="Times New Roman" w:cs="Times New Roman" w:eastAsia="Times New Roman" w:hAnsi="Times New Roman"/>
          <w:sz w:val="18"/>
          <w:szCs w:val="18"/>
          <w:color w:val="auto"/>
        </w:rPr>
        <w:t>” shall be broadly construed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without limitation, any actual or alleged act or omission to act.</w:t>
      </w:r>
    </w:p>
    <w:p>
      <w:pPr>
        <w:spacing w:after="0" w:line="179" w:lineRule="exact"/>
        <w:rPr>
          <w:rFonts w:ascii="Times New Roman" w:cs="Times New Roman" w:eastAsia="Times New Roman" w:hAnsi="Times New Roman"/>
          <w:sz w:val="18"/>
          <w:szCs w:val="18"/>
          <w:color w:val="auto"/>
        </w:rPr>
      </w:pPr>
    </w:p>
    <w:p>
      <w:pPr>
        <w:ind w:right="20" w:firstLine="987"/>
        <w:spacing w:after="0" w:line="257" w:lineRule="auto"/>
        <w:tabs>
          <w:tab w:leader="none" w:pos="1236"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shall be broadly construed and shall include, without limitation, all direct and indirect costs of any type or nature whatsoever (including, without limitation, all attorneys’ fees and related disbursements, appeal bonds, other out-of-pocket costs and reasonable compensation for time spent by Indemnitee for which Indemnitee is not otherwise compensated by the Company or any third party), actually and reasonably incurred by Indemnitee in connection with either the investigation, defense or appeal of an action, suit or proceeding or establishing or enforcing a right to indemnification under this Agreement or otherwise incurred in connection with a claim that is indemnifiable hereunder. Expenses, however, shall not include amounts paid in settlement by Indemnitee or the amounts of judgments and fines or amounts paid in settlement.</w:t>
      </w:r>
    </w:p>
    <w:p>
      <w:pPr>
        <w:spacing w:after="0" w:line="182" w:lineRule="exact"/>
        <w:rPr>
          <w:rFonts w:ascii="Times New Roman" w:cs="Times New Roman" w:eastAsia="Times New Roman" w:hAnsi="Times New Roman"/>
          <w:sz w:val="18"/>
          <w:szCs w:val="18"/>
          <w:color w:val="auto"/>
        </w:rPr>
      </w:pPr>
    </w:p>
    <w:p>
      <w:pPr>
        <w:ind w:right="20" w:firstLine="987"/>
        <w:spacing w:after="0" w:line="268" w:lineRule="auto"/>
        <w:tabs>
          <w:tab w:leader="none" w:pos="1246"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u w:val="single" w:color="auto"/>
          <w:color w:val="auto"/>
        </w:rPr>
        <w:t>judgments, fines and amounts paid in settlement</w:t>
      </w:r>
      <w:r>
        <w:rPr>
          <w:rFonts w:ascii="Times New Roman" w:cs="Times New Roman" w:eastAsia="Times New Roman" w:hAnsi="Times New Roman"/>
          <w:sz w:val="18"/>
          <w:szCs w:val="18"/>
          <w:color w:val="auto"/>
        </w:rPr>
        <w:t>” shall be broadly construed and shall include, without limitation, all direct and indirect payments of any type or nature whatsoever, as well as any penalties or excise taxes assessed on a person with respect to an employee benefit plan).</w:t>
      </w:r>
    </w:p>
    <w:p>
      <w:pPr>
        <w:spacing w:after="0" w:line="171" w:lineRule="exact"/>
        <w:rPr>
          <w:sz w:val="20"/>
          <w:szCs w:val="20"/>
          <w:color w:val="auto"/>
        </w:rPr>
      </w:pPr>
    </w:p>
    <w:p>
      <w:pPr>
        <w:ind w:right="6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Limitation on Indemnification</w:t>
      </w:r>
      <w:r>
        <w:rPr>
          <w:rFonts w:ascii="Times New Roman" w:cs="Times New Roman" w:eastAsia="Times New Roman" w:hAnsi="Times New Roman"/>
          <w:sz w:val="18"/>
          <w:szCs w:val="18"/>
          <w:color w:val="auto"/>
        </w:rPr>
        <w:t>. Notwithstanding any other provision herein to the contrary, the Company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obligated pursuant to this Agreement:</w:t>
      </w:r>
    </w:p>
    <w:p>
      <w:pPr>
        <w:spacing w:after="0" w:line="159" w:lineRule="exact"/>
        <w:rPr>
          <w:sz w:val="20"/>
          <w:szCs w:val="20"/>
          <w:color w:val="auto"/>
        </w:rPr>
      </w:pPr>
    </w:p>
    <w:p>
      <w:pPr>
        <w:ind w:firstLine="987"/>
        <w:spacing w:after="0" w:line="258" w:lineRule="auto"/>
        <w:tabs>
          <w:tab w:leader="none" w:pos="1236"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Initiated by Indemnitee</w:t>
      </w:r>
      <w:r>
        <w:rPr>
          <w:rFonts w:ascii="Times New Roman" w:cs="Times New Roman" w:eastAsia="Times New Roman" w:hAnsi="Times New Roman"/>
          <w:sz w:val="18"/>
          <w:szCs w:val="18"/>
          <w:color w:val="auto"/>
        </w:rPr>
        <w:t>. To indemnify or advance expenses to Indemnitee with respect to an action, suit or proceeding (or part thereof) initiated by Indemnitee, except with respect to any compulsory counterclaim brought by Indemnitee in response to an action, suit or proceeding otherwise indemnifiable under this Agreement or an action, suit or proceeding brought to establish or enforce a right to indemnification or advancement of expenses under this Agreement (which shall be governed by the provisions of Section 6(b)), unless such action, suit or proceeding (or part thereof) was authorized or consented to by the Board of Directors of the Company.</w:t>
      </w:r>
    </w:p>
    <w:p>
      <w:pPr>
        <w:spacing w:after="0" w:line="183" w:lineRule="exact"/>
        <w:rPr>
          <w:rFonts w:ascii="Times New Roman" w:cs="Times New Roman" w:eastAsia="Times New Roman" w:hAnsi="Times New Roman"/>
          <w:sz w:val="18"/>
          <w:szCs w:val="18"/>
          <w:color w:val="auto"/>
        </w:rPr>
      </w:pPr>
    </w:p>
    <w:p>
      <w:pPr>
        <w:ind w:right="220" w:firstLine="987"/>
        <w:spacing w:after="0" w:line="261" w:lineRule="auto"/>
        <w:tabs>
          <w:tab w:leader="none" w:pos="1246"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for Indemnification</w:t>
      </w:r>
      <w:r>
        <w:rPr>
          <w:rFonts w:ascii="Times New Roman" w:cs="Times New Roman" w:eastAsia="Times New Roman" w:hAnsi="Times New Roman"/>
          <w:sz w:val="18"/>
          <w:szCs w:val="18"/>
          <w:color w:val="auto"/>
        </w:rPr>
        <w:t>. To indemnify Indemnitee for any expenses incurred by Indemnitee with respect to any action, suit or proceeding instituted by Indemnitee to enforce or interpret this Agreement, unless Indemnitee is successful in such action, suit or proceeding in establishing Indemnitee’s right, in whole or in part, to indemnification or advancement of expenses hereunder (in which case such indemnification or advancement shall be provided to the fullest extent permitted by the DGCL), or unless and to the extent that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70" w:right="519" w:bottom="1440" w:gutter="0" w:footer="0" w:header="0"/>
        </w:sectPr>
      </w:pPr>
    </w:p>
    <w:bookmarkStart w:id="476" w:name="page477"/>
    <w:bookmarkEnd w:id="476"/>
    <w:p>
      <w:pPr>
        <w:ind w:left="4"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court in such action, suit or proceeding shall determine that, despite Indemnitee’s failure to establish his or her right to indemnification, Indemnitee is entitled to indemnity for such expenses; provided, however, that nothing in this Section 6(b) is intended to limit the Company’s obligations with respect to the advancement of expenses to Indemnitee in connection with any such action, suit or proceeding instituted by Indemnitee to enforce or interpret this Agreement, as provided in Section 2.</w:t>
      </w:r>
    </w:p>
    <w:p>
      <w:pPr>
        <w:spacing w:after="0" w:line="180" w:lineRule="exact"/>
        <w:rPr>
          <w:sz w:val="20"/>
          <w:szCs w:val="20"/>
          <w:color w:val="auto"/>
        </w:rPr>
      </w:pPr>
    </w:p>
    <w:p>
      <w:pPr>
        <w:ind w:left="1244" w:hanging="253"/>
        <w:spacing w:after="0"/>
        <w:tabs>
          <w:tab w:leader="none" w:pos="1244"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Exchange Act Claims</w:t>
      </w:r>
      <w:r>
        <w:rPr>
          <w:rFonts w:ascii="Times New Roman" w:cs="Times New Roman" w:eastAsia="Times New Roman" w:hAnsi="Times New Roman"/>
          <w:sz w:val="18"/>
          <w:szCs w:val="18"/>
          <w:color w:val="auto"/>
        </w:rPr>
        <w:t>. To indemnify Indemnitee in connection with any action, suit or proceeding made against Indemnitee for</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made from the purchase or sale by Indemnitee of securities of the Company pursuant to the provisions of Section 16(b) of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or similar provisions of state statutory law or common law, (ii) any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Times New Roman" w:cs="Times New Roman" w:eastAsia="Times New Roman" w:hAnsi="Times New Roman"/>
          <w:sz w:val="18"/>
          <w:szCs w:val="18"/>
          <w:b w:val="1"/>
          <w:bCs w:val="1"/>
          <w:u w:val="single" w:color="auto"/>
          <w:color w:val="auto"/>
        </w:rPr>
        <w:t>Sarbanes-Oxley Act</w:t>
      </w:r>
      <w:r>
        <w:rPr>
          <w:rFonts w:ascii="Times New Roman" w:cs="Times New Roman" w:eastAsia="Times New Roman" w:hAnsi="Times New Roman"/>
          <w:sz w:val="18"/>
          <w:szCs w:val="18"/>
          <w:color w:val="auto"/>
        </w:rPr>
        <w:t>”), or the payment to the Company of profits arising from the purchase and sale by Indemnitee of securities in violation of Section 306 of the Sarbanes-Oxley Act) or (iii) any reimbursement of the Company by Indemnitee of any compensation pursuant to any compensation recoupment or clawback policy adopted by the Board of Directors of the Company or the compensation committee of the Board of Directors of the Company, including but not limited to any such policy adopted to comply with stock exchange listing requirements implementing Section 10D of the Exchange Act.</w:t>
      </w:r>
    </w:p>
    <w:p>
      <w:pPr>
        <w:spacing w:after="0" w:line="193"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50"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Fraud or Willful Misconduct</w:t>
      </w:r>
      <w:r>
        <w:rPr>
          <w:rFonts w:ascii="Times New Roman" w:cs="Times New Roman" w:eastAsia="Times New Roman" w:hAnsi="Times New Roman"/>
          <w:sz w:val="18"/>
          <w:szCs w:val="18"/>
          <w:color w:val="auto"/>
        </w:rPr>
        <w:t>. To indemnify Indemnitee on account of conduct by Indemnitee where such conduct has been determined by a final (not interlocutory) judgment or other adjudication of a court or arbitration or administrative body of competent jurisdiction as to which there is no further right or option of appeal or the time within which an appeal must be filed has expired without such filing to have been knowingly fraudulent or constitute willful misconduct.</w:t>
      </w:r>
    </w:p>
    <w:p>
      <w:pPr>
        <w:spacing w:after="0" w:line="179" w:lineRule="exact"/>
        <w:rPr>
          <w:rFonts w:ascii="Times New Roman" w:cs="Times New Roman" w:eastAsia="Times New Roman" w:hAnsi="Times New Roman"/>
          <w:sz w:val="18"/>
          <w:szCs w:val="18"/>
          <w:color w:val="auto"/>
        </w:rPr>
      </w:pPr>
    </w:p>
    <w:p>
      <w:pPr>
        <w:ind w:left="4" w:right="300" w:firstLine="987"/>
        <w:spacing w:after="0" w:line="266" w:lineRule="auto"/>
        <w:tabs>
          <w:tab w:leader="none" w:pos="1240"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Prohibited by Law</w:t>
      </w:r>
      <w:r>
        <w:rPr>
          <w:rFonts w:ascii="Times New Roman" w:cs="Times New Roman" w:eastAsia="Times New Roman" w:hAnsi="Times New Roman"/>
          <w:sz w:val="18"/>
          <w:szCs w:val="18"/>
          <w:color w:val="auto"/>
        </w:rPr>
        <w:t>. To indemnify Indemnitee in any circumstance where such indemnification has been determined by a final (not interlocutory) judgment or other adjudication of a court or arbitration or administrative body of competent jurisdiction as to which there is no further right or option of appeal or the time within which an appeal must be filed has expired without such filing to be prohibited by law.</w:t>
      </w:r>
    </w:p>
    <w:p>
      <w:pPr>
        <w:spacing w:after="0" w:line="172" w:lineRule="exact"/>
        <w:rPr>
          <w:sz w:val="20"/>
          <w:szCs w:val="20"/>
          <w:color w:val="auto"/>
        </w:rPr>
      </w:pPr>
    </w:p>
    <w:p>
      <w:pPr>
        <w:ind w:left="4"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u w:val="single" w:color="auto"/>
          <w:color w:val="auto"/>
        </w:rPr>
        <w:t>Certain Settlement Provisions</w:t>
      </w:r>
      <w:r>
        <w:rPr>
          <w:rFonts w:ascii="Times New Roman" w:cs="Times New Roman" w:eastAsia="Times New Roman" w:hAnsi="Times New Roman"/>
          <w:sz w:val="18"/>
          <w:szCs w:val="18"/>
          <w:color w:val="auto"/>
        </w:rPr>
        <w:t>. Notwithstanding any other provision herein to the contrary, the Company shall have no obligation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 Indemnitee under this Agreement for any amounts paid in settlement of any action, suit or proceeding without the Company’s prior written consent. The Company shall not settle any action, suit or proceeding in any manner that would impose any fine or other obligation on Indemnitee without Indemnitee’s prior written consent. Neither the Company nor Indemnitee will unreasonably withhold his, her, its or their consent to any proposed settlement.</w:t>
      </w:r>
    </w:p>
    <w:p>
      <w:pPr>
        <w:spacing w:after="0" w:line="17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u w:val="single" w:color="auto"/>
          <w:color w:val="auto"/>
        </w:rPr>
        <w:t>Savings Clause</w:t>
      </w:r>
      <w:r>
        <w:rPr>
          <w:rFonts w:ascii="Times New Roman" w:cs="Times New Roman" w:eastAsia="Times New Roman" w:hAnsi="Times New Roman"/>
          <w:sz w:val="18"/>
          <w:szCs w:val="18"/>
          <w:color w:val="auto"/>
        </w:rPr>
        <w:t>. If any provision or provisions (or portion thereof) of this Agreement shall be invalidated on any ground by any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competent jurisdiction, then the Company shall nevertheless indemnify Indemnitee if Indemnitee was or is made or is threatened to be made a party or is otherwise involved in any action, suit or proceeding (brought by or in the right of the Company or otherwise), whether civil, criminal, administrative or investigative and whether formal or informal, including appeals, by reason of the fact that Indemnitee is or was or has agreed to serve as a director or officer of the Company, or while serving as a director or officer of the Company, is or was serving or has agreed to serve at the request of the Company as a director, officer, employee or agent (which, for purposes hereof, shall include a trustee, partner or manager or similar capacity) of another corporation, limited liability company, partnership, joint venture, trust, employee benefit plan or other enterprise, or by reason of any action alleged to have been taken or omitted in such capacity, from and against all loss and liability suffered and expenses (including reasonable attorneys’ fees), judgments, fines and amounts paid in settlement incurred by or on behalf of Indemnitee in connection with such action, suit or proceeding, including any appeals, to the fullest extent permitted by any applicable portion of this Agreement that shall not have been invalidated.</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9" w:right="459" w:bottom="1440" w:gutter="0" w:footer="0" w:header="0"/>
        </w:sectPr>
      </w:pPr>
    </w:p>
    <w:bookmarkStart w:id="477" w:name="page478"/>
    <w:bookmarkEnd w:id="477"/>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 </w:t>
      </w:r>
      <w:r>
        <w:rPr>
          <w:rFonts w:ascii="Times New Roman" w:cs="Times New Roman" w:eastAsia="Times New Roman" w:hAnsi="Times New Roman"/>
          <w:sz w:val="18"/>
          <w:szCs w:val="18"/>
          <w:b w:val="1"/>
          <w:bCs w:val="1"/>
          <w:u w:val="single" w:color="auto"/>
          <w:color w:val="auto"/>
        </w:rPr>
        <w:t>Contribution/Jointly Indemnifiable Claims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987"/>
        <w:spacing w:after="0" w:line="256" w:lineRule="auto"/>
        <w:tabs>
          <w:tab w:leader="none" w:pos="1236"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provide for just and equitable contribution in circumstances in which the indemnification provided for herein is held by a court of competent jurisdiction to be unavailable to Indemnitee in whole or in part, it is agreed that, in such event, the Company shall, to the fullest extent permitted by law, contribute to the payment of all of Indemnitee’s loss and liability suffered and expenses (including reasonable attorneys’ fees), judgments, fines and amounts paid in settlement incurred by or on behalf of Indemnitee in connection with any action, suit or proceeding, including any appeals, in an amount that is just and equitable in the circumstances; provided, that, without limiting the generality of the foregoing, such contribution shall not be required where such holding by the court is due to any limitation on indemnification set forth in Sections 4(c), 6 or 7.</w:t>
      </w:r>
    </w:p>
    <w:p>
      <w:pPr>
        <w:spacing w:after="0" w:line="187" w:lineRule="exact"/>
        <w:rPr>
          <w:rFonts w:ascii="Times New Roman" w:cs="Times New Roman" w:eastAsia="Times New Roman" w:hAnsi="Times New Roman"/>
          <w:sz w:val="18"/>
          <w:szCs w:val="18"/>
          <w:color w:val="auto"/>
        </w:rPr>
      </w:pPr>
    </w:p>
    <w:p>
      <w:pPr>
        <w:ind w:firstLine="987"/>
        <w:spacing w:after="0" w:line="269" w:lineRule="auto"/>
        <w:tabs>
          <w:tab w:leader="none" w:pos="1246" w:val="left"/>
        </w:tabs>
        <w:numPr>
          <w:ilvl w:val="0"/>
          <w:numId w:val="4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Given that certain jointly indemnifiable claims may arise due to the service of Indemnitee as a director and/or officer of the Company at the request of Indemnitee-related entities, the Company acknowledges and agrees that the Company shall be fully and primarily responsible for the payment to Indemnitee in respect of indemnification or advancement of expenses in connection with any such jointly indemnifiable claim, pursuant to and in accordance with the terms of this Agreement, irrespective of any right of recovery Indemnitee may have from Indemnitee-related entities. Under no circumstance shall the Company be entitled to any right of subrogation against or contribution by Indemnitee-related entities and no right of advancement, indemnification or recovery Indemnitee may have from Indemnitee-related entities shall reduce or otherwise alter the rights of Indemnitee or the obligations of the Company hereunder. In the event that any of Indemnitee-related entities shall make any payment to Indemnitee in respect of indemnification or advancement of expenses with respect to any jointly indemnifiable claim, the Indemnitee-related entity making such payment shall be subrogated to the extent of such payment to all of the rights of recovery of Indemnitee against the Company, and Indemnitee shall execute all papers reasonably required and shall do all things that may be reasonably necessary to secure such rights, including the execution of such documents as may be necessary to enable Indemnitee-related entities effectively to bring suit to enforce such rights. The Company and Indemnitee agree that each of Indemnitee-related entities shall be third-party beneficiaries with respect to this Section 9(b), entitled to enforce this Section 9(b) as though each such Indemnitee-related entity were a party to this Agreement. For purposes of this Section 9(b), the following terms shall have the following meanings:</w:t>
      </w:r>
    </w:p>
    <w:p>
      <w:pPr>
        <w:spacing w:after="0" w:line="63" w:lineRule="exact"/>
        <w:rPr>
          <w:rFonts w:ascii="Times New Roman" w:cs="Times New Roman" w:eastAsia="Times New Roman" w:hAnsi="Times New Roman"/>
          <w:sz w:val="17"/>
          <w:szCs w:val="17"/>
          <w:color w:val="auto"/>
        </w:rPr>
      </w:pPr>
    </w:p>
    <w:p>
      <w:pPr>
        <w:ind w:left="440" w:right="80" w:firstLine="1371"/>
        <w:spacing w:after="0" w:line="257" w:lineRule="auto"/>
        <w:tabs>
          <w:tab w:leader="none" w:pos="2030"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u w:val="single" w:color="auto"/>
          <w:color w:val="auto"/>
        </w:rPr>
        <w:t>Indemnitee-related entities</w:t>
      </w:r>
      <w:r>
        <w:rPr>
          <w:rFonts w:ascii="Times New Roman" w:cs="Times New Roman" w:eastAsia="Times New Roman" w:hAnsi="Times New Roman"/>
          <w:sz w:val="18"/>
          <w:szCs w:val="18"/>
          <w:color w:val="auto"/>
        </w:rPr>
        <w:t>” means any corporation, limited liability company, partnership, joint venture, trust, employee benefit plan or other enterprise (other than the Company or any other corporation, limited liability company, partnership, joint venture, trust, employee benefit plan or other enterprise for which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 (other than as a result of obligations under an insurance policy).</w:t>
      </w:r>
    </w:p>
    <w:p>
      <w:pPr>
        <w:spacing w:after="0" w:line="74" w:lineRule="exact"/>
        <w:rPr>
          <w:rFonts w:ascii="Times New Roman" w:cs="Times New Roman" w:eastAsia="Times New Roman" w:hAnsi="Times New Roman"/>
          <w:sz w:val="18"/>
          <w:szCs w:val="18"/>
          <w:color w:val="auto"/>
        </w:rPr>
      </w:pPr>
    </w:p>
    <w:p>
      <w:pPr>
        <w:ind w:left="440" w:right="20" w:firstLine="1371"/>
        <w:spacing w:after="0" w:line="259" w:lineRule="auto"/>
        <w:tabs>
          <w:tab w:leader="none" w:pos="2080"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u w:val="single" w:color="auto"/>
          <w:color w:val="auto"/>
        </w:rPr>
        <w:t>jointly indemnifiable claims</w:t>
      </w:r>
      <w:r>
        <w:rPr>
          <w:rFonts w:ascii="Times New Roman" w:cs="Times New Roman" w:eastAsia="Times New Roman" w:hAnsi="Times New Roman"/>
          <w:sz w:val="18"/>
          <w:szCs w:val="18"/>
          <w:color w:val="auto"/>
        </w:rPr>
        <w:t>” shall be broadly construed and shall include, without limitation, any action, suit or proceeding for which Indemnitee shall be entitled to indemnification or advancement of expenses from both Indemnitee-related entities and the Company pursuant to the DGCL or other comparable governing law, or any agreement or the certificate of incorporation, bylaws, partnership agreement, operating agreement, certificate of formation, certificate of limited partnership or other comparable organizational documents, of the Company or Indemnitee-related entities, as applicable.</w:t>
      </w:r>
    </w:p>
    <w:p>
      <w:pPr>
        <w:spacing w:after="0" w:line="179"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u w:val="single" w:color="auto"/>
          <w:color w:val="auto"/>
        </w:rPr>
        <w:t>Form and Delivery of Communications</w:t>
      </w:r>
      <w:r>
        <w:rPr>
          <w:rFonts w:ascii="Times New Roman" w:cs="Times New Roman" w:eastAsia="Times New Roman" w:hAnsi="Times New Roman"/>
          <w:sz w:val="18"/>
          <w:szCs w:val="18"/>
          <w:color w:val="auto"/>
        </w:rPr>
        <w:t>. All notices, requests, demands and other communications under this Agreement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shall be deemed to have been duly given if (a)</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5" w:right="479" w:bottom="1440" w:gutter="0" w:footer="0" w:header="0"/>
        </w:sectPr>
      </w:pPr>
    </w:p>
    <w:bookmarkStart w:id="478" w:name="page479"/>
    <w:bookmarkEnd w:id="478"/>
    <w:p>
      <w:pPr>
        <w:ind w:right="1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delivered by hand, upon receipt by the party to whom said notice or other communication shall have been directed, (b) mailed by certified or registered mail with postage prepaid, on the third business day after the date on which it is so mailed, (c) mailed by reputable overnight courier, one day after deposit with such courier and with written verification of receipt, or (d) sent by email transmission, with receipt of oral confirmation that such transmission has been received. Notice to the Company shall be directed to Academy Sports and Outdoors, Inc., Attention: General Counsel, email: legal@academy.com. Notice to Indemnitee shall be directed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-22860</wp:posOffset>
            </wp:positionV>
            <wp:extent cx="402717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2">
                      <a:extLst>
                        <a:ext uri="{28A0092B-C50C-407E-A947-70E740481C1C}"/>
                      </a:extLst>
                    </a:blip>
                    <a:srcRect/>
                    <a:stretch>
                      <a:fillRect/>
                    </a:stretch>
                  </pic:blipFill>
                  <pic:spPr bwMode="auto">
                    <a:xfrm>
                      <a:off x="0" y="0"/>
                      <a:ext cx="4027170" cy="8255"/>
                    </a:xfrm>
                    <a:prstGeom prst="rect">
                      <a:avLst/>
                    </a:prstGeom>
                    <a:noFill/>
                  </pic:spPr>
                </pic:pic>
              </a:graphicData>
            </a:graphic>
          </wp:anchor>
        </w:drawing>
      </w:r>
    </w:p>
    <w:p>
      <w:pPr>
        <w:ind w:left="9000"/>
        <w:spacing w:after="0"/>
        <w:rPr>
          <w:sz w:val="20"/>
          <w:szCs w:val="20"/>
          <w:color w:val="auto"/>
        </w:rPr>
      </w:pPr>
      <w:r>
        <w:rPr>
          <w:rFonts w:ascii="Times New Roman" w:cs="Times New Roman" w:eastAsia="Times New Roman" w:hAnsi="Times New Roman"/>
          <w:sz w:val="18"/>
          <w:szCs w:val="18"/>
          <w:color w:val="auto"/>
        </w:rPr>
        <w:t>,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622681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3">
                      <a:extLst>
                        <a:ext uri="{28A0092B-C50C-407E-A947-70E740481C1C}"/>
                      </a:extLst>
                    </a:blip>
                    <a:srcRect/>
                    <a:stretch>
                      <a:fillRect/>
                    </a:stretch>
                  </pic:blipFill>
                  <pic:spPr bwMode="auto">
                    <a:xfrm>
                      <a:off x="0" y="0"/>
                      <a:ext cx="6226810" cy="825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4231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4">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183"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Nonexclusivity</w:t>
      </w:r>
      <w:r>
        <w:rPr>
          <w:rFonts w:ascii="Times New Roman" w:cs="Times New Roman" w:eastAsia="Times New Roman" w:hAnsi="Times New Roman"/>
          <w:sz w:val="18"/>
          <w:szCs w:val="18"/>
          <w:color w:val="auto"/>
        </w:rPr>
        <w:t>. The provisions for indemnification and advancement of expenses set forth in this Agreement shall not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of any other rights which Indemnitee may have under the certificate of incorporation of the Company, the bylaws of the Company, any provision of law, in any court in which a proceeding is brought, other agreements or otherwise, and Indemnitee’s rights hereunder shall inure to the benefit of the heirs, executors and administrators of Indemnitee. No amendment or alteration of the Company’s certificate of incorporation or bylaws or any other agreement shall adversely affect the rights provided to Indemnitee under this Agreement.</w:t>
      </w:r>
    </w:p>
    <w:p>
      <w:pPr>
        <w:spacing w:after="0" w:line="179"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No Construction as Employment Agreement</w:t>
      </w:r>
      <w:r>
        <w:rPr>
          <w:rFonts w:ascii="Times New Roman" w:cs="Times New Roman" w:eastAsia="Times New Roman" w:hAnsi="Times New Roman"/>
          <w:sz w:val="18"/>
          <w:szCs w:val="18"/>
          <w:color w:val="auto"/>
        </w:rPr>
        <w:t>. Nothing contained herein shall be construed as giving Indemnitee any right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retained as a director of the Company or in the employ of the Company. For the avoidance of doubt, the indemnification and advancement of expenses provided under this Agreement shall continue as to Indemnitee even though he may have ceased to be a director or officer of the Company.</w:t>
      </w:r>
    </w:p>
    <w:p>
      <w:pPr>
        <w:spacing w:after="0" w:line="171"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b w:val="1"/>
          <w:bCs w:val="1"/>
          <w:u w:val="single" w:color="auto"/>
          <w:color w:val="auto"/>
        </w:rPr>
        <w:t>Interpretation of Agreement</w:t>
      </w:r>
      <w:r>
        <w:rPr>
          <w:rFonts w:ascii="Times New Roman" w:cs="Times New Roman" w:eastAsia="Times New Roman" w:hAnsi="Times New Roman"/>
          <w:sz w:val="18"/>
          <w:szCs w:val="18"/>
          <w:color w:val="auto"/>
        </w:rPr>
        <w:t>. It is understood that the parties hereto intend this Agreement to be interpreted and enforced so as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indemnification to Indemnitee to the fullest extent now or hereafter permitted by the DGCL.</w:t>
      </w:r>
    </w:p>
    <w:p>
      <w:pPr>
        <w:spacing w:after="0" w:line="155" w:lineRule="exact"/>
        <w:rPr>
          <w:sz w:val="20"/>
          <w:szCs w:val="20"/>
          <w:color w:val="auto"/>
        </w:rPr>
      </w:pPr>
    </w:p>
    <w:p>
      <w:pPr>
        <w:ind w:right="3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and the documents expressly referred to herein constitute the entire agreement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with respect to the matters covered hereby, and any other prior or contemporaneous oral or written understandings or agreements with respect to the matters covered hereby are expressly superseded by this Agreement.</w:t>
      </w:r>
    </w:p>
    <w:p>
      <w:pPr>
        <w:spacing w:after="0" w:line="171"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15. </w:t>
      </w:r>
      <w:r>
        <w:rPr>
          <w:rFonts w:ascii="Times New Roman" w:cs="Times New Roman" w:eastAsia="Times New Roman" w:hAnsi="Times New Roman"/>
          <w:sz w:val="18"/>
          <w:szCs w:val="18"/>
          <w:b w:val="1"/>
          <w:bCs w:val="1"/>
          <w:u w:val="single" w:color="auto"/>
          <w:color w:val="auto"/>
        </w:rPr>
        <w:t>Modification and Waiver</w:t>
      </w:r>
      <w:r>
        <w:rPr>
          <w:rFonts w:ascii="Times New Roman" w:cs="Times New Roman" w:eastAsia="Times New Roman" w:hAnsi="Times New Roman"/>
          <w:sz w:val="18"/>
          <w:szCs w:val="18"/>
          <w:color w:val="auto"/>
        </w:rPr>
        <w:t>. No supplement, modification, waiver or amendment of this Agreement shall be binding unless executed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both of the parties hereto. No waiver of any of the provisions of this Agreement shall be deemed or shall constitute a waiver of any other provision hereof (whether or not similar) nor shall such waiver constitute a continuing waiver. For the avoidance of doubt, this Agreement may not be terminated by the Company without Indemnitee’s prior written consent.</w:t>
      </w:r>
    </w:p>
    <w:p>
      <w:pPr>
        <w:spacing w:after="0" w:line="176" w:lineRule="exact"/>
        <w:rPr>
          <w:sz w:val="20"/>
          <w:szCs w:val="20"/>
          <w:color w:val="auto"/>
        </w:rPr>
      </w:pPr>
    </w:p>
    <w:p>
      <w:pPr>
        <w:ind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16. </w:t>
      </w:r>
      <w:r>
        <w:rPr>
          <w:rFonts w:ascii="Times New Roman" w:cs="Times New Roman" w:eastAsia="Times New Roman" w:hAnsi="Times New Roman"/>
          <w:sz w:val="17"/>
          <w:szCs w:val="17"/>
          <w:b w:val="1"/>
          <w:bCs w:val="1"/>
          <w:u w:val="single" w:color="auto"/>
          <w:color w:val="auto"/>
        </w:rPr>
        <w:t>Successor and Assigns</w:t>
      </w:r>
      <w:r>
        <w:rPr>
          <w:rFonts w:ascii="Times New Roman" w:cs="Times New Roman" w:eastAsia="Times New Roman" w:hAnsi="Times New Roman"/>
          <w:sz w:val="17"/>
          <w:szCs w:val="17"/>
          <w:color w:val="auto"/>
        </w:rPr>
        <w:t>. All of the terms and provisions of this Agreement shall be binding upon, shall inure to the benefit of and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enforceable by the parties hereto and their respective successors, assigns, heirs, executors, administrators and legal representatives. The Company shall require and cause any direct or indirect successor (whether by purchase, merger, consolidation or otherwise) to all or substantially all of its business, equity or assets, by written agreement in form and substance reasonably satisfactory to Indemnitee, expressly to assume and agree to perform this Agreement in the same manner and to the same extent that the Company would be required to perform if no such succession had taken place.</w:t>
      </w:r>
    </w:p>
    <w:p>
      <w:pPr>
        <w:spacing w:after="0" w:line="164" w:lineRule="exact"/>
        <w:rPr>
          <w:sz w:val="20"/>
          <w:szCs w:val="20"/>
          <w:color w:val="auto"/>
        </w:rPr>
      </w:pPr>
    </w:p>
    <w:p>
      <w:pPr>
        <w:ind w:right="2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17. </w:t>
      </w:r>
      <w:r>
        <w:rPr>
          <w:rFonts w:ascii="Times New Roman" w:cs="Times New Roman" w:eastAsia="Times New Roman" w:hAnsi="Times New Roman"/>
          <w:sz w:val="18"/>
          <w:szCs w:val="18"/>
          <w:b w:val="1"/>
          <w:bCs w:val="1"/>
          <w:u w:val="single" w:color="auto"/>
          <w:color w:val="auto"/>
        </w:rPr>
        <w:t>Service of Process and Venue</w:t>
      </w:r>
      <w:r>
        <w:rPr>
          <w:rFonts w:ascii="Times New Roman" w:cs="Times New Roman" w:eastAsia="Times New Roman" w:hAnsi="Times New Roman"/>
          <w:sz w:val="18"/>
          <w:szCs w:val="18"/>
          <w:color w:val="auto"/>
        </w:rPr>
        <w:t>. The Company and Indemnitee hereby (i) irrevocably and unconditionally agree that any action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proceeding arising out of or in connection with this Agreement shall be brought only in the Chancery Court of the State of Delaware (the </w:t>
      </w:r>
      <w:r>
        <w:rPr>
          <w:rFonts w:ascii="Times New Roman" w:cs="Times New Roman" w:eastAsia="Times New Roman" w:hAnsi="Times New Roman"/>
          <w:sz w:val="18"/>
          <w:szCs w:val="18"/>
          <w:b w:val="1"/>
          <w:bCs w:val="1"/>
          <w:u w:val="single" w:color="auto"/>
          <w:color w:val="auto"/>
        </w:rPr>
        <w:t>“Delaware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Court</w:t>
      </w:r>
      <w:r>
        <w:rPr>
          <w:rFonts w:ascii="Times New Roman" w:cs="Times New Roman" w:eastAsia="Times New Roman" w:hAnsi="Times New Roman"/>
          <w:sz w:val="18"/>
          <w:szCs w:val="18"/>
          <w:color w:val="auto"/>
        </w:rPr>
        <w:t>”), and not in any other state or federal court in the United States of America or any court in any other country, (ii) irrevocably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unconditionally consent to submit to the exclusive jurisdiction of the Delaware Court for purposes of any action or proceeding arising out of or in connection with this Agreement, (iii) appoint, to the extent such party is not otherwise subject to service of process in the State of Delaware, The Corporation Trust Company, 1209 Orange Street, Wilmington, Delaware 19801, or another agent, as its agent in the State of Delaware as such party’s agent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9" w:right="439" w:bottom="1440" w:gutter="0" w:footer="0" w:header="0"/>
        </w:sectPr>
      </w:pPr>
    </w:p>
    <w:bookmarkStart w:id="479" w:name="page480"/>
    <w:bookmarkEnd w:id="479"/>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acceptance of legal process in connection with any such action or proceeding against such party with the same legal force and validity as if served upon such party personally within the State of Delaware, (iv) irrevocably and unconditionally waive any objection to the laying of venue of any such action or proceeding in the Delaware Court, and (v) irrevocably and unconditionally waive, and agree not to plead or to make, any claim that any such action or proceeding brought in the Delaware Court has been brought in an improper or inconvenient forum.</w:t>
      </w:r>
    </w:p>
    <w:p>
      <w:pPr>
        <w:spacing w:after="0" w:line="176"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18.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If a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competent jurisdiction shall make a final determination that the provisions of the law of any state other than Delaware govern indemnification by the Company of Indemnitee, then the indemnification provided under this Agreement shall in all instances be enforceable to the fullest extent permitted under such law, notwithstanding any provision of this Agreement to the contrary.</w:t>
      </w:r>
    </w:p>
    <w:p>
      <w:pPr>
        <w:spacing w:after="0" w:line="176"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Section 19. </w:t>
      </w: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color w:val="auto"/>
        </w:rPr>
        <w:t>. This Agreement may be executed in two or more counterparts, each of which shall be deemed to be an original and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which together shall be deemed to be one and the same instrument, notwithstanding that both parties are not signatories to the original or same counterpart. Signatures transmitted electronically, including in portable document format (“.pdf”), shall be accepted as originals for all purposes of this Agreement.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71"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20. </w:t>
      </w:r>
      <w:r>
        <w:rPr>
          <w:rFonts w:ascii="Times New Roman" w:cs="Times New Roman" w:eastAsia="Times New Roman" w:hAnsi="Times New Roman"/>
          <w:sz w:val="18"/>
          <w:szCs w:val="18"/>
          <w:b w:val="1"/>
          <w:bCs w:val="1"/>
          <w:u w:val="single" w:color="auto"/>
          <w:color w:val="auto"/>
        </w:rPr>
        <w:t>Headings; Section References</w:t>
      </w:r>
      <w:r>
        <w:rPr>
          <w:rFonts w:ascii="Times New Roman" w:cs="Times New Roman" w:eastAsia="Times New Roman" w:hAnsi="Times New Roman"/>
          <w:sz w:val="18"/>
          <w:szCs w:val="18"/>
          <w:color w:val="auto"/>
        </w:rPr>
        <w:t>. The section and subsection headings contained in this Agreement are for reference purposes only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affect in any way the meaning or interpretation of this Agreement. Except as otherwise indicated, section references herein refer to sections of this Agreement.</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69" w:right="499"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Agreement has been duly executed and delivered to be effective as of the date stated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ACADEMY SPORTS AND OUTDOORS, INC.</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2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Signature Page to Indemnification Agreement</w:t>
      </w:r>
      <w:r>
        <w:rPr>
          <w:rFonts w:ascii="Times New Roman" w:cs="Times New Roman" w:eastAsia="Times New Roman" w:hAnsi="Times New Roman"/>
          <w:sz w:val="18"/>
          <w:szCs w:val="18"/>
          <w:b w:val="1"/>
          <w:bCs w:val="1"/>
          <w:color w:val="auto"/>
        </w:rPr>
        <w:t>]</w:t>
      </w:r>
    </w:p>
    <w:p>
      <w:pPr>
        <w:sectPr>
          <w:pgSz w:w="11900" w:h="16838" w:orient="portrait"/>
          <w:cols w:equalWidth="0" w:num="1">
            <w:col w:w="9680"/>
          </w:cols>
          <w:pgMar w:left="880" w:top="269" w:right="1339" w:bottom="1440" w:gutter="0" w:footer="0" w:header="0"/>
        </w:sectPr>
      </w:pPr>
    </w:p>
    <w:bookmarkStart w:id="481" w:name="page482"/>
    <w:bookmarkEnd w:id="48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We consent to the use in this Registration Statement No. 333-248683 on Form S-1 of our report dated July 10, 2020 relating to the financial statements of New Academy Holding Company, LLC. We also consent to the reference to us under the heading “Experts” in such Registration Statement.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23, 2020</w:t>
      </w:r>
    </w:p>
    <w:p>
      <w:pPr>
        <w:sectPr>
          <w:pgSz w:w="11900" w:h="16838" w:orient="portrait"/>
          <w:cols w:equalWidth="0" w:num="1">
            <w:col w:w="11020"/>
          </w:cols>
          <w:pgMar w:left="440" w:top="117" w:right="439" w:bottom="1440" w:gutter="0" w:footer="0" w:header="0"/>
        </w:sectPr>
      </w:pPr>
    </w:p>
    <w:bookmarkStart w:id="482" w:name="page483"/>
    <w:bookmarkEnd w:id="48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consent to the use in this Registration Statement No. 333-248683 on Form S-1 of our report dated July 10, 2020 relating to the financial statements of Academy Sports and Outdoors, Inc. We also consent to the reference to us under the heading “Experts” in such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23, 2020</w:t>
      </w:r>
    </w:p>
    <w:p>
      <w:pPr>
        <w:sectPr>
          <w:pgSz w:w="11900" w:h="16838" w:orient="portrait"/>
          <w:cols w:equalWidth="0" w:num="1">
            <w:col w:w="11020"/>
          </w:cols>
          <w:pgMar w:left="440" w:top="117" w:right="439" w:bottom="1440" w:gutter="0" w:footer="0" w:header="0"/>
        </w:sectPr>
      </w:pPr>
    </w:p>
    <w:bookmarkStart w:id="483" w:name="page484"/>
    <w:bookmarkEnd w:id="48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to be Named as a Director Nominee</w:t>
      </w:r>
    </w:p>
    <w:p>
      <w:pPr>
        <w:spacing w:after="0" w:line="22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filing by Academy Sports and Outdoors, Inc. of the Registration Statement on Form S-1, and in all subsequent amendments and post-effective amendments or supplements thereto, with the Securities and Exchange Commission under the Securities Act of 1933, as amended (the “Securities Act”), I hereby consent, pursuant to Rule 438 of the Securities Act, to being named as a nominee to the board of directors of Academy Sports and Outdoors, Inc. in the Registration Statement and any and all amendments and supplements thereto. I also consent to the filing of this consent as an exhibit to such Registration Statement and any amendments thereto.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23, 2020</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Allen I. Questrom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Allen I. Questrom</w:t>
      </w:r>
    </w:p>
    <w:p>
      <w:pPr>
        <w:sectPr>
          <w:pgSz w:w="11900" w:h="16838" w:orient="portrait"/>
          <w:cols w:equalWidth="0" w:num="1">
            <w:col w:w="11020"/>
          </w:cols>
          <w:pgMar w:left="440" w:top="117" w:right="439" w:bottom="1440" w:gutter="0" w:footer="0" w:header="0"/>
        </w:sectPr>
      </w:pPr>
    </w:p>
    <w:bookmarkStart w:id="484" w:name="page485"/>
    <w:bookmarkEnd w:id="48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to be Named as a Director Nominee</w:t>
      </w:r>
    </w:p>
    <w:p>
      <w:pPr>
        <w:spacing w:after="0" w:line="22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filing by Academy Sports and Outdoors, Inc. of the Registration Statement on Form S-1, and in all subsequent amendments and post-effective amendments or supplements thereto, with the Securities and Exchange Commission under the Securities Act of 1933, as amended (the “Securities Act”), I hereby consent, pursuant to Rule 438 of the Securities Act, to being named as a nominee to the board of directors of Academy Sports and Outdoors, Inc. in the Registration Statement and any and all amendments and supplements thereto. I also consent to the filing of this consent as an exhibit to such Registration Statement and any amendments thereto.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23, 2020</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Jeffrey C. Tweedy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Jeffrey C. Tweedy</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636063"/>
    <w:multiLevelType w:val="hybridMultilevel"/>
    <w:lvl w:ilvl="0">
      <w:lvlJc w:val="left"/>
      <w:lvlText w:val="(%1)"/>
      <w:numFmt w:val="decimal"/>
      <w:start w:val="1"/>
    </w:lvl>
  </w:abstractNum>
  <w:abstractNum w:abstractNumId="1">
    <w:nsid w:val="215641AF"/>
    <w:multiLevelType w:val="hybridMultilevel"/>
    <w:lvl w:ilvl="0">
      <w:lvlJc w:val="left"/>
      <w:lvlText w:val="(%1)"/>
      <w:numFmt w:val="decimal"/>
      <w:start w:val="1"/>
    </w:lvl>
  </w:abstractNum>
  <w:abstractNum w:abstractNumId="2">
    <w:nsid w:val="53280662"/>
    <w:multiLevelType w:val="hybridMultilevel"/>
    <w:lvl w:ilvl="0">
      <w:lvlJc w:val="left"/>
      <w:lvlText w:val="•"/>
      <w:numFmt w:val="bullet"/>
      <w:start w:val="1"/>
    </w:lvl>
  </w:abstractNum>
  <w:abstractNum w:abstractNumId="3">
    <w:nsid w:val="46B24DBC"/>
    <w:multiLevelType w:val="hybridMultilevel"/>
    <w:lvl w:ilvl="0">
      <w:lvlJc w:val="left"/>
      <w:lvlText w:val="•"/>
      <w:numFmt w:val="bullet"/>
      <w:start w:val="1"/>
    </w:lvl>
  </w:abstractNum>
  <w:abstractNum w:abstractNumId="4">
    <w:nsid w:val="75B52783"/>
    <w:multiLevelType w:val="hybridMultilevel"/>
    <w:lvl w:ilvl="0">
      <w:lvlJc w:val="left"/>
      <w:lvlText w:val="%1)"/>
      <w:numFmt w:val="decimal"/>
      <w:start w:val="1"/>
    </w:lvl>
  </w:abstractNum>
  <w:abstractNum w:abstractNumId="5">
    <w:nsid w:val="57CE66B4"/>
    <w:multiLevelType w:val="hybridMultilevel"/>
    <w:lvl w:ilvl="0">
      <w:lvlJc w:val="left"/>
      <w:lvlText w:val="%1)"/>
      <w:numFmt w:val="decimal"/>
      <w:start w:val="1"/>
    </w:lvl>
  </w:abstractNum>
  <w:abstractNum w:abstractNumId="6">
    <w:nsid w:val="67A70B69"/>
    <w:multiLevelType w:val="hybridMultilevel"/>
    <w:lvl w:ilvl="0">
      <w:lvlJc w:val="left"/>
      <w:lvlText w:val="%1)"/>
      <w:numFmt w:val="decimal"/>
      <w:start w:val="4"/>
    </w:lvl>
  </w:abstractNum>
  <w:abstractNum w:abstractNumId="7">
    <w:nsid w:val="5953172F"/>
    <w:multiLevelType w:val="hybridMultilevel"/>
    <w:lvl w:ilvl="0">
      <w:lvlJc w:val="left"/>
      <w:lvlText w:val="•"/>
      <w:numFmt w:val="bullet"/>
      <w:start w:val="1"/>
    </w:lvl>
  </w:abstractNum>
  <w:abstractNum w:abstractNumId="8">
    <w:nsid w:val="27EDFE3A"/>
    <w:multiLevelType w:val="hybridMultilevel"/>
    <w:lvl w:ilvl="0">
      <w:lvlJc w:val="left"/>
      <w:lvlText w:val="•"/>
      <w:numFmt w:val="bullet"/>
      <w:start w:val="1"/>
    </w:lvl>
  </w:abstractNum>
  <w:abstractNum w:abstractNumId="9">
    <w:nsid w:val="52AC7DFF"/>
    <w:multiLevelType w:val="hybridMultilevel"/>
    <w:lvl w:ilvl="0">
      <w:lvlJc w:val="left"/>
      <w:lvlText w:val="•"/>
      <w:numFmt w:val="bullet"/>
      <w:start w:val="1"/>
    </w:lvl>
  </w:abstractNum>
  <w:abstractNum w:abstractNumId="10">
    <w:nsid w:val="C4C3AF"/>
    <w:multiLevelType w:val="hybridMultilevel"/>
    <w:lvl w:ilvl="0">
      <w:lvlJc w:val="left"/>
      <w:lvlText w:val="•"/>
      <w:numFmt w:val="bullet"/>
      <w:start w:val="1"/>
    </w:lvl>
  </w:abstractNum>
  <w:abstractNum w:abstractNumId="11">
    <w:nsid w:val="44380727"/>
    <w:multiLevelType w:val="hybridMultilevel"/>
    <w:lvl w:ilvl="0">
      <w:lvlJc w:val="left"/>
      <w:lvlText w:val="•"/>
      <w:numFmt w:val="bullet"/>
      <w:start w:val="1"/>
    </w:lvl>
  </w:abstractNum>
  <w:abstractNum w:abstractNumId="12">
    <w:nsid w:val="6C053B16"/>
    <w:multiLevelType w:val="hybridMultilevel"/>
    <w:lvl w:ilvl="0">
      <w:lvlJc w:val="left"/>
      <w:lvlText w:val="•"/>
      <w:numFmt w:val="bullet"/>
      <w:start w:val="1"/>
    </w:lvl>
  </w:abstractNum>
  <w:abstractNum w:abstractNumId="13">
    <w:nsid w:val="4F294393"/>
    <w:multiLevelType w:val="hybridMultilevel"/>
    <w:lvl w:ilvl="0">
      <w:lvlJc w:val="left"/>
      <w:lvlText w:val="•"/>
      <w:numFmt w:val="bullet"/>
      <w:start w:val="1"/>
    </w:lvl>
  </w:abstractNum>
  <w:abstractNum w:abstractNumId="14">
    <w:nsid w:val="5243BFAC"/>
    <w:multiLevelType w:val="hybridMultilevel"/>
    <w:lvl w:ilvl="0">
      <w:lvlJc w:val="left"/>
      <w:lvlText w:val="•"/>
      <w:numFmt w:val="bullet"/>
      <w:start w:val="1"/>
    </w:lvl>
  </w:abstractNum>
  <w:abstractNum w:abstractNumId="15">
    <w:nsid w:val="425EB207"/>
    <w:multiLevelType w:val="hybridMultilevel"/>
    <w:lvl w:ilvl="0">
      <w:lvlJc w:val="left"/>
      <w:lvlText w:val="(%1)"/>
      <w:numFmt w:val="decimal"/>
      <w:start w:val="1"/>
    </w:lvl>
  </w:abstractNum>
  <w:abstractNum w:abstractNumId="16">
    <w:nsid w:val="334A6F1F"/>
    <w:multiLevelType w:val="hybridMultilevel"/>
    <w:lvl w:ilvl="0">
      <w:lvlJc w:val="left"/>
      <w:lvlText w:val="•"/>
      <w:numFmt w:val="bullet"/>
      <w:start w:val="1"/>
    </w:lvl>
  </w:abstractNum>
  <w:abstractNum w:abstractNumId="17">
    <w:nsid w:val="2E5B12B8"/>
    <w:multiLevelType w:val="hybridMultilevel"/>
    <w:lvl w:ilvl="0">
      <w:lvlJc w:val="left"/>
      <w:lvlText w:val="•"/>
      <w:numFmt w:val="bullet"/>
      <w:start w:val="1"/>
    </w:lvl>
  </w:abstractNum>
  <w:abstractNum w:abstractNumId="18">
    <w:nsid w:val="5C03D76D"/>
    <w:multiLevelType w:val="hybridMultilevel"/>
    <w:lvl w:ilvl="0">
      <w:lvlJc w:val="left"/>
      <w:lvlText w:val="(%1)"/>
      <w:numFmt w:val="lowerLetter"/>
      <w:start w:val="1"/>
    </w:lvl>
  </w:abstractNum>
  <w:abstractNum w:abstractNumId="19">
    <w:nsid w:val="66A48D11"/>
    <w:multiLevelType w:val="hybridMultilevel"/>
    <w:lvl w:ilvl="0">
      <w:lvlJc w:val="left"/>
      <w:lvlText w:val="(%1)"/>
      <w:numFmt w:val="lowerLetter"/>
      <w:start w:val="4"/>
    </w:lvl>
  </w:abstractNum>
  <w:abstractNum w:abstractNumId="20">
    <w:nsid w:val="56C28E34"/>
    <w:multiLevelType w:val="hybridMultilevel"/>
    <w:lvl w:ilvl="0">
      <w:lvlJc w:val="left"/>
      <w:lvlText w:val="•"/>
      <w:numFmt w:val="bullet"/>
      <w:start w:val="1"/>
    </w:lvl>
  </w:abstractNum>
  <w:abstractNum w:abstractNumId="21">
    <w:nsid w:val="13916F2D"/>
    <w:multiLevelType w:val="hybridMultilevel"/>
    <w:lvl w:ilvl="0">
      <w:lvlJc w:val="left"/>
      <w:lvlText w:val="•"/>
      <w:numFmt w:val="bullet"/>
      <w:start w:val="1"/>
    </w:lvl>
  </w:abstractNum>
  <w:abstractNum w:abstractNumId="22">
    <w:nsid w:val="435D38D"/>
    <w:multiLevelType w:val="hybridMultilevel"/>
    <w:lvl w:ilvl="0">
      <w:lvlJc w:val="left"/>
      <w:lvlText w:val="•"/>
      <w:numFmt w:val="bullet"/>
      <w:start w:val="1"/>
    </w:lvl>
  </w:abstractNum>
  <w:abstractNum w:abstractNumId="23">
    <w:nsid w:val="822C0EF"/>
    <w:multiLevelType w:val="hybridMultilevel"/>
    <w:lvl w:ilvl="0">
      <w:lvlJc w:val="left"/>
      <w:lvlText w:val="•"/>
      <w:numFmt w:val="bullet"/>
      <w:start w:val="1"/>
    </w:lvl>
  </w:abstractNum>
  <w:abstractNum w:abstractNumId="24">
    <w:nsid w:val="57C5BB4F"/>
    <w:multiLevelType w:val="hybridMultilevel"/>
    <w:lvl w:ilvl="0">
      <w:lvlJc w:val="left"/>
      <w:lvlText w:val="•"/>
      <w:numFmt w:val="bullet"/>
      <w:start w:val="1"/>
    </w:lvl>
  </w:abstractNum>
  <w:abstractNum w:abstractNumId="25">
    <w:nsid w:val="1803D089"/>
    <w:multiLevelType w:val="hybridMultilevel"/>
    <w:lvl w:ilvl="0">
      <w:lvlJc w:val="left"/>
      <w:lvlText w:val="•"/>
      <w:numFmt w:val="bullet"/>
      <w:start w:val="1"/>
    </w:lvl>
  </w:abstractNum>
  <w:abstractNum w:abstractNumId="26">
    <w:nsid w:val="4F3A06D4"/>
    <w:multiLevelType w:val="hybridMultilevel"/>
    <w:lvl w:ilvl="0">
      <w:lvlJc w:val="left"/>
      <w:lvlText w:val="•"/>
      <w:numFmt w:val="bullet"/>
      <w:start w:val="1"/>
    </w:lvl>
  </w:abstractNum>
  <w:abstractNum w:abstractNumId="27">
    <w:nsid w:val="59A377B6"/>
    <w:multiLevelType w:val="hybridMultilevel"/>
    <w:lvl w:ilvl="0">
      <w:lvlJc w:val="left"/>
      <w:lvlText w:val="•"/>
      <w:numFmt w:val="bullet"/>
      <w:start w:val="1"/>
    </w:lvl>
  </w:abstractNum>
  <w:abstractNum w:abstractNumId="28">
    <w:nsid w:val="48AEB063"/>
    <w:multiLevelType w:val="hybridMultilevel"/>
    <w:lvl w:ilvl="0">
      <w:lvlJc w:val="left"/>
      <w:lvlText w:val="•"/>
      <w:numFmt w:val="bullet"/>
      <w:start w:val="1"/>
    </w:lvl>
  </w:abstractNum>
  <w:abstractNum w:abstractNumId="29">
    <w:nsid w:val="24E135"/>
    <w:multiLevelType w:val="hybridMultilevel"/>
    <w:lvl w:ilvl="0">
      <w:lvlJc w:val="left"/>
      <w:lvlText w:val="•"/>
      <w:numFmt w:val="bullet"/>
      <w:start w:val="1"/>
    </w:lvl>
  </w:abstractNum>
  <w:abstractNum w:abstractNumId="30">
    <w:nsid w:val="BB13C1"/>
    <w:multiLevelType w:val="hybridMultilevel"/>
    <w:lvl w:ilvl="0">
      <w:lvlJc w:val="left"/>
      <w:lvlText w:val="•"/>
      <w:numFmt w:val="bullet"/>
      <w:start w:val="1"/>
    </w:lvl>
  </w:abstractNum>
  <w:abstractNum w:abstractNumId="31">
    <w:nsid w:val="271210C7"/>
    <w:multiLevelType w:val="hybridMultilevel"/>
    <w:lvl w:ilvl="0">
      <w:lvlJc w:val="left"/>
      <w:lvlText w:val="•"/>
      <w:numFmt w:val="bullet"/>
      <w:start w:val="1"/>
    </w:lvl>
  </w:abstractNum>
  <w:abstractNum w:abstractNumId="32">
    <w:nsid w:val="217B22E4"/>
    <w:multiLevelType w:val="hybridMultilevel"/>
    <w:lvl w:ilvl="0">
      <w:lvlJc w:val="left"/>
      <w:lvlText w:val="•"/>
      <w:numFmt w:val="bullet"/>
      <w:start w:val="1"/>
    </w:lvl>
  </w:abstractNum>
  <w:abstractNum w:abstractNumId="33">
    <w:nsid w:val="53E31A24"/>
    <w:multiLevelType w:val="hybridMultilevel"/>
    <w:lvl w:ilvl="0">
      <w:lvlJc w:val="left"/>
      <w:lvlText w:val="•"/>
      <w:numFmt w:val="bullet"/>
      <w:start w:val="1"/>
    </w:lvl>
  </w:abstractNum>
  <w:abstractNum w:abstractNumId="34">
    <w:nsid w:val="6DC45E83"/>
    <w:multiLevelType w:val="hybridMultilevel"/>
    <w:lvl w:ilvl="0">
      <w:lvlJc w:val="left"/>
      <w:lvlText w:val="•"/>
      <w:numFmt w:val="bullet"/>
      <w:start w:val="1"/>
    </w:lvl>
  </w:abstractNum>
  <w:abstractNum w:abstractNumId="35">
    <w:nsid w:val="17304A67"/>
    <w:multiLevelType w:val="hybridMultilevel"/>
    <w:lvl w:ilvl="0">
      <w:lvlJc w:val="left"/>
      <w:lvlText w:val="•"/>
      <w:numFmt w:val="bullet"/>
      <w:start w:val="1"/>
    </w:lvl>
  </w:abstractNum>
  <w:abstractNum w:abstractNumId="36">
    <w:nsid w:val="2BB180D8"/>
    <w:multiLevelType w:val="hybridMultilevel"/>
    <w:lvl w:ilvl="0">
      <w:lvlJc w:val="left"/>
      <w:lvlText w:val="•"/>
      <w:numFmt w:val="bullet"/>
      <w:start w:val="1"/>
    </w:lvl>
  </w:abstractNum>
  <w:abstractNum w:abstractNumId="37">
    <w:nsid w:val="556B69ED"/>
    <w:multiLevelType w:val="hybridMultilevel"/>
    <w:lvl w:ilvl="0">
      <w:lvlJc w:val="left"/>
      <w:lvlText w:val="•"/>
      <w:numFmt w:val="bullet"/>
      <w:start w:val="1"/>
    </w:lvl>
  </w:abstractNum>
  <w:abstractNum w:abstractNumId="38">
    <w:nsid w:val="70836196"/>
    <w:multiLevelType w:val="hybridMultilevel"/>
    <w:lvl w:ilvl="0">
      <w:lvlJc w:val="left"/>
      <w:lvlText w:val="•"/>
      <w:numFmt w:val="bullet"/>
      <w:start w:val="1"/>
    </w:lvl>
  </w:abstractNum>
  <w:abstractNum w:abstractNumId="39">
    <w:nsid w:val="539F7F12"/>
    <w:multiLevelType w:val="hybridMultilevel"/>
    <w:lvl w:ilvl="0">
      <w:lvlJc w:val="left"/>
      <w:lvlText w:val="(%1)"/>
      <w:numFmt w:val="lowerRoman"/>
      <w:start w:val="1"/>
    </w:lvl>
  </w:abstractNum>
  <w:abstractNum w:abstractNumId="40">
    <w:nsid w:val="2817E7EC"/>
    <w:multiLevelType w:val="hybridMultilevel"/>
    <w:lvl w:ilvl="0">
      <w:lvlJc w:val="left"/>
      <w:lvlText w:val="•"/>
      <w:numFmt w:val="bullet"/>
      <w:start w:val="1"/>
    </w:lvl>
  </w:abstractNum>
  <w:abstractNum w:abstractNumId="41">
    <w:nsid w:val="71482545"/>
    <w:multiLevelType w:val="hybridMultilevel"/>
    <w:lvl w:ilvl="0">
      <w:lvlJc w:val="left"/>
      <w:lvlText w:val="•"/>
      <w:numFmt w:val="bullet"/>
      <w:start w:val="1"/>
    </w:lvl>
  </w:abstractNum>
  <w:abstractNum w:abstractNumId="42">
    <w:nsid w:val="17D78639"/>
    <w:multiLevelType w:val="hybridMultilevel"/>
    <w:lvl w:ilvl="0">
      <w:lvlJc w:val="left"/>
      <w:lvlText w:val="•"/>
      <w:numFmt w:val="bullet"/>
      <w:start w:val="1"/>
    </w:lvl>
  </w:abstractNum>
  <w:abstractNum w:abstractNumId="43">
    <w:nsid w:val="141D2302"/>
    <w:multiLevelType w:val="hybridMultilevel"/>
    <w:lvl w:ilvl="0">
      <w:lvlJc w:val="left"/>
      <w:lvlText w:val="(%1)"/>
      <w:numFmt w:val="decimal"/>
      <w:start w:val="1"/>
    </w:lvl>
  </w:abstractNum>
  <w:abstractNum w:abstractNumId="44">
    <w:nsid w:val="407168D8"/>
    <w:multiLevelType w:val="hybridMultilevel"/>
    <w:lvl w:ilvl="0">
      <w:lvlJc w:val="left"/>
      <w:lvlText w:val="(%1)"/>
      <w:numFmt w:val="decimal"/>
      <w:start w:val="2"/>
    </w:lvl>
  </w:abstractNum>
  <w:abstractNum w:abstractNumId="45">
    <w:nsid w:val="6A1B45E5"/>
    <w:multiLevelType w:val="hybridMultilevel"/>
    <w:lvl w:ilvl="0">
      <w:lvlJc w:val="left"/>
      <w:lvlText w:val="(%1)"/>
      <w:numFmt w:val="decimal"/>
      <w:start w:val="1"/>
    </w:lvl>
  </w:abstractNum>
  <w:abstractNum w:abstractNumId="46">
    <w:nsid w:val="567BD50A"/>
    <w:multiLevelType w:val="hybridMultilevel"/>
    <w:lvl w:ilvl="0">
      <w:lvlJc w:val="left"/>
      <w:lvlText w:val="(%1)"/>
      <w:numFmt w:val="decimal"/>
      <w:start w:val="3"/>
    </w:lvl>
  </w:abstractNum>
  <w:abstractNum w:abstractNumId="47">
    <w:nsid w:val="73BBD7F8"/>
    <w:multiLevelType w:val="hybridMultilevel"/>
    <w:lvl w:ilvl="0">
      <w:lvlJc w:val="left"/>
      <w:lvlText w:val="(%1)"/>
      <w:numFmt w:val="decimal"/>
      <w:start w:val="5"/>
    </w:lvl>
  </w:abstractNum>
  <w:abstractNum w:abstractNumId="48">
    <w:nsid w:val="1876589D"/>
    <w:multiLevelType w:val="hybridMultilevel"/>
    <w:lvl w:ilvl="0">
      <w:lvlJc w:val="left"/>
      <w:lvlText w:val="•"/>
      <w:numFmt w:val="bullet"/>
      <w:start w:val="1"/>
    </w:lvl>
  </w:abstractNum>
  <w:abstractNum w:abstractNumId="49">
    <w:nsid w:val="327FAC77"/>
    <w:multiLevelType w:val="hybridMultilevel"/>
    <w:lvl w:ilvl="0">
      <w:lvlJc w:val="left"/>
      <w:lvlText w:val="•"/>
      <w:numFmt w:val="bullet"/>
      <w:start w:val="1"/>
    </w:lvl>
  </w:abstractNum>
  <w:abstractNum w:abstractNumId="50">
    <w:nsid w:val="5A606509"/>
    <w:multiLevelType w:val="hybridMultilevel"/>
    <w:lvl w:ilvl="0">
      <w:lvlJc w:val="left"/>
      <w:lvlText w:val="•"/>
      <w:numFmt w:val="bullet"/>
      <w:start w:val="1"/>
    </w:lvl>
  </w:abstractNum>
  <w:abstractNum w:abstractNumId="51">
    <w:nsid w:val="6F38E6D1"/>
    <w:multiLevelType w:val="hybridMultilevel"/>
    <w:lvl w:ilvl="0">
      <w:lvlJc w:val="left"/>
      <w:lvlText w:val="•"/>
      <w:numFmt w:val="bullet"/>
      <w:start w:val="1"/>
    </w:lvl>
  </w:abstractNum>
  <w:abstractNum w:abstractNumId="52">
    <w:nsid w:val="46111BA5"/>
    <w:multiLevelType w:val="hybridMultilevel"/>
    <w:lvl w:ilvl="0">
      <w:lvlJc w:val="left"/>
      <w:lvlText w:val="•"/>
      <w:numFmt w:val="bullet"/>
      <w:start w:val="1"/>
    </w:lvl>
  </w:abstractNum>
  <w:abstractNum w:abstractNumId="53">
    <w:nsid w:val="5E963896"/>
    <w:multiLevelType w:val="hybridMultilevel"/>
    <w:lvl w:ilvl="0">
      <w:lvlJc w:val="left"/>
      <w:lvlText w:val="•"/>
      <w:numFmt w:val="bullet"/>
      <w:start w:val="1"/>
    </w:lvl>
  </w:abstractNum>
  <w:abstractNum w:abstractNumId="54">
    <w:nsid w:val="775BA7C1"/>
    <w:multiLevelType w:val="hybridMultilevel"/>
    <w:lvl w:ilvl="0">
      <w:lvlJc w:val="left"/>
      <w:lvlText w:val="•"/>
      <w:numFmt w:val="bullet"/>
      <w:start w:val="1"/>
    </w:lvl>
  </w:abstractNum>
  <w:abstractNum w:abstractNumId="55">
    <w:nsid w:val="1DD6D6F4"/>
    <w:multiLevelType w:val="hybridMultilevel"/>
    <w:lvl w:ilvl="0">
      <w:lvlJc w:val="left"/>
      <w:lvlText w:val="(%1)"/>
      <w:numFmt w:val="lowerLetter"/>
      <w:start w:val="1"/>
    </w:lvl>
  </w:abstractNum>
  <w:abstractNum w:abstractNumId="56">
    <w:nsid w:val="769A091F"/>
    <w:multiLevelType w:val="hybridMultilevel"/>
    <w:lvl w:ilvl="0">
      <w:lvlJc w:val="left"/>
      <w:lvlText w:val="(%1)"/>
      <w:numFmt w:val="lowerLetter"/>
      <w:start w:val="4"/>
    </w:lvl>
  </w:abstractNum>
  <w:abstractNum w:abstractNumId="57">
    <w:nsid w:val="4695AE95"/>
    <w:multiLevelType w:val="hybridMultilevel"/>
    <w:lvl w:ilvl="0">
      <w:lvlJc w:val="left"/>
      <w:lvlText w:val="(%1)"/>
      <w:numFmt w:val="decimal"/>
      <w:start w:val="1"/>
    </w:lvl>
  </w:abstractNum>
  <w:abstractNum w:abstractNumId="58">
    <w:nsid w:val="777A4EAA"/>
    <w:multiLevelType w:val="hybridMultilevel"/>
    <w:lvl w:ilvl="0">
      <w:lvlJc w:val="left"/>
      <w:lvlText w:val="•"/>
      <w:numFmt w:val="bullet"/>
      <w:start w:val="1"/>
    </w:lvl>
  </w:abstractNum>
  <w:abstractNum w:abstractNumId="59">
    <w:nsid w:val="3F48B982"/>
    <w:multiLevelType w:val="hybridMultilevel"/>
    <w:lvl w:ilvl="0">
      <w:lvlJc w:val="left"/>
      <w:lvlText w:val="•"/>
      <w:numFmt w:val="bullet"/>
      <w:start w:val="1"/>
    </w:lvl>
  </w:abstractNum>
  <w:abstractNum w:abstractNumId="60">
    <w:nsid w:val="46BA8FCA"/>
    <w:multiLevelType w:val="hybridMultilevel"/>
    <w:lvl w:ilvl="0">
      <w:lvlJc w:val="left"/>
      <w:lvlText w:val="•"/>
      <w:numFmt w:val="bullet"/>
      <w:start w:val="1"/>
    </w:lvl>
  </w:abstractNum>
  <w:abstractNum w:abstractNumId="61">
    <w:nsid w:val="7835626C"/>
    <w:multiLevelType w:val="hybridMultilevel"/>
    <w:lvl w:ilvl="0">
      <w:lvlJc w:val="left"/>
      <w:lvlText w:val="•"/>
      <w:numFmt w:val="bullet"/>
      <w:start w:val="1"/>
    </w:lvl>
  </w:abstractNum>
  <w:abstractNum w:abstractNumId="62">
    <w:nsid w:val="665ACA49"/>
    <w:multiLevelType w:val="hybridMultilevel"/>
    <w:lvl w:ilvl="0">
      <w:lvlJc w:val="left"/>
      <w:lvlText w:val="(%1)"/>
      <w:numFmt w:val="decimal"/>
      <w:start w:val="1"/>
    </w:lvl>
  </w:abstractNum>
  <w:abstractNum w:abstractNumId="63">
    <w:nsid w:val="6835B2AE"/>
    <w:multiLevelType w:val="hybridMultilevel"/>
    <w:lvl w:ilvl="0">
      <w:lvlJc w:val="left"/>
      <w:lvlText w:val="(%1)"/>
      <w:numFmt w:val="decimal"/>
      <w:start w:val="1"/>
    </w:lvl>
  </w:abstractNum>
  <w:abstractNum w:abstractNumId="64">
    <w:nsid w:val="4C187C90"/>
    <w:multiLevelType w:val="hybridMultilevel"/>
    <w:lvl w:ilvl="0">
      <w:lvlJc w:val="left"/>
      <w:lvlText w:val="(%1)"/>
      <w:numFmt w:val="decimal"/>
      <w:start w:val="1"/>
    </w:lvl>
  </w:abstractNum>
  <w:abstractNum w:abstractNumId="65">
    <w:nsid w:val="541F28CD"/>
    <w:multiLevelType w:val="hybridMultilevel"/>
    <w:lvl w:ilvl="0">
      <w:lvlJc w:val="left"/>
      <w:lvlText w:val="•"/>
      <w:numFmt w:val="bullet"/>
      <w:start w:val="1"/>
    </w:lvl>
  </w:abstractNum>
  <w:abstractNum w:abstractNumId="66">
    <w:nsid w:val="7F65FD16"/>
    <w:multiLevelType w:val="hybridMultilevel"/>
    <w:lvl w:ilvl="0">
      <w:lvlJc w:val="left"/>
      <w:lvlText w:val="•"/>
      <w:numFmt w:val="bullet"/>
      <w:start w:val="1"/>
    </w:lvl>
  </w:abstractNum>
  <w:abstractNum w:abstractNumId="67">
    <w:nsid w:val="77C9FD68"/>
    <w:multiLevelType w:val="hybridMultilevel"/>
    <w:lvl w:ilvl="0">
      <w:lvlJc w:val="left"/>
      <w:lvlText w:val="•"/>
      <w:numFmt w:val="bullet"/>
      <w:start w:val="1"/>
    </w:lvl>
  </w:abstractNum>
  <w:abstractNum w:abstractNumId="68">
    <w:nsid w:val="298A92BA"/>
    <w:multiLevelType w:val="hybridMultilevel"/>
    <w:lvl w:ilvl="0">
      <w:lvlJc w:val="left"/>
      <w:lvlText w:val="•"/>
      <w:numFmt w:val="bullet"/>
      <w:start w:val="1"/>
    </w:lvl>
  </w:abstractNum>
  <w:abstractNum w:abstractNumId="69">
    <w:nsid w:val="6FE95EAC"/>
    <w:multiLevelType w:val="hybridMultilevel"/>
    <w:lvl w:ilvl="0">
      <w:lvlJc w:val="left"/>
      <w:lvlText w:val="•"/>
      <w:numFmt w:val="bullet"/>
      <w:start w:val="1"/>
    </w:lvl>
  </w:abstractNum>
  <w:abstractNum w:abstractNumId="70">
    <w:nsid w:val="4B697C7A"/>
    <w:multiLevelType w:val="hybridMultilevel"/>
    <w:lvl w:ilvl="0">
      <w:lvlJc w:val="left"/>
      <w:lvlText w:val="•"/>
      <w:numFmt w:val="bullet"/>
      <w:start w:val="1"/>
    </w:lvl>
  </w:abstractNum>
  <w:abstractNum w:abstractNumId="71">
    <w:nsid w:val="51A27AA6"/>
    <w:multiLevelType w:val="hybridMultilevel"/>
    <w:lvl w:ilvl="0">
      <w:lvlJc w:val="left"/>
      <w:lvlText w:val="•"/>
      <w:numFmt w:val="bullet"/>
      <w:start w:val="1"/>
    </w:lvl>
  </w:abstractNum>
  <w:abstractNum w:abstractNumId="72">
    <w:nsid w:val="613183F2"/>
    <w:multiLevelType w:val="hybridMultilevel"/>
    <w:lvl w:ilvl="0">
      <w:lvlJc w:val="left"/>
      <w:lvlText w:val="•"/>
      <w:numFmt w:val="bullet"/>
      <w:start w:val="1"/>
    </w:lvl>
  </w:abstractNum>
  <w:abstractNum w:abstractNumId="73">
    <w:nsid w:val="634102B4"/>
    <w:multiLevelType w:val="hybridMultilevel"/>
    <w:lvl w:ilvl="0">
      <w:lvlJc w:val="left"/>
      <w:lvlText w:val="•"/>
      <w:numFmt w:val="bullet"/>
      <w:start w:val="1"/>
    </w:lvl>
  </w:abstractNum>
  <w:abstractNum w:abstractNumId="74">
    <w:nsid w:val="65BF9DA8"/>
    <w:multiLevelType w:val="hybridMultilevel"/>
    <w:lvl w:ilvl="0">
      <w:lvlJc w:val="left"/>
      <w:lvlText w:val="•"/>
      <w:numFmt w:val="bullet"/>
      <w:start w:val="1"/>
    </w:lvl>
  </w:abstractNum>
  <w:abstractNum w:abstractNumId="75">
    <w:nsid w:val="21A2ECCA"/>
    <w:multiLevelType w:val="hybridMultilevel"/>
    <w:lvl w:ilvl="0">
      <w:lvlJc w:val="left"/>
      <w:lvlText w:val="•"/>
      <w:numFmt w:val="bullet"/>
      <w:start w:val="1"/>
    </w:lvl>
  </w:abstractNum>
  <w:abstractNum w:abstractNumId="76">
    <w:nsid w:val="4D5C4899"/>
    <w:multiLevelType w:val="hybridMultilevel"/>
    <w:lvl w:ilvl="0">
      <w:lvlJc w:val="left"/>
      <w:lvlText w:val="•"/>
      <w:numFmt w:val="bullet"/>
      <w:start w:val="1"/>
    </w:lvl>
  </w:abstractNum>
  <w:abstractNum w:abstractNumId="77">
    <w:nsid w:val="3C3B72B2"/>
    <w:multiLevelType w:val="hybridMultilevel"/>
    <w:lvl w:ilvl="0">
      <w:lvlJc w:val="left"/>
      <w:lvlText w:val="•"/>
      <w:numFmt w:val="bullet"/>
      <w:start w:val="1"/>
    </w:lvl>
  </w:abstractNum>
  <w:abstractNum w:abstractNumId="78">
    <w:nsid w:val="155EC4C2"/>
    <w:multiLevelType w:val="hybridMultilevel"/>
    <w:lvl w:ilvl="0">
      <w:lvlJc w:val="left"/>
      <w:lvlText w:val="•"/>
      <w:numFmt w:val="bullet"/>
      <w:start w:val="1"/>
    </w:lvl>
    <w:lvl w:ilvl="1">
      <w:lvlJc w:val="left"/>
      <w:lvlText w:val="•"/>
      <w:numFmt w:val="bullet"/>
      <w:start w:val="1"/>
    </w:lvl>
  </w:abstractNum>
  <w:abstractNum w:abstractNumId="79">
    <w:nsid w:val="65D2A137"/>
    <w:multiLevelType w:val="hybridMultilevel"/>
    <w:lvl w:ilvl="0">
      <w:lvlJc w:val="left"/>
      <w:lvlText w:val="•"/>
      <w:numFmt w:val="bullet"/>
      <w:start w:val="1"/>
    </w:lvl>
  </w:abstractNum>
  <w:abstractNum w:abstractNumId="80">
    <w:nsid w:val="6EBB1F2A"/>
    <w:multiLevelType w:val="hybridMultilevel"/>
    <w:lvl w:ilvl="0">
      <w:lvlJc w:val="left"/>
      <w:lvlText w:val="•"/>
      <w:numFmt w:val="bullet"/>
      <w:start w:val="1"/>
    </w:lvl>
    <w:lvl w:ilvl="1">
      <w:lvlJc w:val="left"/>
      <w:lvlText w:val="•"/>
      <w:numFmt w:val="bullet"/>
      <w:start w:val="1"/>
    </w:lvl>
  </w:abstractNum>
  <w:abstractNum w:abstractNumId="81">
    <w:nsid w:val="6FBF29CB"/>
    <w:multiLevelType w:val="hybridMultilevel"/>
    <w:lvl w:ilvl="0">
      <w:lvlJc w:val="left"/>
      <w:lvlText w:val="(%1)"/>
      <w:numFmt w:val="lowerRoman"/>
      <w:start w:val="3"/>
    </w:lvl>
  </w:abstractNum>
  <w:abstractNum w:abstractNumId="82">
    <w:nsid w:val="550B8808"/>
    <w:multiLevelType w:val="hybridMultilevel"/>
    <w:lvl w:ilvl="0">
      <w:lvlJc w:val="left"/>
      <w:lvlText w:val="(%1)"/>
      <w:numFmt w:val="decimal"/>
      <w:start w:val="1"/>
    </w:lvl>
  </w:abstractNum>
  <w:abstractNum w:abstractNumId="83">
    <w:nsid w:val="34CC3ACF"/>
    <w:multiLevelType w:val="hybridMultilevel"/>
    <w:lvl w:ilvl="0">
      <w:lvlJc w:val="left"/>
      <w:lvlText w:val="(%1)"/>
      <w:numFmt w:val="decimal"/>
      <w:start w:val="2"/>
    </w:lvl>
  </w:abstractNum>
  <w:abstractNum w:abstractNumId="84">
    <w:nsid w:val="4E556261"/>
    <w:multiLevelType w:val="hybridMultilevel"/>
    <w:lvl w:ilvl="0">
      <w:lvlJc w:val="left"/>
      <w:lvlText w:val="•"/>
      <w:numFmt w:val="bullet"/>
      <w:start w:val="1"/>
    </w:lvl>
  </w:abstractNum>
  <w:abstractNum w:abstractNumId="85">
    <w:nsid w:val="4C672FC9"/>
    <w:multiLevelType w:val="hybridMultilevel"/>
    <w:lvl w:ilvl="0">
      <w:lvlJc w:val="left"/>
      <w:lvlText w:val="•"/>
      <w:numFmt w:val="bullet"/>
      <w:start w:val="1"/>
    </w:lvl>
  </w:abstractNum>
  <w:abstractNum w:abstractNumId="86">
    <w:nsid w:val="52A311C3"/>
    <w:multiLevelType w:val="hybridMultilevel"/>
    <w:lvl w:ilvl="0">
      <w:lvlJc w:val="left"/>
      <w:lvlText w:val="•"/>
      <w:numFmt w:val="bullet"/>
      <w:start w:val="1"/>
    </w:lvl>
  </w:abstractNum>
  <w:abstractNum w:abstractNumId="87">
    <w:nsid w:val="44EF6B8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8">
    <w:nsid w:val="12FCDE5E"/>
    <w:multiLevelType w:val="hybridMultilevel"/>
    <w:lvl w:ilvl="0">
      <w:lvlJc w:val="left"/>
      <w:lvlText w:val="•"/>
      <w:numFmt w:val="bullet"/>
      <w:start w:val="1"/>
    </w:lvl>
  </w:abstractNum>
  <w:abstractNum w:abstractNumId="89">
    <w:nsid w:val="4A1D606E"/>
    <w:multiLevelType w:val="hybridMultilevel"/>
    <w:lvl w:ilvl="0">
      <w:lvlJc w:val="left"/>
      <w:lvlText w:val="•"/>
      <w:numFmt w:val="bullet"/>
      <w:start w:val="1"/>
    </w:lvl>
  </w:abstractNum>
  <w:abstractNum w:abstractNumId="90">
    <w:nsid w:val="4382503"/>
    <w:multiLevelType w:val="hybridMultilevel"/>
    <w:lvl w:ilvl="0">
      <w:lvlJc w:val="left"/>
      <w:lvlText w:val="•"/>
      <w:numFmt w:val="bullet"/>
      <w:start w:val="1"/>
    </w:lvl>
  </w:abstractNum>
  <w:abstractNum w:abstractNumId="91">
    <w:nsid w:val="59B76E28"/>
    <w:multiLevelType w:val="hybridMultilevel"/>
    <w:lvl w:ilvl="0">
      <w:lvlJc w:val="left"/>
      <w:lvlText w:val="•"/>
      <w:numFmt w:val="bullet"/>
      <w:start w:val="1"/>
    </w:lvl>
  </w:abstractNum>
  <w:abstractNum w:abstractNumId="92">
    <w:nsid w:val="4252C2DA"/>
    <w:multiLevelType w:val="hybridMultilevel"/>
    <w:lvl w:ilvl="0">
      <w:lvlJc w:val="left"/>
      <w:lvlText w:val="•"/>
      <w:numFmt w:val="bullet"/>
      <w:start w:val="1"/>
    </w:lvl>
  </w:abstractNum>
  <w:abstractNum w:abstractNumId="93">
    <w:nsid w:val="6A92EF4C"/>
    <w:multiLevelType w:val="hybridMultilevel"/>
    <w:lvl w:ilvl="0">
      <w:lvlJc w:val="left"/>
      <w:lvlText w:val="•"/>
      <w:numFmt w:val="bullet"/>
      <w:start w:val="1"/>
    </w:lvl>
  </w:abstractNum>
  <w:abstractNum w:abstractNumId="94">
    <w:nsid w:val="41ED20D7"/>
    <w:multiLevelType w:val="hybridMultilevel"/>
    <w:lvl w:ilvl="0">
      <w:lvlJc w:val="left"/>
      <w:lvlText w:val="•"/>
      <w:numFmt w:val="bullet"/>
      <w:start w:val="1"/>
    </w:lvl>
  </w:abstractNum>
  <w:abstractNum w:abstractNumId="95">
    <w:nsid w:val="E6B3F6A"/>
    <w:multiLevelType w:val="hybridMultilevel"/>
    <w:lvl w:ilvl="0">
      <w:lvlJc w:val="left"/>
      <w:lvlText w:val="•"/>
      <w:numFmt w:val="bullet"/>
      <w:start w:val="1"/>
    </w:lvl>
  </w:abstractNum>
  <w:abstractNum w:abstractNumId="96">
    <w:nsid w:val="3EB21819"/>
    <w:multiLevelType w:val="hybridMultilevel"/>
    <w:lvl w:ilvl="0">
      <w:lvlJc w:val="left"/>
      <w:lvlText w:val="•"/>
      <w:numFmt w:val="bullet"/>
      <w:start w:val="1"/>
    </w:lvl>
  </w:abstractNum>
  <w:abstractNum w:abstractNumId="97">
    <w:nsid w:val="41531DED"/>
    <w:multiLevelType w:val="hybridMultilevel"/>
    <w:lvl w:ilvl="0">
      <w:lvlJc w:val="left"/>
      <w:lvlText w:val="•"/>
      <w:numFmt w:val="bullet"/>
      <w:start w:val="1"/>
    </w:lvl>
    <w:lvl w:ilvl="1">
      <w:lvlJc w:val="left"/>
      <w:lvlText w:val="•"/>
      <w:numFmt w:val="bullet"/>
      <w:start w:val="1"/>
    </w:lvl>
  </w:abstractNum>
  <w:abstractNum w:abstractNumId="98">
    <w:nsid w:val="6353CD2"/>
    <w:multiLevelType w:val="hybridMultilevel"/>
    <w:lvl w:ilvl="0">
      <w:lvlJc w:val="left"/>
      <w:lvlText w:val="•"/>
      <w:numFmt w:val="bullet"/>
      <w:start w:val="1"/>
    </w:lvl>
    <w:lvl w:ilvl="1">
      <w:lvlJc w:val="left"/>
      <w:lvlText w:val="•"/>
      <w:numFmt w:val="bullet"/>
      <w:start w:val="1"/>
    </w:lvl>
  </w:abstractNum>
  <w:abstractNum w:abstractNumId="99">
    <w:nsid w:val="683CAAD3"/>
    <w:multiLevelType w:val="hybridMultilevel"/>
    <w:lvl w:ilvl="0">
      <w:lvlJc w:val="left"/>
      <w:lvlText w:val="•"/>
      <w:numFmt w:val="bullet"/>
      <w:start w:val="1"/>
    </w:lvl>
  </w:abstractNum>
  <w:abstractNum w:abstractNumId="100">
    <w:nsid w:val="313C7C99"/>
    <w:multiLevelType w:val="hybridMultilevel"/>
    <w:lvl w:ilvl="0">
      <w:lvlJc w:val="left"/>
      <w:lvlText w:val="•"/>
      <w:numFmt w:val="bullet"/>
      <w:start w:val="1"/>
    </w:lvl>
  </w:abstractNum>
  <w:abstractNum w:abstractNumId="101">
    <w:nsid w:val="519EB94C"/>
    <w:multiLevelType w:val="hybridMultilevel"/>
    <w:lvl w:ilvl="0">
      <w:lvlJc w:val="left"/>
      <w:lvlText w:val="•"/>
      <w:numFmt w:val="bullet"/>
      <w:start w:val="1"/>
    </w:lvl>
    <w:lvl w:ilvl="1">
      <w:lvlJc w:val="left"/>
      <w:lvlText w:val="•"/>
      <w:numFmt w:val="bullet"/>
      <w:start w:val="1"/>
    </w:lvl>
  </w:abstractNum>
  <w:abstractNum w:abstractNumId="102">
    <w:nsid w:val="39DF2579"/>
    <w:multiLevelType w:val="hybridMultilevel"/>
    <w:lvl w:ilvl="0">
      <w:lvlJc w:val="left"/>
      <w:lvlText w:val="•"/>
      <w:numFmt w:val="bullet"/>
      <w:start w:val="1"/>
    </w:lvl>
    <w:lvl w:ilvl="1">
      <w:lvlJc w:val="left"/>
      <w:lvlText w:val="•"/>
      <w:numFmt w:val="bullet"/>
      <w:start w:val="1"/>
    </w:lvl>
  </w:abstractNum>
  <w:abstractNum w:abstractNumId="103">
    <w:nsid w:val="126E008B"/>
    <w:multiLevelType w:val="hybridMultilevel"/>
    <w:lvl w:ilvl="0">
      <w:lvlJc w:val="left"/>
      <w:lvlText w:val="•"/>
      <w:numFmt w:val="bullet"/>
      <w:start w:val="1"/>
    </w:lvl>
    <w:lvl w:ilvl="1">
      <w:lvlJc w:val="left"/>
      <w:lvlText w:val="•"/>
      <w:numFmt w:val="bullet"/>
      <w:start w:val="1"/>
    </w:lvl>
  </w:abstractNum>
  <w:abstractNum w:abstractNumId="104">
    <w:nsid w:val="34DFBC00"/>
    <w:multiLevelType w:val="hybridMultilevel"/>
    <w:lvl w:ilvl="0">
      <w:lvlJc w:val="left"/>
      <w:lvlText w:val="(%1)"/>
      <w:numFmt w:val="lowerRoman"/>
      <w:start w:val="10"/>
    </w:lvl>
  </w:abstractNum>
  <w:abstractNum w:abstractNumId="105">
    <w:nsid w:val="1F9EC32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6">
    <w:nsid w:val="3410ED56"/>
    <w:multiLevelType w:val="hybridMultilevel"/>
    <w:lvl w:ilvl="0">
      <w:lvlJc w:val="left"/>
      <w:lvlText w:val="•"/>
      <w:numFmt w:val="bullet"/>
      <w:start w:val="1"/>
    </w:lvl>
    <w:lvl w:ilvl="1">
      <w:lvlJc w:val="left"/>
      <w:lvlText w:val="•"/>
      <w:numFmt w:val="bullet"/>
      <w:start w:val="1"/>
    </w:lvl>
  </w:abstractNum>
  <w:abstractNum w:abstractNumId="107">
    <w:nsid w:val="23C049A"/>
    <w:multiLevelType w:val="hybridMultilevel"/>
    <w:lvl w:ilvl="0">
      <w:lvlJc w:val="left"/>
      <w:lvlText w:val="•"/>
      <w:numFmt w:val="bullet"/>
      <w:start w:val="1"/>
    </w:lvl>
    <w:lvl w:ilvl="1">
      <w:lvlJc w:val="left"/>
      <w:lvlText w:val="•"/>
      <w:numFmt w:val="bullet"/>
      <w:start w:val="1"/>
    </w:lvl>
  </w:abstractNum>
  <w:abstractNum w:abstractNumId="108">
    <w:nsid w:val="5BDA35D4"/>
    <w:multiLevelType w:val="hybridMultilevel"/>
    <w:lvl w:ilvl="0">
      <w:lvlJc w:val="left"/>
      <w:lvlText w:val="•"/>
      <w:numFmt w:val="bullet"/>
      <w:start w:val="1"/>
    </w:lvl>
  </w:abstractNum>
  <w:abstractNum w:abstractNumId="109">
    <w:nsid w:val="496FB218"/>
    <w:multiLevelType w:val="hybridMultilevel"/>
    <w:lvl w:ilvl="0">
      <w:lvlJc w:val="left"/>
      <w:lvlText w:val="•"/>
      <w:numFmt w:val="bullet"/>
      <w:start w:val="1"/>
    </w:lvl>
    <w:lvl w:ilvl="1">
      <w:lvlJc w:val="left"/>
      <w:lvlText w:val="•"/>
      <w:numFmt w:val="bullet"/>
      <w:start w:val="1"/>
    </w:lvl>
  </w:abstractNum>
  <w:abstractNum w:abstractNumId="110">
    <w:nsid w:val="680EA5D1"/>
    <w:multiLevelType w:val="hybridMultilevel"/>
    <w:lvl w:ilvl="0">
      <w:lvlJc w:val="left"/>
      <w:lvlText w:val="•"/>
      <w:numFmt w:val="bullet"/>
      <w:start w:val="1"/>
    </w:lvl>
    <w:lvl w:ilvl="1">
      <w:lvlJc w:val="left"/>
      <w:lvlText w:val="•"/>
      <w:numFmt w:val="bullet"/>
      <w:start w:val="1"/>
    </w:lvl>
  </w:abstractNum>
  <w:abstractNum w:abstractNumId="111">
    <w:nsid w:val="4A9554FE"/>
    <w:multiLevelType w:val="hybridMultilevel"/>
    <w:lvl w:ilvl="0">
      <w:lvlJc w:val="left"/>
      <w:lvlText w:val="•"/>
      <w:numFmt w:val="bullet"/>
      <w:start w:val="1"/>
    </w:lvl>
    <w:lvl w:ilvl="1">
      <w:lvlJc w:val="left"/>
      <w:lvlText w:val="•"/>
      <w:numFmt w:val="bullet"/>
      <w:start w:val="1"/>
    </w:lvl>
  </w:abstractNum>
  <w:abstractNum w:abstractNumId="112">
    <w:nsid w:val="392EDBE4"/>
    <w:multiLevelType w:val="hybridMultilevel"/>
    <w:lvl w:ilvl="0">
      <w:lvlJc w:val="left"/>
      <w:lvlText w:val="•"/>
      <w:numFmt w:val="bullet"/>
      <w:start w:val="1"/>
    </w:lvl>
    <w:lvl w:ilvl="1">
      <w:lvlJc w:val="left"/>
      <w:lvlText w:val="•"/>
      <w:numFmt w:val="bullet"/>
      <w:start w:val="1"/>
    </w:lvl>
  </w:abstractNum>
  <w:abstractNum w:abstractNumId="113">
    <w:nsid w:val="3D1A2DD9"/>
    <w:multiLevelType w:val="hybridMultilevel"/>
    <w:lvl w:ilvl="0">
      <w:lvlJc w:val="left"/>
      <w:lvlText w:val="•"/>
      <w:numFmt w:val="bullet"/>
      <w:start w:val="1"/>
    </w:lvl>
  </w:abstractNum>
  <w:abstractNum w:abstractNumId="114">
    <w:nsid w:val="7F618FCD"/>
    <w:multiLevelType w:val="hybridMultilevel"/>
    <w:lvl w:ilvl="0">
      <w:lvlJc w:val="left"/>
      <w:lvlText w:val="•"/>
      <w:numFmt w:val="bullet"/>
      <w:start w:val="1"/>
    </w:lvl>
  </w:abstractNum>
  <w:abstractNum w:abstractNumId="115">
    <w:nsid w:val="7843E45"/>
    <w:multiLevelType w:val="hybridMultilevel"/>
    <w:lvl w:ilvl="0">
      <w:lvlJc w:val="left"/>
      <w:lvlText w:val="•"/>
      <w:numFmt w:val="bullet"/>
      <w:start w:val="1"/>
    </w:lvl>
    <w:lvl w:ilvl="1">
      <w:lvlJc w:val="left"/>
      <w:lvlText w:val="•"/>
      <w:numFmt w:val="bullet"/>
      <w:start w:val="1"/>
    </w:lvl>
  </w:abstractNum>
  <w:abstractNum w:abstractNumId="116">
    <w:nsid w:val="9815DA3"/>
    <w:multiLevelType w:val="hybridMultilevel"/>
    <w:lvl w:ilvl="0">
      <w:lvlJc w:val="left"/>
      <w:lvlText w:val="•"/>
      <w:numFmt w:val="bullet"/>
      <w:start w:val="1"/>
    </w:lvl>
    <w:lvl w:ilvl="1">
      <w:lvlJc w:val="left"/>
      <w:lvlText w:val="•"/>
      <w:numFmt w:val="bullet"/>
      <w:start w:val="1"/>
    </w:lvl>
  </w:abstractNum>
  <w:abstractNum w:abstractNumId="117">
    <w:nsid w:val="5204A191"/>
    <w:multiLevelType w:val="hybridMultilevel"/>
    <w:lvl w:ilvl="0">
      <w:lvlJc w:val="left"/>
      <w:lvlText w:val="(%1)"/>
      <w:numFmt w:val="lowerRoman"/>
      <w:start w:val="1"/>
    </w:lvl>
  </w:abstractNum>
  <w:abstractNum w:abstractNumId="118">
    <w:nsid w:val="4C73A9C6"/>
    <w:multiLevelType w:val="hybridMultilevel"/>
    <w:lvl w:ilvl="0">
      <w:lvlJc w:val="left"/>
      <w:lvlText w:val="(%1)"/>
      <w:numFmt w:val="decimal"/>
      <w:start w:val="1"/>
    </w:lvl>
    <w:lvl w:ilvl="1">
      <w:lvlJc w:val="left"/>
      <w:lvlText w:val="(%2)"/>
      <w:numFmt w:val="lowerRoman"/>
      <w:start w:val="1"/>
    </w:lvl>
  </w:abstractNum>
  <w:abstractNum w:abstractNumId="119">
    <w:nsid w:val="1C7E3C01"/>
    <w:multiLevelType w:val="hybridMultilevel"/>
    <w:lvl w:ilvl="0">
      <w:lvlJc w:val="left"/>
      <w:lvlText w:val="(%1)"/>
      <w:numFmt w:val="lowerRoman"/>
      <w:start w:val="3"/>
    </w:lvl>
  </w:abstractNum>
  <w:abstractNum w:abstractNumId="120">
    <w:nsid w:val="1C2201FF"/>
    <w:multiLevelType w:val="hybridMultilevel"/>
    <w:lvl w:ilvl="0">
      <w:lvlJc w:val="left"/>
      <w:lvlText w:val="(%1)"/>
      <w:numFmt w:val="decimal"/>
      <w:start w:val="7"/>
    </w:lvl>
  </w:abstractNum>
  <w:abstractNum w:abstractNumId="121">
    <w:nsid w:val="50ABCEC9"/>
    <w:multiLevelType w:val="hybridMultilevel"/>
    <w:lvl w:ilvl="0">
      <w:lvlJc w:val="left"/>
      <w:lvlText w:val="(%1)"/>
      <w:numFmt w:val="lowerRoman"/>
      <w:start w:val="4"/>
    </w:lvl>
  </w:abstractNum>
  <w:abstractNum w:abstractNumId="122">
    <w:nsid w:val="7635AA2A"/>
    <w:multiLevelType w:val="hybridMultilevel"/>
    <w:lvl w:ilvl="0">
      <w:lvlJc w:val="left"/>
      <w:lvlText w:val="(%1)"/>
      <w:numFmt w:val="lowerRoman"/>
      <w:start w:val="2"/>
    </w:lvl>
  </w:abstractNum>
  <w:abstractNum w:abstractNumId="123">
    <w:nsid w:val="5E74C4D9"/>
    <w:multiLevelType w:val="hybridMultilevel"/>
    <w:lvl w:ilvl="0">
      <w:lvlJc w:val="left"/>
      <w:lvlText w:val="(%1)"/>
      <w:numFmt w:val="lowerRoman"/>
      <w:start w:val="2"/>
    </w:lvl>
  </w:abstractNum>
  <w:abstractNum w:abstractNumId="124">
    <w:nsid w:val="3B3EBE15"/>
    <w:multiLevelType w:val="hybridMultilevel"/>
    <w:lvl w:ilvl="0">
      <w:lvlJc w:val="left"/>
      <w:lvlText w:val="(%1)"/>
      <w:numFmt w:val="decimal"/>
      <w:start w:val="1"/>
    </w:lvl>
  </w:abstractNum>
  <w:abstractNum w:abstractNumId="125">
    <w:nsid w:val="3822CB01"/>
    <w:multiLevelType w:val="hybridMultilevel"/>
    <w:lvl w:ilvl="0">
      <w:lvlJc w:val="left"/>
      <w:lvlText w:val="(%1)"/>
      <w:numFmt w:val="decimal"/>
      <w:start w:val="2"/>
    </w:lvl>
  </w:abstractNum>
  <w:abstractNum w:abstractNumId="126">
    <w:nsid w:val="6CE00443"/>
    <w:multiLevelType w:val="hybridMultilevel"/>
    <w:lvl w:ilvl="0">
      <w:lvlJc w:val="left"/>
      <w:lvlText w:val="(%1)"/>
      <w:numFmt w:val="decimal"/>
      <w:start w:val="1"/>
    </w:lvl>
  </w:abstractNum>
  <w:abstractNum w:abstractNumId="127">
    <w:nsid w:val="79F0D62F"/>
    <w:multiLevelType w:val="hybridMultilevel"/>
    <w:lvl w:ilvl="0">
      <w:lvlJc w:val="left"/>
      <w:lvlText w:val="(%1)"/>
      <w:numFmt w:val="decimal"/>
      <w:start w:val="7"/>
    </w:lvl>
  </w:abstractNum>
  <w:abstractNum w:abstractNumId="128">
    <w:nsid w:val="7975E8EE"/>
    <w:multiLevelType w:val="hybridMultilevel"/>
    <w:lvl w:ilvl="0">
      <w:lvlJc w:val="left"/>
      <w:lvlText w:val="(%1)"/>
      <w:numFmt w:val="decimal"/>
      <w:start w:val="21"/>
    </w:lvl>
  </w:abstractNum>
  <w:abstractNum w:abstractNumId="129">
    <w:nsid w:val="73154115"/>
    <w:multiLevelType w:val="hybridMultilevel"/>
    <w:lvl w:ilvl="0">
      <w:lvlJc w:val="left"/>
      <w:lvlText w:val="(%1)"/>
      <w:numFmt w:val="decimal"/>
      <w:start w:val="1"/>
    </w:lvl>
  </w:abstractNum>
  <w:abstractNum w:abstractNumId="130">
    <w:nsid w:val="622D8102"/>
    <w:multiLevelType w:val="hybridMultilevel"/>
    <w:lvl w:ilvl="0">
      <w:lvlJc w:val="left"/>
      <w:lvlText w:val="(%1)"/>
      <w:numFmt w:val="lowerRoman"/>
      <w:start w:val="1"/>
    </w:lvl>
  </w:abstractNum>
  <w:abstractNum w:abstractNumId="131">
    <w:nsid w:val="2AB26587"/>
    <w:multiLevelType w:val="hybridMultilevel"/>
    <w:lvl w:ilvl="0">
      <w:lvlJc w:val="left"/>
      <w:lvlText w:val="(%1)"/>
      <w:numFmt w:val="lowerRoman"/>
      <w:start w:val="4"/>
    </w:lvl>
  </w:abstractNum>
  <w:abstractNum w:abstractNumId="132">
    <w:nsid w:val="44B3FA61"/>
    <w:multiLevelType w:val="hybridMultilevel"/>
    <w:lvl w:ilvl="0">
      <w:lvlJc w:val="left"/>
      <w:lvlText w:val="(%1)"/>
      <w:numFmt w:val="lowerRoman"/>
      <w:start w:val="1"/>
    </w:lvl>
  </w:abstractNum>
  <w:abstractNum w:abstractNumId="133">
    <w:nsid w:val="1C0CA67C"/>
    <w:multiLevelType w:val="hybridMultilevel"/>
    <w:lvl w:ilvl="0">
      <w:lvlJc w:val="left"/>
      <w:lvlText w:val="(%1)"/>
      <w:numFmt w:val="lowerRoman"/>
      <w:start w:val="1"/>
    </w:lvl>
  </w:abstractNum>
  <w:abstractNum w:abstractNumId="134">
    <w:nsid w:val="3D20661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5">
    <w:nsid w:val="7993B662"/>
    <w:multiLevelType w:val="hybridMultilevel"/>
    <w:lvl w:ilvl="0">
      <w:lvlJc w:val="left"/>
      <w:lvlText w:val="•"/>
      <w:numFmt w:val="bullet"/>
      <w:start w:val="1"/>
    </w:lvl>
    <w:lvl w:ilvl="1">
      <w:lvlJc w:val="left"/>
      <w:lvlText w:val="•"/>
      <w:numFmt w:val="bullet"/>
      <w:start w:val="1"/>
    </w:lvl>
  </w:abstractNum>
  <w:abstractNum w:abstractNumId="136">
    <w:nsid w:val="3BAB699E"/>
    <w:multiLevelType w:val="hybridMultilevel"/>
    <w:lvl w:ilvl="0">
      <w:lvlJc w:val="left"/>
      <w:lvlText w:val="(%1)"/>
      <w:numFmt w:val="decimal"/>
      <w:start w:val="1"/>
    </w:lvl>
  </w:abstractNum>
  <w:abstractNum w:abstractNumId="137">
    <w:nsid w:val="71315369"/>
    <w:multiLevelType w:val="hybridMultilevel"/>
    <w:lvl w:ilvl="0">
      <w:lvlJc w:val="left"/>
      <w:lvlText w:val="(%1)"/>
      <w:numFmt w:val="decimal"/>
      <w:start w:val="3"/>
    </w:lvl>
  </w:abstractNum>
  <w:abstractNum w:abstractNumId="138">
    <w:nsid w:val="7BCFBAFC"/>
    <w:multiLevelType w:val="hybridMultilevel"/>
    <w:lvl w:ilvl="0">
      <w:lvlJc w:val="left"/>
      <w:lvlText w:val="(%1)"/>
      <w:numFmt w:val="decimal"/>
      <w:start w:val="8"/>
    </w:lvl>
  </w:abstractNum>
  <w:abstractNum w:abstractNumId="139">
    <w:nsid w:val="17859F72"/>
    <w:multiLevelType w:val="hybridMultilevel"/>
    <w:lvl w:ilvl="0">
      <w:lvlJc w:val="left"/>
      <w:lvlText w:val="(%1)"/>
      <w:numFmt w:val="lowerRoman"/>
      <w:start w:val="1"/>
    </w:lvl>
  </w:abstractNum>
  <w:abstractNum w:abstractNumId="140">
    <w:nsid w:val="3AA10581"/>
    <w:multiLevelType w:val="hybridMultilevel"/>
    <w:lvl w:ilvl="0">
      <w:lvlJc w:val="left"/>
      <w:lvlText w:val="(%1)"/>
      <w:numFmt w:val="lowerRoman"/>
      <w:start w:val="4"/>
    </w:lvl>
  </w:abstractNum>
  <w:abstractNum w:abstractNumId="141">
    <w:nsid w:val="63DE60C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2">
    <w:nsid w:val="621AF47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3">
    <w:nsid w:val="73CFE165"/>
    <w:multiLevelType w:val="hybridMultilevel"/>
    <w:lvl w:ilvl="0">
      <w:lvlJc w:val="left"/>
      <w:lvlText w:val="(%1)"/>
      <w:numFmt w:val="decimal"/>
      <w:start w:val="1"/>
    </w:lvl>
  </w:abstractNum>
  <w:abstractNum w:abstractNumId="144">
    <w:nsid w:val="20F88EA6"/>
    <w:multiLevelType w:val="hybridMultilevel"/>
    <w:lvl w:ilvl="0">
      <w:lvlJc w:val="left"/>
      <w:lvlText w:val="(%1)"/>
      <w:numFmt w:val="decimal"/>
      <w:start w:val="2"/>
    </w:lvl>
  </w:abstractNum>
  <w:abstractNum w:abstractNumId="145">
    <w:nsid w:val="617C843E"/>
    <w:multiLevelType w:val="hybridMultilevel"/>
    <w:lvl w:ilvl="0">
      <w:lvlJc w:val="left"/>
      <w:lvlText w:val="(%1)"/>
      <w:numFmt w:val="decimal"/>
      <w:start w:val="7"/>
    </w:lvl>
  </w:abstractNum>
  <w:abstractNum w:abstractNumId="146">
    <w:nsid w:val="7B541FAB"/>
    <w:multiLevelType w:val="hybridMultilevel"/>
    <w:lvl w:ilvl="0">
      <w:lvlJc w:val="left"/>
      <w:lvlText w:val="(%1)"/>
      <w:numFmt w:val="lowerRoman"/>
      <w:start w:val="1"/>
    </w:lvl>
  </w:abstractNum>
  <w:abstractNum w:abstractNumId="147">
    <w:nsid w:val="2A79EC4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8">
    <w:nsid w:val="338125CF"/>
    <w:multiLevelType w:val="hybridMultilevel"/>
    <w:lvl w:ilvl="0">
      <w:lvlJc w:val="left"/>
      <w:lvlText w:val="(%1)"/>
      <w:numFmt w:val="decimal"/>
      <w:start w:val="1"/>
    </w:lvl>
  </w:abstractNum>
  <w:abstractNum w:abstractNumId="149">
    <w:nsid w:val="47C7C971"/>
    <w:multiLevelType w:val="hybridMultilevel"/>
    <w:lvl w:ilvl="0">
      <w:lvlJc w:val="left"/>
      <w:lvlText w:val="(%1)"/>
      <w:numFmt w:val="decimal"/>
      <w:start w:val="5"/>
    </w:lvl>
  </w:abstractNum>
  <w:abstractNum w:abstractNumId="150">
    <w:nsid w:val="46F8284B"/>
    <w:multiLevelType w:val="hybridMultilevel"/>
    <w:lvl w:ilvl="0">
      <w:lvlJc w:val="left"/>
      <w:lvlText w:val="(%1)"/>
      <w:numFmt w:val="lowerLetter"/>
      <w:start w:val="25"/>
    </w:lvl>
  </w:abstractNum>
  <w:abstractNum w:abstractNumId="151">
    <w:nsid w:val="4FA327CE"/>
    <w:multiLevelType w:val="hybridMultilevel"/>
    <w:lvl w:ilvl="0">
      <w:lvlJc w:val="left"/>
      <w:lvlText w:val="(%1)"/>
      <w:numFmt w:val="lowerRoman"/>
      <w:start w:val="1"/>
    </w:lvl>
  </w:abstractNum>
  <w:abstractNum w:abstractNumId="152">
    <w:nsid w:val="1873983A"/>
    <w:multiLevelType w:val="hybridMultilevel"/>
    <w:lvl w:ilvl="0">
      <w:lvlJc w:val="left"/>
      <w:lvlText w:val="(%1)"/>
      <w:numFmt w:val="lowerRoman"/>
      <w:start w:val="4"/>
    </w:lvl>
  </w:abstractNum>
  <w:abstractNum w:abstractNumId="153">
    <w:nsid w:val="3D2DD27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4">
    <w:nsid w:val="2E17ECA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5">
    <w:nsid w:val="53B2564F"/>
    <w:multiLevelType w:val="hybridMultilevel"/>
    <w:lvl w:ilvl="0">
      <w:lvlJc w:val="left"/>
      <w:lvlText w:val="(%1)"/>
      <w:numFmt w:val="decimal"/>
      <w:start w:val="1"/>
    </w:lvl>
  </w:abstractNum>
  <w:abstractNum w:abstractNumId="156">
    <w:nsid w:val="75509D76"/>
    <w:multiLevelType w:val="hybridMultilevel"/>
    <w:lvl w:ilvl="0">
      <w:lvlJc w:val="left"/>
      <w:lvlText w:val="(%1)"/>
      <w:numFmt w:val="decimal"/>
      <w:start w:val="2"/>
    </w:lvl>
  </w:abstractNum>
  <w:abstractNum w:abstractNumId="157">
    <w:nsid w:val="1AF7F0EA"/>
    <w:multiLevelType w:val="hybridMultilevel"/>
    <w:lvl w:ilvl="0">
      <w:lvlJc w:val="left"/>
      <w:lvlText w:val="(%1)"/>
      <w:numFmt w:val="decimal"/>
      <w:start w:val="8"/>
    </w:lvl>
  </w:abstractNum>
  <w:abstractNum w:abstractNumId="158">
    <w:nsid w:val="4DA32C7E"/>
    <w:multiLevelType w:val="hybridMultilevel"/>
    <w:lvl w:ilvl="0">
      <w:lvlJc w:val="left"/>
      <w:lvlText w:val="(%1)"/>
      <w:numFmt w:val="lowerRoman"/>
      <w:start w:val="1"/>
    </w:lvl>
  </w:abstractNum>
  <w:abstractNum w:abstractNumId="159">
    <w:nsid w:val="6EC68664"/>
    <w:multiLevelType w:val="hybridMultilevel"/>
    <w:lvl w:ilvl="0">
      <w:lvlJc w:val="left"/>
      <w:lvlText w:val="(%1)"/>
      <w:numFmt w:val="lowerRoman"/>
      <w:start w:val="1"/>
    </w:lvl>
  </w:abstractNum>
  <w:abstractNum w:abstractNumId="160">
    <w:nsid w:val="E0D31F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1">
    <w:nsid w:val="2FD0AD81"/>
    <w:multiLevelType w:val="hybridMultilevel"/>
    <w:lvl w:ilvl="0">
      <w:lvlJc w:val="left"/>
      <w:lvlText w:val="•"/>
      <w:numFmt w:val="bullet"/>
      <w:start w:val="1"/>
    </w:lvl>
    <w:lvl w:ilvl="1">
      <w:lvlJc w:val="left"/>
      <w:lvlText w:val="•"/>
      <w:numFmt w:val="bullet"/>
      <w:start w:val="1"/>
    </w:lvl>
  </w:abstractNum>
  <w:abstractNum w:abstractNumId="162">
    <w:nsid w:val="1978EBEB"/>
    <w:multiLevelType w:val="hybridMultilevel"/>
    <w:lvl w:ilvl="0">
      <w:lvlJc w:val="left"/>
      <w:lvlText w:val="(%1)"/>
      <w:numFmt w:val="decimal"/>
      <w:start w:val="1"/>
    </w:lvl>
  </w:abstractNum>
  <w:abstractNum w:abstractNumId="163">
    <w:nsid w:val="52C12C61"/>
    <w:multiLevelType w:val="hybridMultilevel"/>
    <w:lvl w:ilvl="0">
      <w:lvlJc w:val="left"/>
      <w:lvlText w:val="(%1)"/>
      <w:numFmt w:val="decimal"/>
      <w:start w:val="3"/>
    </w:lvl>
    <w:lvl w:ilvl="1">
      <w:lvlJc w:val="left"/>
      <w:lvlText w:val="(%2)"/>
      <w:numFmt w:val="upperLetter"/>
      <w:start w:val="1"/>
    </w:lvl>
  </w:abstractNum>
  <w:abstractNum w:abstractNumId="164">
    <w:nsid w:val="4BDD53FD"/>
    <w:multiLevelType w:val="hybridMultilevel"/>
    <w:lvl w:ilvl="0">
      <w:lvlJc w:val="left"/>
      <w:lvlText w:val="%1"/>
      <w:numFmt w:val="decimal"/>
      <w:start w:val="1"/>
    </w:lvl>
    <w:lvl w:ilvl="1">
      <w:lvlJc w:val="left"/>
      <w:lvlText w:val="(%2)"/>
      <w:numFmt w:val="upperLetter"/>
      <w:start w:val="2"/>
    </w:lvl>
  </w:abstractNum>
  <w:abstractNum w:abstractNumId="165">
    <w:nsid w:val="569951FE"/>
    <w:multiLevelType w:val="hybridMultilevel"/>
    <w:lvl w:ilvl="0">
      <w:lvlJc w:val="left"/>
      <w:lvlText w:val="(%1)"/>
      <w:numFmt w:val="decimal"/>
      <w:start w:val="9"/>
    </w:lvl>
  </w:abstractNum>
  <w:abstractNum w:abstractNumId="166">
    <w:nsid w:val="4C54E2C3"/>
    <w:multiLevelType w:val="hybridMultilevel"/>
    <w:lvl w:ilvl="0">
      <w:lvlJc w:val="left"/>
      <w:lvlText w:val="(%1)"/>
      <w:numFmt w:val="decimal"/>
      <w:start w:val="1"/>
    </w:lvl>
  </w:abstractNum>
  <w:abstractNum w:abstractNumId="167">
    <w:nsid w:val="788BD9B"/>
    <w:multiLevelType w:val="hybridMultilevel"/>
    <w:lvl w:ilvl="0">
      <w:lvlJc w:val="left"/>
      <w:lvlText w:val="•"/>
      <w:numFmt w:val="bullet"/>
      <w:start w:val="1"/>
    </w:lvl>
  </w:abstractNum>
  <w:abstractNum w:abstractNumId="168">
    <w:nsid w:val="47CAA567"/>
    <w:multiLevelType w:val="hybridMultilevel"/>
    <w:lvl w:ilvl="0">
      <w:lvlJc w:val="left"/>
      <w:lvlText w:val="•"/>
      <w:numFmt w:val="bullet"/>
      <w:start w:val="1"/>
    </w:lvl>
    <w:lvl w:ilvl="1">
      <w:lvlJc w:val="left"/>
      <w:lvlText w:val="o"/>
      <w:numFmt w:val="bullet"/>
      <w:start w:val="1"/>
    </w:lvl>
  </w:abstractNum>
  <w:abstractNum w:abstractNumId="169">
    <w:nsid w:val="48249DBF"/>
    <w:multiLevelType w:val="hybridMultilevel"/>
    <w:lvl w:ilvl="0">
      <w:lvlJc w:val="left"/>
      <w:lvlText w:val="*"/>
      <w:numFmt w:val="bullet"/>
      <w:start w:val="1"/>
    </w:lvl>
  </w:abstractNum>
  <w:abstractNum w:abstractNumId="170">
    <w:nsid w:val="1F0E5D0D"/>
    <w:multiLevelType w:val="hybridMultilevel"/>
    <w:lvl w:ilvl="0">
      <w:lvlJc w:val="left"/>
      <w:lvlText w:val="(%1)"/>
      <w:numFmt w:val="decimal"/>
      <w:start w:val="1"/>
    </w:lvl>
  </w:abstractNum>
  <w:abstractNum w:abstractNumId="171">
    <w:nsid w:val="26BAAE9"/>
    <w:multiLevelType w:val="hybridMultilevel"/>
    <w:lvl w:ilvl="0">
      <w:lvlJc w:val="left"/>
      <w:lvlText w:val="(%1)"/>
      <w:numFmt w:val="decimal"/>
      <w:start w:val="2"/>
    </w:lvl>
  </w:abstractNum>
  <w:abstractNum w:abstractNumId="172">
    <w:nsid w:val="2C02FE8C"/>
    <w:multiLevelType w:val="hybridMultilevel"/>
    <w:lvl w:ilvl="0">
      <w:lvlJc w:val="left"/>
      <w:lvlText w:val="%1)"/>
      <w:numFmt w:val="decimal"/>
      <w:start w:val="1"/>
    </w:lvl>
  </w:abstractNum>
  <w:abstractNum w:abstractNumId="173">
    <w:nsid w:val="129517E"/>
    <w:multiLevelType w:val="hybridMultilevel"/>
    <w:lvl w:ilvl="0">
      <w:lvlJc w:val="left"/>
      <w:lvlText w:val="%1)"/>
      <w:numFmt w:val="decimal"/>
      <w:start w:val="6"/>
    </w:lvl>
  </w:abstractNum>
  <w:abstractNum w:abstractNumId="174">
    <w:nsid w:val="763B8C4E"/>
    <w:multiLevelType w:val="hybridMultilevel"/>
    <w:lvl w:ilvl="0">
      <w:lvlJc w:val="left"/>
      <w:lvlText w:val="•"/>
      <w:numFmt w:val="bullet"/>
      <w:start w:val="1"/>
    </w:lvl>
  </w:abstractNum>
  <w:abstractNum w:abstractNumId="175">
    <w:nsid w:val="4CFB8D32"/>
    <w:multiLevelType w:val="hybridMultilevel"/>
    <w:lvl w:ilvl="0">
      <w:lvlJc w:val="left"/>
      <w:lvlText w:val="•"/>
      <w:numFmt w:val="bullet"/>
      <w:start w:val="1"/>
    </w:lvl>
  </w:abstractNum>
  <w:abstractNum w:abstractNumId="176">
    <w:nsid w:val="62A5D5BD"/>
    <w:multiLevelType w:val="hybridMultilevel"/>
    <w:lvl w:ilvl="0">
      <w:lvlJc w:val="left"/>
      <w:lvlText w:val="(%1)"/>
      <w:numFmt w:val="lowerRoman"/>
      <w:start w:val="1"/>
    </w:lvl>
  </w:abstractNum>
  <w:abstractNum w:abstractNumId="177">
    <w:nsid w:val="718FABF9"/>
    <w:multiLevelType w:val="hybridMultilevel"/>
    <w:lvl w:ilvl="0">
      <w:lvlJc w:val="left"/>
      <w:lvlText w:val="•"/>
      <w:numFmt w:val="bullet"/>
      <w:start w:val="1"/>
    </w:lvl>
  </w:abstractNum>
  <w:abstractNum w:abstractNumId="178">
    <w:nsid w:val="7775797C"/>
    <w:multiLevelType w:val="hybridMultilevel"/>
    <w:lvl w:ilvl="0">
      <w:lvlJc w:val="left"/>
      <w:lvlText w:val="•"/>
      <w:numFmt w:val="bullet"/>
      <w:start w:val="1"/>
    </w:lvl>
  </w:abstractNum>
  <w:abstractNum w:abstractNumId="179">
    <w:nsid w:val="1626FB8C"/>
    <w:multiLevelType w:val="hybridMultilevel"/>
    <w:lvl w:ilvl="0">
      <w:lvlJc w:val="left"/>
      <w:lvlText w:val="•"/>
      <w:numFmt w:val="bullet"/>
      <w:start w:val="1"/>
    </w:lvl>
  </w:abstractNum>
  <w:abstractNum w:abstractNumId="180">
    <w:nsid w:val="3957756A"/>
    <w:multiLevelType w:val="hybridMultilevel"/>
    <w:lvl w:ilvl="0">
      <w:lvlJc w:val="left"/>
      <w:lvlText w:val="•"/>
      <w:numFmt w:val="bullet"/>
      <w:start w:val="1"/>
    </w:lvl>
  </w:abstractNum>
  <w:abstractNum w:abstractNumId="181">
    <w:nsid w:val="3E6DA1C7"/>
    <w:multiLevelType w:val="hybridMultilevel"/>
    <w:lvl w:ilvl="0">
      <w:lvlJc w:val="left"/>
      <w:lvlText w:val="•"/>
      <w:numFmt w:val="bullet"/>
      <w:start w:val="1"/>
    </w:lvl>
  </w:abstractNum>
  <w:abstractNum w:abstractNumId="182">
    <w:nsid w:val="65CA235B"/>
    <w:multiLevelType w:val="hybridMultilevel"/>
    <w:lvl w:ilvl="0">
      <w:lvlJc w:val="left"/>
      <w:lvlText w:val="•"/>
      <w:numFmt w:val="bullet"/>
      <w:start w:val="1"/>
    </w:lvl>
  </w:abstractNum>
  <w:abstractNum w:abstractNumId="183">
    <w:nsid w:val="51CB0DA4"/>
    <w:multiLevelType w:val="hybridMultilevel"/>
    <w:lvl w:ilvl="0">
      <w:lvlJc w:val="left"/>
      <w:lvlText w:val="•"/>
      <w:numFmt w:val="bullet"/>
      <w:start w:val="1"/>
    </w:lvl>
  </w:abstractNum>
  <w:abstractNum w:abstractNumId="184">
    <w:nsid w:val="7B9B743C"/>
    <w:multiLevelType w:val="hybridMultilevel"/>
    <w:lvl w:ilvl="0">
      <w:lvlJc w:val="left"/>
      <w:lvlText w:val="(%1)"/>
      <w:numFmt w:val="lowerLetter"/>
      <w:start w:val="1"/>
    </w:lvl>
  </w:abstractNum>
  <w:abstractNum w:abstractNumId="185">
    <w:nsid w:val="13E21002"/>
    <w:multiLevelType w:val="hybridMultilevel"/>
    <w:lvl w:ilvl="0">
      <w:lvlJc w:val="left"/>
      <w:lvlText w:val="(%1)"/>
      <w:numFmt w:val="lowerLetter"/>
      <w:start w:val="1"/>
    </w:lvl>
  </w:abstractNum>
  <w:abstractNum w:abstractNumId="186">
    <w:nsid w:val="257D63F4"/>
    <w:multiLevelType w:val="hybridMultilevel"/>
    <w:lvl w:ilvl="0">
      <w:lvlJc w:val="left"/>
      <w:lvlText w:val="(%1)"/>
      <w:numFmt w:val="lowerLetter"/>
      <w:start w:val="2"/>
    </w:lvl>
  </w:abstractNum>
  <w:abstractNum w:abstractNumId="187">
    <w:nsid w:val="70EC11B2"/>
    <w:multiLevelType w:val="hybridMultilevel"/>
    <w:lvl w:ilvl="0">
      <w:lvlJc w:val="left"/>
      <w:lvlText w:val="(%1)"/>
      <w:numFmt w:val="lowerRoman"/>
      <w:start w:val="1"/>
    </w:lvl>
  </w:abstractNum>
  <w:abstractNum w:abstractNumId="188">
    <w:nsid w:val="2EDA00ED"/>
    <w:multiLevelType w:val="hybridMultilevel"/>
    <w:lvl w:ilvl="0">
      <w:lvlJc w:val="left"/>
      <w:lvlText w:val="(%1)"/>
      <w:numFmt w:val="lowerLetter"/>
      <w:start w:val="1"/>
    </w:lvl>
  </w:abstractNum>
  <w:abstractNum w:abstractNumId="189">
    <w:nsid w:val="73209072"/>
    <w:multiLevelType w:val="hybridMultilevel"/>
    <w:lvl w:ilvl="0">
      <w:lvlJc w:val="left"/>
      <w:lvlText w:val="(%1)"/>
      <w:numFmt w:val="lowerLetter"/>
      <w:start w:val="1"/>
    </w:lvl>
  </w:abstractNum>
  <w:abstractNum w:abstractNumId="190">
    <w:nsid w:val="5FB29816"/>
    <w:multiLevelType w:val="hybridMultilevel"/>
    <w:lvl w:ilvl="0">
      <w:lvlJc w:val="left"/>
      <w:lvlText w:val="%1."/>
      <w:numFmt w:val="decimal"/>
      <w:start w:val="1"/>
    </w:lvl>
  </w:abstractNum>
  <w:abstractNum w:abstractNumId="191">
    <w:nsid w:val="3CE732EC"/>
    <w:multiLevelType w:val="hybridMultilevel"/>
    <w:lvl w:ilvl="0">
      <w:lvlJc w:val="left"/>
      <w:lvlText w:val="%1."/>
      <w:numFmt w:val="decimal"/>
      <w:start w:val="2"/>
    </w:lvl>
  </w:abstractNum>
  <w:abstractNum w:abstractNumId="192">
    <w:nsid w:val="22F13DF3"/>
    <w:multiLevelType w:val="hybridMultilevel"/>
    <w:lvl w:ilvl="0">
      <w:lvlJc w:val="left"/>
      <w:lvlText w:val="%1."/>
      <w:numFmt w:val="decimal"/>
      <w:start w:val="3"/>
    </w:lvl>
  </w:abstractNum>
  <w:abstractNum w:abstractNumId="193">
    <w:nsid w:val="792B8401"/>
    <w:multiLevelType w:val="hybridMultilevel"/>
    <w:lvl w:ilvl="0">
      <w:lvlJc w:val="left"/>
      <w:lvlText w:val="(%1)"/>
      <w:numFmt w:val="decimal"/>
      <w:start w:val="1"/>
    </w:lvl>
  </w:abstractNum>
  <w:abstractNum w:abstractNumId="194">
    <w:nsid w:val="FA85F4D"/>
    <w:multiLevelType w:val="hybridMultilevel"/>
    <w:lvl w:ilvl="0">
      <w:lvlJc w:val="left"/>
      <w:lvlText w:val="%1."/>
      <w:numFmt w:val="decimal"/>
      <w:start w:val="4"/>
    </w:lvl>
  </w:abstractNum>
  <w:abstractNum w:abstractNumId="195">
    <w:nsid w:val="6ECE91F0"/>
    <w:multiLevelType w:val="hybridMultilevel"/>
    <w:lvl w:ilvl="0">
      <w:lvlJc w:val="left"/>
      <w:lvlText w:val="%1."/>
      <w:numFmt w:val="decimal"/>
      <w:start w:val="5"/>
    </w:lvl>
  </w:abstractNum>
  <w:abstractNum w:abstractNumId="196">
    <w:nsid w:val="4FC4D600"/>
    <w:multiLevelType w:val="hybridMultilevel"/>
    <w:lvl w:ilvl="0">
      <w:lvlJc w:val="left"/>
      <w:lvlText w:val="(%1)"/>
      <w:numFmt w:val="decimal"/>
      <w:start w:val="1"/>
    </w:lvl>
  </w:abstractNum>
  <w:abstractNum w:abstractNumId="197">
    <w:nsid w:val="5BFD4210"/>
    <w:multiLevelType w:val="hybridMultilevel"/>
    <w:lvl w:ilvl="0">
      <w:lvlJc w:val="left"/>
      <w:lvlText w:val="%1."/>
      <w:numFmt w:val="decimal"/>
      <w:start w:val="6"/>
    </w:lvl>
  </w:abstractNum>
  <w:abstractNum w:abstractNumId="198">
    <w:nsid w:val="76574F8B"/>
    <w:multiLevelType w:val="hybridMultilevel"/>
    <w:lvl w:ilvl="0">
      <w:lvlJc w:val="left"/>
      <w:lvlText w:val="•"/>
      <w:numFmt w:val="bullet"/>
      <w:start w:val="1"/>
    </w:lvl>
  </w:abstractNum>
  <w:abstractNum w:abstractNumId="199">
    <w:nsid w:val="178F7B67"/>
    <w:multiLevelType w:val="hybridMultilevel"/>
    <w:lvl w:ilvl="0">
      <w:lvlJc w:val="left"/>
      <w:lvlText w:val="%1."/>
      <w:numFmt w:val="decimal"/>
      <w:start w:val="7"/>
    </w:lvl>
  </w:abstractNum>
  <w:abstractNum w:abstractNumId="200">
    <w:nsid w:val="2421DFCF"/>
    <w:multiLevelType w:val="hybridMultilevel"/>
    <w:lvl w:ilvl="0">
      <w:lvlJc w:val="left"/>
      <w:lvlText w:val="%1."/>
      <w:numFmt w:val="decimal"/>
      <w:start w:val="8"/>
    </w:lvl>
  </w:abstractNum>
  <w:abstractNum w:abstractNumId="201">
    <w:nsid w:val="1565AC99"/>
    <w:multiLevelType w:val="hybridMultilevel"/>
    <w:lvl w:ilvl="0">
      <w:lvlJc w:val="left"/>
      <w:lvlText w:val="(%1)"/>
      <w:numFmt w:val="decimal"/>
      <w:start w:val="1"/>
    </w:lvl>
  </w:abstractNum>
  <w:abstractNum w:abstractNumId="202">
    <w:nsid w:val="19FB2650"/>
    <w:multiLevelType w:val="hybridMultilevel"/>
    <w:lvl w:ilvl="0">
      <w:lvlJc w:val="left"/>
      <w:lvlText w:val="%1."/>
      <w:numFmt w:val="decimal"/>
      <w:start w:val="9"/>
    </w:lvl>
  </w:abstractNum>
  <w:abstractNum w:abstractNumId="203">
    <w:nsid w:val="5024DE5B"/>
    <w:multiLevelType w:val="hybridMultilevel"/>
    <w:lvl w:ilvl="0">
      <w:lvlJc w:val="left"/>
      <w:lvlText w:val="%1."/>
      <w:numFmt w:val="decimal"/>
      <w:start w:val="10"/>
    </w:lvl>
  </w:abstractNum>
  <w:abstractNum w:abstractNumId="204">
    <w:nsid w:val="168EFE17"/>
    <w:multiLevelType w:val="hybridMultilevel"/>
    <w:lvl w:ilvl="0">
      <w:lvlJc w:val="left"/>
      <w:lvlText w:val="%1."/>
      <w:numFmt w:val="decimal"/>
      <w:start w:val="11"/>
    </w:lvl>
  </w:abstractNum>
  <w:abstractNum w:abstractNumId="205">
    <w:nsid w:val="1036B29F"/>
    <w:multiLevelType w:val="hybridMultilevel"/>
    <w:lvl w:ilvl="0">
      <w:lvlJc w:val="left"/>
      <w:lvlText w:val="%1."/>
      <w:numFmt w:val="decimal"/>
      <w:start w:val="12"/>
    </w:lvl>
  </w:abstractNum>
  <w:abstractNum w:abstractNumId="206">
    <w:nsid w:val="1D206B8E"/>
    <w:multiLevelType w:val="hybridMultilevel"/>
    <w:lvl w:ilvl="0">
      <w:lvlJc w:val="left"/>
      <w:lvlText w:val="%1."/>
      <w:numFmt w:val="decimal"/>
      <w:start w:val="13"/>
    </w:lvl>
  </w:abstractNum>
  <w:abstractNum w:abstractNumId="207">
    <w:nsid w:val="7934D3D4"/>
    <w:multiLevelType w:val="hybridMultilevel"/>
    <w:lvl w:ilvl="0">
      <w:lvlJc w:val="left"/>
      <w:lvlText w:val="%1."/>
      <w:numFmt w:val="decimal"/>
      <w:start w:val="14"/>
    </w:lvl>
  </w:abstractNum>
  <w:abstractNum w:abstractNumId="208">
    <w:nsid w:val="1C65E98"/>
    <w:multiLevelType w:val="hybridMultilevel"/>
    <w:lvl w:ilvl="0">
      <w:lvlJc w:val="left"/>
      <w:lvlText w:val="%1."/>
      <w:numFmt w:val="decimal"/>
      <w:start w:val="1"/>
    </w:lvl>
  </w:abstractNum>
  <w:abstractNum w:abstractNumId="209">
    <w:nsid w:val="1495E50A"/>
    <w:multiLevelType w:val="hybridMultilevel"/>
    <w:lvl w:ilvl="0">
      <w:lvlJc w:val="left"/>
      <w:lvlText w:val="%1."/>
      <w:numFmt w:val="decimal"/>
      <w:start w:val="2"/>
    </w:lvl>
  </w:abstractNum>
  <w:abstractNum w:abstractNumId="210">
    <w:nsid w:val="F5BCF61"/>
    <w:multiLevelType w:val="hybridMultilevel"/>
    <w:lvl w:ilvl="0">
      <w:lvlJc w:val="left"/>
      <w:lvlText w:val="%1."/>
      <w:numFmt w:val="decimal"/>
      <w:start w:val="3"/>
    </w:lvl>
  </w:abstractNum>
  <w:abstractNum w:abstractNumId="211">
    <w:nsid w:val="3B1DD403"/>
    <w:multiLevelType w:val="hybridMultilevel"/>
    <w:lvl w:ilvl="0">
      <w:lvlJc w:val="left"/>
      <w:lvlText w:val="(%1)"/>
      <w:numFmt w:val="decimal"/>
      <w:start w:val="1"/>
    </w:lvl>
  </w:abstractNum>
  <w:abstractNum w:abstractNumId="212">
    <w:nsid w:val="530386D1"/>
    <w:multiLevelType w:val="hybridMultilevel"/>
    <w:lvl w:ilvl="0">
      <w:lvlJc w:val="left"/>
      <w:lvlText w:val="%1."/>
      <w:numFmt w:val="decimal"/>
      <w:start w:val="4"/>
    </w:lvl>
  </w:abstractNum>
  <w:abstractNum w:abstractNumId="213">
    <w:nsid w:val="7525F2BC"/>
    <w:multiLevelType w:val="hybridMultilevel"/>
    <w:lvl w:ilvl="0">
      <w:lvlJc w:val="left"/>
      <w:lvlText w:val="(%1)"/>
      <w:numFmt w:val="decimal"/>
      <w:start w:val="1"/>
    </w:lvl>
  </w:abstractNum>
  <w:abstractNum w:abstractNumId="214">
    <w:nsid w:val="CE8E1A7"/>
    <w:multiLevelType w:val="hybridMultilevel"/>
    <w:lvl w:ilvl="0">
      <w:lvlJc w:val="left"/>
      <w:lvlText w:val="•"/>
      <w:numFmt w:val="bullet"/>
      <w:start w:val="1"/>
    </w:lvl>
  </w:abstractNum>
  <w:abstractNum w:abstractNumId="215">
    <w:nsid w:val="4E9EFB0D"/>
    <w:multiLevelType w:val="hybridMultilevel"/>
    <w:lvl w:ilvl="0">
      <w:lvlJc w:val="left"/>
      <w:lvlText w:val="•"/>
      <w:numFmt w:val="bullet"/>
      <w:start w:val="1"/>
    </w:lvl>
  </w:abstractNum>
  <w:abstractNum w:abstractNumId="216">
    <w:nsid w:val="90802BE"/>
    <w:multiLevelType w:val="hybridMultilevel"/>
    <w:lvl w:ilvl="0">
      <w:lvlJc w:val="left"/>
      <w:lvlText w:val="%1."/>
      <w:numFmt w:val="decimal"/>
      <w:start w:val="5"/>
    </w:lvl>
  </w:abstractNum>
  <w:abstractNum w:abstractNumId="217">
    <w:nsid w:val="3266459B"/>
    <w:multiLevelType w:val="hybridMultilevel"/>
    <w:lvl w:ilvl="0">
      <w:lvlJc w:val="left"/>
      <w:lvlText w:val="(%1)"/>
      <w:numFmt w:val="decimal"/>
      <w:start w:val="1"/>
    </w:lvl>
  </w:abstractNum>
  <w:abstractNum w:abstractNumId="218">
    <w:nsid w:val="3F8B0CBF"/>
    <w:multiLevelType w:val="hybridMultilevel"/>
    <w:lvl w:ilvl="0">
      <w:lvlJc w:val="left"/>
      <w:lvlText w:val="%1."/>
      <w:numFmt w:val="decimal"/>
      <w:start w:val="6"/>
    </w:lvl>
  </w:abstractNum>
  <w:abstractNum w:abstractNumId="219">
    <w:nsid w:val="37E203AB"/>
    <w:multiLevelType w:val="hybridMultilevel"/>
    <w:lvl w:ilvl="0">
      <w:lvlJc w:val="left"/>
      <w:lvlText w:val="•"/>
      <w:numFmt w:val="bullet"/>
      <w:start w:val="1"/>
    </w:lvl>
  </w:abstractNum>
  <w:abstractNum w:abstractNumId="220">
    <w:nsid w:val="2586D60E"/>
    <w:multiLevelType w:val="hybridMultilevel"/>
    <w:lvl w:ilvl="0">
      <w:lvlJc w:val="left"/>
      <w:lvlText w:val="%1."/>
      <w:numFmt w:val="decimal"/>
      <w:start w:val="7"/>
    </w:lvl>
  </w:abstractNum>
  <w:abstractNum w:abstractNumId="221">
    <w:nsid w:val="1F3DA4D5"/>
    <w:multiLevelType w:val="hybridMultilevel"/>
    <w:lvl w:ilvl="0">
      <w:lvlJc w:val="left"/>
      <w:lvlText w:val="%1."/>
      <w:numFmt w:val="decimal"/>
      <w:start w:val="8"/>
    </w:lvl>
  </w:abstractNum>
  <w:abstractNum w:abstractNumId="222">
    <w:nsid w:val="74C93698"/>
    <w:multiLevelType w:val="hybridMultilevel"/>
    <w:lvl w:ilvl="0">
      <w:lvlJc w:val="left"/>
      <w:lvlText w:val="%1."/>
      <w:numFmt w:val="decimal"/>
      <w:start w:val="9"/>
    </w:lvl>
  </w:abstractNum>
  <w:abstractNum w:abstractNumId="223">
    <w:nsid w:val="48781401"/>
    <w:multiLevelType w:val="hybridMultilevel"/>
    <w:lvl w:ilvl="0">
      <w:lvlJc w:val="left"/>
      <w:lvlText w:val="%1."/>
      <w:numFmt w:val="decimal"/>
      <w:start w:val="10"/>
    </w:lvl>
  </w:abstractNum>
  <w:abstractNum w:abstractNumId="224">
    <w:nsid w:val="186928D6"/>
    <w:multiLevelType w:val="hybridMultilevel"/>
    <w:lvl w:ilvl="0">
      <w:lvlJc w:val="left"/>
      <w:lvlText w:val="(%1)"/>
      <w:numFmt w:val="decimal"/>
      <w:start w:val="1"/>
    </w:lvl>
  </w:abstractNum>
  <w:abstractNum w:abstractNumId="225">
    <w:nsid w:val="47195E5"/>
    <w:multiLevelType w:val="hybridMultilevel"/>
    <w:lvl w:ilvl="0">
      <w:lvlJc w:val="left"/>
      <w:lvlText w:val="(%1)"/>
      <w:numFmt w:val="decimal"/>
      <w:start w:val="1"/>
    </w:lvl>
  </w:abstractNum>
  <w:abstractNum w:abstractNumId="226">
    <w:nsid w:val="3746A5F2"/>
    <w:multiLevelType w:val="hybridMultilevel"/>
    <w:lvl w:ilvl="0">
      <w:lvlJc w:val="left"/>
      <w:lvlText w:val="%1."/>
      <w:numFmt w:val="decimal"/>
      <w:start w:val="11"/>
    </w:lvl>
  </w:abstractNum>
  <w:abstractNum w:abstractNumId="227">
    <w:nsid w:val="682DFED6"/>
    <w:multiLevelType w:val="hybridMultilevel"/>
    <w:lvl w:ilvl="0">
      <w:lvlJc w:val="left"/>
      <w:lvlText w:val="%1."/>
      <w:numFmt w:val="decimal"/>
      <w:start w:val="12"/>
    </w:lvl>
  </w:abstractNum>
  <w:abstractNum w:abstractNumId="228">
    <w:nsid w:val="606ED7F6"/>
    <w:multiLevelType w:val="hybridMultilevel"/>
    <w:lvl w:ilvl="0">
      <w:lvlJc w:val="left"/>
      <w:lvlText w:val="%1."/>
      <w:numFmt w:val="decimal"/>
      <w:start w:val="13"/>
    </w:lvl>
  </w:abstractNum>
  <w:abstractNum w:abstractNumId="229">
    <w:nsid w:val="2D9DF57D"/>
    <w:multiLevelType w:val="hybridMultilevel"/>
    <w:lvl w:ilvl="0">
      <w:lvlJc w:val="left"/>
      <w:lvlText w:val="%1."/>
      <w:numFmt w:val="decimal"/>
      <w:start w:val="14"/>
    </w:lvl>
  </w:abstractNum>
  <w:abstractNum w:abstractNumId="230">
    <w:nsid w:val="7FBD7A3E"/>
    <w:multiLevelType w:val="hybridMultilevel"/>
    <w:lvl w:ilvl="0">
      <w:lvlJc w:val="left"/>
      <w:lvlText w:val="(%1)"/>
      <w:numFmt w:val="decimal"/>
      <w:start w:val="1"/>
    </w:lvl>
  </w:abstractNum>
  <w:abstractNum w:abstractNumId="231">
    <w:nsid w:val="490B7C5"/>
    <w:multiLevelType w:val="hybridMultilevel"/>
    <w:lvl w:ilvl="0">
      <w:lvlJc w:val="left"/>
      <w:lvlText w:val="(%1)"/>
      <w:numFmt w:val="decimal"/>
      <w:start w:val="1"/>
    </w:lvl>
  </w:abstractNum>
  <w:abstractNum w:abstractNumId="232">
    <w:nsid w:val="4303A216"/>
    <w:multiLevelType w:val="hybridMultilevel"/>
    <w:lvl w:ilvl="0">
      <w:lvlJc w:val="left"/>
      <w:lvlText w:val="(%1)"/>
      <w:numFmt w:val="decimal"/>
      <w:start w:val="1"/>
    </w:lvl>
  </w:abstractNum>
  <w:abstractNum w:abstractNumId="233">
    <w:nsid w:val="19B8A08E"/>
    <w:multiLevelType w:val="hybridMultilevel"/>
    <w:lvl w:ilvl="0">
      <w:lvlJc w:val="left"/>
      <w:lvlText w:val="%1."/>
      <w:numFmt w:val="decimal"/>
      <w:start w:val="15"/>
    </w:lvl>
  </w:abstractNum>
  <w:abstractNum w:abstractNumId="234">
    <w:nsid w:val="54B59621"/>
    <w:multiLevelType w:val="hybridMultilevel"/>
    <w:lvl w:ilvl="0">
      <w:lvlJc w:val="left"/>
      <w:lvlText w:val="%1."/>
      <w:numFmt w:val="decimal"/>
      <w:start w:val="16"/>
    </w:lvl>
  </w:abstractNum>
  <w:abstractNum w:abstractNumId="235">
    <w:nsid w:val="5992A02E"/>
    <w:multiLevelType w:val="hybridMultilevel"/>
    <w:lvl w:ilvl="0">
      <w:lvlJc w:val="left"/>
      <w:lvlText w:val="%1."/>
      <w:numFmt w:val="decimal"/>
      <w:start w:val="17"/>
    </w:lvl>
  </w:abstractNum>
  <w:abstractNum w:abstractNumId="236">
    <w:nsid w:val="29EF532D"/>
    <w:multiLevelType w:val="hybridMultilevel"/>
    <w:lvl w:ilvl="0">
      <w:lvlJc w:val="left"/>
      <w:lvlText w:val="(%1)"/>
      <w:numFmt w:val="decimal"/>
      <w:start w:val="1"/>
    </w:lvl>
  </w:abstractNum>
  <w:abstractNum w:abstractNumId="237">
    <w:nsid w:val="71D601AF"/>
    <w:multiLevelType w:val="hybridMultilevel"/>
    <w:lvl w:ilvl="0">
      <w:lvlJc w:val="left"/>
      <w:lvlText w:val="%1."/>
      <w:numFmt w:val="decimal"/>
      <w:start w:val="18"/>
    </w:lvl>
  </w:abstractNum>
  <w:abstractNum w:abstractNumId="238">
    <w:nsid w:val="52C77402"/>
    <w:multiLevelType w:val="hybridMultilevel"/>
    <w:lvl w:ilvl="0">
      <w:lvlJc w:val="left"/>
      <w:lvlText w:val="%1."/>
      <w:numFmt w:val="decimal"/>
      <w:start w:val="19"/>
    </w:lvl>
  </w:abstractNum>
  <w:abstractNum w:abstractNumId="239">
    <w:nsid w:val="2BB5B1C6"/>
    <w:multiLevelType w:val="hybridMultilevel"/>
    <w:lvl w:ilvl="0">
      <w:lvlJc w:val="left"/>
      <w:lvlText w:val="%1."/>
      <w:numFmt w:val="decimal"/>
      <w:start w:val="1"/>
    </w:lvl>
  </w:abstractNum>
  <w:abstractNum w:abstractNumId="240">
    <w:nsid w:val="66BE6B9"/>
    <w:multiLevelType w:val="hybridMultilevel"/>
    <w:lvl w:ilvl="0">
      <w:lvlJc w:val="left"/>
      <w:lvlText w:val="%1."/>
      <w:numFmt w:val="decimal"/>
      <w:start w:val="2"/>
    </w:lvl>
  </w:abstractNum>
  <w:abstractNum w:abstractNumId="241">
    <w:nsid w:val="62234363"/>
    <w:multiLevelType w:val="hybridMultilevel"/>
    <w:lvl w:ilvl="0">
      <w:lvlJc w:val="left"/>
      <w:lvlText w:val="%1."/>
      <w:numFmt w:val="decimal"/>
      <w:start w:val="3"/>
    </w:lvl>
  </w:abstractNum>
  <w:abstractNum w:abstractNumId="242">
    <w:nsid w:val="66D385C9"/>
    <w:multiLevelType w:val="hybridMultilevel"/>
    <w:lvl w:ilvl="0">
      <w:lvlJc w:val="left"/>
      <w:lvlText w:val="%1."/>
      <w:numFmt w:val="decimal"/>
      <w:start w:val="4"/>
    </w:lvl>
  </w:abstractNum>
  <w:abstractNum w:abstractNumId="243">
    <w:nsid w:val="596F6D8A"/>
    <w:multiLevelType w:val="hybridMultilevel"/>
    <w:lvl w:ilvl="0">
      <w:lvlJc w:val="left"/>
      <w:lvlText w:val="(%1)"/>
      <w:numFmt w:val="lowerLetter"/>
      <w:start w:val="2"/>
    </w:lvl>
  </w:abstractNum>
  <w:abstractNum w:abstractNumId="244">
    <w:nsid w:val="5749361F"/>
    <w:multiLevelType w:val="hybridMultilevel"/>
    <w:lvl w:ilvl="0">
      <w:lvlJc w:val="left"/>
      <w:lvlText w:val="(%1)"/>
      <w:numFmt w:val="decimal"/>
      <w:start w:val="1"/>
    </w:lvl>
  </w:abstractNum>
  <w:abstractNum w:abstractNumId="245">
    <w:nsid w:val="73BC6770"/>
    <w:multiLevelType w:val="hybridMultilevel"/>
    <w:lvl w:ilvl="0">
      <w:lvlJc w:val="left"/>
      <w:lvlText w:val="(%1)"/>
      <w:numFmt w:val="upperLetter"/>
      <w:start w:val="1"/>
    </w:lvl>
  </w:abstractNum>
  <w:abstractNum w:abstractNumId="246">
    <w:nsid w:val="280E6897"/>
    <w:multiLevelType w:val="hybridMultilevel"/>
    <w:lvl w:ilvl="0">
      <w:lvlJc w:val="left"/>
      <w:lvlText w:val="*"/>
      <w:numFmt w:val="bullet"/>
      <w:start w:val="1"/>
    </w:lvl>
  </w:abstractNum>
  <w:abstractNum w:abstractNumId="247">
    <w:nsid w:val="605138DE"/>
    <w:multiLevelType w:val="hybridMultilevel"/>
    <w:lvl w:ilvl="0">
      <w:lvlJc w:val="left"/>
      <w:lvlText w:val="[●]"/>
      <w:numFmt w:val="bullet"/>
      <w:start w:val="1"/>
    </w:lvl>
  </w:abstractNum>
  <w:abstractNum w:abstractNumId="248">
    <w:nsid w:val="2622AD0C"/>
    <w:multiLevelType w:val="hybridMultilevel"/>
    <w:lvl w:ilvl="0">
      <w:lvlJc w:val="left"/>
      <w:lvlText w:val="(%1)"/>
      <w:numFmt w:val="lowerLetter"/>
      <w:start w:val="1"/>
    </w:lvl>
  </w:abstractNum>
  <w:abstractNum w:abstractNumId="249">
    <w:nsid w:val="67997556"/>
    <w:multiLevelType w:val="hybridMultilevel"/>
    <w:lvl w:ilvl="0">
      <w:lvlJc w:val="left"/>
      <w:lvlText w:val="(%1)"/>
      <w:numFmt w:val="lowerLetter"/>
      <w:start w:val="5"/>
    </w:lvl>
  </w:abstractNum>
  <w:abstractNum w:abstractNumId="250">
    <w:nsid w:val="18333C89"/>
    <w:multiLevelType w:val="hybridMultilevel"/>
    <w:lvl w:ilvl="0">
      <w:lvlJc w:val="left"/>
      <w:lvlText w:val="%1"/>
      <w:numFmt w:val="lowerLetter"/>
      <w:start w:val="1"/>
    </w:lvl>
    <w:lvl w:ilvl="1">
      <w:lvlJc w:val="left"/>
      <w:lvlText w:val="(%2)"/>
      <w:numFmt w:val="lowerLetter"/>
      <w:start w:val="11"/>
    </w:lvl>
  </w:abstractNum>
  <w:abstractNum w:abstractNumId="251">
    <w:nsid w:val="4BA9831A"/>
    <w:multiLevelType w:val="hybridMultilevel"/>
    <w:lvl w:ilvl="0">
      <w:lvlJc w:val="left"/>
      <w:lvlText w:val="(%1)"/>
      <w:numFmt w:val="lowerLetter"/>
      <w:start w:val="35"/>
    </w:lvl>
    <w:lvl w:ilvl="1">
      <w:lvlJc w:val="left"/>
      <w:lvlText w:val="(%2)"/>
      <w:numFmt w:val="lowerLetter"/>
      <w:start w:val="13"/>
    </w:lvl>
  </w:abstractNum>
  <w:abstractNum w:abstractNumId="252">
    <w:nsid w:val="6D71A2B"/>
    <w:multiLevelType w:val="hybridMultilevel"/>
    <w:lvl w:ilvl="0">
      <w:lvlJc w:val="left"/>
      <w:lvlText w:val="(%1)"/>
      <w:numFmt w:val="lowerLetter"/>
      <w:start w:val="15"/>
    </w:lvl>
  </w:abstractNum>
  <w:abstractNum w:abstractNumId="253">
    <w:nsid w:val="CFC7321"/>
    <w:multiLevelType w:val="hybridMultilevel"/>
    <w:lvl w:ilvl="0">
      <w:lvlJc w:val="left"/>
      <w:lvlText w:val="%1"/>
      <w:numFmt w:val="lowerLetter"/>
      <w:start w:val="1"/>
    </w:lvl>
    <w:lvl w:ilvl="1">
      <w:lvlJc w:val="left"/>
      <w:lvlText w:val="(%2)"/>
      <w:numFmt w:val="lowerLetter"/>
      <w:start w:val="19"/>
    </w:lvl>
  </w:abstractNum>
  <w:abstractNum w:abstractNumId="254">
    <w:nsid w:val="1421971B"/>
    <w:multiLevelType w:val="hybridMultilevel"/>
    <w:lvl w:ilvl="0">
      <w:lvlJc w:val="left"/>
      <w:lvlText w:val="(%1)"/>
      <w:numFmt w:val="lowerLetter"/>
      <w:start w:val="9"/>
    </w:lvl>
    <w:lvl w:ilvl="1">
      <w:lvlJc w:val="left"/>
      <w:lvlText w:val="(%2)"/>
      <w:numFmt w:val="lowerLetter"/>
      <w:start w:val="20"/>
    </w:lvl>
  </w:abstractNum>
  <w:abstractNum w:abstractNumId="255">
    <w:nsid w:val="1F404301"/>
    <w:multiLevelType w:val="hybridMultilevel"/>
    <w:lvl w:ilvl="0">
      <w:lvlJc w:val="left"/>
      <w:lvlText w:val="(%1)"/>
      <w:numFmt w:val="lowerLetter"/>
      <w:start w:val="24"/>
    </w:lvl>
  </w:abstractNum>
  <w:abstractNum w:abstractNumId="256">
    <w:nsid w:val="116E0907"/>
    <w:multiLevelType w:val="hybridMultilevel"/>
    <w:lvl w:ilvl="0">
      <w:lvlJc w:val="left"/>
      <w:lvlText w:val="(%1)"/>
      <w:numFmt w:val="lowerLetter"/>
      <w:start w:val="27"/>
    </w:lvl>
  </w:abstractNum>
  <w:abstractNum w:abstractNumId="257">
    <w:nsid w:val="4B683D0D"/>
    <w:multiLevelType w:val="hybridMultilevel"/>
    <w:lvl w:ilvl="0">
      <w:lvlJc w:val="left"/>
      <w:lvlText w:val="%1"/>
      <w:numFmt w:val="lowerLetter"/>
      <w:start w:val="1"/>
    </w:lvl>
    <w:lvl w:ilvl="1">
      <w:lvlJc w:val="left"/>
      <w:lvlText w:val="(%2)"/>
      <w:numFmt w:val="lowerLetter"/>
      <w:start w:val="29"/>
    </w:lvl>
  </w:abstractNum>
  <w:abstractNum w:abstractNumId="258">
    <w:nsid w:val="76E41D8"/>
    <w:multiLevelType w:val="hybridMultilevel"/>
    <w:lvl w:ilvl="0">
      <w:lvlJc w:val="left"/>
      <w:lvlText w:val="(%1)"/>
      <w:numFmt w:val="lowerLetter"/>
      <w:start w:val="9"/>
    </w:lvl>
    <w:lvl w:ilvl="1">
      <w:lvlJc w:val="left"/>
      <w:lvlText w:val="(%2)"/>
      <w:numFmt w:val="lowerLetter"/>
      <w:start w:val="30"/>
    </w:lvl>
  </w:abstractNum>
  <w:abstractNum w:abstractNumId="259">
    <w:nsid w:val="71DCE0FD"/>
    <w:multiLevelType w:val="hybridMultilevel"/>
    <w:lvl w:ilvl="0">
      <w:lvlJc w:val="left"/>
      <w:lvlText w:val="(%1)"/>
      <w:numFmt w:val="lowerLetter"/>
      <w:start w:val="35"/>
    </w:lvl>
    <w:lvl w:ilvl="1">
      <w:lvlJc w:val="left"/>
      <w:lvlText w:val="(%2)"/>
      <w:numFmt w:val="lowerLetter"/>
      <w:start w:val="32"/>
    </w:lvl>
  </w:abstractNum>
  <w:abstractNum w:abstractNumId="260">
    <w:nsid w:val="7906328B"/>
    <w:multiLevelType w:val="hybridMultilevel"/>
    <w:lvl w:ilvl="0">
      <w:lvlJc w:val="left"/>
      <w:lvlText w:val="(%1)"/>
      <w:numFmt w:val="lowerLetter"/>
      <w:start w:val="34"/>
    </w:lvl>
  </w:abstractNum>
  <w:abstractNum w:abstractNumId="261">
    <w:nsid w:val="72BBC16"/>
    <w:multiLevelType w:val="hybridMultilevel"/>
    <w:lvl w:ilvl="0">
      <w:lvlJc w:val="left"/>
      <w:lvlText w:val="(%1)"/>
      <w:numFmt w:val="lowerLetter"/>
      <w:start w:val="35"/>
    </w:lvl>
    <w:lvl w:ilvl="1">
      <w:lvlJc w:val="left"/>
      <w:lvlText w:val="(%2)"/>
      <w:numFmt w:val="lowerLetter"/>
      <w:start w:val="39"/>
    </w:lvl>
  </w:abstractNum>
  <w:abstractNum w:abstractNumId="262">
    <w:nsid w:val="766D98C2"/>
    <w:multiLevelType w:val="hybridMultilevel"/>
    <w:lvl w:ilvl="0">
      <w:lvlJc w:val="left"/>
      <w:lvlText w:val="(%1)"/>
      <w:numFmt w:val="decimal"/>
      <w:start w:val="1"/>
    </w:lvl>
    <w:lvl w:ilvl="1">
      <w:lvlJc w:val="left"/>
      <w:lvlText w:val="(%2)"/>
      <w:numFmt w:val="lowerLetter"/>
      <w:start w:val="41"/>
    </w:lvl>
  </w:abstractNum>
  <w:abstractNum w:abstractNumId="263">
    <w:nsid w:val="3C09D4A1"/>
    <w:multiLevelType w:val="hybridMultilevel"/>
    <w:lvl w:ilvl="0">
      <w:lvlJc w:val="left"/>
      <w:lvlText w:val="%1"/>
      <w:numFmt w:val="lowerLetter"/>
      <w:start w:val="1"/>
    </w:lvl>
    <w:lvl w:ilvl="1">
      <w:lvlJc w:val="left"/>
      <w:lvlText w:val="%2."/>
      <w:numFmt w:val="decimal"/>
      <w:start w:val="2"/>
    </w:lvl>
  </w:abstractNum>
  <w:abstractNum w:abstractNumId="264">
    <w:nsid w:val="20E45CA4"/>
    <w:multiLevelType w:val="hybridMultilevel"/>
    <w:lvl w:ilvl="0">
      <w:lvlJc w:val="left"/>
      <w:lvlText w:val="(%1)"/>
      <w:numFmt w:val="lowerLetter"/>
      <w:start w:val="1"/>
    </w:lvl>
    <w:lvl w:ilvl="1">
      <w:lvlJc w:val="left"/>
      <w:lvlText w:val="%2."/>
      <w:numFmt w:val="decimal"/>
      <w:start w:val="3"/>
    </w:lvl>
  </w:abstractNum>
  <w:abstractNum w:abstractNumId="265">
    <w:nsid w:val="4B232EE3"/>
    <w:multiLevelType w:val="hybridMultilevel"/>
    <w:lvl w:ilvl="0">
      <w:lvlJc w:val="left"/>
      <w:lvlText w:val="%1"/>
      <w:numFmt w:val="lowerLetter"/>
      <w:start w:val="1"/>
    </w:lvl>
    <w:lvl w:ilvl="1">
      <w:lvlJc w:val="left"/>
      <w:lvlText w:val="%2."/>
      <w:numFmt w:val="decimal"/>
      <w:start w:val="4"/>
    </w:lvl>
  </w:abstractNum>
  <w:abstractNum w:abstractNumId="266">
    <w:nsid w:val="159C74CF"/>
    <w:multiLevelType w:val="hybridMultilevel"/>
    <w:lvl w:ilvl="0">
      <w:lvlJc w:val="left"/>
      <w:lvlText w:val="(%1)"/>
      <w:numFmt w:val="lowerLetter"/>
      <w:start w:val="1"/>
    </w:lvl>
    <w:lvl w:ilvl="1">
      <w:lvlJc w:val="left"/>
      <w:lvlText w:val="%2"/>
      <w:numFmt w:val="decimal"/>
      <w:start w:val="1"/>
    </w:lvl>
  </w:abstractNum>
  <w:abstractNum w:abstractNumId="267">
    <w:nsid w:val="4AD3AFD2"/>
    <w:multiLevelType w:val="hybridMultilevel"/>
    <w:lvl w:ilvl="0">
      <w:lvlJc w:val="left"/>
      <w:lvlText w:val="(%1)"/>
      <w:numFmt w:val="lowerLetter"/>
      <w:start w:val="3"/>
    </w:lvl>
  </w:abstractNum>
  <w:abstractNum w:abstractNumId="268">
    <w:nsid w:val="3CF93092"/>
    <w:multiLevelType w:val="hybridMultilevel"/>
    <w:lvl w:ilvl="0">
      <w:lvlJc w:val="left"/>
      <w:lvlText w:val="(%1)"/>
      <w:numFmt w:val="lowerLetter"/>
      <w:start w:val="8"/>
    </w:lvl>
  </w:abstractNum>
  <w:abstractNum w:abstractNumId="269">
    <w:nsid w:val="6863E8D2"/>
    <w:multiLevelType w:val="hybridMultilevel"/>
    <w:lvl w:ilvl="0">
      <w:lvlJc w:val="left"/>
      <w:lvlText w:val="%1"/>
      <w:numFmt w:val="lowerRoman"/>
      <w:start w:val="1"/>
    </w:lvl>
    <w:lvl w:ilvl="1">
      <w:lvlJc w:val="left"/>
      <w:lvlText w:val="(%2)"/>
      <w:numFmt w:val="lowerLetter"/>
      <w:start w:val="10"/>
    </w:lvl>
  </w:abstractNum>
  <w:abstractNum w:abstractNumId="270">
    <w:nsid w:val="76896198"/>
    <w:multiLevelType w:val="hybridMultilevel"/>
    <w:lvl w:ilvl="0">
      <w:lvlJc w:val="left"/>
      <w:lvlText w:val="(%1)"/>
      <w:numFmt w:val="lowerRoman"/>
      <w:start w:val="8"/>
    </w:lvl>
    <w:lvl w:ilvl="1">
      <w:lvlJc w:val="left"/>
      <w:lvlText w:val="%2"/>
      <w:numFmt w:val="lowerLetter"/>
      <w:start w:val="1"/>
    </w:lvl>
  </w:abstractNum>
  <w:abstractNum w:abstractNumId="271">
    <w:nsid w:val="4365174B"/>
    <w:multiLevelType w:val="hybridMultilevel"/>
    <w:lvl w:ilvl="0">
      <w:lvlJc w:val="left"/>
      <w:lvlText w:val="(%1)"/>
      <w:numFmt w:val="lowerLetter"/>
      <w:start w:val="13"/>
    </w:lvl>
  </w:abstractNum>
  <w:abstractNum w:abstractNumId="272">
    <w:nsid w:val="4A872C35"/>
    <w:multiLevelType w:val="hybridMultilevel"/>
    <w:lvl w:ilvl="0">
      <w:lvlJc w:val="left"/>
      <w:lvlText w:val="%1"/>
      <w:numFmt w:val="lowerLetter"/>
      <w:start w:val="1"/>
    </w:lvl>
    <w:lvl w:ilvl="1">
      <w:lvlJc w:val="left"/>
      <w:lvlText w:val="%2."/>
      <w:numFmt w:val="decimal"/>
      <w:start w:val="6"/>
    </w:lvl>
  </w:abstractNum>
  <w:abstractNum w:abstractNumId="273">
    <w:nsid w:val="5D5CE761"/>
    <w:multiLevelType w:val="hybridMultilevel"/>
    <w:lvl w:ilvl="0">
      <w:lvlJc w:val="left"/>
      <w:lvlText w:val="(%1)"/>
      <w:numFmt w:val="lowerLetter"/>
      <w:start w:val="1"/>
    </w:lvl>
    <w:lvl w:ilvl="1">
      <w:lvlJc w:val="left"/>
      <w:lvlText w:val="%2"/>
      <w:numFmt w:val="decimal"/>
      <w:start w:val="1"/>
    </w:lvl>
  </w:abstractNum>
  <w:abstractNum w:abstractNumId="274">
    <w:nsid w:val="1CD484D5"/>
    <w:multiLevelType w:val="hybridMultilevel"/>
    <w:lvl w:ilvl="0">
      <w:lvlJc w:val="left"/>
      <w:lvlText w:val="(%1)"/>
      <w:numFmt w:val="lowerLetter"/>
      <w:start w:val="2"/>
    </w:lvl>
    <w:lvl w:ilvl="1">
      <w:lvlJc w:val="left"/>
      <w:lvlText w:val="(%2)"/>
      <w:numFmt w:val="lowerRoman"/>
      <w:start w:val="2"/>
    </w:lvl>
    <w:lvl w:ilvl="2">
      <w:lvlJc w:val="left"/>
      <w:lvlText w:val="(%3)"/>
      <w:numFmt w:val="decimal"/>
      <w:start w:val="1"/>
    </w:lvl>
  </w:abstractNum>
  <w:abstractNum w:abstractNumId="275">
    <w:nsid w:val="21D06255"/>
    <w:multiLevelType w:val="hybridMultilevel"/>
    <w:lvl w:ilvl="0">
      <w:lvlJc w:val="left"/>
      <w:lvlText w:val="(%1)"/>
      <w:numFmt w:val="lowerLetter"/>
      <w:start w:val="5"/>
    </w:lvl>
  </w:abstractNum>
  <w:abstractNum w:abstractNumId="276">
    <w:nsid w:val="51194ED1"/>
    <w:multiLevelType w:val="hybridMultilevel"/>
    <w:lvl w:ilvl="0">
      <w:lvlJc w:val="left"/>
      <w:lvlText w:val="%1"/>
      <w:numFmt w:val="lowerLetter"/>
      <w:start w:val="1"/>
    </w:lvl>
    <w:lvl w:ilvl="1">
      <w:lvlJc w:val="left"/>
      <w:lvlText w:val="%2."/>
      <w:numFmt w:val="decimal"/>
      <w:start w:val="7"/>
    </w:lvl>
  </w:abstractNum>
  <w:abstractNum w:abstractNumId="277">
    <w:nsid w:val="44E2ED6C"/>
    <w:multiLevelType w:val="hybridMultilevel"/>
    <w:lvl w:ilvl="0">
      <w:lvlJc w:val="left"/>
      <w:lvlText w:val="(%1)"/>
      <w:numFmt w:val="lowerLetter"/>
      <w:start w:val="1"/>
    </w:lvl>
    <w:lvl w:ilvl="1">
      <w:lvlJc w:val="left"/>
      <w:lvlText w:val="%2"/>
      <w:numFmt w:val="decimal"/>
      <w:start w:val="1"/>
    </w:lvl>
  </w:abstractNum>
  <w:abstractNum w:abstractNumId="278">
    <w:nsid w:val="2219B33"/>
    <w:multiLevelType w:val="hybridMultilevel"/>
    <w:lvl w:ilvl="0">
      <w:lvlJc w:val="left"/>
      <w:lvlText w:val="(%1)"/>
      <w:numFmt w:val="lowerLetter"/>
      <w:start w:val="2"/>
    </w:lvl>
  </w:abstractNum>
  <w:abstractNum w:abstractNumId="279">
    <w:nsid w:val="773BFBDD"/>
    <w:multiLevelType w:val="hybridMultilevel"/>
    <w:lvl w:ilvl="0">
      <w:lvlJc w:val="left"/>
      <w:lvlText w:val="(%1)"/>
      <w:numFmt w:val="lowerLetter"/>
      <w:start w:val="4"/>
    </w:lvl>
  </w:abstractNum>
  <w:abstractNum w:abstractNumId="280">
    <w:nsid w:val="2C7C62C2"/>
    <w:multiLevelType w:val="hybridMultilevel"/>
    <w:lvl w:ilvl="0">
      <w:lvlJc w:val="left"/>
      <w:lvlText w:val="%1."/>
      <w:numFmt w:val="decimal"/>
      <w:start w:val="9"/>
    </w:lvl>
  </w:abstractNum>
  <w:abstractNum w:abstractNumId="281">
    <w:nsid w:val="1A54D7BC"/>
    <w:multiLevelType w:val="hybridMultilevel"/>
    <w:lvl w:ilvl="0">
      <w:lvlJc w:val="left"/>
      <w:lvlText w:val="%1."/>
      <w:numFmt w:val="decimal"/>
      <w:start w:val="11"/>
    </w:lvl>
  </w:abstractNum>
  <w:abstractNum w:abstractNumId="282">
    <w:nsid w:val="42E57EF7"/>
    <w:multiLevelType w:val="hybridMultilevel"/>
    <w:lvl w:ilvl="0">
      <w:lvlJc w:val="left"/>
      <w:lvlText w:val="%1."/>
      <w:numFmt w:val="decimal"/>
      <w:start w:val="15"/>
    </w:lvl>
  </w:abstractNum>
  <w:abstractNum w:abstractNumId="283">
    <w:nsid w:val="33537CED"/>
    <w:multiLevelType w:val="hybridMultilevel"/>
    <w:lvl w:ilvl="0">
      <w:lvlJc w:val="left"/>
      <w:lvlText w:val="%1."/>
      <w:numFmt w:val="decimal"/>
      <w:start w:val="21"/>
    </w:lvl>
  </w:abstractNum>
  <w:abstractNum w:abstractNumId="284">
    <w:nsid w:val="27514ADE"/>
    <w:multiLevelType w:val="hybridMultilevel"/>
    <w:lvl w:ilvl="0">
      <w:lvlJc w:val="left"/>
      <w:lvlText w:val="(%1)"/>
      <w:numFmt w:val="lowerRoman"/>
      <w:start w:val="2"/>
    </w:lvl>
  </w:abstractNum>
  <w:abstractNum w:abstractNumId="285">
    <w:nsid w:val="57071613"/>
    <w:multiLevelType w:val="hybridMultilevel"/>
    <w:lvl w:ilvl="0">
      <w:lvlJc w:val="left"/>
      <w:lvlText w:val="•"/>
      <w:numFmt w:val="bullet"/>
      <w:start w:val="1"/>
    </w:lvl>
  </w:abstractNum>
  <w:abstractNum w:abstractNumId="286">
    <w:nsid w:val="5293BFEF"/>
    <w:multiLevelType w:val="hybridMultilevel"/>
    <w:lvl w:ilvl="0">
      <w:lvlJc w:val="left"/>
      <w:lvlText w:val="•"/>
      <w:numFmt w:val="bullet"/>
      <w:start w:val="1"/>
    </w:lvl>
  </w:abstractNum>
  <w:abstractNum w:abstractNumId="287">
    <w:nsid w:val="38BF53E5"/>
    <w:multiLevelType w:val="hybridMultilevel"/>
    <w:lvl w:ilvl="0">
      <w:lvlJc w:val="left"/>
      <w:lvlText w:val="(%1)"/>
      <w:numFmt w:val="lowerRoman"/>
      <w:start w:val="1"/>
    </w:lvl>
  </w:abstractNum>
  <w:abstractNum w:abstractNumId="288">
    <w:nsid w:val="226F5320"/>
    <w:multiLevelType w:val="hybridMultilevel"/>
    <w:lvl w:ilvl="0">
      <w:lvlJc w:val="left"/>
      <w:lvlText w:val="(%1)"/>
      <w:numFmt w:val="lowerRoman"/>
      <w:start w:val="7"/>
    </w:lvl>
  </w:abstractNum>
  <w:abstractNum w:abstractNumId="289">
    <w:nsid w:val="5A0201C7"/>
    <w:multiLevelType w:val="hybridMultilevel"/>
    <w:lvl w:ilvl="0">
      <w:lvlJc w:val="left"/>
      <w:lvlText w:val="(%1)"/>
      <w:numFmt w:val="lowerRoman"/>
      <w:start w:val="12"/>
    </w:lvl>
  </w:abstractNum>
  <w:abstractNum w:abstractNumId="290">
    <w:nsid w:val="2A9C34E2"/>
    <w:multiLevelType w:val="hybridMultilevel"/>
    <w:lvl w:ilvl="0">
      <w:lvlJc w:val="left"/>
      <w:lvlText w:val="%1."/>
      <w:numFmt w:val="upperLetter"/>
      <w:start w:val="1"/>
    </w:lvl>
  </w:abstractNum>
  <w:abstractNum w:abstractNumId="291">
    <w:nsid w:val="1B7585AB"/>
    <w:multiLevelType w:val="hybridMultilevel"/>
    <w:lvl w:ilvl="0">
      <w:lvlJc w:val="left"/>
      <w:lvlText w:val="(%1)"/>
      <w:numFmt w:val="lowerRoman"/>
      <w:start w:val="2"/>
    </w:lvl>
  </w:abstractNum>
  <w:abstractNum w:abstractNumId="292">
    <w:nsid w:val="612DBDDD"/>
    <w:multiLevelType w:val="hybridMultilevel"/>
    <w:lvl w:ilvl="0">
      <w:lvlJc w:val="left"/>
      <w:lvlText w:val="(%1)"/>
      <w:numFmt w:val="lowerLetter"/>
      <w:start w:val="23"/>
    </w:lvl>
  </w:abstractNum>
  <w:abstractNum w:abstractNumId="293">
    <w:nsid w:val="2109CDA4"/>
    <w:multiLevelType w:val="hybridMultilevel"/>
    <w:lvl w:ilvl="0">
      <w:lvlJc w:val="left"/>
      <w:lvlText w:val="(%1)"/>
      <w:numFmt w:val="lowerLetter"/>
      <w:start w:val="1"/>
    </w:lvl>
  </w:abstractNum>
  <w:abstractNum w:abstractNumId="294">
    <w:nsid w:val="577F5A4D"/>
    <w:multiLevelType w:val="hybridMultilevel"/>
    <w:lvl w:ilvl="0">
      <w:lvlJc w:val="left"/>
      <w:lvlText w:val="%1"/>
      <w:numFmt w:val="lowerLetter"/>
      <w:start w:val="1"/>
    </w:lvl>
    <w:lvl w:ilvl="1">
      <w:lvlJc w:val="left"/>
      <w:lvlText w:val="(%2)"/>
      <w:numFmt w:val="lowerLetter"/>
      <w:start w:val="2"/>
    </w:lvl>
  </w:abstractNum>
  <w:abstractNum w:abstractNumId="295">
    <w:nsid w:val="2121A81"/>
    <w:multiLevelType w:val="hybridMultilevel"/>
    <w:lvl w:ilvl="0">
      <w:lvlJc w:val="left"/>
      <w:lvlText w:val="(%1)"/>
      <w:numFmt w:val="lowerLetter"/>
      <w:start w:val="9"/>
    </w:lvl>
    <w:lvl w:ilvl="1">
      <w:lvlJc w:val="left"/>
      <w:lvlText w:val="%2"/>
      <w:numFmt w:val="lowerLetter"/>
      <w:start w:val="1"/>
    </w:lvl>
  </w:abstractNum>
  <w:abstractNum w:abstractNumId="296">
    <w:nsid w:val="6C2CFC88"/>
    <w:multiLevelType w:val="hybridMultilevel"/>
    <w:lvl w:ilvl="0">
      <w:lvlJc w:val="left"/>
      <w:lvlText w:val="(%1)"/>
      <w:numFmt w:val="lowerRoman"/>
      <w:start w:val="2"/>
    </w:lvl>
  </w:abstractNum>
  <w:abstractNum w:abstractNumId="297">
    <w:nsid w:val="6D1BCF1C"/>
    <w:multiLevelType w:val="hybridMultilevel"/>
    <w:lvl w:ilvl="0">
      <w:lvlJc w:val="left"/>
      <w:lvlText w:val="(%1)"/>
      <w:numFmt w:val="lowerLetter"/>
      <w:start w:val="3"/>
    </w:lvl>
  </w:abstractNum>
  <w:abstractNum w:abstractNumId="298">
    <w:nsid w:val="4CE5CA53"/>
    <w:multiLevelType w:val="hybridMultilevel"/>
    <w:lvl w:ilvl="0">
      <w:lvlJc w:val="left"/>
      <w:lvlText w:val="(%1)"/>
      <w:numFmt w:val="lowerLetter"/>
      <w:start w:val="5"/>
    </w:lvl>
  </w:abstractNum>
  <w:abstractNum w:abstractNumId="299">
    <w:nsid w:val="29262D1A"/>
    <w:multiLevelType w:val="hybridMultilevel"/>
    <w:lvl w:ilvl="0">
      <w:lvlJc w:val="left"/>
      <w:lvlText w:val="(%1)"/>
      <w:numFmt w:val="lowerLetter"/>
      <w:start w:val="1"/>
    </w:lvl>
  </w:abstractNum>
  <w:abstractNum w:abstractNumId="300">
    <w:nsid w:val="557FB7EE"/>
    <w:multiLevelType w:val="hybridMultilevel"/>
    <w:lvl w:ilvl="0">
      <w:lvlJc w:val="left"/>
      <w:lvlText w:val="%1"/>
      <w:numFmt w:val="lowerLetter"/>
      <w:start w:val="1"/>
    </w:lvl>
    <w:lvl w:ilvl="1">
      <w:lvlJc w:val="left"/>
      <w:lvlText w:val="(%2)"/>
      <w:numFmt w:val="lowerLetter"/>
      <w:start w:val="2"/>
    </w:lvl>
  </w:abstractNum>
  <w:abstractNum w:abstractNumId="301">
    <w:nsid w:val="436F2BEB"/>
    <w:multiLevelType w:val="hybridMultilevel"/>
    <w:lvl w:ilvl="0">
      <w:lvlJc w:val="left"/>
      <w:lvlText w:val="(%1)"/>
      <w:numFmt w:val="lowerLetter"/>
      <w:start w:val="9"/>
    </w:lvl>
    <w:lvl w:ilvl="1">
      <w:lvlJc w:val="left"/>
      <w:lvlText w:val="%2"/>
      <w:numFmt w:val="lowerLetter"/>
      <w:start w:val="1"/>
    </w:lvl>
  </w:abstractNum>
  <w:abstractNum w:abstractNumId="302">
    <w:nsid w:val="6C8B4466"/>
    <w:multiLevelType w:val="hybridMultilevel"/>
    <w:lvl w:ilvl="0">
      <w:lvlJc w:val="left"/>
      <w:lvlText w:val="(%1)"/>
      <w:numFmt w:val="lowerRoman"/>
      <w:start w:val="2"/>
    </w:lvl>
  </w:abstractNum>
  <w:abstractNum w:abstractNumId="303">
    <w:nsid w:val="2006E424"/>
    <w:multiLevelType w:val="hybridMultilevel"/>
    <w:lvl w:ilvl="0">
      <w:lvlJc w:val="left"/>
      <w:lvlText w:val="(%1)"/>
      <w:numFmt w:val="lowerLetter"/>
      <w:start w:val="1"/>
    </w:lvl>
  </w:abstractNum>
  <w:abstractNum w:abstractNumId="304">
    <w:nsid w:val="20CC134C"/>
    <w:multiLevelType w:val="hybridMultilevel"/>
    <w:lvl w:ilvl="0">
      <w:lvlJc w:val="left"/>
      <w:lvlText w:val="(%1)"/>
      <w:numFmt w:val="lowerRoman"/>
      <w:start w:val="4"/>
    </w:lvl>
    <w:lvl w:ilvl="1">
      <w:lvlJc w:val="left"/>
      <w:lvlText w:val="(%2)"/>
      <w:numFmt w:val="lowerLetter"/>
      <w:start w:val="4"/>
    </w:lvl>
  </w:abstractNum>
  <w:abstractNum w:abstractNumId="305">
    <w:nsid w:val="95FC93B"/>
    <w:multiLevelType w:val="hybridMultilevel"/>
    <w:lvl w:ilvl="0">
      <w:lvlJc w:val="left"/>
      <w:lvlText w:val="(%1)"/>
      <w:numFmt w:val="lowerLetter"/>
      <w:start w:val="7"/>
    </w:lvl>
  </w:abstractNum>
  <w:abstractNum w:abstractNumId="306">
    <w:nsid w:val="41D74679"/>
    <w:multiLevelType w:val="hybridMultilevel"/>
    <w:lvl w:ilvl="0">
      <w:lvlJc w:val="left"/>
      <w:lvlText w:val="(%1)"/>
      <w:numFmt w:val="lowerLetter"/>
      <w:start w:val="11"/>
    </w:lvl>
  </w:abstractNum>
  <w:abstractNum w:abstractNumId="307">
    <w:nsid w:val="71E5621E"/>
    <w:multiLevelType w:val="hybridMultilevel"/>
    <w:lvl w:ilvl="0">
      <w:lvlJc w:val="left"/>
      <w:lvlText w:val="(%1)"/>
      <w:numFmt w:val="lowerLetter"/>
      <w:start w:val="16"/>
    </w:lvl>
  </w:abstractNum>
  <w:abstractNum w:abstractNumId="308">
    <w:nsid w:val="4E42B6A8"/>
    <w:multiLevelType w:val="hybridMultilevel"/>
    <w:lvl w:ilvl="0">
      <w:lvlJc w:val="left"/>
      <w:lvlText w:val="(%1)"/>
      <w:numFmt w:val="lowerLetter"/>
      <w:start w:val="18"/>
    </w:lvl>
  </w:abstractNum>
  <w:abstractNum w:abstractNumId="309">
    <w:nsid w:val="43F8E1AC"/>
    <w:multiLevelType w:val="hybridMultilevel"/>
    <w:lvl w:ilvl="0">
      <w:lvlJc w:val="left"/>
      <w:lvlText w:val="(%1)"/>
      <w:numFmt w:val="lowerLetter"/>
      <w:start w:val="1"/>
    </w:lvl>
  </w:abstractNum>
  <w:abstractNum w:abstractNumId="310">
    <w:nsid w:val="69215DFB"/>
    <w:multiLevelType w:val="hybridMultilevel"/>
    <w:lvl w:ilvl="0">
      <w:lvlJc w:val="left"/>
      <w:lvlText w:val="(%1)"/>
      <w:numFmt w:val="lowerLetter"/>
      <w:start w:val="2"/>
    </w:lvl>
  </w:abstractNum>
  <w:abstractNum w:abstractNumId="311">
    <w:nsid w:val="7ABF196A"/>
    <w:multiLevelType w:val="hybridMultilevel"/>
    <w:lvl w:ilvl="0">
      <w:lvlJc w:val="left"/>
      <w:lvlText w:val="(%1)"/>
      <w:numFmt w:val="lowerLetter"/>
      <w:start w:val="3"/>
    </w:lvl>
  </w:abstractNum>
  <w:abstractNum w:abstractNumId="312">
    <w:nsid w:val="5E4DB968"/>
    <w:multiLevelType w:val="hybridMultilevel"/>
    <w:lvl w:ilvl="0">
      <w:lvlJc w:val="left"/>
      <w:lvlText w:val="(%1)"/>
      <w:numFmt w:val="lowerLetter"/>
      <w:start w:val="5"/>
    </w:lvl>
  </w:abstractNum>
  <w:abstractNum w:abstractNumId="313">
    <w:nsid w:val="2C06DCF3"/>
    <w:multiLevelType w:val="hybridMultilevel"/>
    <w:lvl w:ilvl="0">
      <w:lvlJc w:val="left"/>
      <w:lvlText w:val="%1"/>
      <w:numFmt w:val="upperLetter"/>
      <w:start w:val="1"/>
    </w:lvl>
    <w:lvl w:ilvl="1">
      <w:lvlJc w:val="left"/>
      <w:lvlText w:val="(%2)"/>
      <w:numFmt w:val="lowerLetter"/>
      <w:start w:val="1"/>
    </w:lvl>
  </w:abstractNum>
  <w:abstractNum w:abstractNumId="314">
    <w:nsid w:val="2E129658"/>
    <w:multiLevelType w:val="hybridMultilevel"/>
    <w:lvl w:ilvl="0">
      <w:lvlJc w:val="left"/>
      <w:lvlText w:val="(%1)"/>
      <w:numFmt w:val="upperLetter"/>
      <w:start w:val="3"/>
    </w:lvl>
    <w:lvl w:ilvl="1">
      <w:lvlJc w:val="left"/>
      <w:lvlText w:val="(%2)"/>
      <w:numFmt w:val="lowerLetter"/>
      <w:start w:val="2"/>
    </w:lvl>
  </w:abstractNum>
  <w:abstractNum w:abstractNumId="315">
    <w:nsid w:val="59F0446"/>
    <w:multiLevelType w:val="hybridMultilevel"/>
    <w:lvl w:ilvl="0">
      <w:lvlJc w:val="left"/>
      <w:lvlText w:val="%1"/>
      <w:numFmt w:val="lowerLetter"/>
      <w:start w:val="1"/>
    </w:lvl>
    <w:lvl w:ilvl="1">
      <w:lvlJc w:val="left"/>
      <w:lvlText w:val="(%2)"/>
      <w:numFmt w:val="lowerLetter"/>
      <w:start w:val="1"/>
    </w:lvl>
  </w:abstractNum>
  <w:abstractNum w:abstractNumId="316">
    <w:nsid w:val="30DF306"/>
    <w:multiLevelType w:val="hybridMultilevel"/>
    <w:lvl w:ilvl="0">
      <w:lvlJc w:val="left"/>
      <w:lvlText w:val="(%1)"/>
      <w:numFmt w:val="lowerLetter"/>
      <w:start w:val="9"/>
    </w:lvl>
    <w:lvl w:ilvl="1">
      <w:lvlJc w:val="left"/>
      <w:lvlText w:val="(%2)"/>
      <w:numFmt w:val="lowerLetter"/>
      <w:start w:val="2"/>
    </w:lvl>
  </w:abstractNum>
  <w:abstractNum w:abstractNumId="317">
    <w:nsid w:val="A65647"/>
    <w:multiLevelType w:val="hybridMultilevel"/>
    <w:lvl w:ilvl="0">
      <w:lvlJc w:val="left"/>
      <w:lvlText w:val="(%1)"/>
      <w:numFmt w:val="lowerLetter"/>
      <w:start w:val="35"/>
    </w:lvl>
    <w:lvl w:ilvl="1">
      <w:lvlJc w:val="left"/>
      <w:lvlText w:val="%2"/>
      <w:numFmt w:val="lowerLetter"/>
      <w:start w:val="1"/>
    </w:lvl>
  </w:abstractNum>
  <w:abstractNum w:abstractNumId="318">
    <w:nsid w:val="3E5E582B"/>
    <w:multiLevelType w:val="hybridMultilevel"/>
    <w:lvl w:ilvl="0">
      <w:lvlJc w:val="left"/>
      <w:lvlText w:val="(%1)"/>
      <w:numFmt w:val="lowerLetter"/>
      <w:start w:val="1"/>
    </w:lvl>
  </w:abstractNum>
  <w:abstractNum w:abstractNumId="319">
    <w:nsid w:val="257D4626"/>
    <w:multiLevelType w:val="hybridMultilevel"/>
    <w:lvl w:ilvl="0">
      <w:lvlJc w:val="left"/>
      <w:lvlText w:val="(%1)"/>
      <w:numFmt w:val="lowerLetter"/>
      <w:start w:val="2"/>
    </w:lvl>
  </w:abstractNum>
  <w:abstractNum w:abstractNumId="320">
    <w:nsid w:val="5AA8580E"/>
    <w:multiLevelType w:val="hybridMultilevel"/>
    <w:lvl w:ilvl="0">
      <w:lvlJc w:val="left"/>
      <w:lvlText w:val="(%1)"/>
      <w:numFmt w:val="lowerLetter"/>
      <w:start w:val="3"/>
    </w:lvl>
  </w:abstractNum>
  <w:abstractNum w:abstractNumId="321">
    <w:nsid w:val="68FA8D0D"/>
    <w:multiLevelType w:val="hybridMultilevel"/>
    <w:lvl w:ilvl="0">
      <w:lvlJc w:val="left"/>
      <w:lvlText w:val="(%1)"/>
      <w:numFmt w:val="lowerLetter"/>
      <w:start w:val="6"/>
    </w:lvl>
  </w:abstractNum>
  <w:abstractNum w:abstractNumId="322">
    <w:nsid w:val="40F2CBD2"/>
    <w:multiLevelType w:val="hybridMultilevel"/>
    <w:lvl w:ilvl="0">
      <w:lvlJc w:val="left"/>
      <w:lvlText w:val="(%1)"/>
      <w:numFmt w:val="lowerLetter"/>
      <w:start w:val="13"/>
    </w:lvl>
  </w:abstractNum>
  <w:abstractNum w:abstractNumId="323">
    <w:nsid w:val="3BD615EB"/>
    <w:multiLevelType w:val="hybridMultilevel"/>
    <w:lvl w:ilvl="0">
      <w:lvlJc w:val="left"/>
      <w:lvlText w:val="(%1)"/>
      <w:numFmt w:val="decimal"/>
      <w:start w:val="3"/>
    </w:lvl>
  </w:abstractNum>
  <w:abstractNum w:abstractNumId="324">
    <w:nsid w:val="A045AB2"/>
    <w:multiLevelType w:val="hybridMultilevel"/>
    <w:lvl w:ilvl="0">
      <w:lvlJc w:val="left"/>
      <w:lvlText w:val="%1."/>
      <w:numFmt w:val="decimal"/>
      <w:start w:val="1"/>
    </w:lvl>
  </w:abstractNum>
  <w:abstractNum w:abstractNumId="325">
    <w:nsid w:val="1872261F"/>
    <w:multiLevelType w:val="hybridMultilevel"/>
    <w:lvl w:ilvl="0">
      <w:lvlJc w:val="left"/>
      <w:lvlText w:val="(%1)"/>
      <w:numFmt w:val="lowerLetter"/>
      <w:start w:val="1"/>
    </w:lvl>
  </w:abstractNum>
  <w:abstractNum w:abstractNumId="326">
    <w:nsid w:val="3DE8306C"/>
    <w:multiLevelType w:val="hybridMultilevel"/>
    <w:lvl w:ilvl="0">
      <w:lvlJc w:val="left"/>
      <w:lvlText w:val="(%1)"/>
      <w:numFmt w:val="upperLetter"/>
      <w:start w:val="3"/>
    </w:lvl>
    <w:lvl w:ilvl="1">
      <w:lvlJc w:val="left"/>
      <w:lvlText w:val="(%2)"/>
      <w:numFmt w:val="lowerRoman"/>
      <w:start w:val="1"/>
    </w:lvl>
    <w:lvl w:ilvl="2">
      <w:lvlJc w:val="left"/>
      <w:lvlText w:val="(%3)"/>
      <w:numFmt w:val="lowerRoman"/>
      <w:start w:val="1"/>
    </w:lvl>
  </w:abstractNum>
  <w:abstractNum w:abstractNumId="327">
    <w:nsid w:val="7631573A"/>
    <w:multiLevelType w:val="hybridMultilevel"/>
    <w:lvl w:ilvl="0">
      <w:lvlJc w:val="left"/>
      <w:lvlText w:val="%1"/>
      <w:numFmt w:val="lowerLetter"/>
      <w:start w:val="1"/>
    </w:lvl>
    <w:lvl w:ilvl="1">
      <w:lvlJc w:val="left"/>
      <w:lvlText w:val="(%2)"/>
      <w:numFmt w:val="lowerLetter"/>
      <w:start w:val="61"/>
    </w:lvl>
  </w:abstractNum>
  <w:abstractNum w:abstractNumId="328">
    <w:nsid w:val="58DF53B"/>
    <w:multiLevelType w:val="hybridMultilevel"/>
    <w:lvl w:ilvl="0">
      <w:lvlJc w:val="left"/>
      <w:lvlText w:val="(%1)"/>
      <w:numFmt w:val="lowerLetter"/>
      <w:start w:val="10"/>
    </w:lvl>
    <w:lvl w:ilvl="1">
      <w:lvlJc w:val="left"/>
      <w:lvlText w:val="%2"/>
      <w:numFmt w:val="lowerLetter"/>
      <w:start w:val="1"/>
    </w:lvl>
  </w:abstractNum>
  <w:abstractNum w:abstractNumId="329">
    <w:nsid w:val="ACDFAC0"/>
    <w:multiLevelType w:val="hybridMultilevel"/>
    <w:lvl w:ilvl="0">
      <w:lvlJc w:val="left"/>
      <w:lvlText w:val="(%1)"/>
      <w:numFmt w:val="lowerLetter"/>
      <w:start w:val="19"/>
    </w:lvl>
  </w:abstractNum>
  <w:abstractNum w:abstractNumId="330">
    <w:nsid w:val="1F578454"/>
    <w:multiLevelType w:val="hybridMultilevel"/>
    <w:lvl w:ilvl="0">
      <w:lvlJc w:val="left"/>
      <w:lvlText w:val="(%1)"/>
      <w:numFmt w:val="lowerLetter"/>
      <w:start w:val="20"/>
    </w:lvl>
  </w:abstractNum>
  <w:abstractNum w:abstractNumId="331">
    <w:nsid w:val="5B0DAD2A"/>
    <w:multiLevelType w:val="hybridMultilevel"/>
    <w:lvl w:ilvl="0">
      <w:lvlJc w:val="left"/>
      <w:lvlText w:val="%1"/>
      <w:numFmt w:val="lowerRoman"/>
      <w:start w:val="1"/>
    </w:lvl>
    <w:lvl w:ilvl="1">
      <w:lvlJc w:val="left"/>
      <w:lvlText w:val="(%2)"/>
      <w:numFmt w:val="lowerLetter"/>
      <w:start w:val="28"/>
    </w:lvl>
  </w:abstractNum>
  <w:abstractNum w:abstractNumId="332">
    <w:nsid w:val="4E3D26AB"/>
    <w:multiLevelType w:val="hybridMultilevel"/>
    <w:lvl w:ilvl="0">
      <w:lvlJc w:val="left"/>
      <w:lvlText w:val="(%1)"/>
      <w:numFmt w:val="lowerRoman"/>
      <w:start w:val="12"/>
    </w:lvl>
    <w:lvl w:ilvl="1">
      <w:lvlJc w:val="left"/>
      <w:lvlText w:val="(%2)"/>
      <w:numFmt w:val="lowerLetter"/>
      <w:start w:val="34"/>
    </w:lvl>
  </w:abstractNum>
  <w:abstractNum w:abstractNumId="333">
    <w:nsid w:val="BE2C8BA"/>
    <w:multiLevelType w:val="hybridMultilevel"/>
    <w:lvl w:ilvl="0">
      <w:lvlJc w:val="left"/>
      <w:lvlText w:val="(%1)"/>
      <w:numFmt w:val="lowerLetter"/>
      <w:start w:val="36"/>
    </w:lvl>
    <w:lvl w:ilvl="1">
      <w:lvlJc w:val="left"/>
      <w:lvlText w:val="(%2)"/>
      <w:numFmt w:val="lowerLetter"/>
      <w:start w:val="9"/>
    </w:lvl>
  </w:abstractNum>
  <w:abstractNum w:abstractNumId="334">
    <w:nsid w:val="7B14914E"/>
    <w:multiLevelType w:val="hybridMultilevel"/>
    <w:lvl w:ilvl="0">
      <w:lvlJc w:val="left"/>
      <w:lvlText w:val="%1"/>
      <w:numFmt w:val="lowerLetter"/>
      <w:start w:val="1"/>
    </w:lvl>
    <w:lvl w:ilvl="1">
      <w:lvlJc w:val="left"/>
      <w:lvlText w:val="(%2)"/>
      <w:numFmt w:val="lowerLetter"/>
      <w:start w:val="35"/>
    </w:lvl>
  </w:abstractNum>
  <w:abstractNum w:abstractNumId="335">
    <w:nsid w:val="6F0939F8"/>
    <w:multiLevelType w:val="hybridMultilevel"/>
    <w:lvl w:ilvl="0">
      <w:lvlJc w:val="left"/>
      <w:lvlText w:val="(%1)"/>
      <w:numFmt w:val="lowerLetter"/>
      <w:start w:val="47"/>
    </w:lvl>
    <w:lvl w:ilvl="1">
      <w:lvlJc w:val="left"/>
      <w:lvlText w:val="%2"/>
      <w:numFmt w:val="lowerLetter"/>
      <w:start w:val="1"/>
    </w:lvl>
  </w:abstractNum>
  <w:abstractNum w:abstractNumId="336">
    <w:nsid w:val="154291F6"/>
    <w:multiLevelType w:val="hybridMultilevel"/>
    <w:lvl w:ilvl="0">
      <w:lvlJc w:val="left"/>
      <w:lvlText w:val="%1."/>
      <w:numFmt w:val="decimal"/>
      <w:start w:val="3"/>
    </w:lvl>
  </w:abstractNum>
  <w:abstractNum w:abstractNumId="337">
    <w:nsid w:val="3CEBD7C7"/>
    <w:multiLevelType w:val="hybridMultilevel"/>
    <w:lvl w:ilvl="0">
      <w:lvlJc w:val="left"/>
      <w:lvlText w:val="(%1)"/>
      <w:numFmt w:val="lowerLetter"/>
      <w:start w:val="1"/>
    </w:lvl>
  </w:abstractNum>
  <w:abstractNum w:abstractNumId="338">
    <w:nsid w:val="60EE9C16"/>
    <w:multiLevelType w:val="hybridMultilevel"/>
    <w:lvl w:ilvl="0">
      <w:lvlJc w:val="left"/>
      <w:lvlText w:val="(%1)"/>
      <w:numFmt w:val="lowerLetter"/>
      <w:start w:val="3"/>
    </w:lvl>
  </w:abstractNum>
  <w:abstractNum w:abstractNumId="339">
    <w:nsid w:val="6385489E"/>
    <w:multiLevelType w:val="hybridMultilevel"/>
    <w:lvl w:ilvl="0">
      <w:lvlJc w:val="left"/>
      <w:lvlText w:val="(%1)"/>
      <w:numFmt w:val="lowerLetter"/>
      <w:start w:val="6"/>
    </w:lvl>
  </w:abstractNum>
  <w:abstractNum w:abstractNumId="340">
    <w:nsid w:val="E4B973"/>
    <w:multiLevelType w:val="hybridMultilevel"/>
    <w:lvl w:ilvl="0">
      <w:lvlJc w:val="left"/>
      <w:lvlText w:val="(%1)"/>
      <w:numFmt w:val="lowerLetter"/>
      <w:start w:val="1"/>
    </w:lvl>
  </w:abstractNum>
  <w:abstractNum w:abstractNumId="341">
    <w:nsid w:val="4A0FFA11"/>
    <w:multiLevelType w:val="hybridMultilevel"/>
    <w:lvl w:ilvl="0">
      <w:lvlJc w:val="left"/>
      <w:lvlText w:val="%1"/>
      <w:numFmt w:val="lowerLetter"/>
      <w:start w:val="1"/>
    </w:lvl>
    <w:lvl w:ilvl="1">
      <w:lvlJc w:val="left"/>
      <w:lvlText w:val="(%2)"/>
      <w:numFmt w:val="lowerLetter"/>
      <w:start w:val="3"/>
    </w:lvl>
  </w:abstractNum>
  <w:abstractNum w:abstractNumId="342">
    <w:nsid w:val="5E446208"/>
    <w:multiLevelType w:val="hybridMultilevel"/>
    <w:lvl w:ilvl="0">
      <w:lvlJc w:val="left"/>
      <w:lvlText w:val="(%1)"/>
      <w:numFmt w:val="lowerLetter"/>
      <w:start w:val="35"/>
    </w:lvl>
    <w:lvl w:ilvl="1">
      <w:lvlJc w:val="left"/>
      <w:lvlText w:val="(%2)"/>
      <w:numFmt w:val="lowerLetter"/>
      <w:start w:val="4"/>
    </w:lvl>
  </w:abstractNum>
  <w:abstractNum w:abstractNumId="343">
    <w:nsid w:val="5F3272DB"/>
    <w:multiLevelType w:val="hybridMultilevel"/>
    <w:lvl w:ilvl="0">
      <w:lvlJc w:val="left"/>
      <w:lvlText w:val="%1."/>
      <w:numFmt w:val="decimal"/>
      <w:start w:val="6"/>
    </w:lvl>
  </w:abstractNum>
  <w:abstractNum w:abstractNumId="344">
    <w:nsid w:val="7616D704"/>
    <w:multiLevelType w:val="hybridMultilevel"/>
    <w:lvl w:ilvl="0">
      <w:lvlJc w:val="left"/>
      <w:lvlText w:val="(%1)"/>
      <w:numFmt w:val="lowerLetter"/>
      <w:start w:val="1"/>
    </w:lvl>
  </w:abstractNum>
  <w:abstractNum w:abstractNumId="345">
    <w:nsid w:val="C56F860"/>
    <w:multiLevelType w:val="hybridMultilevel"/>
    <w:lvl w:ilvl="0">
      <w:lvlJc w:val="left"/>
      <w:lvlText w:val="(%1)"/>
      <w:numFmt w:val="lowerLetter"/>
      <w:start w:val="2"/>
    </w:lvl>
    <w:lvl w:ilvl="1">
      <w:lvlJc w:val="left"/>
      <w:lvlText w:val="(%2)"/>
      <w:numFmt w:val="lowerRoman"/>
      <w:start w:val="1"/>
    </w:lvl>
  </w:abstractNum>
  <w:abstractNum w:abstractNumId="346">
    <w:nsid w:val="64D17722"/>
    <w:multiLevelType w:val="hybridMultilevel"/>
    <w:lvl w:ilvl="0">
      <w:lvlJc w:val="left"/>
      <w:lvlText w:val="(%1)"/>
      <w:numFmt w:val="lowerLetter"/>
      <w:start w:val="4"/>
    </w:lvl>
  </w:abstractNum>
  <w:abstractNum w:abstractNumId="347">
    <w:nsid w:val="7924CA0A"/>
    <w:multiLevelType w:val="hybridMultilevel"/>
    <w:lvl w:ilvl="0">
      <w:lvlJc w:val="left"/>
      <w:lvlText w:val="%1"/>
      <w:numFmt w:val="decimal"/>
      <w:start w:val="1"/>
    </w:lvl>
    <w:lvl w:ilvl="1">
      <w:lvlJc w:val="left"/>
      <w:lvlText w:val="(%2)"/>
      <w:numFmt w:val="lowerLetter"/>
      <w:start w:val="5"/>
    </w:lvl>
  </w:abstractNum>
  <w:abstractNum w:abstractNumId="348">
    <w:nsid w:val="CFD4EA7"/>
    <w:multiLevelType w:val="hybridMultilevel"/>
    <w:lvl w:ilvl="0">
      <w:lvlJc w:val="left"/>
      <w:lvlText w:val="(%1)"/>
      <w:numFmt w:val="decimal"/>
      <w:start w:val="1"/>
    </w:lvl>
    <w:lvl w:ilvl="1">
      <w:lvlJc w:val="left"/>
      <w:lvlText w:val="(%2)"/>
      <w:numFmt w:val="lowerLetter"/>
      <w:start w:val="6"/>
    </w:lvl>
  </w:abstractNum>
  <w:abstractNum w:abstractNumId="349">
    <w:nsid w:val="232FCF4D"/>
    <w:multiLevelType w:val="hybridMultilevel"/>
    <w:lvl w:ilvl="0">
      <w:lvlJc w:val="left"/>
      <w:lvlText w:val="(%1)"/>
      <w:numFmt w:val="lowerLetter"/>
      <w:start w:val="1"/>
    </w:lvl>
    <w:lvl w:ilvl="1">
      <w:lvlJc w:val="left"/>
      <w:lvlText w:val="(%2)"/>
      <w:numFmt w:val="lowerRoman"/>
      <w:start w:val="1"/>
    </w:lvl>
  </w:abstractNum>
  <w:abstractNum w:abstractNumId="350">
    <w:nsid w:val="1EA21031"/>
    <w:multiLevelType w:val="hybridMultilevel"/>
    <w:lvl w:ilvl="0">
      <w:lvlJc w:val="left"/>
      <w:lvlText w:val="(%1)"/>
      <w:numFmt w:val="lowerLetter"/>
      <w:start w:val="1"/>
    </w:lvl>
  </w:abstractNum>
  <w:abstractNum w:abstractNumId="351">
    <w:nsid w:val="67A5A6B5"/>
    <w:multiLevelType w:val="hybridMultilevel"/>
    <w:lvl w:ilvl="0">
      <w:lvlJc w:val="left"/>
      <w:lvlText w:val="(%1)"/>
      <w:numFmt w:val="lowerLetter"/>
      <w:start w:val="2"/>
    </w:lvl>
    <w:lvl w:ilvl="1">
      <w:lvlJc w:val="left"/>
      <w:lvlText w:val="(%2)"/>
      <w:numFmt w:val="lowerLetter"/>
      <w:start w:val="9"/>
    </w:lvl>
  </w:abstractNum>
  <w:abstractNum w:abstractNumId="352">
    <w:nsid w:val="C2A5C5B"/>
    <w:multiLevelType w:val="hybridMultilevel"/>
    <w:lvl w:ilvl="0">
      <w:lvlJc w:val="left"/>
      <w:lvlText w:val="%1"/>
      <w:numFmt w:val="decimal"/>
      <w:start w:val="1"/>
    </w:lvl>
    <w:lvl w:ilvl="1">
      <w:lvlJc w:val="left"/>
      <w:lvlText w:val="(%2)"/>
      <w:numFmt w:val="lowerRoman"/>
      <w:start w:val="2"/>
    </w:lvl>
  </w:abstractNum>
  <w:abstractNum w:abstractNumId="353">
    <w:nsid w:val="5F94DC03"/>
    <w:multiLevelType w:val="hybridMultilevel"/>
    <w:lvl w:ilvl="0">
      <w:lvlJc w:val="left"/>
      <w:lvlText w:val="(%1)"/>
      <w:numFmt w:val="decimal"/>
      <w:start w:val="1"/>
    </w:lvl>
    <w:lvl w:ilvl="1">
      <w:lvlJc w:val="left"/>
      <w:lvlText w:val="%2"/>
      <w:numFmt w:val="lowerRoman"/>
      <w:start w:val="1"/>
    </w:lvl>
  </w:abstractNum>
  <w:abstractNum w:abstractNumId="354">
    <w:nsid w:val="237BBCA0"/>
    <w:multiLevelType w:val="hybridMultilevel"/>
    <w:lvl w:ilvl="0">
      <w:lvlJc w:val="left"/>
      <w:lvlText w:val="(%1)"/>
      <w:numFmt w:val="lowerLetter"/>
      <w:start w:val="5"/>
    </w:lvl>
  </w:abstractNum>
  <w:abstractNum w:abstractNumId="355">
    <w:nsid w:val="162EB70D"/>
    <w:multiLevelType w:val="hybridMultilevel"/>
    <w:lvl w:ilvl="0">
      <w:lvlJc w:val="left"/>
      <w:lvlText w:val="%1."/>
      <w:numFmt w:val="decimal"/>
      <w:start w:val="10"/>
    </w:lvl>
  </w:abstractNum>
  <w:abstractNum w:abstractNumId="356">
    <w:nsid w:val="7807022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57">
    <w:nsid w:val="6163ED0D"/>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abstractNum>
  <w:abstractNum w:abstractNumId="358">
    <w:nsid w:val="C600E47"/>
    <w:multiLevelType w:val="hybridMultilevel"/>
    <w:lvl w:ilvl="0">
      <w:lvlJc w:val="left"/>
      <w:lvlText w:val="%1"/>
      <w:numFmt w:val="lowerLetter"/>
      <w:start w:val="1"/>
    </w:lvl>
    <w:lvl w:ilvl="1">
      <w:lvlJc w:val="left"/>
      <w:lvlText w:val="(%2)"/>
      <w:numFmt w:val="lowerLetter"/>
      <w:start w:val="3"/>
    </w:lvl>
  </w:abstractNum>
  <w:abstractNum w:abstractNumId="359">
    <w:nsid w:val="7D94F75D"/>
    <w:multiLevelType w:val="hybridMultilevel"/>
    <w:lvl w:ilvl="0">
      <w:lvlJc w:val="left"/>
      <w:lvlText w:val="(%1)"/>
      <w:numFmt w:val="lowerLetter"/>
      <w:start w:val="9"/>
    </w:lvl>
    <w:lvl w:ilvl="1">
      <w:lvlJc w:val="left"/>
      <w:lvlText w:val="(%2)"/>
      <w:numFmt w:val="lowerLetter"/>
      <w:start w:val="4"/>
    </w:lvl>
  </w:abstractNum>
  <w:abstractNum w:abstractNumId="360">
    <w:nsid w:val="6C31E7CD"/>
    <w:multiLevelType w:val="hybridMultilevel"/>
    <w:lvl w:ilvl="0">
      <w:lvlJc w:val="left"/>
      <w:lvlText w:val="(%1)"/>
      <w:numFmt w:val="lowerLetter"/>
      <w:start w:val="1"/>
    </w:lvl>
  </w:abstractNum>
  <w:abstractNum w:abstractNumId="361">
    <w:nsid w:val="2BB7929B"/>
    <w:multiLevelType w:val="hybridMultilevel"/>
    <w:lvl w:ilvl="0">
      <w:lvlJc w:val="left"/>
      <w:lvlText w:val="(%1)"/>
      <w:numFmt w:val="lowerLetter"/>
      <w:start w:val="1"/>
    </w:lvl>
  </w:abstractNum>
  <w:abstractNum w:abstractNumId="362">
    <w:nsid w:val="58A2A487"/>
    <w:multiLevelType w:val="hybridMultilevel"/>
    <w:lvl w:ilvl="0">
      <w:lvlJc w:val="left"/>
      <w:lvlText w:val="(%1)"/>
      <w:numFmt w:val="lowerLetter"/>
      <w:start w:val="2"/>
    </w:lvl>
    <w:lvl w:ilvl="1">
      <w:lvlJc w:val="left"/>
      <w:lvlText w:val="(%2)"/>
      <w:numFmt w:val="lowerRoman"/>
      <w:start w:val="1"/>
    </w:lvl>
  </w:abstractNum>
  <w:abstractNum w:abstractNumId="363">
    <w:nsid w:val="3A6F0E78"/>
    <w:multiLevelType w:val="hybridMultilevel"/>
    <w:lvl w:ilvl="0">
      <w:lvlJc w:val="left"/>
      <w:lvlText w:val="(%1)"/>
      <w:numFmt w:val="lowerLetter"/>
      <w:start w:val="3"/>
    </w:lvl>
    <w:lvl w:ilvl="1">
      <w:lvlJc w:val="left"/>
      <w:lvlText w:val="(%2)"/>
      <w:numFmt w:val="lowerRoman"/>
      <w:start w:val="1"/>
    </w:lvl>
  </w:abstractNum>
  <w:abstractNum w:abstractNumId="364">
    <w:nsid w:val="379A5B56"/>
    <w:multiLevelType w:val="hybridMultilevel"/>
    <w:lvl w:ilvl="0">
      <w:lvlJc w:val="left"/>
      <w:lvlText w:val="%1"/>
      <w:numFmt w:val="lowerLetter"/>
      <w:start w:val="1"/>
    </w:lvl>
    <w:lvl w:ilvl="1">
      <w:lvlJc w:val="left"/>
      <w:lvlText w:val="(%2)"/>
      <w:numFmt w:val="lowerLetter"/>
      <w:start w:val="61"/>
    </w:lvl>
  </w:abstractNum>
  <w:abstractNum w:abstractNumId="365">
    <w:nsid w:val="53B735D5"/>
    <w:multiLevelType w:val="hybridMultilevel"/>
    <w:lvl w:ilvl="0">
      <w:lvlJc w:val="left"/>
      <w:lvlText w:val="(%1)"/>
      <w:numFmt w:val="lowerLetter"/>
      <w:start w:val="5"/>
    </w:lvl>
    <w:lvl w:ilvl="1">
      <w:lvlJc w:val="left"/>
      <w:lvlText w:val="%2"/>
      <w:numFmt w:val="lowerLetter"/>
      <w:start w:val="1"/>
    </w:lvl>
  </w:abstractNum>
  <w:abstractNum w:abstractNumId="366">
    <w:nsid w:val="29784870"/>
    <w:multiLevelType w:val="hybridMultilevel"/>
    <w:lvl w:ilvl="0">
      <w:lvlJc w:val="left"/>
      <w:lvlText w:val="(%1)"/>
      <w:numFmt w:val="lowerLetter"/>
      <w:start w:val="8"/>
    </w:lvl>
    <w:lvl w:ilvl="1">
      <w:lvlJc w:val="left"/>
      <w:lvlText w:val="(%2)"/>
      <w:numFmt w:val="lowerLetter"/>
      <w:start w:val="9"/>
    </w:lvl>
  </w:abstractNum>
  <w:abstractNum w:abstractNumId="367">
    <w:nsid w:val="4CDCED4C"/>
    <w:multiLevelType w:val="hybridMultilevel"/>
    <w:lvl w:ilvl="0">
      <w:lvlJc w:val="left"/>
      <w:lvlText w:val="(%1)"/>
      <w:numFmt w:val="lowerRoman"/>
      <w:start w:val="2"/>
    </w:lvl>
  </w:abstractNum>
  <w:abstractNum w:abstractNumId="368">
    <w:nsid w:val="10A30D9C"/>
    <w:multiLevelType w:val="hybridMultilevel"/>
    <w:lvl w:ilvl="0">
      <w:lvlJc w:val="left"/>
      <w:lvlText w:val="(%1)"/>
      <w:numFmt w:val="lowerLetter"/>
      <w:start w:val="12"/>
    </w:lvl>
  </w:abstractNum>
  <w:abstractNum w:abstractNumId="369">
    <w:nsid w:val="A66E486"/>
    <w:multiLevelType w:val="hybridMultilevel"/>
    <w:lvl w:ilvl="0">
      <w:lvlJc w:val="left"/>
      <w:lvlText w:val="(%1)"/>
      <w:numFmt w:val="lowerLetter"/>
      <w:start w:val="17"/>
    </w:lvl>
    <w:lvl w:ilvl="1">
      <w:lvlJc w:val="left"/>
      <w:lvlText w:val="(%2)"/>
      <w:numFmt w:val="lowerLetter"/>
      <w:start w:val="9"/>
    </w:lvl>
  </w:abstractNum>
  <w:abstractNum w:abstractNumId="370">
    <w:nsid w:val="306235EA"/>
    <w:multiLevelType w:val="hybridMultilevel"/>
    <w:lvl w:ilvl="0">
      <w:lvlJc w:val="left"/>
      <w:lvlText w:val="(%1)"/>
      <w:numFmt w:val="lowerRoman"/>
      <w:start w:val="2"/>
    </w:lvl>
  </w:abstractNum>
  <w:abstractNum w:abstractNumId="371">
    <w:nsid w:val="1187C70F"/>
    <w:multiLevelType w:val="hybridMultilevel"/>
    <w:lvl w:ilvl="0">
      <w:lvlJc w:val="left"/>
      <w:lvlText w:val="%1"/>
      <w:numFmt w:val="lowerRoman"/>
      <w:start w:val="1"/>
    </w:lvl>
    <w:lvl w:ilvl="1">
      <w:lvlJc w:val="left"/>
      <w:lvlText w:val="(%2)"/>
      <w:numFmt w:val="lowerRoman"/>
      <w:start w:val="5"/>
    </w:lvl>
  </w:abstractNum>
  <w:abstractNum w:abstractNumId="372">
    <w:nsid w:val="5476DE98"/>
    <w:multiLevelType w:val="hybridMultilevel"/>
    <w:lvl w:ilvl="0">
      <w:lvlJc w:val="left"/>
      <w:lvlText w:val="(%1)"/>
      <w:numFmt w:val="lowerRoman"/>
      <w:start w:val="1"/>
    </w:lvl>
    <w:lvl w:ilvl="1">
      <w:lvlJc w:val="left"/>
      <w:lvlText w:val="%2"/>
      <w:numFmt w:val="lowerRoman"/>
      <w:start w:val="1"/>
    </w:lvl>
  </w:abstractNum>
  <w:abstractNum w:abstractNumId="373">
    <w:nsid w:val="EA697F2"/>
    <w:multiLevelType w:val="hybridMultilevel"/>
    <w:lvl w:ilvl="0">
      <w:lvlJc w:val="left"/>
      <w:lvlText w:val="(%1)"/>
      <w:numFmt w:val="lowerLetter"/>
      <w:start w:val="23"/>
    </w:lvl>
  </w:abstractNum>
  <w:abstractNum w:abstractNumId="374">
    <w:nsid w:val="70BA39EB"/>
    <w:multiLevelType w:val="hybridMultilevel"/>
    <w:lvl w:ilvl="0">
      <w:lvlJc w:val="left"/>
      <w:lvlText w:val="1"/>
      <w:numFmt w:val="bullet"/>
      <w:start w:val="1"/>
    </w:lvl>
  </w:abstractNum>
  <w:abstractNum w:abstractNumId="375">
    <w:nsid w:val="4A8DB59C"/>
    <w:multiLevelType w:val="hybridMultilevel"/>
    <w:lvl w:ilvl="0">
      <w:lvlJc w:val="left"/>
      <w:lvlText w:val="(%1)"/>
      <w:numFmt w:val="upperLetter"/>
      <w:start w:val="1"/>
    </w:lvl>
  </w:abstractNum>
  <w:abstractNum w:abstractNumId="376">
    <w:nsid w:val="1AFD9053"/>
    <w:multiLevelType w:val="hybridMultilevel"/>
    <w:lvl w:ilvl="0">
      <w:lvlJc w:val="left"/>
      <w:lvlText w:val="(%1)"/>
      <w:numFmt w:val="upperLetter"/>
      <w:start w:val="35"/>
    </w:lvl>
    <w:lvl w:ilvl="1">
      <w:lvlJc w:val="left"/>
      <w:lvlText w:val="*"/>
      <w:numFmt w:val="bullet"/>
      <w:start w:val="1"/>
    </w:lvl>
  </w:abstractNum>
  <w:abstractNum w:abstractNumId="377">
    <w:nsid w:val="558BB10D"/>
    <w:multiLevelType w:val="hybridMultilevel"/>
    <w:lvl w:ilvl="0">
      <w:lvlJc w:val="left"/>
      <w:lvlText w:val="2"/>
      <w:numFmt w:val="bullet"/>
      <w:start w:val="1"/>
    </w:lvl>
  </w:abstractNum>
  <w:abstractNum w:abstractNumId="378">
    <w:nsid w:val="43B27FA7"/>
    <w:multiLevelType w:val="hybridMultilevel"/>
    <w:lvl w:ilvl="0">
      <w:lvlJc w:val="left"/>
      <w:lvlText w:val="%1."/>
      <w:numFmt w:val="decimal"/>
      <w:start w:val="1"/>
    </w:lvl>
  </w:abstractNum>
  <w:abstractNum w:abstractNumId="379">
    <w:nsid w:val="27FADEFA"/>
    <w:multiLevelType w:val="hybridMultilevel"/>
    <w:lvl w:ilvl="0">
      <w:lvlJc w:val="left"/>
      <w:lvlText w:val="%1."/>
      <w:numFmt w:val="decimal"/>
      <w:start w:val="5"/>
    </w:lvl>
  </w:abstractNum>
  <w:abstractNum w:abstractNumId="380">
    <w:nsid w:val="78BB805A"/>
    <w:multiLevelType w:val="hybridMultilevel"/>
    <w:lvl w:ilvl="0">
      <w:lvlJc w:val="left"/>
      <w:lvlText w:val="%1."/>
      <w:numFmt w:val="decimal"/>
      <w:start w:val="9"/>
    </w:lvl>
  </w:abstractNum>
  <w:abstractNum w:abstractNumId="381">
    <w:nsid w:val="62548FD8"/>
    <w:multiLevelType w:val="hybridMultilevel"/>
    <w:lvl w:ilvl="0">
      <w:lvlJc w:val="left"/>
      <w:lvlText w:val="%1."/>
      <w:numFmt w:val="decimal"/>
      <w:start w:val="10"/>
    </w:lvl>
  </w:abstractNum>
  <w:abstractNum w:abstractNumId="382">
    <w:nsid w:val="FA085B0"/>
    <w:multiLevelType w:val="hybridMultilevel"/>
    <w:lvl w:ilvl="0">
      <w:lvlJc w:val="left"/>
      <w:lvlText w:val="(%1)"/>
      <w:numFmt w:val="lowerRoman"/>
      <w:start w:val="1"/>
    </w:lvl>
    <w:lvl w:ilvl="1">
      <w:lvlJc w:val="left"/>
      <w:lvlText w:val="%2."/>
      <w:numFmt w:val="decimal"/>
      <w:start w:val="16"/>
    </w:lvl>
  </w:abstractNum>
  <w:abstractNum w:abstractNumId="383">
    <w:nsid w:val="4E5DCB5"/>
    <w:multiLevelType w:val="hybridMultilevel"/>
    <w:lvl w:ilvl="0">
      <w:lvlJc w:val="left"/>
      <w:lvlText w:val="%1."/>
      <w:numFmt w:val="decimal"/>
      <w:start w:val="21"/>
    </w:lvl>
  </w:abstractNum>
  <w:abstractNum w:abstractNumId="384">
    <w:nsid w:val="41E96BDB"/>
    <w:multiLevelType w:val="hybridMultilevel"/>
    <w:lvl w:ilvl="0">
      <w:lvlJc w:val="left"/>
      <w:lvlText w:val="1"/>
      <w:numFmt w:val="bullet"/>
      <w:start w:val="1"/>
    </w:lvl>
  </w:abstractNum>
  <w:abstractNum w:abstractNumId="385">
    <w:nsid w:val="331C4250"/>
    <w:multiLevelType w:val="hybridMultilevel"/>
    <w:lvl w:ilvl="0">
      <w:lvlJc w:val="left"/>
      <w:lvlText w:val="%1."/>
      <w:numFmt w:val="decimal"/>
      <w:start w:val="1"/>
    </w:lvl>
  </w:abstractNum>
  <w:abstractNum w:abstractNumId="386">
    <w:nsid w:val="1B1493C2"/>
    <w:multiLevelType w:val="hybridMultilevel"/>
    <w:lvl w:ilvl="0">
      <w:lvlJc w:val="left"/>
      <w:lvlText w:val="%1."/>
      <w:numFmt w:val="decimal"/>
      <w:start w:val="6"/>
    </w:lvl>
  </w:abstractNum>
  <w:abstractNum w:abstractNumId="387">
    <w:nsid w:val="39F06DFD"/>
    <w:multiLevelType w:val="hybridMultilevel"/>
    <w:lvl w:ilvl="0">
      <w:lvlJc w:val="left"/>
      <w:lvlText w:val="%1."/>
      <w:numFmt w:val="decimal"/>
      <w:start w:val="8"/>
    </w:lvl>
  </w:abstractNum>
  <w:abstractNum w:abstractNumId="388">
    <w:nsid w:val="14802F5D"/>
    <w:multiLevelType w:val="hybridMultilevel"/>
    <w:lvl w:ilvl="0">
      <w:lvlJc w:val="left"/>
      <w:lvlText w:val="%1."/>
      <w:numFmt w:val="decimal"/>
      <w:start w:val="11"/>
    </w:lvl>
  </w:abstractNum>
  <w:abstractNum w:abstractNumId="389">
    <w:nsid w:val="2774A209"/>
    <w:multiLevelType w:val="hybridMultilevel"/>
    <w:lvl w:ilvl="0">
      <w:lvlJc w:val="left"/>
      <w:lvlText w:val="%1."/>
      <w:numFmt w:val="decimal"/>
      <w:start w:val="17"/>
    </w:lvl>
  </w:abstractNum>
  <w:abstractNum w:abstractNumId="390">
    <w:nsid w:val="3785655A"/>
    <w:multiLevelType w:val="hybridMultilevel"/>
    <w:lvl w:ilvl="0">
      <w:lvlJc w:val="left"/>
      <w:lvlText w:val="(%1)"/>
      <w:numFmt w:val="lowerRoman"/>
      <w:start w:val="2"/>
    </w:lvl>
  </w:abstractNum>
  <w:abstractNum w:abstractNumId="391">
    <w:nsid w:val="B2172A"/>
    <w:multiLevelType w:val="hybridMultilevel"/>
    <w:lvl w:ilvl="0">
      <w:lvlJc w:val="left"/>
      <w:lvlText w:val="1"/>
      <w:numFmt w:val="bullet"/>
      <w:start w:val="1"/>
    </w:lvl>
  </w:abstractNum>
  <w:abstractNum w:abstractNumId="392">
    <w:nsid w:val="532C34A5"/>
    <w:multiLevelType w:val="hybridMultilevel"/>
    <w:lvl w:ilvl="0">
      <w:lvlJc w:val="left"/>
      <w:lvlText w:val="%1."/>
      <w:numFmt w:val="lowerRoman"/>
      <w:start w:val="1"/>
    </w:lvl>
  </w:abstractNum>
  <w:abstractNum w:abstractNumId="393">
    <w:nsid w:val="102809E2"/>
    <w:multiLevelType w:val="hybridMultilevel"/>
    <w:lvl w:ilvl="0">
      <w:lvlJc w:val="left"/>
      <w:lvlText w:val="(%1)"/>
      <w:numFmt w:val="lowerRoman"/>
      <w:start w:val="2"/>
    </w:lvl>
  </w:abstractNum>
  <w:abstractNum w:abstractNumId="394">
    <w:nsid w:val="3B2125A3"/>
    <w:multiLevelType w:val="hybridMultilevel"/>
    <w:lvl w:ilvl="0">
      <w:lvlJc w:val="left"/>
      <w:lvlText w:val="2"/>
      <w:numFmt w:val="bullet"/>
      <w:start w:val="1"/>
    </w:lvl>
  </w:abstractNum>
  <w:abstractNum w:abstractNumId="395">
    <w:nsid w:val="AC68FFB"/>
    <w:multiLevelType w:val="hybridMultilevel"/>
    <w:lvl w:ilvl="0">
      <w:lvlJc w:val="left"/>
      <w:lvlText w:val="•"/>
      <w:numFmt w:val="bullet"/>
      <w:start w:val="1"/>
    </w:lvl>
  </w:abstractNum>
  <w:abstractNum w:abstractNumId="396">
    <w:nsid w:val="63DF3FB7"/>
    <w:multiLevelType w:val="hybridMultilevel"/>
    <w:lvl w:ilvl="0">
      <w:lvlJc w:val="left"/>
      <w:lvlText w:val="•"/>
      <w:numFmt w:val="bullet"/>
      <w:start w:val="1"/>
    </w:lvl>
  </w:abstractNum>
  <w:abstractNum w:abstractNumId="397">
    <w:nsid w:val="64996E13"/>
    <w:multiLevelType w:val="hybridMultilevel"/>
    <w:lvl w:ilvl="0">
      <w:lvlJc w:val="left"/>
      <w:lvlText w:val="%1."/>
      <w:numFmt w:val="decimal"/>
      <w:start w:val="1"/>
    </w:lvl>
  </w:abstractNum>
  <w:abstractNum w:abstractNumId="398">
    <w:nsid w:val="57A37D47"/>
    <w:multiLevelType w:val="hybridMultilevel"/>
    <w:lvl w:ilvl="0">
      <w:lvlJc w:val="left"/>
      <w:lvlText w:val="%1."/>
      <w:numFmt w:val="decimal"/>
      <w:start w:val="6"/>
    </w:lvl>
  </w:abstractNum>
  <w:abstractNum w:abstractNumId="399">
    <w:nsid w:val="74824D54"/>
    <w:multiLevelType w:val="hybridMultilevel"/>
    <w:lvl w:ilvl="0">
      <w:lvlJc w:val="left"/>
      <w:lvlText w:val="%1."/>
      <w:numFmt w:val="decimal"/>
      <w:start w:val="8"/>
    </w:lvl>
  </w:abstractNum>
  <w:abstractNum w:abstractNumId="400">
    <w:nsid w:val="6F00529A"/>
    <w:multiLevelType w:val="hybridMultilevel"/>
    <w:lvl w:ilvl="0">
      <w:lvlJc w:val="left"/>
      <w:lvlText w:val="%1."/>
      <w:numFmt w:val="decimal"/>
      <w:start w:val="11"/>
    </w:lvl>
  </w:abstractNum>
  <w:abstractNum w:abstractNumId="401">
    <w:nsid w:val="805B331"/>
    <w:multiLevelType w:val="hybridMultilevel"/>
    <w:lvl w:ilvl="0">
      <w:lvlJc w:val="left"/>
      <w:lvlText w:val="%1."/>
      <w:numFmt w:val="decimal"/>
      <w:start w:val="16"/>
    </w:lvl>
  </w:abstractNum>
  <w:abstractNum w:abstractNumId="402">
    <w:nsid w:val="60A1463"/>
    <w:multiLevelType w:val="hybridMultilevel"/>
    <w:lvl w:ilvl="0">
      <w:lvlJc w:val="left"/>
      <w:lvlText w:val="%1."/>
      <w:numFmt w:val="decimal"/>
      <w:start w:val="1"/>
    </w:lvl>
    <w:lvl w:ilvl="1">
      <w:lvlJc w:val="left"/>
      <w:lvlText w:val="(%2)"/>
      <w:numFmt w:val="lowerLetter"/>
      <w:start w:val="1"/>
    </w:lvl>
  </w:abstractNum>
  <w:abstractNum w:abstractNumId="403">
    <w:nsid w:val="43773132"/>
    <w:multiLevelType w:val="hybridMultilevel"/>
    <w:lvl w:ilvl="0">
      <w:lvlJc w:val="left"/>
      <w:lvlText w:val="(%1)"/>
      <w:numFmt w:val="lowerLetter"/>
      <w:start w:val="10"/>
    </w:lvl>
  </w:abstractNum>
  <w:abstractNum w:abstractNumId="404">
    <w:nsid w:val="16AC4B23"/>
    <w:multiLevelType w:val="hybridMultilevel"/>
    <w:lvl w:ilvl="0">
      <w:lvlJc w:val="left"/>
      <w:lvlText w:val="(%1)"/>
      <w:numFmt w:val="lowerLetter"/>
      <w:start w:val="21"/>
    </w:lvl>
  </w:abstractNum>
  <w:abstractNum w:abstractNumId="405">
    <w:nsid w:val="76C44E4E"/>
    <w:multiLevelType w:val="hybridMultilevel"/>
    <w:lvl w:ilvl="0">
      <w:lvlJc w:val="left"/>
      <w:lvlText w:val="(%1)"/>
      <w:numFmt w:val="lowerLetter"/>
      <w:start w:val="27"/>
    </w:lvl>
  </w:abstractNum>
  <w:abstractNum w:abstractNumId="406">
    <w:nsid w:val="E04E6C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4"/>
    </w:lvl>
  </w:abstractNum>
  <w:abstractNum w:abstractNumId="407">
    <w:nsid w:val="31A9DB76"/>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408">
    <w:nsid w:val="4C4FFF5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409">
    <w:nsid w:val="51B76675"/>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410">
    <w:nsid w:val="59A4BA71"/>
    <w:multiLevelType w:val="hybridMultilevel"/>
    <w:lvl w:ilvl="0">
      <w:lvlJc w:val="left"/>
      <w:lvlText w:val="(%1)"/>
      <w:numFmt w:val="lowerLetter"/>
      <w:start w:val="24"/>
    </w:lvl>
    <w:lvl w:ilvl="1">
      <w:lvlJc w:val="left"/>
      <w:lvlText w:val="%2."/>
      <w:numFmt w:val="decimal"/>
      <w:start w:val="5"/>
    </w:lvl>
    <w:lvl w:ilvl="2">
      <w:lvlJc w:val="left"/>
      <w:lvlText w:val="(%3)"/>
      <w:numFmt w:val="lowerLetter"/>
      <w:start w:val="1"/>
    </w:lvl>
  </w:abstractNum>
  <w:abstractNum w:abstractNumId="411">
    <w:nsid w:val="450B7FB6"/>
    <w:multiLevelType w:val="hybridMultilevel"/>
    <w:lvl w:ilvl="0">
      <w:lvlJc w:val="left"/>
      <w:lvlText w:val="(%1)"/>
      <w:numFmt w:val="decimal"/>
      <w:start w:val="10"/>
    </w:lvl>
    <w:lvl w:ilvl="1">
      <w:lvlJc w:val="left"/>
      <w:lvlText w:val="(%2)"/>
      <w:numFmt w:val="lowerLetter"/>
      <w:start w:val="2"/>
    </w:lvl>
  </w:abstractNum>
  <w:abstractNum w:abstractNumId="412">
    <w:nsid w:val="340BF64D"/>
    <w:multiLevelType w:val="hybridMultilevel"/>
    <w:lvl w:ilvl="0">
      <w:lvlJc w:val="left"/>
      <w:lvlText w:val="%1."/>
      <w:numFmt w:val="decimal"/>
      <w:start w:val="6"/>
    </w:lvl>
    <w:lvl w:ilvl="1">
      <w:lvlJc w:val="left"/>
      <w:lvlText w:val="(%2)"/>
      <w:numFmt w:val="lowerLetter"/>
      <w:start w:val="1"/>
    </w:lvl>
  </w:abstractNum>
  <w:abstractNum w:abstractNumId="413">
    <w:nsid w:val="69454021"/>
    <w:multiLevelType w:val="hybridMultilevel"/>
    <w:lvl w:ilvl="0">
      <w:lvlJc w:val="left"/>
      <w:lvlText w:val="%1"/>
      <w:numFmt w:val="decimal"/>
      <w:start w:val="1"/>
    </w:lvl>
    <w:lvl w:ilvl="1">
      <w:lvlJc w:val="left"/>
      <w:lvlText w:val="(%2)"/>
      <w:numFmt w:val="lowerLetter"/>
      <w:start w:val="7"/>
    </w:lvl>
  </w:abstractNum>
  <w:abstractNum w:abstractNumId="414">
    <w:nsid w:val="49F15C6B"/>
    <w:multiLevelType w:val="hybridMultilevel"/>
    <w:lvl w:ilvl="0">
      <w:lvlJc w:val="left"/>
      <w:lvlText w:val="%1."/>
      <w:numFmt w:val="decimal"/>
      <w:start w:val="7"/>
    </w:lvl>
    <w:lvl w:ilvl="1">
      <w:lvlJc w:val="left"/>
      <w:lvlText w:val="(%2)"/>
      <w:numFmt w:val="lowerLetter"/>
      <w:start w:val="1"/>
    </w:lvl>
  </w:abstractNum>
  <w:abstractNum w:abstractNumId="415">
    <w:nsid w:val="75F56228"/>
    <w:multiLevelType w:val="hybridMultilevel"/>
    <w:lvl w:ilvl="0">
      <w:lvlJc w:val="left"/>
      <w:lvlText w:val="%1"/>
      <w:numFmt w:val="decimal"/>
      <w:start w:val="1"/>
    </w:lvl>
    <w:lvl w:ilvl="1">
      <w:lvlJc w:val="left"/>
      <w:lvlText w:val="(%2)"/>
      <w:numFmt w:val="lowerLetter"/>
      <w:start w:val="2"/>
    </w:lvl>
  </w:abstractNum>
  <w:abstractNum w:abstractNumId="416">
    <w:nsid w:val="1C618271"/>
    <w:multiLevelType w:val="hybridMultilevel"/>
    <w:lvl w:ilvl="0">
      <w:lvlJc w:val="left"/>
      <w:lvlText w:val="%1."/>
      <w:numFmt w:val="decimal"/>
      <w:start w:val="9"/>
    </w:lvl>
    <w:lvl w:ilvl="1">
      <w:lvlJc w:val="left"/>
      <w:lvlText w:val="(%2)"/>
      <w:numFmt w:val="lowerLetter"/>
      <w:start w:val="1"/>
    </w:lvl>
  </w:abstractNum>
  <w:abstractNum w:abstractNumId="417">
    <w:nsid w:val="6505F02E"/>
    <w:multiLevelType w:val="hybridMultilevel"/>
    <w:lvl w:ilvl="0">
      <w:lvlJc w:val="left"/>
      <w:lvlText w:val="%1."/>
      <w:numFmt w:val="decimal"/>
      <w:start w:val="11"/>
    </w:lvl>
    <w:lvl w:ilvl="1">
      <w:lvlJc w:val="left"/>
      <w:lvlText w:val="(%2)"/>
      <w:numFmt w:val="lowerLetter"/>
      <w:start w:val="1"/>
    </w:lvl>
  </w:abstractNum>
  <w:abstractNum w:abstractNumId="418">
    <w:nsid w:val="2FE5D025"/>
    <w:multiLevelType w:val="hybridMultilevel"/>
    <w:lvl w:ilvl="0">
      <w:lvlJc w:val="left"/>
      <w:lvlText w:val="%1."/>
      <w:numFmt w:val="decimal"/>
      <w:start w:val="15"/>
    </w:lvl>
    <w:lvl w:ilvl="1">
      <w:lvlJc w:val="left"/>
      <w:lvlText w:val="(%2)"/>
      <w:numFmt w:val="lowerLetter"/>
      <w:start w:val="1"/>
    </w:lvl>
  </w:abstractNum>
  <w:abstractNum w:abstractNumId="419">
    <w:nsid w:val="30E1B1CF"/>
    <w:multiLevelType w:val="hybridMultilevel"/>
    <w:lvl w:ilvl="0">
      <w:lvlJc w:val="left"/>
      <w:lvlText w:val="%1."/>
      <w:numFmt w:val="decimal"/>
      <w:start w:val="18"/>
    </w:lvl>
    <w:lvl w:ilvl="1">
      <w:lvlJc w:val="left"/>
      <w:lvlText w:val="(%2)"/>
      <w:numFmt w:val="lowerLetter"/>
      <w:start w:val="1"/>
    </w:lvl>
  </w:abstractNum>
  <w:abstractNum w:abstractNumId="420">
    <w:nsid w:val="C7A9237"/>
    <w:multiLevelType w:val="hybridMultilevel"/>
    <w:lvl w:ilvl="0">
      <w:lvlJc w:val="left"/>
      <w:lvlText w:val="(%1)"/>
      <w:numFmt w:val="lowerLetter"/>
      <w:start w:val="2"/>
    </w:lvl>
    <w:lvl w:ilvl="1">
      <w:lvlJc w:val="left"/>
      <w:lvlText w:val="(%2)"/>
      <w:numFmt w:val="lowerRoman"/>
      <w:start w:val="1"/>
    </w:lvl>
  </w:abstractNum>
  <w:abstractNum w:abstractNumId="421">
    <w:nsid w:val="676B3580"/>
    <w:multiLevelType w:val="hybridMultilevel"/>
    <w:lvl w:ilvl="0">
      <w:lvlJc w:val="left"/>
      <w:lvlText w:val="%1."/>
      <w:numFmt w:val="decimal"/>
      <w:start w:val="21"/>
    </w:lvl>
    <w:lvl w:ilvl="1">
      <w:lvlJc w:val="left"/>
      <w:lvlText w:val="(%2)"/>
      <w:numFmt w:val="lowerLetter"/>
      <w:start w:val="1"/>
    </w:lvl>
  </w:abstractNum>
  <w:abstractNum w:abstractNumId="422">
    <w:nsid w:val="3193C8F9"/>
    <w:multiLevelType w:val="hybridMultilevel"/>
    <w:lvl w:ilvl="0">
      <w:lvlJc w:val="left"/>
      <w:lvlText w:val="%1"/>
      <w:numFmt w:val="decimal"/>
      <w:start w:val="1"/>
    </w:lvl>
    <w:lvl w:ilvl="1">
      <w:lvlJc w:val="left"/>
      <w:lvlText w:val="(%2)"/>
      <w:numFmt w:val="lowerLetter"/>
      <w:start w:val="2"/>
    </w:lvl>
  </w:abstractNum>
  <w:abstractNum w:abstractNumId="423">
    <w:nsid w:val="5FA6C6DC"/>
    <w:multiLevelType w:val="hybridMultilevel"/>
    <w:lvl w:ilvl="0">
      <w:lvlJc w:val="left"/>
      <w:lvlText w:val="%1."/>
      <w:numFmt w:val="decimal"/>
      <w:start w:val="23"/>
    </w:lvl>
    <w:lvl w:ilvl="1">
      <w:lvlJc w:val="left"/>
      <w:lvlText w:val="%2"/>
      <w:numFmt w:val="lowerLetter"/>
      <w:start w:val="1"/>
    </w:lvl>
  </w:abstractNum>
  <w:abstractNum w:abstractNumId="424">
    <w:nsid w:val="77933F62"/>
    <w:multiLevelType w:val="hybridMultilevel"/>
    <w:lvl w:ilvl="0">
      <w:lvlJc w:val="left"/>
      <w:lvlText w:val="%1."/>
      <w:numFmt w:val="decimal"/>
      <w:start w:val="30"/>
    </w:lvl>
  </w:abstractNum>
  <w:abstractNum w:abstractNumId="425">
    <w:nsid w:val="6CB4EE9C"/>
    <w:multiLevelType w:val="hybridMultilevel"/>
    <w:lvl w:ilvl="0">
      <w:lvlJc w:val="left"/>
      <w:lvlText w:val="(%1)"/>
      <w:numFmt w:val="lowerLetter"/>
      <w:start w:val="1"/>
    </w:lvl>
    <w:lvl w:ilvl="1">
      <w:lvlJc w:val="left"/>
      <w:lvlText w:val="-"/>
      <w:numFmt w:val="bullet"/>
      <w:start w:val="1"/>
    </w:lvl>
  </w:abstractNum>
  <w:abstractNum w:abstractNumId="426">
    <w:nsid w:val="6A6D56D7"/>
    <w:multiLevelType w:val="hybridMultilevel"/>
    <w:lvl w:ilvl="0">
      <w:lvlJc w:val="left"/>
      <w:lvlText w:val="(%1)"/>
      <w:numFmt w:val="lowerLetter"/>
      <w:start w:val="2"/>
    </w:lvl>
    <w:lvl w:ilvl="1">
      <w:lvlJc w:val="left"/>
      <w:lvlText w:val="-"/>
      <w:numFmt w:val="bullet"/>
      <w:start w:val="1"/>
    </w:lvl>
  </w:abstractNum>
  <w:abstractNum w:abstractNumId="427">
    <w:nsid w:val="5B727F19"/>
    <w:multiLevelType w:val="hybridMultilevel"/>
    <w:lvl w:ilvl="0">
      <w:lvlJc w:val="left"/>
      <w:lvlText w:val="(%1)"/>
      <w:numFmt w:val="lowerLetter"/>
      <w:start w:val="8"/>
    </w:lvl>
  </w:abstractNum>
  <w:abstractNum w:abstractNumId="428">
    <w:nsid w:val="514E5CB0"/>
    <w:multiLevelType w:val="hybridMultilevel"/>
    <w:lvl w:ilvl="0">
      <w:lvlJc w:val="left"/>
      <w:lvlText w:val="(%1)"/>
      <w:numFmt w:val="lowerLetter"/>
      <w:start w:val="1"/>
    </w:lvl>
    <w:lvl w:ilvl="1">
      <w:lvlJc w:val="left"/>
      <w:lvlText w:val="-"/>
      <w:numFmt w:val="bullet"/>
      <w:start w:val="1"/>
    </w:lvl>
  </w:abstractNum>
  <w:abstractNum w:abstractNumId="429">
    <w:nsid w:val="4210D41E"/>
    <w:multiLevelType w:val="hybridMultilevel"/>
    <w:lvl w:ilvl="0">
      <w:lvlJc w:val="left"/>
      <w:lvlText w:val="(%1)"/>
      <w:numFmt w:val="lowerLetter"/>
      <w:start w:val="7"/>
    </w:lvl>
  </w:abstractNum>
  <w:abstractNum w:abstractNumId="430">
    <w:nsid w:val="4FF4CC6D"/>
    <w:multiLevelType w:val="hybridMultilevel"/>
    <w:lvl w:ilvl="0">
      <w:lvlJc w:val="left"/>
      <w:lvlText w:val="(%1)"/>
      <w:numFmt w:val="lowerLetter"/>
      <w:start w:val="1"/>
    </w:lvl>
  </w:abstractNum>
  <w:abstractNum w:abstractNumId="431">
    <w:nsid w:val="404EAF4A"/>
    <w:multiLevelType w:val="hybridMultilevel"/>
    <w:lvl w:ilvl="0">
      <w:lvlJc w:val="left"/>
      <w:lvlText w:val="(%1)"/>
      <w:numFmt w:val="lowerLetter"/>
      <w:start w:val="1"/>
    </w:lvl>
    <w:lvl w:ilvl="1">
      <w:lvlJc w:val="left"/>
      <w:lvlText w:val="(%2)"/>
      <w:numFmt w:val="lowerRoman"/>
      <w:start w:val="1"/>
    </w:lvl>
  </w:abstractNum>
  <w:abstractNum w:abstractNumId="432">
    <w:nsid w:val="4A16874F"/>
    <w:multiLevelType w:val="hybridMultilevel"/>
    <w:lvl w:ilvl="0">
      <w:lvlJc w:val="left"/>
      <w:lvlText w:val="(%1)"/>
      <w:numFmt w:val="lowerLetter"/>
      <w:start w:val="1"/>
    </w:lvl>
    <w:lvl w:ilvl="1">
      <w:lvlJc w:val="left"/>
      <w:lvlText w:val="-"/>
      <w:numFmt w:val="bullet"/>
      <w:start w:val="1"/>
    </w:lvl>
  </w:abstractNum>
  <w:abstractNum w:abstractNumId="433">
    <w:nsid w:val="55FEE0D1"/>
    <w:multiLevelType w:val="hybridMultilevel"/>
    <w:lvl w:ilvl="0">
      <w:lvlJc w:val="left"/>
      <w:lvlText w:val="%1"/>
      <w:numFmt w:val="decimal"/>
      <w:start w:val="1"/>
    </w:lvl>
    <w:lvl w:ilvl="1">
      <w:lvlJc w:val="left"/>
      <w:lvlText w:val="(%2)"/>
      <w:numFmt w:val="lowerLetter"/>
      <w:start w:val="2"/>
    </w:lvl>
  </w:abstractNum>
  <w:abstractNum w:abstractNumId="434">
    <w:nsid w:val="3C5E07C"/>
    <w:multiLevelType w:val="hybridMultilevel"/>
    <w:lvl w:ilvl="0">
      <w:lvlJc w:val="left"/>
      <w:lvlText w:val="(%1)"/>
      <w:numFmt w:val="decimal"/>
      <w:start w:val="2"/>
    </w:lvl>
    <w:lvl w:ilvl="1">
      <w:lvlJc w:val="left"/>
      <w:lvlText w:val="%2"/>
      <w:numFmt w:val="lowerLetter"/>
      <w:start w:val="1"/>
    </w:lvl>
  </w:abstractNum>
  <w:abstractNum w:abstractNumId="435">
    <w:nsid w:val="60C2D273"/>
    <w:multiLevelType w:val="hybridMultilevel"/>
    <w:lvl w:ilvl="0">
      <w:lvlJc w:val="left"/>
      <w:lvlText w:val="(%1)"/>
      <w:numFmt w:val="lowerRoman"/>
      <w:start w:val="1"/>
    </w:lvl>
  </w:abstractNum>
  <w:abstractNum w:abstractNumId="436">
    <w:nsid w:val="4CC32F1F"/>
    <w:multiLevelType w:val="hybridMultilevel"/>
    <w:lvl w:ilvl="0">
      <w:lvlJc w:val="left"/>
      <w:lvlText w:val="(%1)"/>
      <w:numFmt w:val="lowerLetter"/>
      <w:start w:val="1"/>
    </w:lvl>
  </w:abstractNum>
  <w:abstractNum w:abstractNumId="437">
    <w:nsid w:val="11CAC74A"/>
    <w:multiLevelType w:val="hybridMultilevel"/>
    <w:lvl w:ilvl="0">
      <w:lvlJc w:val="left"/>
      <w:lvlText w:val="(%1)"/>
      <w:numFmt w:val="lowerLetter"/>
      <w:start w:val="1"/>
    </w:lvl>
    <w:lvl w:ilvl="1">
      <w:lvlJc w:val="left"/>
      <w:lvlText w:val="-"/>
      <w:numFmt w:val="bullet"/>
      <w:start w:val="1"/>
    </w:lvl>
  </w:abstractNum>
  <w:abstractNum w:abstractNumId="438">
    <w:nsid w:val="126CADE9"/>
    <w:multiLevelType w:val="hybridMultilevel"/>
    <w:lvl w:ilvl="0">
      <w:lvlJc w:val="left"/>
      <w:lvlText w:val="%1"/>
      <w:numFmt w:val="lowerRoman"/>
      <w:start w:val="1"/>
    </w:lvl>
    <w:lvl w:ilvl="1">
      <w:lvlJc w:val="left"/>
      <w:lvlText w:val="%2."/>
      <w:numFmt w:val="decimal"/>
      <w:start w:val="1"/>
    </w:lvl>
  </w:abstractNum>
  <w:abstractNum w:abstractNumId="439">
    <w:nsid w:val="19132E7B"/>
    <w:multiLevelType w:val="hybridMultilevel"/>
    <w:lvl w:ilvl="0">
      <w:lvlJc w:val="left"/>
      <w:lvlText w:val="(%1)"/>
      <w:numFmt w:val="lowerRoman"/>
      <w:start w:val="3"/>
    </w:lvl>
    <w:lvl w:ilvl="1">
      <w:lvlJc w:val="left"/>
      <w:lvlText w:val="%2"/>
      <w:numFmt w:val="decimal"/>
      <w:start w:val="1"/>
    </w:lvl>
  </w:abstractNum>
  <w:abstractNum w:abstractNumId="440">
    <w:nsid w:val="63822DC0"/>
    <w:multiLevelType w:val="hybridMultilevel"/>
    <w:lvl w:ilvl="0">
      <w:lvlJc w:val="left"/>
      <w:lvlText w:val="%1."/>
      <w:numFmt w:val="decimal"/>
      <w:start w:val="2"/>
    </w:lvl>
  </w:abstractNum>
  <w:abstractNum w:abstractNumId="441">
    <w:nsid w:val="6C11685A"/>
    <w:multiLevelType w:val="hybridMultilevel"/>
    <w:lvl w:ilvl="0">
      <w:lvlJc w:val="left"/>
      <w:lvlText w:val="%1."/>
      <w:numFmt w:val="decimal"/>
      <w:start w:val="7"/>
    </w:lvl>
  </w:abstractNum>
  <w:abstractNum w:abstractNumId="442">
    <w:nsid w:val="5E1EAE31"/>
    <w:multiLevelType w:val="hybridMultilevel"/>
    <w:lvl w:ilvl="0">
      <w:lvlJc w:val="left"/>
      <w:lvlText w:val="%1."/>
      <w:numFmt w:val="decimal"/>
      <w:start w:val="12"/>
    </w:lvl>
  </w:abstractNum>
  <w:abstractNum w:abstractNumId="443">
    <w:nsid w:val="178E240D"/>
    <w:multiLevelType w:val="hybridMultilevel"/>
    <w:lvl w:ilvl="0">
      <w:lvlJc w:val="left"/>
      <w:lvlText w:val="%1."/>
      <w:numFmt w:val="decimal"/>
      <w:start w:val="13"/>
    </w:lvl>
  </w:abstractNum>
  <w:abstractNum w:abstractNumId="444">
    <w:nsid w:val="5556A87B"/>
    <w:multiLevelType w:val="hybridMultilevel"/>
    <w:lvl w:ilvl="0">
      <w:lvlJc w:val="left"/>
      <w:lvlText w:val="%1."/>
      <w:numFmt w:val="decimal"/>
      <w:start w:val="18"/>
    </w:lvl>
  </w:abstractNum>
  <w:abstractNum w:abstractNumId="445">
    <w:nsid w:val="28100A9C"/>
    <w:multiLevelType w:val="hybridMultilevel"/>
    <w:lvl w:ilvl="0">
      <w:lvlJc w:val="left"/>
      <w:lvlText w:val="(%1)"/>
      <w:numFmt w:val="lowerLetter"/>
      <w:start w:val="1"/>
    </w:lvl>
  </w:abstractNum>
  <w:abstractNum w:abstractNumId="446">
    <w:nsid w:val="D838636"/>
    <w:multiLevelType w:val="hybridMultilevel"/>
    <w:lvl w:ilvl="0">
      <w:lvlJc w:val="left"/>
      <w:lvlText w:val="(%1)"/>
      <w:numFmt w:val="lowerLetter"/>
      <w:start w:val="1"/>
    </w:lvl>
  </w:abstractNum>
  <w:abstractNum w:abstractNumId="447">
    <w:nsid w:val="71B82AED"/>
    <w:multiLevelType w:val="hybridMultilevel"/>
    <w:lvl w:ilvl="0">
      <w:lvlJc w:val="left"/>
      <w:lvlText w:val="(%1)"/>
      <w:numFmt w:val="lowerLetter"/>
      <w:start w:val="5"/>
    </w:lvl>
  </w:abstractNum>
  <w:abstractNum w:abstractNumId="448">
    <w:nsid w:val="D15FACA"/>
    <w:multiLevelType w:val="hybridMultilevel"/>
    <w:lvl w:ilvl="0">
      <w:lvlJc w:val="left"/>
      <w:lvlText w:val="(%1)"/>
      <w:numFmt w:val="lowerLetter"/>
      <w:start w:val="1"/>
    </w:lvl>
  </w:abstractNum>
  <w:abstractNum w:abstractNumId="449">
    <w:nsid w:val="3D69565B"/>
    <w:multiLevelType w:val="hybridMultilevel"/>
    <w:lvl w:ilvl="0">
      <w:lvlJc w:val="left"/>
      <w:lvlText w:val="(%1)"/>
      <w:numFmt w:val="lowerLetter"/>
      <w:start w:val="3"/>
    </w:lvl>
  </w:abstractNum>
  <w:abstractNum w:abstractNumId="450">
    <w:nsid w:val="2299DCBC"/>
    <w:multiLevelType w:val="hybridMultilevel"/>
    <w:lvl w:ilvl="0">
      <w:lvlJc w:val="left"/>
      <w:lvlText w:val="(%1)"/>
      <w:numFmt w:val="lowerLetter"/>
      <w:start w:val="1"/>
    </w:lvl>
  </w:abstractNum>
  <w:abstractNum w:abstractNumId="451">
    <w:nsid w:val="19908D02"/>
    <w:multiLevelType w:val="hybridMultilevel"/>
    <w:lvl w:ilvl="0">
      <w:lvlJc w:val="left"/>
      <w:lvlText w:val="(%1)"/>
      <w:numFmt w:val="lowerLetter"/>
      <w:start w:val="1"/>
    </w:lvl>
  </w:abstractNum>
  <w:abstractNum w:abstractNumId="452">
    <w:nsid w:val="24D48BDB"/>
    <w:multiLevelType w:val="hybridMultilevel"/>
    <w:lvl w:ilvl="0">
      <w:lvlJc w:val="left"/>
      <w:lvlText w:val="%1"/>
      <w:numFmt w:val="lowerLetter"/>
      <w:start w:val="1"/>
    </w:lvl>
    <w:lvl w:ilvl="1">
      <w:lvlJc w:val="left"/>
      <w:lvlText w:val="(%2)"/>
      <w:numFmt w:val="lowerLetter"/>
      <w:start w:val="3"/>
    </w:lvl>
  </w:abstractNum>
  <w:abstractNum w:abstractNumId="453">
    <w:nsid w:val="542DA5B5"/>
    <w:multiLevelType w:val="hybridMultilevel"/>
    <w:lvl w:ilvl="0">
      <w:lvlJc w:val="left"/>
      <w:lvlText w:val="(%1)"/>
      <w:numFmt w:val="lowerLetter"/>
      <w:start w:val="9"/>
    </w:lvl>
    <w:lvl w:ilvl="1">
      <w:lvlJc w:val="left"/>
      <w:lvlText w:val="(%2)"/>
      <w:numFmt w:val="lowerLetter"/>
      <w:start w:val="4"/>
    </w:lvl>
  </w:abstractNum>
  <w:abstractNum w:abstractNumId="454">
    <w:nsid w:val="793753DE"/>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73" Type="http://schemas.openxmlformats.org/officeDocument/2006/relationships/image" Target="media/image356.png"/><Relationship Id="rId397" Type="http://schemas.openxmlformats.org/officeDocument/2006/relationships/image" Target="media/image357.png"/><Relationship Id="rId398" Type="http://schemas.openxmlformats.org/officeDocument/2006/relationships/image" Target="media/image358.png"/><Relationship Id="rId399" Type="http://schemas.openxmlformats.org/officeDocument/2006/relationships/image" Target="media/image359.png"/><Relationship Id="rId400" Type="http://schemas.openxmlformats.org/officeDocument/2006/relationships/image" Target="media/image360.png"/><Relationship Id="rId401" Type="http://schemas.openxmlformats.org/officeDocument/2006/relationships/image" Target="media/image361.png"/><Relationship Id="rId402" Type="http://schemas.openxmlformats.org/officeDocument/2006/relationships/image" Target="media/image362.png"/><Relationship Id="rId403" Type="http://schemas.openxmlformats.org/officeDocument/2006/relationships/image" Target="media/image363.png"/><Relationship Id="rId404" Type="http://schemas.openxmlformats.org/officeDocument/2006/relationships/image" Target="media/image364.png"/><Relationship Id="rId405" Type="http://schemas.openxmlformats.org/officeDocument/2006/relationships/image" Target="media/image365.png"/><Relationship Id="rId406" Type="http://schemas.openxmlformats.org/officeDocument/2006/relationships/image" Target="media/image366.png"/><Relationship Id="rId407" Type="http://schemas.openxmlformats.org/officeDocument/2006/relationships/image" Target="media/image367.png"/><Relationship Id="rId408" Type="http://schemas.openxmlformats.org/officeDocument/2006/relationships/image" Target="media/image368.png"/><Relationship Id="rId409" Type="http://schemas.openxmlformats.org/officeDocument/2006/relationships/image" Target="media/image369.png"/><Relationship Id="rId410" Type="http://schemas.openxmlformats.org/officeDocument/2006/relationships/image" Target="media/image370.png"/><Relationship Id="rId411" Type="http://schemas.openxmlformats.org/officeDocument/2006/relationships/image" Target="media/image371.png"/><Relationship Id="rId412" Type="http://schemas.openxmlformats.org/officeDocument/2006/relationships/image" Target="media/image372.png"/><Relationship Id="rId413" Type="http://schemas.openxmlformats.org/officeDocument/2006/relationships/image" Target="media/image373.png"/><Relationship Id="rId414" Type="http://schemas.openxmlformats.org/officeDocument/2006/relationships/image" Target="media/image374.png"/><Relationship Id="rId415" Type="http://schemas.openxmlformats.org/officeDocument/2006/relationships/image" Target="media/image375.png"/><Relationship Id="rId416" Type="http://schemas.openxmlformats.org/officeDocument/2006/relationships/image" Target="media/image376.png"/><Relationship Id="rId417" Type="http://schemas.openxmlformats.org/officeDocument/2006/relationships/image" Target="media/image377.png"/><Relationship Id="rId418" Type="http://schemas.openxmlformats.org/officeDocument/2006/relationships/image" Target="media/image378.png"/><Relationship Id="rId419" Type="http://schemas.openxmlformats.org/officeDocument/2006/relationships/image" Target="media/image379.png"/><Relationship Id="rId420" Type="http://schemas.openxmlformats.org/officeDocument/2006/relationships/image" Target="media/image380.png"/><Relationship Id="rId421" Type="http://schemas.openxmlformats.org/officeDocument/2006/relationships/image" Target="media/image381.png"/><Relationship Id="rId422" Type="http://schemas.openxmlformats.org/officeDocument/2006/relationships/image" Target="media/image382.png"/><Relationship Id="rId423" Type="http://schemas.openxmlformats.org/officeDocument/2006/relationships/image" Target="media/image383.png"/><Relationship Id="rId424" Type="http://schemas.openxmlformats.org/officeDocument/2006/relationships/image" Target="media/image384.png"/><Relationship Id="rId425" Type="http://schemas.openxmlformats.org/officeDocument/2006/relationships/image" Target="media/image385.png"/><Relationship Id="rId426" Type="http://schemas.openxmlformats.org/officeDocument/2006/relationships/image" Target="media/image386.png"/><Relationship Id="rId427" Type="http://schemas.openxmlformats.org/officeDocument/2006/relationships/image" Target="media/image387.png"/><Relationship Id="rId428" Type="http://schemas.openxmlformats.org/officeDocument/2006/relationships/image" Target="media/image388.png"/><Relationship Id="rId429" Type="http://schemas.openxmlformats.org/officeDocument/2006/relationships/image" Target="media/image389.png"/><Relationship Id="rId430" Type="http://schemas.openxmlformats.org/officeDocument/2006/relationships/image" Target="media/image390.png"/><Relationship Id="rId431" Type="http://schemas.openxmlformats.org/officeDocument/2006/relationships/image" Target="media/image391.png"/><Relationship Id="rId432" Type="http://schemas.openxmlformats.org/officeDocument/2006/relationships/image" Target="media/image392.png"/><Relationship Id="rId433" Type="http://schemas.openxmlformats.org/officeDocument/2006/relationships/image" Target="media/image393.png"/><Relationship Id="rId434" Type="http://schemas.openxmlformats.org/officeDocument/2006/relationships/image" Target="media/image394.png"/><Relationship Id="rId435" Type="http://schemas.openxmlformats.org/officeDocument/2006/relationships/image" Target="media/image395.png"/><Relationship Id="rId436" Type="http://schemas.openxmlformats.org/officeDocument/2006/relationships/image" Target="media/image396.png"/><Relationship Id="rId437" Type="http://schemas.openxmlformats.org/officeDocument/2006/relationships/image" Target="media/image397.png"/><Relationship Id="rId438" Type="http://schemas.openxmlformats.org/officeDocument/2006/relationships/image" Target="media/image398.png"/><Relationship Id="rId439" Type="http://schemas.openxmlformats.org/officeDocument/2006/relationships/image" Target="media/image399.png"/><Relationship Id="rId440" Type="http://schemas.openxmlformats.org/officeDocument/2006/relationships/image" Target="media/image400.png"/><Relationship Id="rId441" Type="http://schemas.openxmlformats.org/officeDocument/2006/relationships/image" Target="media/image401.png"/><Relationship Id="rId442" Type="http://schemas.openxmlformats.org/officeDocument/2006/relationships/image" Target="media/image402.png"/><Relationship Id="rId443" Type="http://schemas.openxmlformats.org/officeDocument/2006/relationships/image" Target="media/image403.png"/><Relationship Id="rId444" Type="http://schemas.openxmlformats.org/officeDocument/2006/relationships/image" Target="media/image404.png"/><Relationship Id="rId445" Type="http://schemas.openxmlformats.org/officeDocument/2006/relationships/image" Target="media/image405.png"/><Relationship Id="rId446" Type="http://schemas.openxmlformats.org/officeDocument/2006/relationships/image" Target="media/image406.png"/><Relationship Id="rId447" Type="http://schemas.openxmlformats.org/officeDocument/2006/relationships/image" Target="media/image407.png"/><Relationship Id="rId448" Type="http://schemas.openxmlformats.org/officeDocument/2006/relationships/image" Target="media/image408.png"/><Relationship Id="rId449" Type="http://schemas.openxmlformats.org/officeDocument/2006/relationships/image" Target="media/image409.png"/><Relationship Id="rId450" Type="http://schemas.openxmlformats.org/officeDocument/2006/relationships/image" Target="media/image410.png"/><Relationship Id="rId451" Type="http://schemas.openxmlformats.org/officeDocument/2006/relationships/image" Target="media/image411.png"/><Relationship Id="rId452" Type="http://schemas.openxmlformats.org/officeDocument/2006/relationships/image" Target="media/image412.png"/><Relationship Id="rId453" Type="http://schemas.openxmlformats.org/officeDocument/2006/relationships/image" Target="media/image413.png"/><Relationship Id="rId454" Type="http://schemas.openxmlformats.org/officeDocument/2006/relationships/image" Target="media/image414.png"/><Relationship Id="rId455" Type="http://schemas.openxmlformats.org/officeDocument/2006/relationships/image" Target="media/image415.png"/><Relationship Id="rId456" Type="http://schemas.openxmlformats.org/officeDocument/2006/relationships/image" Target="media/image416.png"/><Relationship Id="rId457" Type="http://schemas.openxmlformats.org/officeDocument/2006/relationships/image" Target="media/image417.png"/><Relationship Id="rId458" Type="http://schemas.openxmlformats.org/officeDocument/2006/relationships/image" Target="media/image418.png"/><Relationship Id="rId459" Type="http://schemas.openxmlformats.org/officeDocument/2006/relationships/image" Target="media/image419.png"/><Relationship Id="rId460" Type="http://schemas.openxmlformats.org/officeDocument/2006/relationships/image" Target="media/image420.png"/><Relationship Id="rId461" Type="http://schemas.openxmlformats.org/officeDocument/2006/relationships/image" Target="media/image421.png"/><Relationship Id="rId462" Type="http://schemas.openxmlformats.org/officeDocument/2006/relationships/image" Target="media/image422.png"/><Relationship Id="rId463" Type="http://schemas.openxmlformats.org/officeDocument/2006/relationships/image" Target="media/image423.png"/><Relationship Id="rId464" Type="http://schemas.openxmlformats.org/officeDocument/2006/relationships/image" Target="media/image424.png"/><Relationship Id="rId465" Type="http://schemas.openxmlformats.org/officeDocument/2006/relationships/image" Target="media/image425.png"/><Relationship Id="rId466" Type="http://schemas.openxmlformats.org/officeDocument/2006/relationships/image" Target="media/image426.png"/><Relationship Id="rId467" Type="http://schemas.openxmlformats.org/officeDocument/2006/relationships/image" Target="media/image427.png"/><Relationship Id="rId468" Type="http://schemas.openxmlformats.org/officeDocument/2006/relationships/image" Target="media/image428.png"/><Relationship Id="rId469" Type="http://schemas.openxmlformats.org/officeDocument/2006/relationships/image" Target="media/image429.png"/><Relationship Id="rId470" Type="http://schemas.openxmlformats.org/officeDocument/2006/relationships/image" Target="media/image430.png"/><Relationship Id="rId471" Type="http://schemas.openxmlformats.org/officeDocument/2006/relationships/image" Target="media/image431.png"/><Relationship Id="rId472" Type="http://schemas.openxmlformats.org/officeDocument/2006/relationships/image" Target="media/image432.png"/><Relationship Id="rId473" Type="http://schemas.openxmlformats.org/officeDocument/2006/relationships/image" Target="media/image433.png"/><Relationship Id="rId474" Type="http://schemas.openxmlformats.org/officeDocument/2006/relationships/image" Target="media/image434.png"/><Relationship Id="rId475" Type="http://schemas.openxmlformats.org/officeDocument/2006/relationships/image" Target="media/image435.png"/><Relationship Id="rId476" Type="http://schemas.openxmlformats.org/officeDocument/2006/relationships/image" Target="media/image436.png"/><Relationship Id="rId477" Type="http://schemas.openxmlformats.org/officeDocument/2006/relationships/image" Target="media/image437.png"/><Relationship Id="rId478" Type="http://schemas.openxmlformats.org/officeDocument/2006/relationships/image" Target="media/image438.png"/><Relationship Id="rId479" Type="http://schemas.openxmlformats.org/officeDocument/2006/relationships/image" Target="media/image439.png"/><Relationship Id="rId480" Type="http://schemas.openxmlformats.org/officeDocument/2006/relationships/image" Target="media/image440.png"/><Relationship Id="rId481" Type="http://schemas.openxmlformats.org/officeDocument/2006/relationships/image" Target="media/image441.png"/><Relationship Id="rId482" Type="http://schemas.openxmlformats.org/officeDocument/2006/relationships/image" Target="media/image442.png"/><Relationship Id="rId483" Type="http://schemas.openxmlformats.org/officeDocument/2006/relationships/image" Target="media/image443.png"/><Relationship Id="rId484" Type="http://schemas.openxmlformats.org/officeDocument/2006/relationships/image" Target="media/image444.png"/><Relationship Id="rId485" Type="http://schemas.openxmlformats.org/officeDocument/2006/relationships/image" Target="media/image445.png"/><Relationship Id="rId486" Type="http://schemas.openxmlformats.org/officeDocument/2006/relationships/image" Target="media/image446.png"/><Relationship Id="rId487" Type="http://schemas.openxmlformats.org/officeDocument/2006/relationships/image" Target="media/image447.png"/><Relationship Id="rId488" Type="http://schemas.openxmlformats.org/officeDocument/2006/relationships/image" Target="media/image448.png"/><Relationship Id="rId489" Type="http://schemas.openxmlformats.org/officeDocument/2006/relationships/image" Target="media/image449.png"/><Relationship Id="rId490" Type="http://schemas.openxmlformats.org/officeDocument/2006/relationships/image" Target="media/image450.png"/><Relationship Id="rId491" Type="http://schemas.openxmlformats.org/officeDocument/2006/relationships/image" Target="media/image451.png"/><Relationship Id="rId492" Type="http://schemas.openxmlformats.org/officeDocument/2006/relationships/image" Target="media/image452.png"/><Relationship Id="rId493" Type="http://schemas.openxmlformats.org/officeDocument/2006/relationships/image" Target="media/image453.png"/><Relationship Id="rId494" Type="http://schemas.openxmlformats.org/officeDocument/2006/relationships/image" Target="media/image454.png"/><Relationship Id="rId495" Type="http://schemas.openxmlformats.org/officeDocument/2006/relationships/image" Target="media/image455.png"/><Relationship Id="rId496" Type="http://schemas.openxmlformats.org/officeDocument/2006/relationships/image" Target="media/image456.png"/><Relationship Id="rId497" Type="http://schemas.openxmlformats.org/officeDocument/2006/relationships/image" Target="media/image457.png"/><Relationship Id="rId498" Type="http://schemas.openxmlformats.org/officeDocument/2006/relationships/image" Target="media/image458.png"/><Relationship Id="rId499" Type="http://schemas.openxmlformats.org/officeDocument/2006/relationships/image" Target="media/image459.png"/><Relationship Id="rId500" Type="http://schemas.openxmlformats.org/officeDocument/2006/relationships/image" Target="media/image460.png"/><Relationship Id="rId501" Type="http://schemas.openxmlformats.org/officeDocument/2006/relationships/image" Target="media/image461.png"/><Relationship Id="rId502" Type="http://schemas.openxmlformats.org/officeDocument/2006/relationships/image" Target="media/image462.png"/><Relationship Id="rId503" Type="http://schemas.openxmlformats.org/officeDocument/2006/relationships/image" Target="media/image463.png"/><Relationship Id="rId504" Type="http://schemas.openxmlformats.org/officeDocument/2006/relationships/image" Target="media/image464.png"/><Relationship Id="rId505" Type="http://schemas.openxmlformats.org/officeDocument/2006/relationships/image" Target="media/image465.png"/><Relationship Id="rId506" Type="http://schemas.openxmlformats.org/officeDocument/2006/relationships/image" Target="media/image466.png"/><Relationship Id="rId507" Type="http://schemas.openxmlformats.org/officeDocument/2006/relationships/image" Target="media/image467.png"/><Relationship Id="rId508" Type="http://schemas.openxmlformats.org/officeDocument/2006/relationships/image" Target="media/image468.png"/><Relationship Id="rId509" Type="http://schemas.openxmlformats.org/officeDocument/2006/relationships/image" Target="media/image469.png"/><Relationship Id="rId510" Type="http://schemas.openxmlformats.org/officeDocument/2006/relationships/image" Target="media/image470.png"/><Relationship Id="rId511" Type="http://schemas.openxmlformats.org/officeDocument/2006/relationships/image" Target="media/image471.png"/><Relationship Id="rId512" Type="http://schemas.openxmlformats.org/officeDocument/2006/relationships/image" Target="media/image472.png"/><Relationship Id="rId513" Type="http://schemas.openxmlformats.org/officeDocument/2006/relationships/image" Target="media/image473.png"/><Relationship Id="rId514" Type="http://schemas.openxmlformats.org/officeDocument/2006/relationships/image" Target="media/image474.png"/><Relationship Id="rId515" Type="http://schemas.openxmlformats.org/officeDocument/2006/relationships/image" Target="media/image475.png"/><Relationship Id="rId516" Type="http://schemas.openxmlformats.org/officeDocument/2006/relationships/image" Target="media/image476.png"/><Relationship Id="rId517" Type="http://schemas.openxmlformats.org/officeDocument/2006/relationships/image" Target="media/image477.png"/><Relationship Id="rId518" Type="http://schemas.openxmlformats.org/officeDocument/2006/relationships/image" Target="media/image478.png"/><Relationship Id="rId519" Type="http://schemas.openxmlformats.org/officeDocument/2006/relationships/image" Target="media/image479.png"/><Relationship Id="rId520" Type="http://schemas.openxmlformats.org/officeDocument/2006/relationships/image" Target="media/image480.png"/><Relationship Id="rId521" Type="http://schemas.openxmlformats.org/officeDocument/2006/relationships/image" Target="media/image481.png"/><Relationship Id="rId522" Type="http://schemas.openxmlformats.org/officeDocument/2006/relationships/image" Target="media/image482.png"/><Relationship Id="rId523" Type="http://schemas.openxmlformats.org/officeDocument/2006/relationships/image" Target="media/image483.png"/><Relationship Id="rId524" Type="http://schemas.openxmlformats.org/officeDocument/2006/relationships/image" Target="media/image484.png"/><Relationship Id="rId525" Type="http://schemas.openxmlformats.org/officeDocument/2006/relationships/image" Target="media/image485.png"/><Relationship Id="rId526" Type="http://schemas.openxmlformats.org/officeDocument/2006/relationships/image" Target="media/image486.png"/><Relationship Id="rId527" Type="http://schemas.openxmlformats.org/officeDocument/2006/relationships/image" Target="media/image487.png"/><Relationship Id="rId528" Type="http://schemas.openxmlformats.org/officeDocument/2006/relationships/image" Target="media/image488.png"/><Relationship Id="rId529" Type="http://schemas.openxmlformats.org/officeDocument/2006/relationships/image" Target="media/image489.png"/><Relationship Id="rId530" Type="http://schemas.openxmlformats.org/officeDocument/2006/relationships/image" Target="media/image490.png"/><Relationship Id="rId531" Type="http://schemas.openxmlformats.org/officeDocument/2006/relationships/image" Target="media/image491.png"/><Relationship Id="rId532" Type="http://schemas.openxmlformats.org/officeDocument/2006/relationships/image" Target="media/image492.png"/><Relationship Id="rId533" Type="http://schemas.openxmlformats.org/officeDocument/2006/relationships/image" Target="media/image493.png"/><Relationship Id="rId534" Type="http://schemas.openxmlformats.org/officeDocument/2006/relationships/image" Target="media/image494.png"/><Relationship Id="rId535" Type="http://schemas.openxmlformats.org/officeDocument/2006/relationships/image" Target="media/image495.png"/><Relationship Id="rId536" Type="http://schemas.openxmlformats.org/officeDocument/2006/relationships/image" Target="media/image496.png"/><Relationship Id="rId537" Type="http://schemas.openxmlformats.org/officeDocument/2006/relationships/image" Target="media/image497.png"/><Relationship Id="rId538" Type="http://schemas.openxmlformats.org/officeDocument/2006/relationships/image" Target="media/image498.png"/><Relationship Id="rId539" Type="http://schemas.openxmlformats.org/officeDocument/2006/relationships/image" Target="media/image499.png"/><Relationship Id="rId540" Type="http://schemas.openxmlformats.org/officeDocument/2006/relationships/image" Target="media/image500.png"/><Relationship Id="rId541" Type="http://schemas.openxmlformats.org/officeDocument/2006/relationships/image" Target="media/image501.png"/><Relationship Id="rId542" Type="http://schemas.openxmlformats.org/officeDocument/2006/relationships/image" Target="media/image502.png"/><Relationship Id="rId543" Type="http://schemas.openxmlformats.org/officeDocument/2006/relationships/image" Target="media/image503.png"/><Relationship Id="rId544" Type="http://schemas.openxmlformats.org/officeDocument/2006/relationships/image" Target="media/image504.png"/><Relationship Id="rId545" Type="http://schemas.openxmlformats.org/officeDocument/2006/relationships/image" Target="media/image505.png"/><Relationship Id="rId546" Type="http://schemas.openxmlformats.org/officeDocument/2006/relationships/image" Target="media/image506.png"/><Relationship Id="rId547" Type="http://schemas.openxmlformats.org/officeDocument/2006/relationships/image" Target="media/image507.png"/><Relationship Id="rId548" Type="http://schemas.openxmlformats.org/officeDocument/2006/relationships/image" Target="media/image508.png"/><Relationship Id="rId549" Type="http://schemas.openxmlformats.org/officeDocument/2006/relationships/image" Target="media/image509.png"/><Relationship Id="rId550" Type="http://schemas.openxmlformats.org/officeDocument/2006/relationships/image" Target="media/image510.png"/><Relationship Id="rId551" Type="http://schemas.openxmlformats.org/officeDocument/2006/relationships/image" Target="media/image511.png"/><Relationship Id="rId552" Type="http://schemas.openxmlformats.org/officeDocument/2006/relationships/image" Target="media/image512.png"/><Relationship Id="rId553" Type="http://schemas.openxmlformats.org/officeDocument/2006/relationships/image" Target="media/image513.png"/><Relationship Id="rId554" Type="http://schemas.openxmlformats.org/officeDocument/2006/relationships/image" Target="media/image514.png"/><Relationship Id="rId555" Type="http://schemas.openxmlformats.org/officeDocument/2006/relationships/image" Target="media/image515.png"/><Relationship Id="rId556" Type="http://schemas.openxmlformats.org/officeDocument/2006/relationships/image" Target="media/image516.png"/><Relationship Id="rId557" Type="http://schemas.openxmlformats.org/officeDocument/2006/relationships/image" Target="media/image517.png"/><Relationship Id="rId558" Type="http://schemas.openxmlformats.org/officeDocument/2006/relationships/image" Target="media/image518.png"/><Relationship Id="rId559" Type="http://schemas.openxmlformats.org/officeDocument/2006/relationships/image" Target="media/image519.png"/><Relationship Id="rId560" Type="http://schemas.openxmlformats.org/officeDocument/2006/relationships/image" Target="media/image520.png"/><Relationship Id="rId561" Type="http://schemas.openxmlformats.org/officeDocument/2006/relationships/image" Target="media/image521.png"/><Relationship Id="rId562" Type="http://schemas.openxmlformats.org/officeDocument/2006/relationships/image" Target="media/image522.png"/><Relationship Id="rId563" Type="http://schemas.openxmlformats.org/officeDocument/2006/relationships/image" Target="media/image523.png"/><Relationship Id="rId564" Type="http://schemas.openxmlformats.org/officeDocument/2006/relationships/image" Target="media/image524.png"/><Relationship Id="rId565" Type="http://schemas.openxmlformats.org/officeDocument/2006/relationships/image" Target="media/image525.png"/><Relationship Id="rId566" Type="http://schemas.openxmlformats.org/officeDocument/2006/relationships/image" Target="media/image526.png"/><Relationship Id="rId567" Type="http://schemas.openxmlformats.org/officeDocument/2006/relationships/image" Target="media/image527.png"/><Relationship Id="rId568" Type="http://schemas.openxmlformats.org/officeDocument/2006/relationships/image" Target="media/image528.png"/><Relationship Id="rId569" Type="http://schemas.openxmlformats.org/officeDocument/2006/relationships/image" Target="media/image529.png"/><Relationship Id="rId570" Type="http://schemas.openxmlformats.org/officeDocument/2006/relationships/image" Target="media/image530.png"/><Relationship Id="rId571" Type="http://schemas.openxmlformats.org/officeDocument/2006/relationships/image" Target="media/image531.png"/><Relationship Id="rId572" Type="http://schemas.openxmlformats.org/officeDocument/2006/relationships/image" Target="media/image532.png"/><Relationship Id="rId573" Type="http://schemas.openxmlformats.org/officeDocument/2006/relationships/image" Target="media/image533.png"/><Relationship Id="rId574" Type="http://schemas.openxmlformats.org/officeDocument/2006/relationships/image" Target="media/image534.png"/><Relationship Id="rId575" Type="http://schemas.openxmlformats.org/officeDocument/2006/relationships/image" Target="media/image535.png"/><Relationship Id="rId576" Type="http://schemas.openxmlformats.org/officeDocument/2006/relationships/image" Target="media/image536.png"/><Relationship Id="rId577" Type="http://schemas.openxmlformats.org/officeDocument/2006/relationships/image" Target="media/image537.png"/><Relationship Id="rId578" Type="http://schemas.openxmlformats.org/officeDocument/2006/relationships/image" Target="media/image538.png"/><Relationship Id="rId579" Type="http://schemas.openxmlformats.org/officeDocument/2006/relationships/image" Target="media/image539.png"/><Relationship Id="rId580" Type="http://schemas.openxmlformats.org/officeDocument/2006/relationships/image" Target="media/image540.png"/><Relationship Id="rId581" Type="http://schemas.openxmlformats.org/officeDocument/2006/relationships/image" Target="media/image541.png"/><Relationship Id="rId582" Type="http://schemas.openxmlformats.org/officeDocument/2006/relationships/image" Target="media/image542.png"/><Relationship Id="rId583" Type="http://schemas.openxmlformats.org/officeDocument/2006/relationships/image" Target="media/image543.png"/><Relationship Id="rId584" Type="http://schemas.openxmlformats.org/officeDocument/2006/relationships/image" Target="media/image544.png"/><Relationship Id="rId585" Type="http://schemas.openxmlformats.org/officeDocument/2006/relationships/image" Target="media/image545.png"/><Relationship Id="rId586" Type="http://schemas.openxmlformats.org/officeDocument/2006/relationships/image" Target="media/image546.png"/><Relationship Id="rId587" Type="http://schemas.openxmlformats.org/officeDocument/2006/relationships/image" Target="media/image547.png"/><Relationship Id="rId588" Type="http://schemas.openxmlformats.org/officeDocument/2006/relationships/image" Target="media/image548.png"/><Relationship Id="rId589" Type="http://schemas.openxmlformats.org/officeDocument/2006/relationships/image" Target="media/image549.png"/><Relationship Id="rId590" Type="http://schemas.openxmlformats.org/officeDocument/2006/relationships/image" Target="media/image550.png"/><Relationship Id="rId591" Type="http://schemas.openxmlformats.org/officeDocument/2006/relationships/image" Target="media/image551.png"/><Relationship Id="rId592" Type="http://schemas.openxmlformats.org/officeDocument/2006/relationships/image" Target="media/image552.png"/><Relationship Id="rId593" Type="http://schemas.openxmlformats.org/officeDocument/2006/relationships/image" Target="media/image553.png"/><Relationship Id="rId594" Type="http://schemas.openxmlformats.org/officeDocument/2006/relationships/image" Target="media/image554.png"/><Relationship Id="rId595" Type="http://schemas.openxmlformats.org/officeDocument/2006/relationships/image" Target="media/image555.png"/><Relationship Id="rId596" Type="http://schemas.openxmlformats.org/officeDocument/2006/relationships/image" Target="media/image556.png"/><Relationship Id="rId597" Type="http://schemas.openxmlformats.org/officeDocument/2006/relationships/image" Target="media/image557.png"/><Relationship Id="rId598" Type="http://schemas.openxmlformats.org/officeDocument/2006/relationships/image" Target="media/image558.png"/><Relationship Id="rId599" Type="http://schemas.openxmlformats.org/officeDocument/2006/relationships/image" Target="media/image559.png"/><Relationship Id="rId600" Type="http://schemas.openxmlformats.org/officeDocument/2006/relationships/image" Target="media/image560.png"/><Relationship Id="rId601" Type="http://schemas.openxmlformats.org/officeDocument/2006/relationships/image" Target="media/image561.png"/><Relationship Id="rId602" Type="http://schemas.openxmlformats.org/officeDocument/2006/relationships/image" Target="media/image562.png"/><Relationship Id="rId603" Type="http://schemas.openxmlformats.org/officeDocument/2006/relationships/image" Target="media/image563.png"/><Relationship Id="rId604" Type="http://schemas.openxmlformats.org/officeDocument/2006/relationships/image" Target="media/image564.png"/><Relationship Id="rId605" Type="http://schemas.openxmlformats.org/officeDocument/2006/relationships/image" Target="media/image565.png"/><Relationship Id="rId606" Type="http://schemas.openxmlformats.org/officeDocument/2006/relationships/image" Target="media/image566.png"/><Relationship Id="rId607" Type="http://schemas.openxmlformats.org/officeDocument/2006/relationships/image" Target="media/image567.png"/><Relationship Id="rId608" Type="http://schemas.openxmlformats.org/officeDocument/2006/relationships/image" Target="media/image568.png"/><Relationship Id="rId609" Type="http://schemas.openxmlformats.org/officeDocument/2006/relationships/image" Target="media/image569.png"/><Relationship Id="rId610" Type="http://schemas.openxmlformats.org/officeDocument/2006/relationships/image" Target="media/image570.png"/><Relationship Id="rId363" Type="http://schemas.openxmlformats.org/officeDocument/2006/relationships/hyperlink" Target="http://www.sec.gov/Archives/edgar/data/0001817358/000119312520242076/d934024dex31.htm" TargetMode="External"/><Relationship Id="rId364" Type="http://schemas.openxmlformats.org/officeDocument/2006/relationships/hyperlink" Target="http://www.sec.gov/Archives/edgar/data/0001817358/000119312520242076/d934024dex32.htm" TargetMode="External"/><Relationship Id="rId365" Type="http://schemas.openxmlformats.org/officeDocument/2006/relationships/hyperlink" Target="http://www.sec.gov/Archives/edgar/data/0001817358/000119312520242076/d934024dex101.htm" TargetMode="External"/><Relationship Id="rId366" Type="http://schemas.openxmlformats.org/officeDocument/2006/relationships/hyperlink" Target="http://www.sec.gov/Archives/edgar/data/0001817358/000119312520242076/d934024dex102.htm" TargetMode="External"/><Relationship Id="rId367" Type="http://schemas.openxmlformats.org/officeDocument/2006/relationships/hyperlink" Target="http://www.sec.gov/Archives/edgar/data/0001817358/000119312520242076/d934024dex103.htm" TargetMode="External"/><Relationship Id="rId368" Type="http://schemas.openxmlformats.org/officeDocument/2006/relationships/hyperlink" Target="http://www.sec.gov/Archives/edgar/data/0001817358/000119312520242076/d934024dex104.htm" TargetMode="External"/><Relationship Id="rId369" Type="http://schemas.openxmlformats.org/officeDocument/2006/relationships/hyperlink" Target="http://www.sec.gov/Archives/edgar/data/0001817358/000119312520242076/d934024dex105.htm" TargetMode="External"/><Relationship Id="rId370" Type="http://schemas.openxmlformats.org/officeDocument/2006/relationships/hyperlink" Target="http://www.sec.gov/Archives/edgar/data/0001817358/000119312520242076/d934024dex106.htm" TargetMode="External"/><Relationship Id="rId371" Type="http://schemas.openxmlformats.org/officeDocument/2006/relationships/hyperlink" Target="http://www.sec.gov/Archives/edgar/data/0001817358/000119312520242076/d934024dex107.htm" TargetMode="External"/><Relationship Id="rId372" Type="http://schemas.openxmlformats.org/officeDocument/2006/relationships/hyperlink" Target="http://www.sec.gov/Archives/edgar/data/0001817358/000119312520242076/d934024dex108.htm" TargetMode="External"/><Relationship Id="rId374" Type="http://schemas.openxmlformats.org/officeDocument/2006/relationships/hyperlink" Target="http://www.sec.gov/Archives/edgar/data/1817358/000119312520242076/d934024dex1013.htm" TargetMode="External"/><Relationship Id="rId375" Type="http://schemas.openxmlformats.org/officeDocument/2006/relationships/hyperlink" Target="http://www.sec.gov/Archives/edgar/data/1817358/000119312520242076/d934024dex1014.htm" TargetMode="External"/><Relationship Id="rId376" Type="http://schemas.openxmlformats.org/officeDocument/2006/relationships/hyperlink" Target="http://www.sec.gov/Archives/edgar/data/1817358/000119312520242076/d934024dex1015.htm" TargetMode="External"/><Relationship Id="rId377" Type="http://schemas.openxmlformats.org/officeDocument/2006/relationships/hyperlink" Target="http://www.sec.gov/Archives/edgar/data/1817358/000119312520242076/d934024dex1016.htm" TargetMode="External"/><Relationship Id="rId378" Type="http://schemas.openxmlformats.org/officeDocument/2006/relationships/hyperlink" Target="http://www.sec.gov/Archives/edgar/data/1817358/000119312520242076/d934024dex1017.htm" TargetMode="External"/><Relationship Id="rId379" Type="http://schemas.openxmlformats.org/officeDocument/2006/relationships/hyperlink" Target="http://www.sec.gov/Archives/edgar/data/1817358/000119312520242076/d934024dex1018.htm" TargetMode="External"/><Relationship Id="rId380" Type="http://schemas.openxmlformats.org/officeDocument/2006/relationships/hyperlink" Target="http://www.sec.gov/Archives/edgar/data/1817358/000119312520242076/d934024dex1019.htm" TargetMode="External"/><Relationship Id="rId381" Type="http://schemas.openxmlformats.org/officeDocument/2006/relationships/hyperlink" Target="http://www.sec.gov/Archives/edgar/data/1817358/000119312520242076/d934024dex1020.htm" TargetMode="External"/><Relationship Id="rId382" Type="http://schemas.openxmlformats.org/officeDocument/2006/relationships/hyperlink" Target="http://www.sec.gov/Archives/edgar/data/1817358/000119312520242076/d934024dex1021.htm" TargetMode="External"/><Relationship Id="rId383" Type="http://schemas.openxmlformats.org/officeDocument/2006/relationships/hyperlink" Target="http://www.sec.gov/Archives/edgar/data/1817358/000119312520242076/d934024dex1022.htm" TargetMode="External"/><Relationship Id="rId384" Type="http://schemas.openxmlformats.org/officeDocument/2006/relationships/hyperlink" Target="http://www.sec.gov/Archives/edgar/data/1817358/000119312520242076/d934024dex1023.htm" TargetMode="External"/><Relationship Id="rId385" Type="http://schemas.openxmlformats.org/officeDocument/2006/relationships/hyperlink" Target="http://www.sec.gov/Archives/edgar/data/1817358/000119312520242076/d934024dex1024.htm" TargetMode="External"/><Relationship Id="rId386" Type="http://schemas.openxmlformats.org/officeDocument/2006/relationships/hyperlink" Target="http://www.sec.gov/Archives/edgar/data/1817358/000119312520242076/d934024dex1025.htm" TargetMode="External"/><Relationship Id="rId387" Type="http://schemas.openxmlformats.org/officeDocument/2006/relationships/hyperlink" Target="http://www.sec.gov/Archives/edgar/data/1817358/000119312520242076/d934024dex1026.htm" TargetMode="External"/><Relationship Id="rId388" Type="http://schemas.openxmlformats.org/officeDocument/2006/relationships/hyperlink" Target="http://www.sec.gov/Archives/edgar/data/1817358/000119312520242076/d934024dex1027.htm" TargetMode="External"/><Relationship Id="rId389" Type="http://schemas.openxmlformats.org/officeDocument/2006/relationships/hyperlink" Target="http://www.sec.gov/Archives/edgar/data/1817358/000119312520242076/d934024dex1028.htm" TargetMode="External"/><Relationship Id="rId390" Type="http://schemas.openxmlformats.org/officeDocument/2006/relationships/hyperlink" Target="http://www.sec.gov/Archives/edgar/data/1817358/000119312520242076/d934024dex1029.htm" TargetMode="External"/><Relationship Id="rId391" Type="http://schemas.openxmlformats.org/officeDocument/2006/relationships/hyperlink" Target="http://www.sec.gov/Archives/edgar/data/1817358/000119312520242076/d934024dex1030.htm" TargetMode="External"/><Relationship Id="rId392" Type="http://schemas.openxmlformats.org/officeDocument/2006/relationships/hyperlink" Target="http://www.sec.gov/Archives/edgar/data/1817358/000119312520242076/d934024dex1031.htm" TargetMode="External"/><Relationship Id="rId393" Type="http://schemas.openxmlformats.org/officeDocument/2006/relationships/hyperlink" Target="http://www.sec.gov/Archives/edgar/data/1817358/000119312520242076/d934024dex1032.htm" TargetMode="External"/><Relationship Id="rId394" Type="http://schemas.openxmlformats.org/officeDocument/2006/relationships/hyperlink" Target="http://www.sec.gov/Archives/edgar/data/1817358/000119312520242076/d934024dex1033.htm" TargetMode="External"/><Relationship Id="rId395" Type="http://schemas.openxmlformats.org/officeDocument/2006/relationships/hyperlink" Target="http://www.sec.gov/Archives/edgar/data/1817358/000119312520242076/d934024dex211.htm" TargetMode="External"/><Relationship Id="rId396" Type="http://schemas.openxmlformats.org/officeDocument/2006/relationships/hyperlink" Target="http://www.sec.gov/Archives/edgar/data/1817358/000119312520242076/d934024ds1.htm#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2020-09-23T15:11:52Z</dcterms:created>
  <dcterms:modified xsi:type="dcterms:W3CDTF">2020-09-23T15:11:52Z</dcterms:modified>
</cp:coreProperties>
</file>