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May 14, 2026</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color w:val="000000"/>
          <w:shd w:fill="FFFFFF" w:val="clear"/>
        </w:rPr>
      </w:pPr>
      <w:r>
        <w:rPr>
          <w:color w:val="000000"/>
          <w:shd w:fill="FFFFFF" w:val="clear"/>
        </w:rPr>
        <w:drawing>
          <wp:inline distT="0" distB="0" distL="0" distR="0">
            <wp:extent cx="23431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43150" cy="638175"/>
                    </a:xfrm>
                    <a:prstGeom prst="rect">
                      <a:avLst/>
                    </a:prstGeom>
                  </pic:spPr>
                </pic:pic>
              </a:graphicData>
            </a:graphic>
          </wp:inline>
        </w:drawing>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Academy Sports and Outdoors,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left"/>
        <w:rPr>
          <w:sz w:val="20"/>
        </w:rPr>
      </w:pPr>
      <w:r>
        <w:rPr>
          <w:sz w:val="20"/>
        </w:rPr>
      </w:r>
    </w:p>
    <w:tbl>
      <w:tblPr>
        <w:tblW w:w="8532" w:type="dxa"/>
        <w:jc w:val="left"/>
        <w:tblInd w:w="0" w:type="dxa"/>
        <w:tblLayout w:type="fixed"/>
        <w:tblCellMar>
          <w:top w:w="0" w:type="dxa"/>
          <w:left w:w="0" w:type="dxa"/>
          <w:bottom w:w="0" w:type="dxa"/>
          <w:right w:w="0" w:type="dxa"/>
        </w:tblCellMar>
      </w:tblPr>
      <w:tblGrid>
        <w:gridCol w:w="3674"/>
        <w:gridCol w:w="1904"/>
        <w:gridCol w:w="2954"/>
      </w:tblGrid>
      <w:tr>
        <w:trPr/>
        <w:tc>
          <w:tcPr>
            <w:tcW w:w="3674" w:type="dxa"/>
            <w:tcBorders/>
            <w:vAlign w:val="center"/>
          </w:tcPr>
          <w:p>
            <w:pPr>
              <w:pStyle w:val="TableContents"/>
              <w:bidi w:val="0"/>
              <w:spacing w:before="0" w:after="0"/>
              <w:jc w:val="center"/>
              <w:rPr>
                <w:color w:val="000000"/>
              </w:rPr>
            </w:pPr>
            <w:r>
              <w:rPr>
                <w:color w:val="000000"/>
              </w:rPr>
              <w:t xml:space="preserve">  </w:t>
            </w:r>
            <w:r>
              <w:rPr>
                <w:rFonts w:ascii="Times New Roman" w:hAnsi="Times New Roman"/>
                <w:b/>
                <w:color w:val="000000"/>
                <w:sz w:val="20"/>
              </w:rPr>
              <w:t>Delaware</w:t>
            </w:r>
          </w:p>
        </w:tc>
        <w:tc>
          <w:tcPr>
            <w:tcW w:w="1904"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001-39589</w:t>
            </w:r>
          </w:p>
        </w:tc>
        <w:tc>
          <w:tcPr>
            <w:tcW w:w="2954"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85-1800912</w:t>
            </w:r>
          </w:p>
        </w:tc>
      </w:tr>
      <w:tr>
        <w:trPr/>
        <w:tc>
          <w:tcPr>
            <w:tcW w:w="3674" w:type="dxa"/>
            <w:tcBorders/>
            <w:vAlign w:val="center"/>
          </w:tcPr>
          <w:p>
            <w:pPr>
              <w:pStyle w:val="TableContents"/>
              <w:bidi w:val="0"/>
              <w:spacing w:before="0" w:after="283"/>
              <w:jc w:val="left"/>
              <w:rPr/>
            </w:pPr>
            <w:r>
              <w:rPr/>
              <w:t> </w:t>
            </w:r>
          </w:p>
        </w:tc>
        <w:tc>
          <w:tcPr>
            <w:tcW w:w="1904" w:type="dxa"/>
            <w:tcBorders/>
            <w:vAlign w:val="center"/>
          </w:tcPr>
          <w:p>
            <w:pPr>
              <w:pStyle w:val="TableContents"/>
              <w:bidi w:val="0"/>
              <w:spacing w:before="0" w:after="283"/>
              <w:jc w:val="left"/>
              <w:rPr/>
            </w:pPr>
            <w:r>
              <w:rPr/>
              <w:t> </w:t>
            </w:r>
          </w:p>
        </w:tc>
        <w:tc>
          <w:tcPr>
            <w:tcW w:w="2954" w:type="dxa"/>
            <w:tcBorders/>
            <w:vAlign w:val="center"/>
          </w:tcPr>
          <w:p>
            <w:pPr>
              <w:pStyle w:val="TableContents"/>
              <w:bidi w:val="0"/>
              <w:spacing w:before="0" w:after="283"/>
              <w:jc w:val="left"/>
              <w:rPr/>
            </w:pPr>
            <w:r>
              <w:rPr/>
              <w:t> </w:t>
            </w:r>
          </w:p>
        </w:tc>
      </w:tr>
      <w:tr>
        <w:trPr/>
        <w:tc>
          <w:tcPr>
            <w:tcW w:w="3674" w:type="dxa"/>
            <w:tcBorders/>
            <w:vAlign w:val="center"/>
          </w:tcPr>
          <w:p>
            <w:pPr>
              <w:pStyle w:val="TableContents"/>
              <w:bidi w:val="0"/>
              <w:spacing w:before="0" w:after="0"/>
              <w:ind w:left="0" w:right="54" w:hanging="0"/>
              <w:jc w:val="center"/>
              <w:rPr>
                <w:rFonts w:ascii="Times New Roman" w:hAnsi="Times New Roman"/>
                <w:color w:val="000000"/>
                <w:sz w:val="20"/>
              </w:rPr>
            </w:pPr>
            <w:r>
              <w:rPr>
                <w:rFonts w:ascii="Times New Roman" w:hAnsi="Times New Roman"/>
                <w:color w:val="000000"/>
                <w:sz w:val="20"/>
              </w:rPr>
              <w:t>(State or other jurisdiction of incorporation )</w:t>
            </w:r>
          </w:p>
        </w:tc>
        <w:tc>
          <w:tcPr>
            <w:tcW w:w="1904" w:type="dxa"/>
            <w:tcBorders/>
            <w:vAlign w:val="center"/>
          </w:tcPr>
          <w:p>
            <w:pPr>
              <w:pStyle w:val="TableContents"/>
              <w:bidi w:val="0"/>
              <w:spacing w:before="0" w:after="0"/>
              <w:ind w:left="0" w:right="54" w:hanging="0"/>
              <w:jc w:val="center"/>
              <w:rPr>
                <w:rFonts w:ascii="Times New Roman" w:hAnsi="Times New Roman"/>
                <w:sz w:val="20"/>
              </w:rPr>
            </w:pPr>
            <w:r>
              <w:rPr>
                <w:rFonts w:ascii="Times New Roman" w:hAnsi="Times New Roman"/>
                <w:sz w:val="20"/>
              </w:rPr>
              <w:t>(Commission File No.)</w:t>
            </w:r>
          </w:p>
        </w:tc>
        <w:tc>
          <w:tcPr>
            <w:tcW w:w="2954" w:type="dxa"/>
            <w:tcBorders/>
            <w:vAlign w:val="center"/>
          </w:tcPr>
          <w:p>
            <w:pPr>
              <w:pStyle w:val="TableContents"/>
              <w:bidi w:val="0"/>
              <w:spacing w:before="0" w:after="0"/>
              <w:ind w:left="0" w:right="54" w:hanging="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1800 North Mason Road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Katy, Texas 77449</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(Address of principal executive offices including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(281) 646-5200</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ind w:left="53" w:right="0" w:hanging="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ind w:left="53" w:right="0" w:hanging="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ind w:left="53" w:right="0" w:hanging="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895" w:type="dxa"/>
        <w:jc w:val="left"/>
        <w:tblInd w:w="0" w:type="dxa"/>
        <w:tblLayout w:type="fixed"/>
        <w:tblCellMar>
          <w:top w:w="0" w:type="dxa"/>
          <w:left w:w="0" w:type="dxa"/>
          <w:bottom w:w="0" w:type="dxa"/>
          <w:right w:w="0" w:type="dxa"/>
        </w:tblCellMar>
      </w:tblPr>
      <w:tblGrid>
        <w:gridCol w:w="3575"/>
        <w:gridCol w:w="1610"/>
        <w:gridCol w:w="3710"/>
      </w:tblGrid>
      <w:tr>
        <w:trPr/>
        <w:tc>
          <w:tcPr>
            <w:tcW w:w="3575"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1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710" w:type="dxa"/>
            <w:tcBorders/>
            <w:vAlign w:val="center"/>
          </w:tcPr>
          <w:p>
            <w:pPr>
              <w:pStyle w:val="TableContents"/>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$0.01 par value per share</w:t>
            </w:r>
          </w:p>
        </w:tc>
        <w:tc>
          <w:tcPr>
            <w:tcW w:w="16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ASO</w:t>
            </w:r>
          </w:p>
        </w:tc>
        <w:tc>
          <w:tcPr>
            <w:tcW w:w="37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 Global Select Market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Senior Secured Notes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14, 2026, Academy, Ltd. (the “Issuer”), a wholly-owned subsidiary of Academy Sports and Outdoors, Inc. (the “Company”), issued $500 million aggregate principal amount of its 5.875% Senior Secured Notes due 2031 (the “Notes”) in a private placement conducted pursuant to Rule 144A and Regulation S under the Securities Act of 1933, as amended (the “Securities Act”).  The Issuer used the net proceeds from the Notes to fund the redemption of all of its outstanding senior secured notes due 2027 (the “Redemption”), voluntarily prepay all outstanding amounts owed under its $400 million senior secured term loan with UBS AG, Stanford Branch (as successor to Credit Suisse AG, Cayman Island Branch) as the administrative agent and collateral agent and the several other lenders and parties named therein (as amended, the “Term Loan”), pay related fees and expenses, and for general corporate purposes. Upon the repayment of the Term Loan, all security interests and liens granted to the secured parties thereunder were terminated and released. The Notes are governed by an Indenture, dated as of May 14, 2026 (the “Indenture”), entered into by the Issuer and guarantors named therein (the “Guarantors”) with U.S. Bank Trust Company, National Association, as trustee. The Notes will mature on May 15, 2031. Interest on the Notes is payable semi-annually in arrears on November 15 and May 15 of each year, beginning on November 15, 2026.</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Notes are secured on a first-priority basis, subject to permitted liens, by security interests in substantially all of the Issuer’s and the Guarantors’ personal property (other than the ABL Priority Collateral (as defined below)), and are secured on a second-priority basis, subject to permitted liens, by security interests in the Issuer’s and the Guarantors’ personal property which secure the ABL Credit Facility (as defined below) on a first-priority basis (the “ABL Priority Collateral”).</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or after May 15, 2028, the Issuer may, at its option and on one or more occasions, redeem all or a part of the Notes at the redemption prices set forth in the Indenture, plus accrued and unpaid interest, if any, to, but excluding, the applicable redemption date. At any time prior to May 15, 2028, the Issuer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until May 15, 2028, the Issuer may, at its option and on one or more occasions, redeem up to 40% of the aggregate principal amount of the Notes at a redemption price equal to 105.875% of the aggregate principal amount thereof, with an amount equal to or less than the net cash proceeds from one or more equity offerings to the extent such net cash proceeds are received by or contributed to the Issuer, plus accrued and unpaid interest, if any, to, but excluding, the applicable redemption date.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Upon the occurrence of certain events constituting a Change of Control (as defined in the Indenture), the Issuer will be required to make an offer to repurchase all of the Notes at a price equal to 101% of the principal amount thereof, plus accrued and unpaid interest, if any, to, but excluding, the repurchase date.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Indenture contains certain covenants that limit the ability of the Issuer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and (viii) sell or transfer certain assets or merge or consolidate, in each case subject to certain exceptions and qualifications set forth in the Indenture.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Indenture does not purport to be complete and is subject to, and qualified in its entirety by reference to, the full text of the Indenture, a copy of which is attached hereto as Exhibit 4.1 and incorporated herein by reference.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ABL Amendment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14, 2026, the Issuer, as borrower, New Academy Holding Company, LLC, Associated Investors, L.L.C., Academy Managing Co., L.L.C., and Academy Procurement Co., LLC, each a direct or indirect, wholly-owned subsidiary of the Company, as guarantors, entered into an amendment (the “ABL Amendment”) to the First Amended and Restated ABL Credit Agreement, dated as of July 2, 2015 (as amended, the “ABL Credit Agreement”), with JPMorgan Chase Bank, N.A. as the administrative agent and collateral agent (in such capacities, the “ABL Agent”), letter of credit issuer and swingline lender, and the several lenders party thereto, which ABL Amendment, among other things (i) extended the maturity of the Issuer’s asset-based revolving credit facility (the “ABL Credit Facility”) to May 14, 2031, (ii) modified the Average Excess Availability (as defined in the ABL Credit Agreement) pricing grid used in determining the interest rate margin on borrowings under the ABL Credit Facility and (iii) so long as the Notes are outstanding and mature on or prior to the latest maturity date of the ABL Credit Facility, permits the ABL Agent to take a reserve against the ABL Credit Facility equal to the aggregate principal amount of the Notes in excess of $100 million outstanding on the date that is ninety-one (91) days prior to the latest maturity date of the ABL Credit Facility.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ABL Amendment does not purport to be complete and is subject to, and qualified in its entirety by reference to, the full text of the ABL Amendment, a copy of which is attached hereto as Exhibit 10.1 and incorporated herein by reference.</w:t>
      </w:r>
    </w:p>
    <w:p>
      <w:pPr>
        <w:pStyle w:val="TextBody"/>
        <w:bidi w:val="0"/>
        <w:spacing w:before="0" w:after="0"/>
        <w:jc w:val="left"/>
        <w:rPr>
          <w:sz w:val="20"/>
        </w:rPr>
      </w:pPr>
      <w:r>
        <w:rPr>
          <w:sz w:val="20"/>
        </w:rPr>
      </w:r>
    </w:p>
    <w:tbl>
      <w:tblPr>
        <w:tblW w:w="4990" w:type="dxa"/>
        <w:jc w:val="left"/>
        <w:tblInd w:w="0" w:type="dxa"/>
        <w:tblLayout w:type="fixed"/>
        <w:tblCellMar>
          <w:top w:w="0" w:type="dxa"/>
          <w:left w:w="0" w:type="dxa"/>
          <w:bottom w:w="0" w:type="dxa"/>
          <w:right w:w="0" w:type="dxa"/>
        </w:tblCellMar>
      </w:tblPr>
      <w:tblGrid>
        <w:gridCol w:w="830"/>
        <w:gridCol w:w="41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1.02</w:t>
            </w:r>
          </w:p>
        </w:tc>
        <w:tc>
          <w:tcPr>
            <w:tcW w:w="416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Termination of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1.01 concerning the Redemption and the Term Loan is hereby incorporated into this Item 1.02.</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2.03</w:t>
            </w:r>
          </w:p>
        </w:tc>
        <w:tc>
          <w:tcPr>
            <w:tcW w:w="9397"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Creation of a Direct Financial Obligation or an Obligation under an Off-Balance Sheet Arrangement of a Registrant.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information set forth in Item 1.01 concerning the Indenture, the Notes and the guarantees thereof is hereby incorporated into this Item 2.03.</w:t>
      </w:r>
    </w:p>
    <w:p>
      <w:pPr>
        <w:pStyle w:val="TextBody"/>
        <w:bidi w:val="0"/>
        <w:spacing w:before="0" w:after="0"/>
        <w:jc w:val="left"/>
        <w:rPr>
          <w:sz w:val="20"/>
        </w:rPr>
      </w:pPr>
      <w:r>
        <w:rPr>
          <w:sz w:val="20"/>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May 14, 2026, the Company issued a press release announcing the closing of the offering of the Notes, a copy of which is attached hereto as Exhibit 99.1 and incorporated herein by reference.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information contained under this Item 7.01, including Exhibit 99.1, is being furnished and shall not be deemed to be “filed” for purposes of Section 18 of the Securities Exchange Act of 1934, as amended (the “Exchange Act”), or otherwise subject to the liabilities of that section, nor shall such information be deemed incorporated by reference into any filing under the Securities Act or the Exchange Act, except as expressly set forth by specific reference in such a filing to this Current Report on Form 8-K.</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r>
    </w:p>
    <w:tbl>
      <w:tblPr>
        <w:tblW w:w="10205" w:type="dxa"/>
        <w:jc w:val="left"/>
        <w:tblInd w:w="0" w:type="dxa"/>
        <w:tblLayout w:type="fixed"/>
        <w:tblCellMar>
          <w:top w:w="0" w:type="dxa"/>
          <w:left w:w="0" w:type="dxa"/>
          <w:bottom w:w="0" w:type="dxa"/>
          <w:right w:w="0" w:type="dxa"/>
        </w:tblCellMar>
      </w:tblPr>
      <w:tblGrid>
        <w:gridCol w:w="815"/>
        <w:gridCol w:w="9390"/>
      </w:tblGrid>
      <w:tr>
        <w:trPr/>
        <w:tc>
          <w:tcPr>
            <w:tcW w:w="81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 No.</w:t>
            </w:r>
          </w:p>
        </w:tc>
        <w:tc>
          <w:tcPr>
            <w:tcW w:w="93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 of Exhibit</w:t>
            </w:r>
          </w:p>
        </w:tc>
      </w:tr>
      <w:tr>
        <w:trPr/>
        <w:tc>
          <w:tcPr>
            <w:tcW w:w="815"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center"/>
              <w:rPr/>
            </w:pPr>
            <w:hyperlink w:anchor="ef20073235_ex4-1.htm">
              <w:r>
                <w:rPr>
                  <w:rStyle w:val="InternetLink"/>
                  <w:rFonts w:ascii="Times New Roman" w:hAnsi="Times New Roman"/>
                  <w:color w:val="000000"/>
                  <w:sz w:val="20"/>
                </w:rPr>
                <w:t>4.1</w:t>
              </w:r>
            </w:hyperlink>
          </w:p>
        </w:tc>
        <w:tc>
          <w:tcPr>
            <w:tcW w:w="9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Indenture, dated May 14, 2026, by and among the Issuer, the Guarantors named therein and U.S. Bank Trust Company, National Association, as trustee.</w:t>
            </w:r>
          </w:p>
        </w:tc>
      </w:tr>
      <w:tr>
        <w:trPr/>
        <w:tc>
          <w:tcPr>
            <w:tcW w:w="815"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center"/>
              <w:rPr/>
            </w:pPr>
            <w:hyperlink w:anchor="A5.875SeniorSecuredNoteDu">
              <w:r>
                <w:rPr>
                  <w:rStyle w:val="InternetLink"/>
                  <w:rFonts w:ascii="Times New Roman" w:hAnsi="Times New Roman"/>
                  <w:color w:val="000000"/>
                  <w:sz w:val="20"/>
                </w:rPr>
                <w:t>4.2</w:t>
              </w:r>
            </w:hyperlink>
          </w:p>
        </w:tc>
        <w:tc>
          <w:tcPr>
            <w:tcW w:w="9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Form of 5.875% Senior Secured Notes due 2031 (included in Exhibit 4.1)</w:t>
            </w:r>
          </w:p>
        </w:tc>
      </w:tr>
      <w:tr>
        <w:trPr/>
        <w:tc>
          <w:tcPr>
            <w:tcW w:w="815"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center"/>
              <w:rPr/>
            </w:pPr>
            <w:hyperlink w:anchor="ef20073235_ex10-1.htm">
              <w:r>
                <w:rPr>
                  <w:rStyle w:val="InternetLink"/>
                  <w:rFonts w:ascii="Times New Roman" w:hAnsi="Times New Roman"/>
                  <w:color w:val="000000"/>
                  <w:sz w:val="20"/>
                </w:rPr>
                <w:t>10.1</w:t>
              </w:r>
            </w:hyperlink>
          </w:p>
        </w:tc>
        <w:tc>
          <w:tcPr>
            <w:tcW w:w="9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Amendment No. 5 to First Amended and Restated ABL Credit Agreement, dated May 14, 2026, by and among the Issuer, the guarantors party thereto, certain lenders party thereto, and JPMorgan Chase Bank, N.A., as administrative agent.</w:t>
            </w:r>
          </w:p>
        </w:tc>
      </w:tr>
      <w:tr>
        <w:trPr/>
        <w:tc>
          <w:tcPr>
            <w:tcW w:w="815"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center"/>
              <w:rPr/>
            </w:pPr>
            <w:hyperlink w:anchor="ef20073235_ex99-1.htm">
              <w:r>
                <w:rPr>
                  <w:rStyle w:val="InternetLink"/>
                  <w:rFonts w:ascii="Times New Roman" w:hAnsi="Times New Roman"/>
                  <w:color w:val="000000"/>
                  <w:sz w:val="20"/>
                </w:rPr>
                <w:t>99.1</w:t>
              </w:r>
            </w:hyperlink>
          </w:p>
        </w:tc>
        <w:tc>
          <w:tcPr>
            <w:tcW w:w="9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May 14, 2026, announcing the closing of the offering of the Notes.</w:t>
            </w:r>
          </w:p>
        </w:tc>
      </w:tr>
      <w:tr>
        <w:trPr/>
        <w:tc>
          <w:tcPr>
            <w:tcW w:w="815" w:type="dxa"/>
            <w:tcBorders/>
            <w:vAlign w:val="center"/>
          </w:tcPr>
          <w:p>
            <w:pPr>
              <w:pStyle w:val="TableContents"/>
              <w:bidi w:val="0"/>
              <w:spacing w:before="0" w:after="283"/>
              <w:jc w:val="left"/>
              <w:rPr/>
            </w:pPr>
            <w:r>
              <w:rPr/>
              <w:t> </w:t>
            </w:r>
          </w:p>
        </w:tc>
        <w:tc>
          <w:tcPr>
            <w:tcW w:w="939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9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36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7827" w:type="dxa"/>
        <w:jc w:val="left"/>
        <w:tblInd w:w="0" w:type="dxa"/>
        <w:tblLayout w:type="fixed"/>
        <w:tblCellMar>
          <w:top w:w="0" w:type="dxa"/>
          <w:left w:w="0" w:type="dxa"/>
          <w:bottom w:w="0" w:type="dxa"/>
          <w:right w:w="0" w:type="dxa"/>
        </w:tblCellMar>
      </w:tblPr>
      <w:tblGrid>
        <w:gridCol w:w="1160"/>
        <w:gridCol w:w="918"/>
        <w:gridCol w:w="737"/>
        <w:gridCol w:w="5012"/>
      </w:tblGrid>
      <w:tr>
        <w:trPr/>
        <w:tc>
          <w:tcPr>
            <w:tcW w:w="1160" w:type="dxa"/>
            <w:tcBorders/>
            <w:vAlign w:val="center"/>
          </w:tcPr>
          <w:p>
            <w:pPr>
              <w:pStyle w:val="TableContents"/>
              <w:bidi w:val="0"/>
              <w:spacing w:before="0" w:after="283"/>
              <w:jc w:val="left"/>
              <w:rPr/>
            </w:pPr>
            <w:r>
              <w:rPr/>
              <w:t> </w:t>
            </w:r>
          </w:p>
        </w:tc>
        <w:tc>
          <w:tcPr>
            <w:tcW w:w="6667"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ACADEMY SPORTS AND OUTDOORS, INC.</w:t>
            </w:r>
          </w:p>
        </w:tc>
      </w:tr>
      <w:tr>
        <w:trPr/>
        <w:tc>
          <w:tcPr>
            <w:tcW w:w="1160"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5749" w:type="dxa"/>
            <w:gridSpan w:val="2"/>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May 14, 2026</w:t>
            </w:r>
          </w:p>
        </w:tc>
        <w:tc>
          <w:tcPr>
            <w:tcW w:w="91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73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w:t>
            </w:r>
          </w:p>
        </w:tc>
        <w:tc>
          <w:tcPr>
            <w:tcW w:w="5012"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Brandy Treadway</w:t>
            </w:r>
          </w:p>
        </w:tc>
      </w:tr>
      <w:tr>
        <w:trPr/>
        <w:tc>
          <w:tcPr>
            <w:tcW w:w="1160"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574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Brandy Treadway</w:t>
            </w:r>
          </w:p>
        </w:tc>
      </w:tr>
      <w:tr>
        <w:trPr/>
        <w:tc>
          <w:tcPr>
            <w:tcW w:w="1160"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574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Chief Legal Officer, and Corporate Secretary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jc w:val="center"/>
        <w:rPr/>
      </w:pPr>
      <w:r>
        <w:rPr/>
      </w:r>
    </w:p>
    <w:p>
      <w:pPr>
        <w:pStyle w:val="TextBody"/>
        <w:bidi w:val="0"/>
        <w:spacing w:before="60" w:after="283"/>
        <w:jc w:val="left"/>
        <w:rPr>
          <w:caps w:val="false"/>
          <w:smallCaps w:val="false"/>
          <w:bdr w:val="single" w:sz="32" w:space="1" w:color="000000"/>
        </w:rPr>
      </w:pPr>
      <w:bookmarkStart w:id="0" w:name="ef20073235_ex4-1.htm"/>
      <w:bookmarkStart w:id="1" w:name="ksef20073235_ex41"/>
      <w:bookmarkEnd w:id="0"/>
      <w:bookmarkEnd w:id="1"/>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LTD.</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and as Notes Collateral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May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$500,000,000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 Senior Secured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9800"/>
        <w:gridCol w:w="275"/>
      </w:tblGrid>
      <w:tr>
        <w:trPr/>
        <w:tc>
          <w:tcPr>
            <w:tcW w:w="10075" w:type="dxa"/>
            <w:gridSpan w:val="2"/>
            <w:tcBorders/>
            <w:vAlign w:val="center"/>
          </w:tcPr>
          <w:p>
            <w:pPr>
              <w:pStyle w:val="TableContents"/>
              <w:bidi w:val="0"/>
              <w:spacing w:before="0" w:after="283"/>
              <w:ind w:left="0" w:right="0" w:hanging="1800"/>
              <w:jc w:val="center"/>
              <w:rPr>
                <w:color w:val="000000"/>
              </w:rPr>
            </w:pPr>
            <w:r>
              <w:rPr>
                <w:color w:val="000000"/>
              </w:rPr>
              <w:t xml:space="preserve">ARTICLE One </w:t>
              <w:br/>
              <w:br/>
              <w:t>DEFINITIONS AND OTHER PROVISIONS OF GENERAL APPLICATION</w:t>
            </w:r>
          </w:p>
        </w:tc>
      </w:tr>
      <w:tr>
        <w:trPr/>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SECTION 1.01.   Rules of Construction</w:t>
            </w:r>
          </w:p>
        </w:tc>
        <w:tc>
          <w:tcPr>
            <w:tcW w:w="275" w:type="dxa"/>
            <w:tcBorders/>
            <w:vAlign w:val="center"/>
          </w:tcPr>
          <w:p>
            <w:pPr>
              <w:pStyle w:val="TableContents"/>
              <w:bidi w:val="0"/>
              <w:spacing w:before="0" w:after="283"/>
              <w:ind w:left="0" w:right="0" w:hanging="1800"/>
              <w:jc w:val="right"/>
              <w:rPr>
                <w:color w:val="000000"/>
              </w:rPr>
            </w:pPr>
            <w:r>
              <w:rPr>
                <w:color w:val="000000"/>
              </w:rPr>
              <w:t>1</w:t>
            </w:r>
          </w:p>
        </w:tc>
      </w:tr>
      <w:tr>
        <w:trPr/>
        <w:tc>
          <w:tcPr>
            <w:tcW w:w="9800" w:type="dxa"/>
            <w:tcBorders/>
            <w:vAlign w:val="center"/>
          </w:tcPr>
          <w:p>
            <w:pPr>
              <w:pStyle w:val="TableContents"/>
              <w:bidi w:val="0"/>
              <w:spacing w:before="0" w:after="283"/>
              <w:jc w:val="left"/>
              <w:rPr>
                <w:color w:val="000000"/>
              </w:rPr>
            </w:pPr>
            <w:r>
              <w:rPr>
                <w:color w:val="000000"/>
              </w:rPr>
              <w:t>SECTION 1.02.   Definitions</w:t>
            </w:r>
          </w:p>
        </w:tc>
        <w:tc>
          <w:tcPr>
            <w:tcW w:w="275" w:type="dxa"/>
            <w:tcBorders/>
            <w:vAlign w:val="center"/>
          </w:tcPr>
          <w:p>
            <w:pPr>
              <w:pStyle w:val="TableContents"/>
              <w:bidi w:val="0"/>
              <w:spacing w:before="0" w:after="283"/>
              <w:ind w:left="0" w:right="0" w:hanging="1800"/>
              <w:jc w:val="right"/>
              <w:rPr>
                <w:color w:val="000000"/>
              </w:rPr>
            </w:pPr>
            <w:r>
              <w:rPr>
                <w:color w:val="000000"/>
              </w:rPr>
              <w:t>2</w:t>
            </w:r>
          </w:p>
        </w:tc>
      </w:tr>
      <w:tr>
        <w:trPr/>
        <w:tc>
          <w:tcPr>
            <w:tcW w:w="9800" w:type="dxa"/>
            <w:tcBorders/>
            <w:vAlign w:val="center"/>
          </w:tcPr>
          <w:p>
            <w:pPr>
              <w:pStyle w:val="TableContents"/>
              <w:bidi w:val="0"/>
              <w:spacing w:before="0" w:after="283"/>
              <w:jc w:val="left"/>
              <w:rPr>
                <w:color w:val="000000"/>
              </w:rPr>
            </w:pPr>
            <w:r>
              <w:rPr>
                <w:color w:val="000000"/>
              </w:rPr>
              <w:t>SECTION 1.03.   Compliance Certificates and Opinions</w:t>
            </w:r>
          </w:p>
        </w:tc>
        <w:tc>
          <w:tcPr>
            <w:tcW w:w="275" w:type="dxa"/>
            <w:tcBorders/>
            <w:vAlign w:val="center"/>
          </w:tcPr>
          <w:p>
            <w:pPr>
              <w:pStyle w:val="TableContents"/>
              <w:bidi w:val="0"/>
              <w:spacing w:before="0" w:after="283"/>
              <w:ind w:left="0" w:right="0" w:hanging="1800"/>
              <w:jc w:val="right"/>
              <w:rPr>
                <w:color w:val="000000"/>
              </w:rPr>
            </w:pPr>
            <w:r>
              <w:rPr>
                <w:color w:val="000000"/>
              </w:rPr>
              <w:t>59</w:t>
            </w:r>
          </w:p>
        </w:tc>
      </w:tr>
      <w:tr>
        <w:trPr/>
        <w:tc>
          <w:tcPr>
            <w:tcW w:w="9800" w:type="dxa"/>
            <w:tcBorders/>
            <w:vAlign w:val="center"/>
          </w:tcPr>
          <w:p>
            <w:pPr>
              <w:pStyle w:val="TableContents"/>
              <w:bidi w:val="0"/>
              <w:spacing w:before="0" w:after="283"/>
              <w:jc w:val="left"/>
              <w:rPr>
                <w:color w:val="000000"/>
              </w:rPr>
            </w:pPr>
            <w:r>
              <w:rPr>
                <w:color w:val="000000"/>
              </w:rPr>
              <w:t>SECTION 1.04.   Form of Documents Delivered to Trustee</w:t>
            </w:r>
          </w:p>
        </w:tc>
        <w:tc>
          <w:tcPr>
            <w:tcW w:w="275" w:type="dxa"/>
            <w:tcBorders/>
            <w:vAlign w:val="center"/>
          </w:tcPr>
          <w:p>
            <w:pPr>
              <w:pStyle w:val="TableContents"/>
              <w:bidi w:val="0"/>
              <w:spacing w:before="0" w:after="283"/>
              <w:ind w:left="0" w:right="0" w:hanging="1800"/>
              <w:jc w:val="right"/>
              <w:rPr>
                <w:color w:val="000000"/>
              </w:rPr>
            </w:pPr>
            <w:r>
              <w:rPr>
                <w:color w:val="000000"/>
              </w:rPr>
              <w:t>60</w:t>
            </w:r>
          </w:p>
        </w:tc>
      </w:tr>
      <w:tr>
        <w:trPr/>
        <w:tc>
          <w:tcPr>
            <w:tcW w:w="9800" w:type="dxa"/>
            <w:tcBorders/>
            <w:vAlign w:val="center"/>
          </w:tcPr>
          <w:p>
            <w:pPr>
              <w:pStyle w:val="TableContents"/>
              <w:bidi w:val="0"/>
              <w:spacing w:before="0" w:after="283"/>
              <w:jc w:val="left"/>
              <w:rPr>
                <w:color w:val="000000"/>
              </w:rPr>
            </w:pPr>
            <w:r>
              <w:rPr>
                <w:color w:val="000000"/>
              </w:rPr>
              <w:t>SECTION 1.05.   Acts of Holders</w:t>
            </w:r>
          </w:p>
        </w:tc>
        <w:tc>
          <w:tcPr>
            <w:tcW w:w="275" w:type="dxa"/>
            <w:tcBorders/>
            <w:vAlign w:val="center"/>
          </w:tcPr>
          <w:p>
            <w:pPr>
              <w:pStyle w:val="TableContents"/>
              <w:bidi w:val="0"/>
              <w:spacing w:before="0" w:after="283"/>
              <w:ind w:left="0" w:right="0" w:hanging="1800"/>
              <w:jc w:val="right"/>
              <w:rPr>
                <w:color w:val="000000"/>
              </w:rPr>
            </w:pPr>
            <w:r>
              <w:rPr>
                <w:color w:val="000000"/>
              </w:rPr>
              <w:t>60</w:t>
            </w:r>
          </w:p>
        </w:tc>
      </w:tr>
      <w:tr>
        <w:trPr/>
        <w:tc>
          <w:tcPr>
            <w:tcW w:w="9800" w:type="dxa"/>
            <w:tcBorders/>
            <w:vAlign w:val="center"/>
          </w:tcPr>
          <w:p>
            <w:pPr>
              <w:pStyle w:val="TableContents"/>
              <w:bidi w:val="0"/>
              <w:spacing w:before="0" w:after="283"/>
              <w:jc w:val="left"/>
              <w:rPr>
                <w:color w:val="000000"/>
              </w:rPr>
            </w:pPr>
            <w:r>
              <w:rPr>
                <w:color w:val="000000"/>
              </w:rPr>
              <w:t>SECTION 1.06.   Notices, Etc., to Trustee, Issuer, any Guarantor and Agent</w:t>
            </w:r>
          </w:p>
        </w:tc>
        <w:tc>
          <w:tcPr>
            <w:tcW w:w="275" w:type="dxa"/>
            <w:tcBorders/>
            <w:vAlign w:val="center"/>
          </w:tcPr>
          <w:p>
            <w:pPr>
              <w:pStyle w:val="TableContents"/>
              <w:bidi w:val="0"/>
              <w:spacing w:before="0" w:after="283"/>
              <w:ind w:left="0" w:right="0" w:hanging="1800"/>
              <w:jc w:val="right"/>
              <w:rPr>
                <w:color w:val="000000"/>
              </w:rPr>
            </w:pPr>
            <w:r>
              <w:rPr>
                <w:color w:val="000000"/>
              </w:rPr>
              <w:t>61</w:t>
            </w:r>
          </w:p>
        </w:tc>
      </w:tr>
      <w:tr>
        <w:trPr/>
        <w:tc>
          <w:tcPr>
            <w:tcW w:w="9800" w:type="dxa"/>
            <w:tcBorders/>
            <w:vAlign w:val="center"/>
          </w:tcPr>
          <w:p>
            <w:pPr>
              <w:pStyle w:val="TableContents"/>
              <w:bidi w:val="0"/>
              <w:spacing w:before="0" w:after="283"/>
              <w:jc w:val="left"/>
              <w:rPr>
                <w:color w:val="000000"/>
              </w:rPr>
            </w:pPr>
            <w:r>
              <w:rPr>
                <w:color w:val="000000"/>
              </w:rPr>
              <w:t>SECTION 1.07.   Notice to Holders; Waiver</w:t>
            </w:r>
          </w:p>
        </w:tc>
        <w:tc>
          <w:tcPr>
            <w:tcW w:w="275" w:type="dxa"/>
            <w:tcBorders/>
            <w:vAlign w:val="center"/>
          </w:tcPr>
          <w:p>
            <w:pPr>
              <w:pStyle w:val="TableContents"/>
              <w:bidi w:val="0"/>
              <w:spacing w:before="0" w:after="283"/>
              <w:ind w:left="0" w:right="0" w:hanging="1800"/>
              <w:jc w:val="right"/>
              <w:rPr>
                <w:color w:val="000000"/>
              </w:rPr>
            </w:pPr>
            <w:r>
              <w:rPr>
                <w:color w:val="000000"/>
              </w:rPr>
              <w:t>61</w:t>
            </w:r>
          </w:p>
        </w:tc>
      </w:tr>
      <w:tr>
        <w:trPr/>
        <w:tc>
          <w:tcPr>
            <w:tcW w:w="9800" w:type="dxa"/>
            <w:tcBorders/>
            <w:vAlign w:val="center"/>
          </w:tcPr>
          <w:p>
            <w:pPr>
              <w:pStyle w:val="TableContents"/>
              <w:bidi w:val="0"/>
              <w:spacing w:before="0" w:after="283"/>
              <w:jc w:val="left"/>
              <w:rPr>
                <w:color w:val="000000"/>
              </w:rPr>
            </w:pPr>
            <w:r>
              <w:rPr>
                <w:color w:val="000000"/>
              </w:rPr>
              <w:t>SECTION 1.08.   Effect of Headings and Table of Contents</w:t>
            </w:r>
          </w:p>
        </w:tc>
        <w:tc>
          <w:tcPr>
            <w:tcW w:w="275" w:type="dxa"/>
            <w:tcBorders/>
            <w:vAlign w:val="center"/>
          </w:tcPr>
          <w:p>
            <w:pPr>
              <w:pStyle w:val="TableContents"/>
              <w:bidi w:val="0"/>
              <w:spacing w:before="0" w:after="283"/>
              <w:ind w:left="0" w:right="0" w:hanging="1800"/>
              <w:jc w:val="right"/>
              <w:rPr>
                <w:color w:val="000000"/>
              </w:rPr>
            </w:pPr>
            <w:r>
              <w:rPr>
                <w:color w:val="000000"/>
              </w:rPr>
              <w:t>62</w:t>
            </w:r>
          </w:p>
        </w:tc>
      </w:tr>
      <w:tr>
        <w:trPr/>
        <w:tc>
          <w:tcPr>
            <w:tcW w:w="9800" w:type="dxa"/>
            <w:tcBorders/>
            <w:vAlign w:val="center"/>
          </w:tcPr>
          <w:p>
            <w:pPr>
              <w:pStyle w:val="TableContents"/>
              <w:bidi w:val="0"/>
              <w:spacing w:before="0" w:after="283"/>
              <w:jc w:val="left"/>
              <w:rPr>
                <w:color w:val="000000"/>
              </w:rPr>
            </w:pPr>
            <w:r>
              <w:rPr>
                <w:color w:val="000000"/>
              </w:rPr>
              <w:t>SECTION 1.09.   Successors and Assigns</w:t>
            </w:r>
          </w:p>
        </w:tc>
        <w:tc>
          <w:tcPr>
            <w:tcW w:w="275" w:type="dxa"/>
            <w:tcBorders/>
            <w:vAlign w:val="center"/>
          </w:tcPr>
          <w:p>
            <w:pPr>
              <w:pStyle w:val="TableContents"/>
              <w:bidi w:val="0"/>
              <w:spacing w:before="0" w:after="283"/>
              <w:ind w:left="0" w:right="0" w:hanging="1800"/>
              <w:jc w:val="right"/>
              <w:rPr>
                <w:color w:val="000000"/>
              </w:rPr>
            </w:pPr>
            <w:r>
              <w:rPr>
                <w:color w:val="000000"/>
              </w:rPr>
              <w:t>62</w:t>
            </w:r>
          </w:p>
        </w:tc>
      </w:tr>
      <w:tr>
        <w:trPr/>
        <w:tc>
          <w:tcPr>
            <w:tcW w:w="9800" w:type="dxa"/>
            <w:tcBorders/>
            <w:vAlign w:val="center"/>
          </w:tcPr>
          <w:p>
            <w:pPr>
              <w:pStyle w:val="TableContents"/>
              <w:bidi w:val="0"/>
              <w:spacing w:before="0" w:after="283"/>
              <w:jc w:val="left"/>
              <w:rPr>
                <w:color w:val="000000"/>
              </w:rPr>
            </w:pPr>
            <w:r>
              <w:rPr>
                <w:color w:val="000000"/>
              </w:rPr>
              <w:t>SECTION 1.10.   Severability Clause</w:t>
            </w:r>
          </w:p>
        </w:tc>
        <w:tc>
          <w:tcPr>
            <w:tcW w:w="275" w:type="dxa"/>
            <w:tcBorders/>
            <w:vAlign w:val="center"/>
          </w:tcPr>
          <w:p>
            <w:pPr>
              <w:pStyle w:val="TableContents"/>
              <w:bidi w:val="0"/>
              <w:spacing w:before="0" w:after="283"/>
              <w:ind w:left="0" w:right="0" w:hanging="1800"/>
              <w:jc w:val="right"/>
              <w:rPr>
                <w:color w:val="000000"/>
              </w:rPr>
            </w:pPr>
            <w:r>
              <w:rPr>
                <w:color w:val="000000"/>
              </w:rPr>
              <w:t>62</w:t>
            </w:r>
          </w:p>
        </w:tc>
      </w:tr>
      <w:tr>
        <w:trPr/>
        <w:tc>
          <w:tcPr>
            <w:tcW w:w="9800" w:type="dxa"/>
            <w:tcBorders/>
            <w:vAlign w:val="center"/>
          </w:tcPr>
          <w:p>
            <w:pPr>
              <w:pStyle w:val="TableContents"/>
              <w:bidi w:val="0"/>
              <w:spacing w:before="0" w:after="283"/>
              <w:jc w:val="left"/>
              <w:rPr>
                <w:color w:val="000000"/>
              </w:rPr>
            </w:pPr>
            <w:r>
              <w:rPr>
                <w:color w:val="000000"/>
              </w:rPr>
              <w:t>SECTION 1.11.   Benefits of Indenture</w:t>
            </w:r>
          </w:p>
        </w:tc>
        <w:tc>
          <w:tcPr>
            <w:tcW w:w="275" w:type="dxa"/>
            <w:tcBorders/>
            <w:vAlign w:val="center"/>
          </w:tcPr>
          <w:p>
            <w:pPr>
              <w:pStyle w:val="TableContents"/>
              <w:bidi w:val="0"/>
              <w:spacing w:before="0" w:after="283"/>
              <w:ind w:left="0" w:right="0" w:hanging="1800"/>
              <w:jc w:val="right"/>
              <w:rPr>
                <w:color w:val="000000"/>
              </w:rPr>
            </w:pPr>
            <w:r>
              <w:rPr>
                <w:color w:val="000000"/>
              </w:rPr>
              <w:t>62</w:t>
            </w:r>
          </w:p>
        </w:tc>
      </w:tr>
      <w:tr>
        <w:trPr/>
        <w:tc>
          <w:tcPr>
            <w:tcW w:w="9800" w:type="dxa"/>
            <w:tcBorders/>
            <w:vAlign w:val="center"/>
          </w:tcPr>
          <w:p>
            <w:pPr>
              <w:pStyle w:val="TableContents"/>
              <w:bidi w:val="0"/>
              <w:spacing w:before="0" w:after="283"/>
              <w:jc w:val="left"/>
              <w:rPr>
                <w:color w:val="000000"/>
              </w:rPr>
            </w:pPr>
            <w:r>
              <w:rPr>
                <w:color w:val="000000"/>
              </w:rPr>
              <w:t>SECTION 1.12.   Governing Law</w:t>
            </w:r>
          </w:p>
        </w:tc>
        <w:tc>
          <w:tcPr>
            <w:tcW w:w="275" w:type="dxa"/>
            <w:tcBorders/>
            <w:vAlign w:val="center"/>
          </w:tcPr>
          <w:p>
            <w:pPr>
              <w:pStyle w:val="TableContents"/>
              <w:bidi w:val="0"/>
              <w:spacing w:before="0" w:after="283"/>
              <w:ind w:left="0" w:right="0" w:hanging="1800"/>
              <w:jc w:val="right"/>
              <w:rPr>
                <w:color w:val="000000"/>
              </w:rPr>
            </w:pPr>
            <w:r>
              <w:rPr>
                <w:color w:val="000000"/>
              </w:rPr>
              <w:t>62</w:t>
            </w:r>
          </w:p>
        </w:tc>
      </w:tr>
      <w:tr>
        <w:trPr/>
        <w:tc>
          <w:tcPr>
            <w:tcW w:w="9800" w:type="dxa"/>
            <w:tcBorders/>
            <w:vAlign w:val="center"/>
          </w:tcPr>
          <w:p>
            <w:pPr>
              <w:pStyle w:val="TableContents"/>
              <w:bidi w:val="0"/>
              <w:spacing w:before="0" w:after="283"/>
              <w:jc w:val="left"/>
              <w:rPr>
                <w:color w:val="000000"/>
              </w:rPr>
            </w:pPr>
            <w:r>
              <w:rPr>
                <w:color w:val="000000"/>
              </w:rPr>
              <w:t>SECTION 1.13.   Legal Holidays</w:t>
            </w:r>
          </w:p>
        </w:tc>
        <w:tc>
          <w:tcPr>
            <w:tcW w:w="275" w:type="dxa"/>
            <w:tcBorders/>
            <w:vAlign w:val="center"/>
          </w:tcPr>
          <w:p>
            <w:pPr>
              <w:pStyle w:val="TableContents"/>
              <w:bidi w:val="0"/>
              <w:spacing w:before="0" w:after="283"/>
              <w:ind w:left="0" w:right="0" w:hanging="1800"/>
              <w:jc w:val="right"/>
              <w:rPr>
                <w:color w:val="000000"/>
              </w:rPr>
            </w:pPr>
            <w:r>
              <w:rPr>
                <w:color w:val="000000"/>
              </w:rPr>
              <w:t>63</w:t>
            </w:r>
          </w:p>
        </w:tc>
      </w:tr>
      <w:tr>
        <w:trPr/>
        <w:tc>
          <w:tcPr>
            <w:tcW w:w="9800" w:type="dxa"/>
            <w:tcBorders/>
            <w:vAlign w:val="center"/>
          </w:tcPr>
          <w:p>
            <w:pPr>
              <w:pStyle w:val="TableContents"/>
              <w:bidi w:val="0"/>
              <w:spacing w:before="0" w:after="283"/>
              <w:jc w:val="left"/>
              <w:rPr>
                <w:color w:val="000000"/>
              </w:rPr>
            </w:pPr>
            <w:r>
              <w:rPr>
                <w:color w:val="000000"/>
              </w:rPr>
              <w:t>SECTION 1.14.   No Personal Liability of Directors, Managers, Officers, Employees and Stockholders</w:t>
            </w:r>
          </w:p>
        </w:tc>
        <w:tc>
          <w:tcPr>
            <w:tcW w:w="275" w:type="dxa"/>
            <w:tcBorders/>
            <w:vAlign w:val="center"/>
          </w:tcPr>
          <w:p>
            <w:pPr>
              <w:pStyle w:val="TableContents"/>
              <w:bidi w:val="0"/>
              <w:spacing w:before="0" w:after="283"/>
              <w:ind w:left="0" w:right="0" w:hanging="1800"/>
              <w:jc w:val="right"/>
              <w:rPr>
                <w:color w:val="000000"/>
              </w:rPr>
            </w:pPr>
            <w:r>
              <w:rPr>
                <w:color w:val="000000"/>
              </w:rPr>
              <w:t>63</w:t>
            </w:r>
          </w:p>
        </w:tc>
      </w:tr>
      <w:tr>
        <w:trPr/>
        <w:tc>
          <w:tcPr>
            <w:tcW w:w="9800" w:type="dxa"/>
            <w:tcBorders/>
            <w:vAlign w:val="center"/>
          </w:tcPr>
          <w:p>
            <w:pPr>
              <w:pStyle w:val="TableContents"/>
              <w:bidi w:val="0"/>
              <w:spacing w:before="0" w:after="283"/>
              <w:jc w:val="left"/>
              <w:rPr>
                <w:color w:val="000000"/>
              </w:rPr>
            </w:pPr>
            <w:r>
              <w:rPr>
                <w:color w:val="000000"/>
              </w:rPr>
              <w:t>SECTION 1.15.   [Reserved]</w:t>
            </w:r>
          </w:p>
        </w:tc>
        <w:tc>
          <w:tcPr>
            <w:tcW w:w="275" w:type="dxa"/>
            <w:tcBorders/>
            <w:vAlign w:val="center"/>
          </w:tcPr>
          <w:p>
            <w:pPr>
              <w:pStyle w:val="TableContents"/>
              <w:bidi w:val="0"/>
              <w:spacing w:before="0" w:after="283"/>
              <w:ind w:left="0" w:right="0" w:hanging="1800"/>
              <w:jc w:val="right"/>
              <w:rPr>
                <w:color w:val="000000"/>
              </w:rPr>
            </w:pPr>
            <w:r>
              <w:rPr>
                <w:color w:val="000000"/>
              </w:rPr>
              <w:t>63</w:t>
            </w:r>
          </w:p>
        </w:tc>
      </w:tr>
      <w:tr>
        <w:trPr/>
        <w:tc>
          <w:tcPr>
            <w:tcW w:w="9800" w:type="dxa"/>
            <w:tcBorders/>
            <w:vAlign w:val="center"/>
          </w:tcPr>
          <w:p>
            <w:pPr>
              <w:pStyle w:val="TableContents"/>
              <w:bidi w:val="0"/>
              <w:spacing w:before="0" w:after="283"/>
              <w:jc w:val="left"/>
              <w:rPr>
                <w:color w:val="000000"/>
              </w:rPr>
            </w:pPr>
            <w:r>
              <w:rPr>
                <w:color w:val="000000"/>
              </w:rPr>
              <w:t>SECTION 1.16.   Counterparts</w:t>
            </w:r>
          </w:p>
        </w:tc>
        <w:tc>
          <w:tcPr>
            <w:tcW w:w="275" w:type="dxa"/>
            <w:tcBorders/>
            <w:vAlign w:val="center"/>
          </w:tcPr>
          <w:p>
            <w:pPr>
              <w:pStyle w:val="TableContents"/>
              <w:bidi w:val="0"/>
              <w:spacing w:before="0" w:after="283"/>
              <w:ind w:left="0" w:right="0" w:hanging="1800"/>
              <w:jc w:val="right"/>
              <w:rPr>
                <w:color w:val="000000"/>
              </w:rPr>
            </w:pPr>
            <w:r>
              <w:rPr>
                <w:color w:val="000000"/>
              </w:rPr>
              <w:t>63</w:t>
            </w:r>
          </w:p>
        </w:tc>
      </w:tr>
      <w:tr>
        <w:trPr/>
        <w:tc>
          <w:tcPr>
            <w:tcW w:w="9800" w:type="dxa"/>
            <w:tcBorders/>
            <w:vAlign w:val="center"/>
          </w:tcPr>
          <w:p>
            <w:pPr>
              <w:pStyle w:val="TableContents"/>
              <w:bidi w:val="0"/>
              <w:spacing w:before="0" w:after="283"/>
              <w:jc w:val="left"/>
              <w:rPr>
                <w:color w:val="000000"/>
              </w:rPr>
            </w:pPr>
            <w:r>
              <w:rPr>
                <w:color w:val="000000"/>
              </w:rPr>
              <w:t>SECTION 1.17.   USA PATRIOT Act</w:t>
            </w:r>
          </w:p>
        </w:tc>
        <w:tc>
          <w:tcPr>
            <w:tcW w:w="275" w:type="dxa"/>
            <w:tcBorders/>
            <w:vAlign w:val="center"/>
          </w:tcPr>
          <w:p>
            <w:pPr>
              <w:pStyle w:val="TableContents"/>
              <w:bidi w:val="0"/>
              <w:spacing w:before="0" w:after="283"/>
              <w:ind w:left="0" w:right="0" w:hanging="1800"/>
              <w:jc w:val="right"/>
              <w:rPr>
                <w:color w:val="000000"/>
              </w:rPr>
            </w:pPr>
            <w:r>
              <w:rPr>
                <w:color w:val="000000"/>
              </w:rPr>
              <w:t>63</w:t>
            </w:r>
          </w:p>
        </w:tc>
      </w:tr>
      <w:tr>
        <w:trPr/>
        <w:tc>
          <w:tcPr>
            <w:tcW w:w="9800" w:type="dxa"/>
            <w:tcBorders/>
            <w:vAlign w:val="center"/>
          </w:tcPr>
          <w:p>
            <w:pPr>
              <w:pStyle w:val="TableContents"/>
              <w:bidi w:val="0"/>
              <w:spacing w:before="0" w:after="283"/>
              <w:jc w:val="left"/>
              <w:rPr>
                <w:color w:val="000000"/>
              </w:rPr>
            </w:pPr>
            <w:r>
              <w:rPr>
                <w:color w:val="000000"/>
              </w:rPr>
              <w:t>SECTION 1.18.   Waiver of Jury Trial</w:t>
            </w:r>
          </w:p>
        </w:tc>
        <w:tc>
          <w:tcPr>
            <w:tcW w:w="275" w:type="dxa"/>
            <w:tcBorders/>
            <w:vAlign w:val="center"/>
          </w:tcPr>
          <w:p>
            <w:pPr>
              <w:pStyle w:val="TableContents"/>
              <w:bidi w:val="0"/>
              <w:spacing w:before="0" w:after="283"/>
              <w:ind w:left="0" w:right="0" w:hanging="1800"/>
              <w:jc w:val="right"/>
              <w:rPr>
                <w:color w:val="000000"/>
              </w:rPr>
            </w:pPr>
            <w:r>
              <w:rPr>
                <w:color w:val="000000"/>
              </w:rPr>
              <w:t>64</w:t>
            </w:r>
          </w:p>
        </w:tc>
      </w:tr>
      <w:tr>
        <w:trPr/>
        <w:tc>
          <w:tcPr>
            <w:tcW w:w="9800" w:type="dxa"/>
            <w:tcBorders/>
            <w:vAlign w:val="center"/>
          </w:tcPr>
          <w:p>
            <w:pPr>
              <w:pStyle w:val="TableContents"/>
              <w:bidi w:val="0"/>
              <w:spacing w:before="0" w:after="283"/>
              <w:jc w:val="left"/>
              <w:rPr>
                <w:color w:val="000000"/>
              </w:rPr>
            </w:pPr>
            <w:r>
              <w:rPr>
                <w:color w:val="000000"/>
              </w:rPr>
              <w:t>SECTION 1.19.   Force Majeure</w:t>
            </w:r>
          </w:p>
        </w:tc>
        <w:tc>
          <w:tcPr>
            <w:tcW w:w="275" w:type="dxa"/>
            <w:tcBorders/>
            <w:vAlign w:val="center"/>
          </w:tcPr>
          <w:p>
            <w:pPr>
              <w:pStyle w:val="TableContents"/>
              <w:bidi w:val="0"/>
              <w:spacing w:before="0" w:after="283"/>
              <w:ind w:left="0" w:right="0" w:hanging="1800"/>
              <w:jc w:val="right"/>
              <w:rPr>
                <w:color w:val="000000"/>
              </w:rPr>
            </w:pPr>
            <w:r>
              <w:rPr>
                <w:color w:val="000000"/>
              </w:rPr>
              <w:t>64</w:t>
            </w:r>
          </w:p>
        </w:tc>
      </w:tr>
      <w:tr>
        <w:trPr/>
        <w:tc>
          <w:tcPr>
            <w:tcW w:w="9800" w:type="dxa"/>
            <w:tcBorders/>
            <w:vAlign w:val="center"/>
          </w:tcPr>
          <w:p>
            <w:pPr>
              <w:pStyle w:val="TableContents"/>
              <w:bidi w:val="0"/>
              <w:spacing w:before="0" w:after="283"/>
              <w:jc w:val="left"/>
              <w:rPr>
                <w:color w:val="000000"/>
              </w:rPr>
            </w:pPr>
            <w:r>
              <w:rPr>
                <w:color w:val="000000"/>
              </w:rPr>
              <w:t>SECTION 1.20.   FATCA</w:t>
            </w:r>
          </w:p>
        </w:tc>
        <w:tc>
          <w:tcPr>
            <w:tcW w:w="275" w:type="dxa"/>
            <w:tcBorders/>
            <w:vAlign w:val="center"/>
          </w:tcPr>
          <w:p>
            <w:pPr>
              <w:pStyle w:val="TableContents"/>
              <w:bidi w:val="0"/>
              <w:spacing w:before="0" w:after="283"/>
              <w:jc w:val="right"/>
              <w:rPr>
                <w:color w:val="000000"/>
              </w:rPr>
            </w:pPr>
            <w:r>
              <w:rPr>
                <w:color w:val="000000"/>
              </w:rPr>
              <w:t>64</w:t>
            </w:r>
          </w:p>
        </w:tc>
      </w:tr>
      <w:tr>
        <w:trPr/>
        <w:tc>
          <w:tcPr>
            <w:tcW w:w="10075" w:type="dxa"/>
            <w:gridSpan w:val="2"/>
            <w:tcBorders/>
            <w:vAlign w:val="center"/>
          </w:tcPr>
          <w:p>
            <w:pPr>
              <w:pStyle w:val="TableContents"/>
              <w:bidi w:val="0"/>
              <w:spacing w:before="0" w:after="283"/>
              <w:ind w:left="0" w:right="0" w:hanging="1800"/>
              <w:jc w:val="center"/>
              <w:rPr/>
            </w:pPr>
            <w:r>
              <w:rPr/>
              <w:t xml:space="preserve">ARTICLE Two </w:t>
              <w:br/>
              <w:br/>
              <w:t>NOTE FORMS</w:t>
            </w:r>
          </w:p>
        </w:tc>
      </w:tr>
      <w:tr>
        <w:trPr/>
        <w:tc>
          <w:tcPr>
            <w:tcW w:w="9800" w:type="dxa"/>
            <w:tcBorders/>
            <w:vAlign w:val="center"/>
          </w:tcPr>
          <w:p>
            <w:pPr>
              <w:pStyle w:val="TableContents"/>
              <w:bidi w:val="0"/>
              <w:spacing w:before="0" w:after="283"/>
              <w:jc w:val="left"/>
              <w:rPr/>
            </w:pPr>
            <w:r>
              <w:rPr/>
              <w:t>SECTION 2.01.   Form and Dating</w:t>
            </w:r>
          </w:p>
        </w:tc>
        <w:tc>
          <w:tcPr>
            <w:tcW w:w="275" w:type="dxa"/>
            <w:tcBorders/>
            <w:vAlign w:val="center"/>
          </w:tcPr>
          <w:p>
            <w:pPr>
              <w:pStyle w:val="TableContents"/>
              <w:bidi w:val="0"/>
              <w:spacing w:before="0" w:after="283"/>
              <w:ind w:left="0" w:right="0" w:hanging="1800"/>
              <w:jc w:val="right"/>
              <w:rPr/>
            </w:pPr>
            <w:r>
              <w:rPr/>
              <w:t>64</w:t>
            </w:r>
          </w:p>
        </w:tc>
      </w:tr>
      <w:tr>
        <w:trPr/>
        <w:tc>
          <w:tcPr>
            <w:tcW w:w="9800" w:type="dxa"/>
            <w:tcBorders/>
            <w:vAlign w:val="center"/>
          </w:tcPr>
          <w:p>
            <w:pPr>
              <w:pStyle w:val="TableContents"/>
              <w:bidi w:val="0"/>
              <w:spacing w:before="0" w:after="283"/>
              <w:jc w:val="left"/>
              <w:rPr/>
            </w:pPr>
            <w:r>
              <w:rPr/>
              <w:t>SECTION 2.02.   Execution, Authentication, Delivery and Dating</w:t>
            </w:r>
          </w:p>
        </w:tc>
        <w:tc>
          <w:tcPr>
            <w:tcW w:w="275" w:type="dxa"/>
            <w:tcBorders/>
            <w:vAlign w:val="center"/>
          </w:tcPr>
          <w:p>
            <w:pPr>
              <w:pStyle w:val="TableContents"/>
              <w:bidi w:val="0"/>
              <w:spacing w:before="0" w:after="283"/>
              <w:jc w:val="right"/>
              <w:rPr/>
            </w:pPr>
            <w:r>
              <w:rPr/>
              <w:t>64</w:t>
            </w:r>
          </w:p>
        </w:tc>
      </w:tr>
      <w:tr>
        <w:trPr/>
        <w:tc>
          <w:tcPr>
            <w:tcW w:w="10075" w:type="dxa"/>
            <w:gridSpan w:val="2"/>
            <w:tcBorders/>
            <w:vAlign w:val="center"/>
          </w:tcPr>
          <w:p>
            <w:pPr>
              <w:pStyle w:val="TableContents"/>
              <w:bidi w:val="0"/>
              <w:spacing w:before="0" w:after="283"/>
              <w:ind w:left="0" w:right="0" w:hanging="1800"/>
              <w:jc w:val="center"/>
              <w:rPr/>
            </w:pPr>
            <w:r>
              <w:rPr/>
              <w:t xml:space="preserve">ARTICLE Three </w:t>
              <w:br/>
              <w:br/>
              <w:t>THE NOTES</w:t>
            </w:r>
          </w:p>
        </w:tc>
      </w:tr>
      <w:tr>
        <w:trPr/>
        <w:tc>
          <w:tcPr>
            <w:tcW w:w="9800" w:type="dxa"/>
            <w:tcBorders/>
            <w:vAlign w:val="center"/>
          </w:tcPr>
          <w:p>
            <w:pPr>
              <w:pStyle w:val="TableContents"/>
              <w:bidi w:val="0"/>
              <w:spacing w:before="0" w:after="283"/>
              <w:jc w:val="left"/>
              <w:rPr/>
            </w:pPr>
            <w:r>
              <w:rPr/>
              <w:t>SECTION 3.01.   Title and Terms</w:t>
            </w:r>
          </w:p>
        </w:tc>
        <w:tc>
          <w:tcPr>
            <w:tcW w:w="275" w:type="dxa"/>
            <w:tcBorders/>
            <w:vAlign w:val="center"/>
          </w:tcPr>
          <w:p>
            <w:pPr>
              <w:pStyle w:val="TableContents"/>
              <w:bidi w:val="0"/>
              <w:spacing w:before="0" w:after="283"/>
              <w:ind w:left="0" w:right="0" w:hanging="1800"/>
              <w:jc w:val="right"/>
              <w:rPr/>
            </w:pPr>
            <w:r>
              <w:rPr/>
              <w:t>66</w:t>
            </w:r>
          </w:p>
        </w:tc>
      </w:tr>
      <w:tr>
        <w:trPr/>
        <w:tc>
          <w:tcPr>
            <w:tcW w:w="9800" w:type="dxa"/>
            <w:tcBorders/>
            <w:vAlign w:val="center"/>
          </w:tcPr>
          <w:p>
            <w:pPr>
              <w:pStyle w:val="TableContents"/>
              <w:bidi w:val="0"/>
              <w:spacing w:before="0" w:after="283"/>
              <w:jc w:val="left"/>
              <w:rPr/>
            </w:pPr>
            <w:r>
              <w:rPr/>
              <w:t>SECTION 3.02.   Note Registrar, Transfer Agent and Paying Agent</w:t>
            </w:r>
          </w:p>
        </w:tc>
        <w:tc>
          <w:tcPr>
            <w:tcW w:w="275" w:type="dxa"/>
            <w:tcBorders/>
            <w:vAlign w:val="center"/>
          </w:tcPr>
          <w:p>
            <w:pPr>
              <w:pStyle w:val="TableContents"/>
              <w:bidi w:val="0"/>
              <w:spacing w:before="0" w:after="283"/>
              <w:ind w:left="0" w:right="0" w:hanging="1800"/>
              <w:jc w:val="right"/>
              <w:rPr/>
            </w:pPr>
            <w:r>
              <w:rPr/>
              <w:t>66</w:t>
            </w:r>
          </w:p>
        </w:tc>
      </w:tr>
      <w:tr>
        <w:trPr/>
        <w:tc>
          <w:tcPr>
            <w:tcW w:w="9800" w:type="dxa"/>
            <w:tcBorders/>
            <w:vAlign w:val="center"/>
          </w:tcPr>
          <w:p>
            <w:pPr>
              <w:pStyle w:val="TableContents"/>
              <w:bidi w:val="0"/>
              <w:spacing w:before="0" w:after="283"/>
              <w:jc w:val="left"/>
              <w:rPr/>
            </w:pPr>
            <w:r>
              <w:rPr/>
              <w:t>SECTION 3.03.   Denominations</w:t>
            </w:r>
          </w:p>
        </w:tc>
        <w:tc>
          <w:tcPr>
            <w:tcW w:w="275" w:type="dxa"/>
            <w:tcBorders/>
            <w:vAlign w:val="center"/>
          </w:tcPr>
          <w:p>
            <w:pPr>
              <w:pStyle w:val="TableContents"/>
              <w:bidi w:val="0"/>
              <w:spacing w:before="0" w:after="283"/>
              <w:ind w:left="0" w:right="0" w:hanging="1800"/>
              <w:jc w:val="right"/>
              <w:rPr/>
            </w:pPr>
            <w:r>
              <w:rPr/>
              <w:t>67</w:t>
            </w:r>
          </w:p>
        </w:tc>
      </w:tr>
      <w:tr>
        <w:trPr/>
        <w:tc>
          <w:tcPr>
            <w:tcW w:w="9800" w:type="dxa"/>
            <w:tcBorders/>
            <w:vAlign w:val="center"/>
          </w:tcPr>
          <w:p>
            <w:pPr>
              <w:pStyle w:val="TableContents"/>
              <w:bidi w:val="0"/>
              <w:spacing w:before="0" w:after="283"/>
              <w:jc w:val="left"/>
              <w:rPr/>
            </w:pPr>
            <w:r>
              <w:rPr/>
              <w:t>SECTION 3.04.   Temporary Notes</w:t>
            </w:r>
          </w:p>
        </w:tc>
        <w:tc>
          <w:tcPr>
            <w:tcW w:w="275" w:type="dxa"/>
            <w:tcBorders/>
            <w:vAlign w:val="center"/>
          </w:tcPr>
          <w:p>
            <w:pPr>
              <w:pStyle w:val="TableContents"/>
              <w:bidi w:val="0"/>
              <w:spacing w:before="0" w:after="283"/>
              <w:ind w:left="0" w:right="0" w:hanging="1800"/>
              <w:jc w:val="right"/>
              <w:rPr/>
            </w:pPr>
            <w:r>
              <w:rPr/>
              <w:t>67</w:t>
            </w:r>
          </w:p>
        </w:tc>
      </w:tr>
      <w:tr>
        <w:trPr/>
        <w:tc>
          <w:tcPr>
            <w:tcW w:w="9800" w:type="dxa"/>
            <w:tcBorders/>
            <w:vAlign w:val="center"/>
          </w:tcPr>
          <w:p>
            <w:pPr>
              <w:pStyle w:val="TableContents"/>
              <w:bidi w:val="0"/>
              <w:spacing w:before="0" w:after="283"/>
              <w:jc w:val="left"/>
              <w:rPr/>
            </w:pPr>
            <w:r>
              <w:rPr/>
              <w:t>SECTION 3.05.   Registration of Transfer and Exchange</w:t>
            </w:r>
          </w:p>
        </w:tc>
        <w:tc>
          <w:tcPr>
            <w:tcW w:w="275" w:type="dxa"/>
            <w:tcBorders/>
            <w:vAlign w:val="center"/>
          </w:tcPr>
          <w:p>
            <w:pPr>
              <w:pStyle w:val="TableContents"/>
              <w:bidi w:val="0"/>
              <w:spacing w:before="0" w:after="283"/>
              <w:ind w:left="0" w:right="0" w:hanging="1800"/>
              <w:jc w:val="right"/>
              <w:rPr/>
            </w:pPr>
            <w:r>
              <w:rPr/>
              <w:t>67</w:t>
            </w:r>
          </w:p>
        </w:tc>
      </w:tr>
      <w:tr>
        <w:trPr/>
        <w:tc>
          <w:tcPr>
            <w:tcW w:w="9800" w:type="dxa"/>
            <w:tcBorders/>
            <w:vAlign w:val="center"/>
          </w:tcPr>
          <w:p>
            <w:pPr>
              <w:pStyle w:val="TableContents"/>
              <w:bidi w:val="0"/>
              <w:spacing w:before="0" w:after="283"/>
              <w:jc w:val="left"/>
              <w:rPr/>
            </w:pPr>
            <w:r>
              <w:rPr/>
              <w:t>SECTION 3.06.   Mutilated, Destroyed, Lost and Stolen Notes</w:t>
            </w:r>
          </w:p>
        </w:tc>
        <w:tc>
          <w:tcPr>
            <w:tcW w:w="275" w:type="dxa"/>
            <w:tcBorders/>
            <w:vAlign w:val="center"/>
          </w:tcPr>
          <w:p>
            <w:pPr>
              <w:pStyle w:val="TableContents"/>
              <w:bidi w:val="0"/>
              <w:spacing w:before="0" w:after="283"/>
              <w:ind w:left="0" w:right="0" w:hanging="1800"/>
              <w:jc w:val="right"/>
              <w:rPr/>
            </w:pPr>
            <w:r>
              <w:rPr/>
              <w:t>68</w:t>
            </w:r>
          </w:p>
        </w:tc>
      </w:tr>
      <w:tr>
        <w:trPr/>
        <w:tc>
          <w:tcPr>
            <w:tcW w:w="9800" w:type="dxa"/>
            <w:tcBorders/>
            <w:vAlign w:val="center"/>
          </w:tcPr>
          <w:p>
            <w:pPr>
              <w:pStyle w:val="TableContents"/>
              <w:bidi w:val="0"/>
              <w:spacing w:before="0" w:after="283"/>
              <w:jc w:val="left"/>
              <w:rPr/>
            </w:pPr>
            <w:r>
              <w:rPr/>
              <w:t>SECTION 3.07.   Payment of Interest; Interest Rights Preserved</w:t>
            </w:r>
          </w:p>
        </w:tc>
        <w:tc>
          <w:tcPr>
            <w:tcW w:w="275" w:type="dxa"/>
            <w:tcBorders/>
            <w:vAlign w:val="center"/>
          </w:tcPr>
          <w:p>
            <w:pPr>
              <w:pStyle w:val="TableContents"/>
              <w:bidi w:val="0"/>
              <w:spacing w:before="0" w:after="283"/>
              <w:ind w:left="0" w:right="0" w:hanging="1800"/>
              <w:jc w:val="right"/>
              <w:rPr/>
            </w:pPr>
            <w:r>
              <w:rPr/>
              <w:t>69</w:t>
            </w:r>
          </w:p>
        </w:tc>
      </w:tr>
      <w:tr>
        <w:trPr/>
        <w:tc>
          <w:tcPr>
            <w:tcW w:w="9800" w:type="dxa"/>
            <w:tcBorders/>
            <w:vAlign w:val="center"/>
          </w:tcPr>
          <w:p>
            <w:pPr>
              <w:pStyle w:val="TableContents"/>
              <w:bidi w:val="0"/>
              <w:spacing w:before="0" w:after="283"/>
              <w:jc w:val="left"/>
              <w:rPr/>
            </w:pPr>
            <w:r>
              <w:rPr/>
              <w:t>SECTION 3.08.   Persons Deemed Owners</w:t>
            </w:r>
          </w:p>
        </w:tc>
        <w:tc>
          <w:tcPr>
            <w:tcW w:w="275" w:type="dxa"/>
            <w:tcBorders/>
            <w:vAlign w:val="center"/>
          </w:tcPr>
          <w:p>
            <w:pPr>
              <w:pStyle w:val="TableContents"/>
              <w:bidi w:val="0"/>
              <w:spacing w:before="0" w:after="283"/>
              <w:ind w:left="0" w:right="0" w:hanging="1800"/>
              <w:jc w:val="right"/>
              <w:rPr/>
            </w:pPr>
            <w:r>
              <w:rPr/>
              <w:t>70</w:t>
            </w:r>
          </w:p>
        </w:tc>
      </w:tr>
      <w:tr>
        <w:trPr/>
        <w:tc>
          <w:tcPr>
            <w:tcW w:w="9800" w:type="dxa"/>
            <w:tcBorders/>
            <w:vAlign w:val="center"/>
          </w:tcPr>
          <w:p>
            <w:pPr>
              <w:pStyle w:val="TableContents"/>
              <w:bidi w:val="0"/>
              <w:spacing w:before="0" w:after="283"/>
              <w:jc w:val="left"/>
              <w:rPr/>
            </w:pPr>
            <w:r>
              <w:rPr/>
              <w:t>SECTION 3.09.   Cancellation</w:t>
            </w:r>
          </w:p>
        </w:tc>
        <w:tc>
          <w:tcPr>
            <w:tcW w:w="275" w:type="dxa"/>
            <w:tcBorders/>
            <w:vAlign w:val="center"/>
          </w:tcPr>
          <w:p>
            <w:pPr>
              <w:pStyle w:val="TableContents"/>
              <w:bidi w:val="0"/>
              <w:spacing w:before="0" w:after="283"/>
              <w:jc w:val="right"/>
              <w:rPr/>
            </w:pPr>
            <w:r>
              <w:rPr/>
              <w:t>70</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910"/>
        <w:gridCol w:w="275"/>
      </w:tblGrid>
      <w:tr>
        <w:trPr/>
        <w:tc>
          <w:tcPr>
            <w:tcW w:w="7910" w:type="dxa"/>
            <w:tcBorders/>
            <w:vAlign w:val="center"/>
          </w:tcPr>
          <w:p>
            <w:pPr>
              <w:pStyle w:val="TableContents"/>
              <w:bidi w:val="0"/>
              <w:spacing w:before="0" w:after="283"/>
              <w:ind w:left="0" w:right="0" w:hanging="1800"/>
              <w:jc w:val="left"/>
              <w:rPr/>
            </w:pPr>
            <w:r>
              <w:rPr/>
              <w:t>SECTION 3.10.   Computation of Interest</w:t>
            </w:r>
          </w:p>
        </w:tc>
        <w:tc>
          <w:tcPr>
            <w:tcW w:w="275" w:type="dxa"/>
            <w:tcBorders/>
            <w:vAlign w:val="center"/>
          </w:tcPr>
          <w:p>
            <w:pPr>
              <w:pStyle w:val="TableContents"/>
              <w:bidi w:val="0"/>
              <w:spacing w:before="0" w:after="283"/>
              <w:ind w:left="0" w:right="0" w:hanging="1800"/>
              <w:jc w:val="right"/>
              <w:rPr/>
            </w:pPr>
            <w:r>
              <w:rPr/>
              <w:t>70</w:t>
            </w:r>
          </w:p>
        </w:tc>
      </w:tr>
      <w:tr>
        <w:trPr/>
        <w:tc>
          <w:tcPr>
            <w:tcW w:w="7910" w:type="dxa"/>
            <w:tcBorders/>
            <w:vAlign w:val="center"/>
          </w:tcPr>
          <w:p>
            <w:pPr>
              <w:pStyle w:val="TableContents"/>
              <w:bidi w:val="0"/>
              <w:spacing w:before="0" w:after="283"/>
              <w:jc w:val="left"/>
              <w:rPr/>
            </w:pPr>
            <w:r>
              <w:rPr/>
              <w:t>SECTION 3.11.   Transfer and Exchange</w:t>
            </w:r>
          </w:p>
        </w:tc>
        <w:tc>
          <w:tcPr>
            <w:tcW w:w="275" w:type="dxa"/>
            <w:tcBorders/>
            <w:vAlign w:val="center"/>
          </w:tcPr>
          <w:p>
            <w:pPr>
              <w:pStyle w:val="TableContents"/>
              <w:bidi w:val="0"/>
              <w:spacing w:before="0" w:after="283"/>
              <w:ind w:left="0" w:right="0" w:hanging="1800"/>
              <w:jc w:val="right"/>
              <w:rPr/>
            </w:pPr>
            <w:r>
              <w:rPr/>
              <w:t>70</w:t>
            </w:r>
          </w:p>
        </w:tc>
      </w:tr>
      <w:tr>
        <w:trPr/>
        <w:tc>
          <w:tcPr>
            <w:tcW w:w="7910" w:type="dxa"/>
            <w:tcBorders/>
            <w:vAlign w:val="center"/>
          </w:tcPr>
          <w:p>
            <w:pPr>
              <w:pStyle w:val="TableContents"/>
              <w:bidi w:val="0"/>
              <w:spacing w:before="0" w:after="283"/>
              <w:jc w:val="left"/>
              <w:rPr/>
            </w:pPr>
            <w:r>
              <w:rPr/>
              <w:t>SECTION 3.12.   CUSIP, ISIN and Common Code Numbers</w:t>
            </w:r>
          </w:p>
        </w:tc>
        <w:tc>
          <w:tcPr>
            <w:tcW w:w="275" w:type="dxa"/>
            <w:tcBorders/>
            <w:vAlign w:val="center"/>
          </w:tcPr>
          <w:p>
            <w:pPr>
              <w:pStyle w:val="TableContents"/>
              <w:bidi w:val="0"/>
              <w:spacing w:before="0" w:after="283"/>
              <w:ind w:left="0" w:right="0" w:hanging="1800"/>
              <w:jc w:val="right"/>
              <w:rPr/>
            </w:pPr>
            <w:r>
              <w:rPr/>
              <w:t>70</w:t>
            </w:r>
          </w:p>
        </w:tc>
      </w:tr>
      <w:tr>
        <w:trPr/>
        <w:tc>
          <w:tcPr>
            <w:tcW w:w="7910" w:type="dxa"/>
            <w:tcBorders/>
            <w:vAlign w:val="center"/>
          </w:tcPr>
          <w:p>
            <w:pPr>
              <w:pStyle w:val="TableContents"/>
              <w:bidi w:val="0"/>
              <w:spacing w:before="0" w:after="283"/>
              <w:jc w:val="left"/>
              <w:rPr/>
            </w:pPr>
            <w:r>
              <w:rPr/>
              <w:t>SECTION 3.13.   Issuance of Additional Notes</w:t>
            </w:r>
          </w:p>
        </w:tc>
        <w:tc>
          <w:tcPr>
            <w:tcW w:w="275" w:type="dxa"/>
            <w:tcBorders/>
            <w:vAlign w:val="center"/>
          </w:tcPr>
          <w:p>
            <w:pPr>
              <w:pStyle w:val="TableContents"/>
              <w:bidi w:val="0"/>
              <w:spacing w:before="0" w:after="283"/>
              <w:jc w:val="right"/>
              <w:rPr/>
            </w:pPr>
            <w:r>
              <w:rPr/>
              <w:t>71</w:t>
            </w:r>
          </w:p>
        </w:tc>
      </w:tr>
      <w:tr>
        <w:trPr/>
        <w:tc>
          <w:tcPr>
            <w:tcW w:w="8185" w:type="dxa"/>
            <w:gridSpan w:val="2"/>
            <w:tcBorders/>
            <w:vAlign w:val="center"/>
          </w:tcPr>
          <w:p>
            <w:pPr>
              <w:pStyle w:val="TableContents"/>
              <w:bidi w:val="0"/>
              <w:spacing w:before="0" w:after="283"/>
              <w:ind w:left="0" w:right="0" w:hanging="1800"/>
              <w:jc w:val="center"/>
              <w:rPr/>
            </w:pPr>
            <w:r>
              <w:rPr/>
              <w:t xml:space="preserve">ARTICLE Four </w:t>
              <w:br/>
              <w:br/>
              <w:t>SATISFACTION AND DISCHARGE</w:t>
            </w:r>
          </w:p>
        </w:tc>
      </w:tr>
      <w:tr>
        <w:trPr/>
        <w:tc>
          <w:tcPr>
            <w:tcW w:w="7910" w:type="dxa"/>
            <w:tcBorders/>
            <w:vAlign w:val="center"/>
          </w:tcPr>
          <w:p>
            <w:pPr>
              <w:pStyle w:val="TableContents"/>
              <w:bidi w:val="0"/>
              <w:spacing w:before="0" w:after="283"/>
              <w:jc w:val="left"/>
              <w:rPr/>
            </w:pPr>
            <w:r>
              <w:rPr/>
              <w:t>SECTION 4.01.   Satisfaction and Discharge of Indenture</w:t>
            </w:r>
          </w:p>
        </w:tc>
        <w:tc>
          <w:tcPr>
            <w:tcW w:w="275" w:type="dxa"/>
            <w:tcBorders/>
            <w:vAlign w:val="center"/>
          </w:tcPr>
          <w:p>
            <w:pPr>
              <w:pStyle w:val="TableContents"/>
              <w:bidi w:val="0"/>
              <w:spacing w:before="0" w:after="283"/>
              <w:ind w:left="0" w:right="0" w:hanging="1800"/>
              <w:jc w:val="right"/>
              <w:rPr/>
            </w:pPr>
            <w:r>
              <w:rPr/>
              <w:t>71</w:t>
            </w:r>
          </w:p>
        </w:tc>
      </w:tr>
      <w:tr>
        <w:trPr/>
        <w:tc>
          <w:tcPr>
            <w:tcW w:w="7910" w:type="dxa"/>
            <w:tcBorders/>
            <w:vAlign w:val="center"/>
          </w:tcPr>
          <w:p>
            <w:pPr>
              <w:pStyle w:val="TableContents"/>
              <w:bidi w:val="0"/>
              <w:spacing w:before="0" w:after="283"/>
              <w:jc w:val="left"/>
              <w:rPr/>
            </w:pPr>
            <w:r>
              <w:rPr/>
              <w:t>SECTION 4.02.   Application of Trust Money</w:t>
            </w:r>
          </w:p>
        </w:tc>
        <w:tc>
          <w:tcPr>
            <w:tcW w:w="275" w:type="dxa"/>
            <w:tcBorders/>
            <w:vAlign w:val="center"/>
          </w:tcPr>
          <w:p>
            <w:pPr>
              <w:pStyle w:val="TableContents"/>
              <w:bidi w:val="0"/>
              <w:spacing w:before="0" w:after="283"/>
              <w:jc w:val="right"/>
              <w:rPr/>
            </w:pPr>
            <w:r>
              <w:rPr/>
              <w:t>72</w:t>
            </w:r>
          </w:p>
        </w:tc>
      </w:tr>
      <w:tr>
        <w:trPr/>
        <w:tc>
          <w:tcPr>
            <w:tcW w:w="8185" w:type="dxa"/>
            <w:gridSpan w:val="2"/>
            <w:tcBorders/>
            <w:vAlign w:val="center"/>
          </w:tcPr>
          <w:p>
            <w:pPr>
              <w:pStyle w:val="TableContents"/>
              <w:bidi w:val="0"/>
              <w:spacing w:before="0" w:after="283"/>
              <w:ind w:left="0" w:right="0" w:hanging="1800"/>
              <w:jc w:val="center"/>
              <w:rPr/>
            </w:pPr>
            <w:r>
              <w:rPr/>
              <w:t xml:space="preserve">ARTICLE Five </w:t>
              <w:br/>
              <w:br/>
              <w:t>REMEDIES</w:t>
            </w:r>
          </w:p>
        </w:tc>
      </w:tr>
      <w:tr>
        <w:trPr/>
        <w:tc>
          <w:tcPr>
            <w:tcW w:w="7910" w:type="dxa"/>
            <w:tcBorders/>
            <w:vAlign w:val="center"/>
          </w:tcPr>
          <w:p>
            <w:pPr>
              <w:pStyle w:val="TableContents"/>
              <w:bidi w:val="0"/>
              <w:spacing w:before="0" w:after="283"/>
              <w:jc w:val="left"/>
              <w:rPr/>
            </w:pPr>
            <w:r>
              <w:rPr/>
              <w:t>SECTION 5.01.   Events of Default</w:t>
            </w:r>
          </w:p>
        </w:tc>
        <w:tc>
          <w:tcPr>
            <w:tcW w:w="275" w:type="dxa"/>
            <w:tcBorders/>
            <w:vAlign w:val="center"/>
          </w:tcPr>
          <w:p>
            <w:pPr>
              <w:pStyle w:val="TableContents"/>
              <w:bidi w:val="0"/>
              <w:spacing w:before="0" w:after="283"/>
              <w:ind w:left="0" w:right="0" w:hanging="1800"/>
              <w:jc w:val="right"/>
              <w:rPr/>
            </w:pPr>
            <w:r>
              <w:rPr/>
              <w:t>73</w:t>
            </w:r>
          </w:p>
        </w:tc>
      </w:tr>
      <w:tr>
        <w:trPr/>
        <w:tc>
          <w:tcPr>
            <w:tcW w:w="7910" w:type="dxa"/>
            <w:tcBorders/>
            <w:vAlign w:val="center"/>
          </w:tcPr>
          <w:p>
            <w:pPr>
              <w:pStyle w:val="TableContents"/>
              <w:bidi w:val="0"/>
              <w:spacing w:before="0" w:after="283"/>
              <w:jc w:val="left"/>
              <w:rPr/>
            </w:pPr>
            <w:r>
              <w:rPr/>
              <w:t>SECTION 5.02.   Acceleration of Maturity:  Rescission and Annulment</w:t>
            </w:r>
          </w:p>
        </w:tc>
        <w:tc>
          <w:tcPr>
            <w:tcW w:w="275" w:type="dxa"/>
            <w:tcBorders/>
            <w:vAlign w:val="center"/>
          </w:tcPr>
          <w:p>
            <w:pPr>
              <w:pStyle w:val="TableContents"/>
              <w:bidi w:val="0"/>
              <w:spacing w:before="0" w:after="283"/>
              <w:ind w:left="0" w:right="0" w:hanging="1800"/>
              <w:jc w:val="right"/>
              <w:rPr/>
            </w:pPr>
            <w:r>
              <w:rPr/>
              <w:t>75</w:t>
            </w:r>
          </w:p>
        </w:tc>
      </w:tr>
      <w:tr>
        <w:trPr/>
        <w:tc>
          <w:tcPr>
            <w:tcW w:w="7910" w:type="dxa"/>
            <w:tcBorders/>
            <w:vAlign w:val="center"/>
          </w:tcPr>
          <w:p>
            <w:pPr>
              <w:pStyle w:val="TableContents"/>
              <w:bidi w:val="0"/>
              <w:spacing w:before="0" w:after="283"/>
              <w:jc w:val="left"/>
              <w:rPr/>
            </w:pPr>
            <w:r>
              <w:rPr/>
              <w:t>SECTION 5.03.   Collection of Indebtedness and Suits for Enforcement by Trustee</w:t>
            </w:r>
          </w:p>
        </w:tc>
        <w:tc>
          <w:tcPr>
            <w:tcW w:w="275" w:type="dxa"/>
            <w:tcBorders/>
            <w:vAlign w:val="center"/>
          </w:tcPr>
          <w:p>
            <w:pPr>
              <w:pStyle w:val="TableContents"/>
              <w:bidi w:val="0"/>
              <w:spacing w:before="0" w:after="283"/>
              <w:ind w:left="0" w:right="0" w:hanging="1800"/>
              <w:jc w:val="right"/>
              <w:rPr/>
            </w:pPr>
            <w:r>
              <w:rPr/>
              <w:t>76</w:t>
            </w:r>
          </w:p>
        </w:tc>
      </w:tr>
      <w:tr>
        <w:trPr/>
        <w:tc>
          <w:tcPr>
            <w:tcW w:w="7910" w:type="dxa"/>
            <w:tcBorders/>
            <w:vAlign w:val="center"/>
          </w:tcPr>
          <w:p>
            <w:pPr>
              <w:pStyle w:val="TableContents"/>
              <w:bidi w:val="0"/>
              <w:spacing w:before="0" w:after="283"/>
              <w:jc w:val="left"/>
              <w:rPr/>
            </w:pPr>
            <w:r>
              <w:rPr/>
              <w:t>SECTION 5.04.   Trustee May File Proofs of Claim</w:t>
            </w:r>
          </w:p>
        </w:tc>
        <w:tc>
          <w:tcPr>
            <w:tcW w:w="275" w:type="dxa"/>
            <w:tcBorders/>
            <w:vAlign w:val="center"/>
          </w:tcPr>
          <w:p>
            <w:pPr>
              <w:pStyle w:val="TableContents"/>
              <w:bidi w:val="0"/>
              <w:spacing w:before="0" w:after="283"/>
              <w:ind w:left="0" w:right="0" w:hanging="1800"/>
              <w:jc w:val="right"/>
              <w:rPr/>
            </w:pPr>
            <w:r>
              <w:rPr/>
              <w:t>76</w:t>
            </w:r>
          </w:p>
        </w:tc>
      </w:tr>
      <w:tr>
        <w:trPr/>
        <w:tc>
          <w:tcPr>
            <w:tcW w:w="7910" w:type="dxa"/>
            <w:tcBorders/>
            <w:vAlign w:val="center"/>
          </w:tcPr>
          <w:p>
            <w:pPr>
              <w:pStyle w:val="TableContents"/>
              <w:bidi w:val="0"/>
              <w:spacing w:before="0" w:after="283"/>
              <w:jc w:val="left"/>
              <w:rPr/>
            </w:pPr>
            <w:r>
              <w:rPr/>
              <w:t>SECTION 5.05.   Trustee May Enforce Claims Without Possession of Notes</w:t>
            </w:r>
          </w:p>
        </w:tc>
        <w:tc>
          <w:tcPr>
            <w:tcW w:w="275" w:type="dxa"/>
            <w:tcBorders/>
            <w:vAlign w:val="center"/>
          </w:tcPr>
          <w:p>
            <w:pPr>
              <w:pStyle w:val="TableContents"/>
              <w:bidi w:val="0"/>
              <w:spacing w:before="0" w:after="283"/>
              <w:ind w:left="0" w:right="0" w:hanging="1800"/>
              <w:jc w:val="right"/>
              <w:rPr/>
            </w:pPr>
            <w:r>
              <w:rPr/>
              <w:t>77</w:t>
            </w:r>
          </w:p>
        </w:tc>
      </w:tr>
      <w:tr>
        <w:trPr/>
        <w:tc>
          <w:tcPr>
            <w:tcW w:w="7910" w:type="dxa"/>
            <w:tcBorders/>
            <w:vAlign w:val="center"/>
          </w:tcPr>
          <w:p>
            <w:pPr>
              <w:pStyle w:val="TableContents"/>
              <w:bidi w:val="0"/>
              <w:spacing w:before="0" w:after="283"/>
              <w:jc w:val="left"/>
              <w:rPr/>
            </w:pPr>
            <w:r>
              <w:rPr/>
              <w:t>SECTION 5.06.   Application of Money Collected</w:t>
            </w:r>
          </w:p>
        </w:tc>
        <w:tc>
          <w:tcPr>
            <w:tcW w:w="275" w:type="dxa"/>
            <w:tcBorders/>
            <w:vAlign w:val="center"/>
          </w:tcPr>
          <w:p>
            <w:pPr>
              <w:pStyle w:val="TableContents"/>
              <w:bidi w:val="0"/>
              <w:spacing w:before="0" w:after="283"/>
              <w:ind w:left="0" w:right="0" w:hanging="1800"/>
              <w:jc w:val="right"/>
              <w:rPr/>
            </w:pPr>
            <w:r>
              <w:rPr/>
              <w:t>77</w:t>
            </w:r>
          </w:p>
        </w:tc>
      </w:tr>
      <w:tr>
        <w:trPr/>
        <w:tc>
          <w:tcPr>
            <w:tcW w:w="7910" w:type="dxa"/>
            <w:tcBorders/>
            <w:vAlign w:val="center"/>
          </w:tcPr>
          <w:p>
            <w:pPr>
              <w:pStyle w:val="TableContents"/>
              <w:bidi w:val="0"/>
              <w:spacing w:before="0" w:after="283"/>
              <w:jc w:val="left"/>
              <w:rPr/>
            </w:pPr>
            <w:r>
              <w:rPr/>
              <w:t>SECTION 5.07.   Limitation on Suits</w:t>
            </w:r>
          </w:p>
        </w:tc>
        <w:tc>
          <w:tcPr>
            <w:tcW w:w="275" w:type="dxa"/>
            <w:tcBorders/>
            <w:vAlign w:val="center"/>
          </w:tcPr>
          <w:p>
            <w:pPr>
              <w:pStyle w:val="TableContents"/>
              <w:bidi w:val="0"/>
              <w:spacing w:before="0" w:after="283"/>
              <w:ind w:left="0" w:right="0" w:hanging="1800"/>
              <w:jc w:val="right"/>
              <w:rPr/>
            </w:pPr>
            <w:r>
              <w:rPr/>
              <w:t>77</w:t>
            </w:r>
          </w:p>
        </w:tc>
      </w:tr>
      <w:tr>
        <w:trPr/>
        <w:tc>
          <w:tcPr>
            <w:tcW w:w="7910" w:type="dxa"/>
            <w:tcBorders/>
            <w:vAlign w:val="center"/>
          </w:tcPr>
          <w:p>
            <w:pPr>
              <w:pStyle w:val="TableContents"/>
              <w:bidi w:val="0"/>
              <w:spacing w:before="0" w:after="283"/>
              <w:jc w:val="left"/>
              <w:rPr/>
            </w:pPr>
            <w:r>
              <w:rPr/>
              <w:t>SECTION 5.08.   Right of Holders to Bring Suit for Payment</w:t>
            </w:r>
          </w:p>
        </w:tc>
        <w:tc>
          <w:tcPr>
            <w:tcW w:w="275" w:type="dxa"/>
            <w:tcBorders/>
            <w:vAlign w:val="center"/>
          </w:tcPr>
          <w:p>
            <w:pPr>
              <w:pStyle w:val="TableContents"/>
              <w:bidi w:val="0"/>
              <w:spacing w:before="0" w:after="283"/>
              <w:ind w:left="0" w:right="0" w:hanging="1800"/>
              <w:jc w:val="right"/>
              <w:rPr/>
            </w:pPr>
            <w:r>
              <w:rPr/>
              <w:t>78</w:t>
            </w:r>
          </w:p>
        </w:tc>
      </w:tr>
      <w:tr>
        <w:trPr/>
        <w:tc>
          <w:tcPr>
            <w:tcW w:w="7910" w:type="dxa"/>
            <w:tcBorders/>
            <w:vAlign w:val="center"/>
          </w:tcPr>
          <w:p>
            <w:pPr>
              <w:pStyle w:val="TableContents"/>
              <w:bidi w:val="0"/>
              <w:spacing w:before="0" w:after="283"/>
              <w:jc w:val="left"/>
              <w:rPr/>
            </w:pPr>
            <w:r>
              <w:rPr/>
              <w:t>SECTION 5.09.   Restoration of Rights and Remedies</w:t>
            </w:r>
          </w:p>
        </w:tc>
        <w:tc>
          <w:tcPr>
            <w:tcW w:w="275" w:type="dxa"/>
            <w:tcBorders/>
            <w:vAlign w:val="center"/>
          </w:tcPr>
          <w:p>
            <w:pPr>
              <w:pStyle w:val="TableContents"/>
              <w:bidi w:val="0"/>
              <w:spacing w:before="0" w:after="283"/>
              <w:ind w:left="0" w:right="0" w:hanging="1800"/>
              <w:jc w:val="right"/>
              <w:rPr/>
            </w:pPr>
            <w:r>
              <w:rPr/>
              <w:t>78</w:t>
            </w:r>
          </w:p>
        </w:tc>
      </w:tr>
      <w:tr>
        <w:trPr/>
        <w:tc>
          <w:tcPr>
            <w:tcW w:w="7910" w:type="dxa"/>
            <w:tcBorders/>
            <w:vAlign w:val="center"/>
          </w:tcPr>
          <w:p>
            <w:pPr>
              <w:pStyle w:val="TableContents"/>
              <w:bidi w:val="0"/>
              <w:spacing w:before="0" w:after="283"/>
              <w:jc w:val="left"/>
              <w:rPr/>
            </w:pPr>
            <w:r>
              <w:rPr/>
              <w:t>SECTION 5.10.   Rights and Remedies Cumulative</w:t>
            </w:r>
          </w:p>
        </w:tc>
        <w:tc>
          <w:tcPr>
            <w:tcW w:w="275" w:type="dxa"/>
            <w:tcBorders/>
            <w:vAlign w:val="center"/>
          </w:tcPr>
          <w:p>
            <w:pPr>
              <w:pStyle w:val="TableContents"/>
              <w:bidi w:val="0"/>
              <w:spacing w:before="0" w:after="283"/>
              <w:ind w:left="0" w:right="0" w:hanging="1800"/>
              <w:jc w:val="right"/>
              <w:rPr/>
            </w:pPr>
            <w:r>
              <w:rPr/>
              <w:t>78</w:t>
            </w:r>
          </w:p>
        </w:tc>
      </w:tr>
      <w:tr>
        <w:trPr/>
        <w:tc>
          <w:tcPr>
            <w:tcW w:w="7910" w:type="dxa"/>
            <w:tcBorders/>
            <w:vAlign w:val="center"/>
          </w:tcPr>
          <w:p>
            <w:pPr>
              <w:pStyle w:val="TableContents"/>
              <w:bidi w:val="0"/>
              <w:spacing w:before="0" w:after="283"/>
              <w:jc w:val="left"/>
              <w:rPr/>
            </w:pPr>
            <w:r>
              <w:rPr/>
              <w:t>SECTION 5.11.   Delay or Omission Not Waiver</w:t>
            </w:r>
          </w:p>
        </w:tc>
        <w:tc>
          <w:tcPr>
            <w:tcW w:w="275" w:type="dxa"/>
            <w:tcBorders/>
            <w:vAlign w:val="center"/>
          </w:tcPr>
          <w:p>
            <w:pPr>
              <w:pStyle w:val="TableContents"/>
              <w:bidi w:val="0"/>
              <w:spacing w:before="0" w:after="283"/>
              <w:ind w:left="0" w:right="0" w:hanging="1800"/>
              <w:jc w:val="right"/>
              <w:rPr/>
            </w:pPr>
            <w:r>
              <w:rPr/>
              <w:t>78</w:t>
            </w:r>
          </w:p>
        </w:tc>
      </w:tr>
      <w:tr>
        <w:trPr/>
        <w:tc>
          <w:tcPr>
            <w:tcW w:w="7910" w:type="dxa"/>
            <w:tcBorders/>
            <w:vAlign w:val="center"/>
          </w:tcPr>
          <w:p>
            <w:pPr>
              <w:pStyle w:val="TableContents"/>
              <w:bidi w:val="0"/>
              <w:spacing w:before="0" w:after="283"/>
              <w:jc w:val="left"/>
              <w:rPr/>
            </w:pPr>
            <w:r>
              <w:rPr/>
              <w:t>SECTION 5.12.   Control by Holders</w:t>
            </w:r>
          </w:p>
        </w:tc>
        <w:tc>
          <w:tcPr>
            <w:tcW w:w="275" w:type="dxa"/>
            <w:tcBorders/>
            <w:vAlign w:val="center"/>
          </w:tcPr>
          <w:p>
            <w:pPr>
              <w:pStyle w:val="TableContents"/>
              <w:bidi w:val="0"/>
              <w:spacing w:before="0" w:after="283"/>
              <w:ind w:left="0" w:right="0" w:hanging="1800"/>
              <w:jc w:val="right"/>
              <w:rPr/>
            </w:pPr>
            <w:r>
              <w:rPr/>
              <w:t>79</w:t>
            </w:r>
          </w:p>
        </w:tc>
      </w:tr>
      <w:tr>
        <w:trPr/>
        <w:tc>
          <w:tcPr>
            <w:tcW w:w="7910" w:type="dxa"/>
            <w:tcBorders/>
            <w:vAlign w:val="center"/>
          </w:tcPr>
          <w:p>
            <w:pPr>
              <w:pStyle w:val="TableContents"/>
              <w:bidi w:val="0"/>
              <w:spacing w:before="0" w:after="283"/>
              <w:jc w:val="left"/>
              <w:rPr/>
            </w:pPr>
            <w:r>
              <w:rPr/>
              <w:t>SECTION 5.13.   Waiver of Past Defaults</w:t>
            </w:r>
          </w:p>
        </w:tc>
        <w:tc>
          <w:tcPr>
            <w:tcW w:w="275" w:type="dxa"/>
            <w:tcBorders/>
            <w:vAlign w:val="center"/>
          </w:tcPr>
          <w:p>
            <w:pPr>
              <w:pStyle w:val="TableContents"/>
              <w:bidi w:val="0"/>
              <w:spacing w:before="0" w:after="283"/>
              <w:ind w:left="0" w:right="0" w:hanging="1800"/>
              <w:jc w:val="right"/>
              <w:rPr/>
            </w:pPr>
            <w:r>
              <w:rPr/>
              <w:t>79</w:t>
            </w:r>
          </w:p>
        </w:tc>
      </w:tr>
      <w:tr>
        <w:trPr/>
        <w:tc>
          <w:tcPr>
            <w:tcW w:w="7910" w:type="dxa"/>
            <w:tcBorders/>
            <w:vAlign w:val="center"/>
          </w:tcPr>
          <w:p>
            <w:pPr>
              <w:pStyle w:val="TableContents"/>
              <w:bidi w:val="0"/>
              <w:spacing w:before="0" w:after="283"/>
              <w:jc w:val="left"/>
              <w:rPr/>
            </w:pPr>
            <w:r>
              <w:rPr/>
              <w:t>SECTION 5.14.   Waiver of Stay or Extension Laws</w:t>
            </w:r>
          </w:p>
        </w:tc>
        <w:tc>
          <w:tcPr>
            <w:tcW w:w="275" w:type="dxa"/>
            <w:tcBorders/>
            <w:vAlign w:val="center"/>
          </w:tcPr>
          <w:p>
            <w:pPr>
              <w:pStyle w:val="TableContents"/>
              <w:bidi w:val="0"/>
              <w:spacing w:before="0" w:after="283"/>
              <w:ind w:left="0" w:right="0" w:hanging="1800"/>
              <w:jc w:val="right"/>
              <w:rPr/>
            </w:pPr>
            <w:r>
              <w:rPr/>
              <w:t>79</w:t>
            </w:r>
          </w:p>
        </w:tc>
      </w:tr>
      <w:tr>
        <w:trPr/>
        <w:tc>
          <w:tcPr>
            <w:tcW w:w="7910" w:type="dxa"/>
            <w:tcBorders/>
            <w:vAlign w:val="center"/>
          </w:tcPr>
          <w:p>
            <w:pPr>
              <w:pStyle w:val="TableContents"/>
              <w:bidi w:val="0"/>
              <w:spacing w:before="0" w:after="283"/>
              <w:jc w:val="left"/>
              <w:rPr/>
            </w:pPr>
            <w:r>
              <w:rPr/>
              <w:t>SECTION 5.15.   Undertaking for Costs</w:t>
            </w:r>
          </w:p>
        </w:tc>
        <w:tc>
          <w:tcPr>
            <w:tcW w:w="275" w:type="dxa"/>
            <w:tcBorders/>
            <w:vAlign w:val="center"/>
          </w:tcPr>
          <w:p>
            <w:pPr>
              <w:pStyle w:val="TableContents"/>
              <w:bidi w:val="0"/>
              <w:spacing w:before="0" w:after="283"/>
              <w:jc w:val="right"/>
              <w:rPr/>
            </w:pPr>
            <w:r>
              <w:rPr/>
              <w:t>79</w:t>
            </w:r>
          </w:p>
        </w:tc>
      </w:tr>
      <w:tr>
        <w:trPr/>
        <w:tc>
          <w:tcPr>
            <w:tcW w:w="8185" w:type="dxa"/>
            <w:gridSpan w:val="2"/>
            <w:tcBorders/>
            <w:vAlign w:val="center"/>
          </w:tcPr>
          <w:p>
            <w:pPr>
              <w:pStyle w:val="TableContents"/>
              <w:bidi w:val="0"/>
              <w:spacing w:before="0" w:after="283"/>
              <w:ind w:left="0" w:right="0" w:hanging="1800"/>
              <w:jc w:val="center"/>
              <w:rPr/>
            </w:pPr>
            <w:r>
              <w:rPr/>
              <w:t xml:space="preserve">ARTICLE Six </w:t>
              <w:br/>
              <w:br/>
              <w:t>THE TRUSTEE</w:t>
            </w:r>
          </w:p>
        </w:tc>
      </w:tr>
      <w:tr>
        <w:trPr/>
        <w:tc>
          <w:tcPr>
            <w:tcW w:w="7910" w:type="dxa"/>
            <w:tcBorders/>
            <w:vAlign w:val="center"/>
          </w:tcPr>
          <w:p>
            <w:pPr>
              <w:pStyle w:val="TableContents"/>
              <w:bidi w:val="0"/>
              <w:spacing w:before="0" w:after="283"/>
              <w:jc w:val="left"/>
              <w:rPr/>
            </w:pPr>
            <w:r>
              <w:rPr/>
              <w:t>SECTION 6.01.   Duties of the Trustee</w:t>
            </w:r>
          </w:p>
        </w:tc>
        <w:tc>
          <w:tcPr>
            <w:tcW w:w="275" w:type="dxa"/>
            <w:tcBorders/>
            <w:vAlign w:val="center"/>
          </w:tcPr>
          <w:p>
            <w:pPr>
              <w:pStyle w:val="TableContents"/>
              <w:bidi w:val="0"/>
              <w:spacing w:before="0" w:after="283"/>
              <w:ind w:left="0" w:right="0" w:hanging="1800"/>
              <w:jc w:val="right"/>
              <w:rPr/>
            </w:pPr>
            <w:r>
              <w:rPr/>
              <w:t>80</w:t>
            </w:r>
          </w:p>
        </w:tc>
      </w:tr>
      <w:tr>
        <w:trPr/>
        <w:tc>
          <w:tcPr>
            <w:tcW w:w="7910" w:type="dxa"/>
            <w:tcBorders/>
            <w:vAlign w:val="center"/>
          </w:tcPr>
          <w:p>
            <w:pPr>
              <w:pStyle w:val="TableContents"/>
              <w:bidi w:val="0"/>
              <w:spacing w:before="0" w:after="283"/>
              <w:jc w:val="left"/>
              <w:rPr/>
            </w:pPr>
            <w:r>
              <w:rPr/>
              <w:t>SECTION 6.02.   Notice of Defaults</w:t>
            </w:r>
          </w:p>
        </w:tc>
        <w:tc>
          <w:tcPr>
            <w:tcW w:w="275" w:type="dxa"/>
            <w:tcBorders/>
            <w:vAlign w:val="center"/>
          </w:tcPr>
          <w:p>
            <w:pPr>
              <w:pStyle w:val="TableContents"/>
              <w:bidi w:val="0"/>
              <w:spacing w:before="0" w:after="283"/>
              <w:ind w:left="0" w:right="0" w:hanging="1800"/>
              <w:jc w:val="right"/>
              <w:rPr/>
            </w:pPr>
            <w:r>
              <w:rPr/>
              <w:t>81</w:t>
            </w:r>
          </w:p>
        </w:tc>
      </w:tr>
      <w:tr>
        <w:trPr/>
        <w:tc>
          <w:tcPr>
            <w:tcW w:w="7910" w:type="dxa"/>
            <w:tcBorders/>
            <w:vAlign w:val="center"/>
          </w:tcPr>
          <w:p>
            <w:pPr>
              <w:pStyle w:val="TableContents"/>
              <w:bidi w:val="0"/>
              <w:spacing w:before="0" w:after="283"/>
              <w:jc w:val="left"/>
              <w:rPr/>
            </w:pPr>
            <w:r>
              <w:rPr/>
              <w:t>SECTION 6.03.   Certain Rights of Trustee</w:t>
            </w:r>
          </w:p>
        </w:tc>
        <w:tc>
          <w:tcPr>
            <w:tcW w:w="275" w:type="dxa"/>
            <w:tcBorders/>
            <w:vAlign w:val="center"/>
          </w:tcPr>
          <w:p>
            <w:pPr>
              <w:pStyle w:val="TableContents"/>
              <w:bidi w:val="0"/>
              <w:spacing w:before="0" w:after="283"/>
              <w:ind w:left="0" w:right="0" w:hanging="1800"/>
              <w:jc w:val="right"/>
              <w:rPr/>
            </w:pPr>
            <w:r>
              <w:rPr/>
              <w:t>82</w:t>
            </w:r>
          </w:p>
        </w:tc>
      </w:tr>
      <w:tr>
        <w:trPr/>
        <w:tc>
          <w:tcPr>
            <w:tcW w:w="7910" w:type="dxa"/>
            <w:tcBorders/>
            <w:vAlign w:val="center"/>
          </w:tcPr>
          <w:p>
            <w:pPr>
              <w:pStyle w:val="TableContents"/>
              <w:bidi w:val="0"/>
              <w:spacing w:before="0" w:after="283"/>
              <w:jc w:val="left"/>
              <w:rPr/>
            </w:pPr>
            <w:r>
              <w:rPr/>
              <w:t>SECTION 6.04.   Trustee Not Responsible for Recitals or Issuance of Notes</w:t>
            </w:r>
          </w:p>
        </w:tc>
        <w:tc>
          <w:tcPr>
            <w:tcW w:w="275" w:type="dxa"/>
            <w:tcBorders/>
            <w:vAlign w:val="center"/>
          </w:tcPr>
          <w:p>
            <w:pPr>
              <w:pStyle w:val="TableContents"/>
              <w:bidi w:val="0"/>
              <w:spacing w:before="0" w:after="283"/>
              <w:ind w:left="0" w:right="0" w:hanging="1800"/>
              <w:jc w:val="right"/>
              <w:rPr/>
            </w:pPr>
            <w:r>
              <w:rPr/>
              <w:t>84</w:t>
            </w:r>
          </w:p>
        </w:tc>
      </w:tr>
      <w:tr>
        <w:trPr/>
        <w:tc>
          <w:tcPr>
            <w:tcW w:w="7910" w:type="dxa"/>
            <w:tcBorders/>
            <w:vAlign w:val="center"/>
          </w:tcPr>
          <w:p>
            <w:pPr>
              <w:pStyle w:val="TableContents"/>
              <w:bidi w:val="0"/>
              <w:spacing w:before="0" w:after="283"/>
              <w:jc w:val="left"/>
              <w:rPr/>
            </w:pPr>
            <w:r>
              <w:rPr/>
              <w:t>SECTION 6.05.   May Hold Notes</w:t>
            </w:r>
          </w:p>
        </w:tc>
        <w:tc>
          <w:tcPr>
            <w:tcW w:w="275" w:type="dxa"/>
            <w:tcBorders/>
            <w:vAlign w:val="center"/>
          </w:tcPr>
          <w:p>
            <w:pPr>
              <w:pStyle w:val="TableContents"/>
              <w:bidi w:val="0"/>
              <w:spacing w:before="0" w:after="283"/>
              <w:ind w:left="0" w:right="0" w:hanging="1800"/>
              <w:jc w:val="right"/>
              <w:rPr/>
            </w:pPr>
            <w:r>
              <w:rPr/>
              <w:t>84</w:t>
            </w:r>
          </w:p>
        </w:tc>
      </w:tr>
      <w:tr>
        <w:trPr/>
        <w:tc>
          <w:tcPr>
            <w:tcW w:w="7910" w:type="dxa"/>
            <w:tcBorders/>
            <w:vAlign w:val="center"/>
          </w:tcPr>
          <w:p>
            <w:pPr>
              <w:pStyle w:val="TableContents"/>
              <w:bidi w:val="0"/>
              <w:spacing w:before="0" w:after="283"/>
              <w:jc w:val="left"/>
              <w:rPr/>
            </w:pPr>
            <w:r>
              <w:rPr/>
              <w:t>SECTION 6.06.   Money Held in Trust</w:t>
            </w:r>
          </w:p>
        </w:tc>
        <w:tc>
          <w:tcPr>
            <w:tcW w:w="275" w:type="dxa"/>
            <w:tcBorders/>
            <w:vAlign w:val="center"/>
          </w:tcPr>
          <w:p>
            <w:pPr>
              <w:pStyle w:val="TableContents"/>
              <w:bidi w:val="0"/>
              <w:spacing w:before="0" w:after="283"/>
              <w:ind w:left="0" w:right="0" w:hanging="1800"/>
              <w:jc w:val="right"/>
              <w:rPr/>
            </w:pPr>
            <w:r>
              <w:rPr/>
              <w:t>84</w:t>
            </w:r>
          </w:p>
        </w:tc>
      </w:tr>
      <w:tr>
        <w:trPr/>
        <w:tc>
          <w:tcPr>
            <w:tcW w:w="7910" w:type="dxa"/>
            <w:tcBorders/>
            <w:vAlign w:val="center"/>
          </w:tcPr>
          <w:p>
            <w:pPr>
              <w:pStyle w:val="TableContents"/>
              <w:bidi w:val="0"/>
              <w:spacing w:before="0" w:after="283"/>
              <w:jc w:val="left"/>
              <w:rPr/>
            </w:pPr>
            <w:r>
              <w:rPr/>
              <w:t>SECTION 6.07.   Compensation and Reimbursement</w:t>
            </w:r>
          </w:p>
        </w:tc>
        <w:tc>
          <w:tcPr>
            <w:tcW w:w="275" w:type="dxa"/>
            <w:tcBorders/>
            <w:vAlign w:val="center"/>
          </w:tcPr>
          <w:p>
            <w:pPr>
              <w:pStyle w:val="TableContents"/>
              <w:bidi w:val="0"/>
              <w:spacing w:before="0" w:after="283"/>
              <w:ind w:left="0" w:right="0" w:hanging="1800"/>
              <w:jc w:val="right"/>
              <w:rPr/>
            </w:pPr>
            <w:r>
              <w:rPr/>
              <w:t>84</w:t>
            </w:r>
          </w:p>
        </w:tc>
      </w:tr>
      <w:tr>
        <w:trPr/>
        <w:tc>
          <w:tcPr>
            <w:tcW w:w="7910" w:type="dxa"/>
            <w:tcBorders/>
            <w:vAlign w:val="center"/>
          </w:tcPr>
          <w:p>
            <w:pPr>
              <w:pStyle w:val="TableContents"/>
              <w:bidi w:val="0"/>
              <w:spacing w:before="0" w:after="283"/>
              <w:jc w:val="left"/>
              <w:rPr/>
            </w:pPr>
            <w:r>
              <w:rPr/>
              <w:t>SECTION 6.08.   Corporate Trustee Required; Eligibility</w:t>
            </w:r>
          </w:p>
        </w:tc>
        <w:tc>
          <w:tcPr>
            <w:tcW w:w="275" w:type="dxa"/>
            <w:tcBorders/>
            <w:vAlign w:val="center"/>
          </w:tcPr>
          <w:p>
            <w:pPr>
              <w:pStyle w:val="TableContents"/>
              <w:bidi w:val="0"/>
              <w:spacing w:before="0" w:after="283"/>
              <w:ind w:left="0" w:right="0" w:hanging="1800"/>
              <w:jc w:val="right"/>
              <w:rPr/>
            </w:pPr>
            <w:r>
              <w:rPr/>
              <w:t>85</w:t>
            </w:r>
          </w:p>
        </w:tc>
      </w:tr>
      <w:tr>
        <w:trPr/>
        <w:tc>
          <w:tcPr>
            <w:tcW w:w="7910" w:type="dxa"/>
            <w:tcBorders/>
            <w:vAlign w:val="center"/>
          </w:tcPr>
          <w:p>
            <w:pPr>
              <w:pStyle w:val="TableContents"/>
              <w:bidi w:val="0"/>
              <w:spacing w:before="0" w:after="283"/>
              <w:jc w:val="left"/>
              <w:rPr/>
            </w:pPr>
            <w:r>
              <w:rPr/>
              <w:t>SECTION 6.09.   Resignation and Removal; Appointment of Successor</w:t>
            </w:r>
          </w:p>
        </w:tc>
        <w:tc>
          <w:tcPr>
            <w:tcW w:w="275" w:type="dxa"/>
            <w:tcBorders/>
            <w:vAlign w:val="center"/>
          </w:tcPr>
          <w:p>
            <w:pPr>
              <w:pStyle w:val="TableContents"/>
              <w:bidi w:val="0"/>
              <w:spacing w:before="0" w:after="283"/>
              <w:ind w:left="0" w:right="0" w:hanging="1800"/>
              <w:jc w:val="right"/>
              <w:rPr/>
            </w:pPr>
            <w:r>
              <w:rPr/>
              <w:t>86</w:t>
            </w:r>
          </w:p>
        </w:tc>
      </w:tr>
      <w:tr>
        <w:trPr/>
        <w:tc>
          <w:tcPr>
            <w:tcW w:w="7910" w:type="dxa"/>
            <w:tcBorders/>
            <w:vAlign w:val="center"/>
          </w:tcPr>
          <w:p>
            <w:pPr>
              <w:pStyle w:val="TableContents"/>
              <w:bidi w:val="0"/>
              <w:spacing w:before="0" w:after="283"/>
              <w:jc w:val="left"/>
              <w:rPr/>
            </w:pPr>
            <w:r>
              <w:rPr/>
              <w:t>SECTION 6.10.   Acceptance of Appointment by Successor</w:t>
            </w:r>
          </w:p>
        </w:tc>
        <w:tc>
          <w:tcPr>
            <w:tcW w:w="275" w:type="dxa"/>
            <w:tcBorders/>
            <w:vAlign w:val="center"/>
          </w:tcPr>
          <w:p>
            <w:pPr>
              <w:pStyle w:val="TableContents"/>
              <w:bidi w:val="0"/>
              <w:spacing w:before="0" w:after="283"/>
              <w:ind w:left="0" w:right="0" w:hanging="1800"/>
              <w:jc w:val="right"/>
              <w:rPr/>
            </w:pPr>
            <w:r>
              <w:rPr/>
              <w:t>86</w:t>
            </w:r>
          </w:p>
        </w:tc>
      </w:tr>
      <w:tr>
        <w:trPr/>
        <w:tc>
          <w:tcPr>
            <w:tcW w:w="7910" w:type="dxa"/>
            <w:tcBorders/>
            <w:vAlign w:val="center"/>
          </w:tcPr>
          <w:p>
            <w:pPr>
              <w:pStyle w:val="TableContents"/>
              <w:bidi w:val="0"/>
              <w:spacing w:before="0" w:after="283"/>
              <w:jc w:val="left"/>
              <w:rPr/>
            </w:pPr>
            <w:r>
              <w:rPr/>
              <w:t>SECTION 6.11.   Merger, Conversion, Consolidation or Succession to Business</w:t>
            </w:r>
          </w:p>
        </w:tc>
        <w:tc>
          <w:tcPr>
            <w:tcW w:w="275" w:type="dxa"/>
            <w:tcBorders/>
            <w:vAlign w:val="center"/>
          </w:tcPr>
          <w:p>
            <w:pPr>
              <w:pStyle w:val="TableContents"/>
              <w:bidi w:val="0"/>
              <w:spacing w:before="0" w:after="283"/>
              <w:ind w:left="0" w:right="0" w:hanging="1800"/>
              <w:jc w:val="right"/>
              <w:rPr/>
            </w:pPr>
            <w:r>
              <w:rPr/>
              <w:t>87</w:t>
            </w:r>
          </w:p>
        </w:tc>
      </w:tr>
      <w:tr>
        <w:trPr/>
        <w:tc>
          <w:tcPr>
            <w:tcW w:w="7910" w:type="dxa"/>
            <w:tcBorders/>
            <w:vAlign w:val="center"/>
          </w:tcPr>
          <w:p>
            <w:pPr>
              <w:pStyle w:val="TableContents"/>
              <w:bidi w:val="0"/>
              <w:spacing w:before="0" w:after="283"/>
              <w:jc w:val="left"/>
              <w:rPr/>
            </w:pPr>
            <w:r>
              <w:rPr/>
              <w:t>SECTION 6.12.   Appointment of Authenticating Agent</w:t>
            </w:r>
          </w:p>
        </w:tc>
        <w:tc>
          <w:tcPr>
            <w:tcW w:w="275" w:type="dxa"/>
            <w:tcBorders/>
            <w:vAlign w:val="center"/>
          </w:tcPr>
          <w:p>
            <w:pPr>
              <w:pStyle w:val="TableContents"/>
              <w:bidi w:val="0"/>
              <w:spacing w:before="0" w:after="283"/>
              <w:ind w:left="0" w:right="0" w:hanging="1800"/>
              <w:jc w:val="right"/>
              <w:rPr/>
            </w:pPr>
            <w:r>
              <w:rPr/>
              <w:t>87</w:t>
            </w:r>
          </w:p>
        </w:tc>
      </w:tr>
      <w:tr>
        <w:trPr/>
        <w:tc>
          <w:tcPr>
            <w:tcW w:w="7910" w:type="dxa"/>
            <w:tcBorders/>
            <w:vAlign w:val="center"/>
          </w:tcPr>
          <w:p>
            <w:pPr>
              <w:pStyle w:val="TableContents"/>
              <w:bidi w:val="0"/>
              <w:spacing w:before="0" w:after="283"/>
              <w:jc w:val="left"/>
              <w:rPr/>
            </w:pPr>
            <w:r>
              <w:rPr/>
              <w:t>SECTION 6.13.   Security Documents; Intercreditor Agreements</w:t>
            </w:r>
          </w:p>
        </w:tc>
        <w:tc>
          <w:tcPr>
            <w:tcW w:w="275" w:type="dxa"/>
            <w:tcBorders/>
            <w:vAlign w:val="center"/>
          </w:tcPr>
          <w:p>
            <w:pPr>
              <w:pStyle w:val="TableContents"/>
              <w:bidi w:val="0"/>
              <w:spacing w:before="0" w:after="283"/>
              <w:jc w:val="right"/>
              <w:rPr/>
            </w:pPr>
            <w:r>
              <w:rPr/>
              <w:t>88</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10205" w:type="dxa"/>
            <w:gridSpan w:val="2"/>
            <w:tcBorders/>
            <w:vAlign w:val="center"/>
          </w:tcPr>
          <w:p>
            <w:pPr>
              <w:pStyle w:val="TableContents"/>
              <w:bidi w:val="0"/>
              <w:spacing w:before="0" w:after="283"/>
              <w:ind w:left="0" w:right="0" w:hanging="1800"/>
              <w:jc w:val="center"/>
              <w:rPr/>
            </w:pPr>
            <w:r>
              <w:rPr/>
              <w:t xml:space="preserve">ARTICLE Seven </w:t>
              <w:br/>
              <w:br/>
              <w:t>HOLDERS LISTS AND REPORTS BY TRUSTEE AND ISSUER</w:t>
            </w:r>
          </w:p>
        </w:tc>
      </w:tr>
      <w:tr>
        <w:trPr/>
        <w:tc>
          <w:tcPr>
            <w:tcW w:w="9810" w:type="dxa"/>
            <w:tcBorders/>
            <w:vAlign w:val="center"/>
          </w:tcPr>
          <w:p>
            <w:pPr>
              <w:pStyle w:val="TableContents"/>
              <w:bidi w:val="0"/>
              <w:spacing w:before="0" w:after="283"/>
              <w:jc w:val="left"/>
              <w:rPr/>
            </w:pPr>
            <w:r>
              <w:rPr/>
              <w:t>SECTION 7.01.   Issuer to Furnish Trustee Names and Addresses</w:t>
            </w:r>
          </w:p>
        </w:tc>
        <w:tc>
          <w:tcPr>
            <w:tcW w:w="395" w:type="dxa"/>
            <w:tcBorders/>
            <w:vAlign w:val="center"/>
          </w:tcPr>
          <w:p>
            <w:pPr>
              <w:pStyle w:val="TableContents"/>
              <w:bidi w:val="0"/>
              <w:spacing w:before="0" w:after="283"/>
              <w:ind w:left="0" w:right="0" w:hanging="1800"/>
              <w:jc w:val="right"/>
              <w:rPr/>
            </w:pPr>
            <w:r>
              <w:rPr/>
              <w:t>88</w:t>
            </w:r>
          </w:p>
        </w:tc>
      </w:tr>
      <w:tr>
        <w:trPr/>
        <w:tc>
          <w:tcPr>
            <w:tcW w:w="9810" w:type="dxa"/>
            <w:tcBorders/>
            <w:vAlign w:val="center"/>
          </w:tcPr>
          <w:p>
            <w:pPr>
              <w:pStyle w:val="TableContents"/>
              <w:bidi w:val="0"/>
              <w:spacing w:before="0" w:after="283"/>
              <w:jc w:val="left"/>
              <w:rPr/>
            </w:pPr>
            <w:r>
              <w:rPr/>
              <w:t>SECTION 7.02.   Reports by Trustee</w:t>
            </w:r>
          </w:p>
        </w:tc>
        <w:tc>
          <w:tcPr>
            <w:tcW w:w="395" w:type="dxa"/>
            <w:tcBorders/>
            <w:vAlign w:val="center"/>
          </w:tcPr>
          <w:p>
            <w:pPr>
              <w:pStyle w:val="TableContents"/>
              <w:bidi w:val="0"/>
              <w:spacing w:before="0" w:after="283"/>
              <w:jc w:val="right"/>
              <w:rPr/>
            </w:pPr>
            <w:r>
              <w:rPr/>
              <w:t>89</w:t>
            </w:r>
          </w:p>
        </w:tc>
      </w:tr>
      <w:tr>
        <w:trPr/>
        <w:tc>
          <w:tcPr>
            <w:tcW w:w="10205" w:type="dxa"/>
            <w:gridSpan w:val="2"/>
            <w:tcBorders/>
            <w:vAlign w:val="center"/>
          </w:tcPr>
          <w:p>
            <w:pPr>
              <w:pStyle w:val="TableContents"/>
              <w:bidi w:val="0"/>
              <w:spacing w:before="0" w:after="283"/>
              <w:ind w:left="0" w:right="0" w:hanging="1800"/>
              <w:jc w:val="center"/>
              <w:rPr/>
            </w:pPr>
            <w:r>
              <w:rPr/>
              <w:t xml:space="preserve">ARTICLE Eight </w:t>
              <w:br/>
              <w:br/>
              <w:t>MERGER, CONSOLIDATION, AMALGAMATION OR SALE OF ALL OR SUBSTANTIALLY ALL ASSETS</w:t>
            </w:r>
          </w:p>
        </w:tc>
      </w:tr>
      <w:tr>
        <w:trPr/>
        <w:tc>
          <w:tcPr>
            <w:tcW w:w="9810" w:type="dxa"/>
            <w:tcBorders/>
            <w:vAlign w:val="center"/>
          </w:tcPr>
          <w:p>
            <w:pPr>
              <w:pStyle w:val="TableContents"/>
              <w:bidi w:val="0"/>
              <w:spacing w:before="0" w:after="283"/>
              <w:jc w:val="left"/>
              <w:rPr/>
            </w:pPr>
            <w:r>
              <w:rPr/>
              <w:t>SECTION 8.01.   Issuer May Consolidate, Etc., Only on Certain Terms</w:t>
            </w:r>
          </w:p>
        </w:tc>
        <w:tc>
          <w:tcPr>
            <w:tcW w:w="395" w:type="dxa"/>
            <w:tcBorders/>
            <w:vAlign w:val="center"/>
          </w:tcPr>
          <w:p>
            <w:pPr>
              <w:pStyle w:val="TableContents"/>
              <w:bidi w:val="0"/>
              <w:spacing w:before="0" w:after="283"/>
              <w:ind w:left="0" w:right="0" w:hanging="1800"/>
              <w:jc w:val="right"/>
              <w:rPr/>
            </w:pPr>
            <w:r>
              <w:rPr/>
              <w:t>89</w:t>
            </w:r>
          </w:p>
        </w:tc>
      </w:tr>
      <w:tr>
        <w:trPr/>
        <w:tc>
          <w:tcPr>
            <w:tcW w:w="9810" w:type="dxa"/>
            <w:tcBorders/>
            <w:vAlign w:val="center"/>
          </w:tcPr>
          <w:p>
            <w:pPr>
              <w:pStyle w:val="TableContents"/>
              <w:bidi w:val="0"/>
              <w:spacing w:before="0" w:after="283"/>
              <w:jc w:val="left"/>
              <w:rPr/>
            </w:pPr>
            <w:r>
              <w:rPr/>
              <w:t>SECTION 8.02.   Guarantors May Consolidate, Etc., Only on Certain Terms</w:t>
            </w:r>
          </w:p>
        </w:tc>
        <w:tc>
          <w:tcPr>
            <w:tcW w:w="395" w:type="dxa"/>
            <w:tcBorders/>
            <w:vAlign w:val="center"/>
          </w:tcPr>
          <w:p>
            <w:pPr>
              <w:pStyle w:val="TableContents"/>
              <w:bidi w:val="0"/>
              <w:spacing w:before="0" w:after="283"/>
              <w:ind w:left="0" w:right="0" w:hanging="1800"/>
              <w:jc w:val="right"/>
              <w:rPr/>
            </w:pPr>
            <w:r>
              <w:rPr/>
              <w:t>90</w:t>
            </w:r>
          </w:p>
        </w:tc>
      </w:tr>
      <w:tr>
        <w:trPr/>
        <w:tc>
          <w:tcPr>
            <w:tcW w:w="9810" w:type="dxa"/>
            <w:tcBorders/>
            <w:vAlign w:val="center"/>
          </w:tcPr>
          <w:p>
            <w:pPr>
              <w:pStyle w:val="TableContents"/>
              <w:bidi w:val="0"/>
              <w:spacing w:before="0" w:after="283"/>
              <w:jc w:val="left"/>
              <w:rPr/>
            </w:pPr>
            <w:r>
              <w:rPr/>
              <w:t>SECTION 8.03.   Successor Substituted</w:t>
            </w:r>
          </w:p>
        </w:tc>
        <w:tc>
          <w:tcPr>
            <w:tcW w:w="395" w:type="dxa"/>
            <w:tcBorders/>
            <w:vAlign w:val="center"/>
          </w:tcPr>
          <w:p>
            <w:pPr>
              <w:pStyle w:val="TableContents"/>
              <w:bidi w:val="0"/>
              <w:spacing w:before="0" w:after="283"/>
              <w:jc w:val="right"/>
              <w:rPr/>
            </w:pPr>
            <w:r>
              <w:rPr/>
              <w:t>91</w:t>
            </w:r>
          </w:p>
        </w:tc>
      </w:tr>
      <w:tr>
        <w:trPr/>
        <w:tc>
          <w:tcPr>
            <w:tcW w:w="10205" w:type="dxa"/>
            <w:gridSpan w:val="2"/>
            <w:tcBorders/>
            <w:vAlign w:val="center"/>
          </w:tcPr>
          <w:p>
            <w:pPr>
              <w:pStyle w:val="TableContents"/>
              <w:bidi w:val="0"/>
              <w:spacing w:before="0" w:after="283"/>
              <w:ind w:left="0" w:right="0" w:hanging="1800"/>
              <w:jc w:val="center"/>
              <w:rPr/>
            </w:pPr>
            <w:r>
              <w:rPr/>
              <w:t xml:space="preserve">ARTICLE Nine </w:t>
              <w:br/>
              <w:br/>
              <w:t>SUPPLEMENTAL INDENTURES</w:t>
            </w:r>
          </w:p>
        </w:tc>
      </w:tr>
      <w:tr>
        <w:trPr/>
        <w:tc>
          <w:tcPr>
            <w:tcW w:w="9810" w:type="dxa"/>
            <w:tcBorders/>
            <w:vAlign w:val="center"/>
          </w:tcPr>
          <w:p>
            <w:pPr>
              <w:pStyle w:val="TableContents"/>
              <w:bidi w:val="0"/>
              <w:spacing w:before="0" w:after="283"/>
              <w:jc w:val="left"/>
              <w:rPr/>
            </w:pPr>
            <w:r>
              <w:rPr/>
              <w:t>SECTION 9.01.   Amendments or Supplements Without Consent of Holders</w:t>
            </w:r>
          </w:p>
        </w:tc>
        <w:tc>
          <w:tcPr>
            <w:tcW w:w="395" w:type="dxa"/>
            <w:tcBorders/>
            <w:vAlign w:val="center"/>
          </w:tcPr>
          <w:p>
            <w:pPr>
              <w:pStyle w:val="TableContents"/>
              <w:bidi w:val="0"/>
              <w:spacing w:before="0" w:after="283"/>
              <w:ind w:left="0" w:right="0" w:hanging="1800"/>
              <w:jc w:val="right"/>
              <w:rPr/>
            </w:pPr>
            <w:r>
              <w:rPr/>
              <w:t>92</w:t>
            </w:r>
          </w:p>
        </w:tc>
      </w:tr>
      <w:tr>
        <w:trPr/>
        <w:tc>
          <w:tcPr>
            <w:tcW w:w="9810" w:type="dxa"/>
            <w:tcBorders/>
            <w:vAlign w:val="center"/>
          </w:tcPr>
          <w:p>
            <w:pPr>
              <w:pStyle w:val="TableContents"/>
              <w:bidi w:val="0"/>
              <w:spacing w:before="0" w:after="283"/>
              <w:jc w:val="left"/>
              <w:rPr/>
            </w:pPr>
            <w:r>
              <w:rPr/>
              <w:t>SECTION 9.02.   Amendments, Supplements or Waivers with Consent of Holders</w:t>
            </w:r>
          </w:p>
        </w:tc>
        <w:tc>
          <w:tcPr>
            <w:tcW w:w="395" w:type="dxa"/>
            <w:tcBorders/>
            <w:vAlign w:val="center"/>
          </w:tcPr>
          <w:p>
            <w:pPr>
              <w:pStyle w:val="TableContents"/>
              <w:bidi w:val="0"/>
              <w:spacing w:before="0" w:after="283"/>
              <w:ind w:left="0" w:right="0" w:hanging="1800"/>
              <w:jc w:val="right"/>
              <w:rPr/>
            </w:pPr>
            <w:r>
              <w:rPr/>
              <w:t>94</w:t>
            </w:r>
          </w:p>
        </w:tc>
      </w:tr>
      <w:tr>
        <w:trPr/>
        <w:tc>
          <w:tcPr>
            <w:tcW w:w="9810" w:type="dxa"/>
            <w:tcBorders/>
            <w:vAlign w:val="center"/>
          </w:tcPr>
          <w:p>
            <w:pPr>
              <w:pStyle w:val="TableContents"/>
              <w:bidi w:val="0"/>
              <w:spacing w:before="0" w:after="283"/>
              <w:jc w:val="left"/>
              <w:rPr/>
            </w:pPr>
            <w:r>
              <w:rPr/>
              <w:t>SECTION 9.03.   Execution of Amendments, Supplements or Waivers</w:t>
            </w:r>
          </w:p>
        </w:tc>
        <w:tc>
          <w:tcPr>
            <w:tcW w:w="395" w:type="dxa"/>
            <w:tcBorders/>
            <w:vAlign w:val="center"/>
          </w:tcPr>
          <w:p>
            <w:pPr>
              <w:pStyle w:val="TableContents"/>
              <w:bidi w:val="0"/>
              <w:spacing w:before="0" w:after="283"/>
              <w:ind w:left="0" w:right="0" w:hanging="1800"/>
              <w:jc w:val="right"/>
              <w:rPr/>
            </w:pPr>
            <w:r>
              <w:rPr/>
              <w:t>95</w:t>
            </w:r>
          </w:p>
        </w:tc>
      </w:tr>
      <w:tr>
        <w:trPr/>
        <w:tc>
          <w:tcPr>
            <w:tcW w:w="9810" w:type="dxa"/>
            <w:tcBorders/>
            <w:vAlign w:val="center"/>
          </w:tcPr>
          <w:p>
            <w:pPr>
              <w:pStyle w:val="TableContents"/>
              <w:bidi w:val="0"/>
              <w:spacing w:before="0" w:after="283"/>
              <w:jc w:val="left"/>
              <w:rPr/>
            </w:pPr>
            <w:r>
              <w:rPr/>
              <w:t>SECTION 9.04.   Effect of Amendments, Supplements or Waivers</w:t>
            </w:r>
          </w:p>
        </w:tc>
        <w:tc>
          <w:tcPr>
            <w:tcW w:w="395" w:type="dxa"/>
            <w:tcBorders/>
            <w:vAlign w:val="center"/>
          </w:tcPr>
          <w:p>
            <w:pPr>
              <w:pStyle w:val="TableContents"/>
              <w:bidi w:val="0"/>
              <w:spacing w:before="0" w:after="283"/>
              <w:ind w:left="0" w:right="0" w:hanging="1800"/>
              <w:jc w:val="right"/>
              <w:rPr/>
            </w:pPr>
            <w:r>
              <w:rPr/>
              <w:t>95</w:t>
            </w:r>
          </w:p>
        </w:tc>
      </w:tr>
      <w:tr>
        <w:trPr/>
        <w:tc>
          <w:tcPr>
            <w:tcW w:w="9810" w:type="dxa"/>
            <w:tcBorders/>
            <w:vAlign w:val="center"/>
          </w:tcPr>
          <w:p>
            <w:pPr>
              <w:pStyle w:val="TableContents"/>
              <w:bidi w:val="0"/>
              <w:spacing w:before="0" w:after="283"/>
              <w:jc w:val="left"/>
              <w:rPr/>
            </w:pPr>
            <w:r>
              <w:rPr/>
              <w:t>SECTION 9.05.   [Reserved]</w:t>
            </w:r>
          </w:p>
        </w:tc>
        <w:tc>
          <w:tcPr>
            <w:tcW w:w="395" w:type="dxa"/>
            <w:tcBorders/>
            <w:vAlign w:val="center"/>
          </w:tcPr>
          <w:p>
            <w:pPr>
              <w:pStyle w:val="TableContents"/>
              <w:bidi w:val="0"/>
              <w:spacing w:before="0" w:after="283"/>
              <w:ind w:left="0" w:right="0" w:hanging="1800"/>
              <w:jc w:val="right"/>
              <w:rPr/>
            </w:pPr>
            <w:r>
              <w:rPr/>
              <w:t>95</w:t>
            </w:r>
          </w:p>
        </w:tc>
      </w:tr>
      <w:tr>
        <w:trPr/>
        <w:tc>
          <w:tcPr>
            <w:tcW w:w="9810" w:type="dxa"/>
            <w:tcBorders/>
            <w:vAlign w:val="center"/>
          </w:tcPr>
          <w:p>
            <w:pPr>
              <w:pStyle w:val="TableContents"/>
              <w:bidi w:val="0"/>
              <w:spacing w:before="0" w:after="283"/>
              <w:jc w:val="left"/>
              <w:rPr/>
            </w:pPr>
            <w:r>
              <w:rPr/>
              <w:t>SECTION 9.06.   Reference in Notes to Supplemental Indentures</w:t>
            </w:r>
          </w:p>
        </w:tc>
        <w:tc>
          <w:tcPr>
            <w:tcW w:w="395" w:type="dxa"/>
            <w:tcBorders/>
            <w:vAlign w:val="center"/>
          </w:tcPr>
          <w:p>
            <w:pPr>
              <w:pStyle w:val="TableContents"/>
              <w:bidi w:val="0"/>
              <w:spacing w:before="0" w:after="283"/>
              <w:ind w:left="0" w:right="0" w:hanging="1800"/>
              <w:jc w:val="right"/>
              <w:rPr/>
            </w:pPr>
            <w:r>
              <w:rPr/>
              <w:t>95</w:t>
            </w:r>
          </w:p>
        </w:tc>
      </w:tr>
      <w:tr>
        <w:trPr/>
        <w:tc>
          <w:tcPr>
            <w:tcW w:w="9810" w:type="dxa"/>
            <w:tcBorders/>
            <w:vAlign w:val="center"/>
          </w:tcPr>
          <w:p>
            <w:pPr>
              <w:pStyle w:val="TableContents"/>
              <w:bidi w:val="0"/>
              <w:spacing w:before="0" w:after="283"/>
              <w:jc w:val="left"/>
              <w:rPr/>
            </w:pPr>
            <w:r>
              <w:rPr/>
              <w:t>SECTION 9.07.   Notice of Supplemental Indentures</w:t>
            </w:r>
          </w:p>
        </w:tc>
        <w:tc>
          <w:tcPr>
            <w:tcW w:w="395" w:type="dxa"/>
            <w:tcBorders/>
            <w:vAlign w:val="center"/>
          </w:tcPr>
          <w:p>
            <w:pPr>
              <w:pStyle w:val="TableContents"/>
              <w:bidi w:val="0"/>
              <w:spacing w:before="0" w:after="283"/>
              <w:jc w:val="right"/>
              <w:rPr/>
            </w:pPr>
            <w:r>
              <w:rPr/>
              <w:t>95</w:t>
            </w:r>
          </w:p>
        </w:tc>
      </w:tr>
      <w:tr>
        <w:trPr/>
        <w:tc>
          <w:tcPr>
            <w:tcW w:w="10205" w:type="dxa"/>
            <w:gridSpan w:val="2"/>
            <w:tcBorders/>
            <w:vAlign w:val="center"/>
          </w:tcPr>
          <w:p>
            <w:pPr>
              <w:pStyle w:val="TableContents"/>
              <w:bidi w:val="0"/>
              <w:spacing w:before="0" w:after="283"/>
              <w:ind w:left="0" w:right="0" w:hanging="1800"/>
              <w:jc w:val="center"/>
              <w:rPr/>
            </w:pPr>
            <w:r>
              <w:rPr/>
              <w:t xml:space="preserve">ARTICLE Ten </w:t>
              <w:br/>
              <w:br/>
              <w:t>COVENANTS</w:t>
            </w:r>
          </w:p>
        </w:tc>
      </w:tr>
      <w:tr>
        <w:trPr/>
        <w:tc>
          <w:tcPr>
            <w:tcW w:w="9810" w:type="dxa"/>
            <w:tcBorders/>
            <w:vAlign w:val="center"/>
          </w:tcPr>
          <w:p>
            <w:pPr>
              <w:pStyle w:val="TableContents"/>
              <w:bidi w:val="0"/>
              <w:spacing w:before="0" w:after="283"/>
              <w:jc w:val="left"/>
              <w:rPr/>
            </w:pPr>
            <w:r>
              <w:rPr/>
              <w:t>SECTION 10.01.   Payment of Principal, Premium, if any, and Interest</w:t>
            </w:r>
          </w:p>
        </w:tc>
        <w:tc>
          <w:tcPr>
            <w:tcW w:w="395" w:type="dxa"/>
            <w:tcBorders/>
            <w:vAlign w:val="center"/>
          </w:tcPr>
          <w:p>
            <w:pPr>
              <w:pStyle w:val="TableContents"/>
              <w:bidi w:val="0"/>
              <w:spacing w:before="0" w:after="283"/>
              <w:ind w:left="0" w:right="0" w:hanging="1800"/>
              <w:jc w:val="right"/>
              <w:rPr/>
            </w:pPr>
            <w:r>
              <w:rPr/>
              <w:t>95</w:t>
            </w:r>
          </w:p>
        </w:tc>
      </w:tr>
      <w:tr>
        <w:trPr/>
        <w:tc>
          <w:tcPr>
            <w:tcW w:w="9810" w:type="dxa"/>
            <w:tcBorders/>
            <w:vAlign w:val="center"/>
          </w:tcPr>
          <w:p>
            <w:pPr>
              <w:pStyle w:val="TableContents"/>
              <w:bidi w:val="0"/>
              <w:spacing w:before="0" w:after="283"/>
              <w:jc w:val="left"/>
              <w:rPr/>
            </w:pPr>
            <w:r>
              <w:rPr/>
              <w:t>SECTION 10.02.   Maintenance of Office or Agency</w:t>
            </w:r>
          </w:p>
        </w:tc>
        <w:tc>
          <w:tcPr>
            <w:tcW w:w="395" w:type="dxa"/>
            <w:tcBorders/>
            <w:vAlign w:val="center"/>
          </w:tcPr>
          <w:p>
            <w:pPr>
              <w:pStyle w:val="TableContents"/>
              <w:bidi w:val="0"/>
              <w:spacing w:before="0" w:after="283"/>
              <w:ind w:left="0" w:right="0" w:hanging="1800"/>
              <w:jc w:val="right"/>
              <w:rPr/>
            </w:pPr>
            <w:r>
              <w:rPr/>
              <w:t>96</w:t>
            </w:r>
          </w:p>
        </w:tc>
      </w:tr>
      <w:tr>
        <w:trPr/>
        <w:tc>
          <w:tcPr>
            <w:tcW w:w="9810" w:type="dxa"/>
            <w:tcBorders/>
            <w:vAlign w:val="center"/>
          </w:tcPr>
          <w:p>
            <w:pPr>
              <w:pStyle w:val="TableContents"/>
              <w:bidi w:val="0"/>
              <w:spacing w:before="0" w:after="283"/>
              <w:jc w:val="left"/>
              <w:rPr/>
            </w:pPr>
            <w:r>
              <w:rPr/>
              <w:t>SECTION 10.03.   Money for Notes Payments to Be Held in Trust</w:t>
            </w:r>
          </w:p>
        </w:tc>
        <w:tc>
          <w:tcPr>
            <w:tcW w:w="395" w:type="dxa"/>
            <w:tcBorders/>
            <w:vAlign w:val="center"/>
          </w:tcPr>
          <w:p>
            <w:pPr>
              <w:pStyle w:val="TableContents"/>
              <w:bidi w:val="0"/>
              <w:spacing w:before="0" w:after="283"/>
              <w:ind w:left="0" w:right="0" w:hanging="1800"/>
              <w:jc w:val="right"/>
              <w:rPr/>
            </w:pPr>
            <w:r>
              <w:rPr/>
              <w:t>96</w:t>
            </w:r>
          </w:p>
        </w:tc>
      </w:tr>
      <w:tr>
        <w:trPr/>
        <w:tc>
          <w:tcPr>
            <w:tcW w:w="9810" w:type="dxa"/>
            <w:tcBorders/>
            <w:vAlign w:val="center"/>
          </w:tcPr>
          <w:p>
            <w:pPr>
              <w:pStyle w:val="TableContents"/>
              <w:bidi w:val="0"/>
              <w:spacing w:before="0" w:after="283"/>
              <w:jc w:val="left"/>
              <w:rPr/>
            </w:pPr>
            <w:r>
              <w:rPr/>
              <w:t>SECTION 10.04.   Organizational Existence</w:t>
            </w:r>
          </w:p>
        </w:tc>
        <w:tc>
          <w:tcPr>
            <w:tcW w:w="395" w:type="dxa"/>
            <w:tcBorders/>
            <w:vAlign w:val="center"/>
          </w:tcPr>
          <w:p>
            <w:pPr>
              <w:pStyle w:val="TableContents"/>
              <w:bidi w:val="0"/>
              <w:spacing w:before="0" w:after="283"/>
              <w:ind w:left="0" w:right="0" w:hanging="1800"/>
              <w:jc w:val="right"/>
              <w:rPr/>
            </w:pPr>
            <w:r>
              <w:rPr/>
              <w:t>97</w:t>
            </w:r>
          </w:p>
        </w:tc>
      </w:tr>
      <w:tr>
        <w:trPr/>
        <w:tc>
          <w:tcPr>
            <w:tcW w:w="9810" w:type="dxa"/>
            <w:tcBorders/>
            <w:vAlign w:val="center"/>
          </w:tcPr>
          <w:p>
            <w:pPr>
              <w:pStyle w:val="TableContents"/>
              <w:bidi w:val="0"/>
              <w:spacing w:before="0" w:after="283"/>
              <w:jc w:val="left"/>
              <w:rPr/>
            </w:pPr>
            <w:r>
              <w:rPr/>
              <w:t>SECTION 10.05.   Payment of Taxes and Other Claims</w:t>
            </w:r>
          </w:p>
        </w:tc>
        <w:tc>
          <w:tcPr>
            <w:tcW w:w="395" w:type="dxa"/>
            <w:tcBorders/>
            <w:vAlign w:val="center"/>
          </w:tcPr>
          <w:p>
            <w:pPr>
              <w:pStyle w:val="TableContents"/>
              <w:bidi w:val="0"/>
              <w:spacing w:before="0" w:after="283"/>
              <w:ind w:left="0" w:right="0" w:hanging="1800"/>
              <w:jc w:val="right"/>
              <w:rPr/>
            </w:pPr>
            <w:r>
              <w:rPr/>
              <w:t>97</w:t>
            </w:r>
          </w:p>
        </w:tc>
      </w:tr>
      <w:tr>
        <w:trPr/>
        <w:tc>
          <w:tcPr>
            <w:tcW w:w="9810" w:type="dxa"/>
            <w:tcBorders/>
            <w:vAlign w:val="center"/>
          </w:tcPr>
          <w:p>
            <w:pPr>
              <w:pStyle w:val="TableContents"/>
              <w:bidi w:val="0"/>
              <w:spacing w:before="0" w:after="283"/>
              <w:jc w:val="left"/>
              <w:rPr/>
            </w:pPr>
            <w:r>
              <w:rPr/>
              <w:t>SECTION 10.06.   [Reserved]</w:t>
            </w:r>
          </w:p>
        </w:tc>
        <w:tc>
          <w:tcPr>
            <w:tcW w:w="395" w:type="dxa"/>
            <w:tcBorders/>
            <w:vAlign w:val="center"/>
          </w:tcPr>
          <w:p>
            <w:pPr>
              <w:pStyle w:val="TableContents"/>
              <w:bidi w:val="0"/>
              <w:spacing w:before="0" w:after="283"/>
              <w:ind w:left="0" w:right="0" w:hanging="1800"/>
              <w:jc w:val="right"/>
              <w:rPr/>
            </w:pPr>
            <w:r>
              <w:rPr/>
              <w:t>97</w:t>
            </w:r>
          </w:p>
        </w:tc>
      </w:tr>
      <w:tr>
        <w:trPr/>
        <w:tc>
          <w:tcPr>
            <w:tcW w:w="9810" w:type="dxa"/>
            <w:tcBorders/>
            <w:vAlign w:val="center"/>
          </w:tcPr>
          <w:p>
            <w:pPr>
              <w:pStyle w:val="TableContents"/>
              <w:bidi w:val="0"/>
              <w:spacing w:before="0" w:after="283"/>
              <w:jc w:val="left"/>
              <w:rPr/>
            </w:pPr>
            <w:r>
              <w:rPr/>
              <w:t>SECTION 10.07.   [Reserved]</w:t>
            </w:r>
          </w:p>
        </w:tc>
        <w:tc>
          <w:tcPr>
            <w:tcW w:w="395" w:type="dxa"/>
            <w:tcBorders/>
            <w:vAlign w:val="center"/>
          </w:tcPr>
          <w:p>
            <w:pPr>
              <w:pStyle w:val="TableContents"/>
              <w:bidi w:val="0"/>
              <w:spacing w:before="0" w:after="283"/>
              <w:ind w:left="0" w:right="0" w:hanging="1800"/>
              <w:jc w:val="right"/>
              <w:rPr/>
            </w:pPr>
            <w:r>
              <w:rPr/>
              <w:t>97</w:t>
            </w:r>
          </w:p>
        </w:tc>
      </w:tr>
      <w:tr>
        <w:trPr/>
        <w:tc>
          <w:tcPr>
            <w:tcW w:w="9810" w:type="dxa"/>
            <w:tcBorders/>
            <w:vAlign w:val="center"/>
          </w:tcPr>
          <w:p>
            <w:pPr>
              <w:pStyle w:val="TableContents"/>
              <w:bidi w:val="0"/>
              <w:spacing w:before="0" w:after="283"/>
              <w:jc w:val="left"/>
              <w:rPr/>
            </w:pPr>
            <w:r>
              <w:rPr/>
              <w:t>SECTION 10.08.   Statement by Officer as to Default</w:t>
            </w:r>
          </w:p>
        </w:tc>
        <w:tc>
          <w:tcPr>
            <w:tcW w:w="395" w:type="dxa"/>
            <w:tcBorders/>
            <w:vAlign w:val="center"/>
          </w:tcPr>
          <w:p>
            <w:pPr>
              <w:pStyle w:val="TableContents"/>
              <w:bidi w:val="0"/>
              <w:spacing w:before="0" w:after="283"/>
              <w:ind w:left="0" w:right="0" w:hanging="1800"/>
              <w:jc w:val="right"/>
              <w:rPr/>
            </w:pPr>
            <w:r>
              <w:rPr/>
              <w:t>97</w:t>
            </w:r>
          </w:p>
        </w:tc>
      </w:tr>
      <w:tr>
        <w:trPr/>
        <w:tc>
          <w:tcPr>
            <w:tcW w:w="9810" w:type="dxa"/>
            <w:tcBorders/>
            <w:vAlign w:val="center"/>
          </w:tcPr>
          <w:p>
            <w:pPr>
              <w:pStyle w:val="TableContents"/>
              <w:bidi w:val="0"/>
              <w:spacing w:before="0" w:after="283"/>
              <w:jc w:val="left"/>
              <w:rPr/>
            </w:pPr>
            <w:r>
              <w:rPr/>
              <w:t>SECTION 10.09.   Reports and Other Information</w:t>
            </w:r>
          </w:p>
        </w:tc>
        <w:tc>
          <w:tcPr>
            <w:tcW w:w="395" w:type="dxa"/>
            <w:tcBorders/>
            <w:vAlign w:val="center"/>
          </w:tcPr>
          <w:p>
            <w:pPr>
              <w:pStyle w:val="TableContents"/>
              <w:bidi w:val="0"/>
              <w:spacing w:before="0" w:after="283"/>
              <w:ind w:left="0" w:right="0" w:hanging="1800"/>
              <w:jc w:val="right"/>
              <w:rPr/>
            </w:pPr>
            <w:r>
              <w:rPr/>
              <w:t>98</w:t>
            </w:r>
          </w:p>
        </w:tc>
      </w:tr>
      <w:tr>
        <w:trPr/>
        <w:tc>
          <w:tcPr>
            <w:tcW w:w="9810" w:type="dxa"/>
            <w:tcBorders/>
            <w:vAlign w:val="center"/>
          </w:tcPr>
          <w:p>
            <w:pPr>
              <w:pStyle w:val="TableContents"/>
              <w:bidi w:val="0"/>
              <w:spacing w:before="0" w:after="283"/>
              <w:jc w:val="left"/>
              <w:rPr/>
            </w:pPr>
            <w:r>
              <w:rPr/>
              <w:t>SECTION 10.10.   Limitation on Restricted Payments</w:t>
            </w:r>
          </w:p>
        </w:tc>
        <w:tc>
          <w:tcPr>
            <w:tcW w:w="395" w:type="dxa"/>
            <w:tcBorders/>
            <w:vAlign w:val="center"/>
          </w:tcPr>
          <w:p>
            <w:pPr>
              <w:pStyle w:val="TableContents"/>
              <w:bidi w:val="0"/>
              <w:spacing w:before="0" w:after="283"/>
              <w:ind w:left="0" w:right="0" w:hanging="1800"/>
              <w:jc w:val="right"/>
              <w:rPr/>
            </w:pPr>
            <w:r>
              <w:rPr/>
              <w:t>100</w:t>
            </w:r>
          </w:p>
        </w:tc>
      </w:tr>
      <w:tr>
        <w:trPr/>
        <w:tc>
          <w:tcPr>
            <w:tcW w:w="9810" w:type="dxa"/>
            <w:tcBorders/>
            <w:vAlign w:val="center"/>
          </w:tcPr>
          <w:p>
            <w:pPr>
              <w:pStyle w:val="TableContents"/>
              <w:bidi w:val="0"/>
              <w:spacing w:before="0" w:after="283"/>
              <w:jc w:val="left"/>
              <w:rPr/>
            </w:pPr>
            <w:r>
              <w:rPr/>
              <w:t>SECTION 10.11.   Limitation on Incurrence of Indebtedness and Issuance of Disqualified Stock and Preferred Stock</w:t>
            </w:r>
          </w:p>
        </w:tc>
        <w:tc>
          <w:tcPr>
            <w:tcW w:w="395" w:type="dxa"/>
            <w:tcBorders/>
            <w:vAlign w:val="center"/>
          </w:tcPr>
          <w:p>
            <w:pPr>
              <w:pStyle w:val="TableContents"/>
              <w:bidi w:val="0"/>
              <w:spacing w:before="0" w:after="283"/>
              <w:ind w:left="0" w:right="0" w:hanging="1800"/>
              <w:jc w:val="right"/>
              <w:rPr/>
            </w:pPr>
            <w:r>
              <w:rPr/>
              <w:t>110</w:t>
            </w:r>
          </w:p>
        </w:tc>
      </w:tr>
      <w:tr>
        <w:trPr/>
        <w:tc>
          <w:tcPr>
            <w:tcW w:w="9810" w:type="dxa"/>
            <w:tcBorders/>
            <w:vAlign w:val="center"/>
          </w:tcPr>
          <w:p>
            <w:pPr>
              <w:pStyle w:val="TableContents"/>
              <w:bidi w:val="0"/>
              <w:spacing w:before="0" w:after="283"/>
              <w:jc w:val="left"/>
              <w:rPr/>
            </w:pPr>
            <w:r>
              <w:rPr/>
              <w:t>SECTION 10.12.   Liens</w:t>
            </w:r>
          </w:p>
        </w:tc>
        <w:tc>
          <w:tcPr>
            <w:tcW w:w="395" w:type="dxa"/>
            <w:tcBorders/>
            <w:vAlign w:val="center"/>
          </w:tcPr>
          <w:p>
            <w:pPr>
              <w:pStyle w:val="TableContents"/>
              <w:bidi w:val="0"/>
              <w:spacing w:before="0" w:after="283"/>
              <w:ind w:left="0" w:right="0" w:hanging="1800"/>
              <w:jc w:val="right"/>
              <w:rPr/>
            </w:pPr>
            <w:r>
              <w:rPr/>
              <w:t>118</w:t>
            </w:r>
          </w:p>
        </w:tc>
      </w:tr>
      <w:tr>
        <w:trPr/>
        <w:tc>
          <w:tcPr>
            <w:tcW w:w="9810" w:type="dxa"/>
            <w:tcBorders/>
            <w:vAlign w:val="center"/>
          </w:tcPr>
          <w:p>
            <w:pPr>
              <w:pStyle w:val="TableContents"/>
              <w:bidi w:val="0"/>
              <w:spacing w:before="0" w:after="283"/>
              <w:jc w:val="left"/>
              <w:rPr/>
            </w:pPr>
            <w:r>
              <w:rPr/>
              <w:t>SECTION 10.13.   Limitations on Transactions with Affiliates</w:t>
            </w:r>
          </w:p>
        </w:tc>
        <w:tc>
          <w:tcPr>
            <w:tcW w:w="395" w:type="dxa"/>
            <w:tcBorders/>
            <w:vAlign w:val="center"/>
          </w:tcPr>
          <w:p>
            <w:pPr>
              <w:pStyle w:val="TableContents"/>
              <w:bidi w:val="0"/>
              <w:spacing w:before="0" w:after="283"/>
              <w:ind w:left="0" w:right="0" w:hanging="1800"/>
              <w:jc w:val="right"/>
              <w:rPr/>
            </w:pPr>
            <w:r>
              <w:rPr/>
              <w:t>118</w:t>
            </w:r>
          </w:p>
        </w:tc>
      </w:tr>
      <w:tr>
        <w:trPr/>
        <w:tc>
          <w:tcPr>
            <w:tcW w:w="9810" w:type="dxa"/>
            <w:tcBorders/>
            <w:vAlign w:val="center"/>
          </w:tcPr>
          <w:p>
            <w:pPr>
              <w:pStyle w:val="TableContents"/>
              <w:bidi w:val="0"/>
              <w:spacing w:before="0" w:after="283"/>
              <w:jc w:val="left"/>
              <w:rPr/>
            </w:pPr>
            <w:r>
              <w:rPr/>
              <w:t>SECTION 10.14.   Limitations on Dividend and Other Payment Restrictions Affecting Restricted Subsidiaries</w:t>
            </w:r>
          </w:p>
        </w:tc>
        <w:tc>
          <w:tcPr>
            <w:tcW w:w="395" w:type="dxa"/>
            <w:tcBorders/>
            <w:vAlign w:val="center"/>
          </w:tcPr>
          <w:p>
            <w:pPr>
              <w:pStyle w:val="TableContents"/>
              <w:bidi w:val="0"/>
              <w:spacing w:before="0" w:after="283"/>
              <w:ind w:left="0" w:right="0" w:hanging="1800"/>
              <w:jc w:val="right"/>
              <w:rPr/>
            </w:pPr>
            <w:r>
              <w:rPr/>
              <w:t>121</w:t>
            </w:r>
          </w:p>
        </w:tc>
      </w:tr>
      <w:tr>
        <w:trPr/>
        <w:tc>
          <w:tcPr>
            <w:tcW w:w="9810" w:type="dxa"/>
            <w:tcBorders/>
            <w:vAlign w:val="center"/>
          </w:tcPr>
          <w:p>
            <w:pPr>
              <w:pStyle w:val="TableContents"/>
              <w:bidi w:val="0"/>
              <w:spacing w:before="0" w:after="283"/>
              <w:jc w:val="left"/>
              <w:rPr/>
            </w:pPr>
            <w:r>
              <w:rPr/>
              <w:t>SECTION 10.15.   Limitation on Guarantees of Indebtedness by Restricted Subsidiaries</w:t>
            </w:r>
          </w:p>
        </w:tc>
        <w:tc>
          <w:tcPr>
            <w:tcW w:w="395" w:type="dxa"/>
            <w:tcBorders/>
            <w:vAlign w:val="center"/>
          </w:tcPr>
          <w:p>
            <w:pPr>
              <w:pStyle w:val="TableContents"/>
              <w:bidi w:val="0"/>
              <w:spacing w:before="0" w:after="283"/>
              <w:ind w:left="0" w:right="0" w:hanging="1800"/>
              <w:jc w:val="right"/>
              <w:rPr/>
            </w:pPr>
            <w:r>
              <w:rPr/>
              <w:t>123</w:t>
            </w:r>
          </w:p>
        </w:tc>
      </w:tr>
      <w:tr>
        <w:trPr/>
        <w:tc>
          <w:tcPr>
            <w:tcW w:w="9810" w:type="dxa"/>
            <w:tcBorders/>
            <w:vAlign w:val="center"/>
          </w:tcPr>
          <w:p>
            <w:pPr>
              <w:pStyle w:val="TableContents"/>
              <w:bidi w:val="0"/>
              <w:spacing w:before="0" w:after="283"/>
              <w:jc w:val="left"/>
              <w:rPr/>
            </w:pPr>
            <w:r>
              <w:rPr/>
              <w:t>SECTION 10.16.   Change of Control</w:t>
            </w:r>
          </w:p>
        </w:tc>
        <w:tc>
          <w:tcPr>
            <w:tcW w:w="395" w:type="dxa"/>
            <w:tcBorders/>
            <w:vAlign w:val="center"/>
          </w:tcPr>
          <w:p>
            <w:pPr>
              <w:pStyle w:val="TableContents"/>
              <w:bidi w:val="0"/>
              <w:spacing w:before="0" w:after="283"/>
              <w:ind w:left="0" w:right="0" w:hanging="1800"/>
              <w:jc w:val="right"/>
              <w:rPr/>
            </w:pPr>
            <w:r>
              <w:rPr/>
              <w:t>125</w:t>
            </w:r>
          </w:p>
        </w:tc>
      </w:tr>
      <w:tr>
        <w:trPr/>
        <w:tc>
          <w:tcPr>
            <w:tcW w:w="9810" w:type="dxa"/>
            <w:tcBorders/>
            <w:vAlign w:val="center"/>
          </w:tcPr>
          <w:p>
            <w:pPr>
              <w:pStyle w:val="TableContents"/>
              <w:bidi w:val="0"/>
              <w:spacing w:before="0" w:after="283"/>
              <w:jc w:val="left"/>
              <w:rPr/>
            </w:pPr>
            <w:r>
              <w:rPr/>
              <w:t>SECTION 10.17.   Asset Sales</w:t>
            </w:r>
          </w:p>
        </w:tc>
        <w:tc>
          <w:tcPr>
            <w:tcW w:w="395" w:type="dxa"/>
            <w:tcBorders/>
            <w:vAlign w:val="center"/>
          </w:tcPr>
          <w:p>
            <w:pPr>
              <w:pStyle w:val="TableContents"/>
              <w:bidi w:val="0"/>
              <w:spacing w:before="0" w:after="283"/>
              <w:ind w:left="0" w:right="0" w:hanging="1800"/>
              <w:jc w:val="right"/>
              <w:rPr/>
            </w:pPr>
            <w:r>
              <w:rPr/>
              <w:t>127</w:t>
            </w:r>
          </w:p>
        </w:tc>
      </w:tr>
      <w:tr>
        <w:trPr/>
        <w:tc>
          <w:tcPr>
            <w:tcW w:w="9810" w:type="dxa"/>
            <w:tcBorders/>
            <w:vAlign w:val="center"/>
          </w:tcPr>
          <w:p>
            <w:pPr>
              <w:pStyle w:val="TableContents"/>
              <w:bidi w:val="0"/>
              <w:spacing w:before="0" w:after="283"/>
              <w:jc w:val="left"/>
              <w:rPr/>
            </w:pPr>
            <w:r>
              <w:rPr/>
              <w:t>SECTION 10.18.   Suspension of Covenants</w:t>
            </w:r>
          </w:p>
        </w:tc>
        <w:tc>
          <w:tcPr>
            <w:tcW w:w="395" w:type="dxa"/>
            <w:tcBorders/>
            <w:vAlign w:val="center"/>
          </w:tcPr>
          <w:p>
            <w:pPr>
              <w:pStyle w:val="TableContents"/>
              <w:bidi w:val="0"/>
              <w:spacing w:before="0" w:after="283"/>
              <w:jc w:val="right"/>
              <w:rPr/>
            </w:pPr>
            <w:r>
              <w:rPr/>
              <w:t>131</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10205" w:type="dxa"/>
            <w:gridSpan w:val="2"/>
            <w:tcBorders/>
            <w:vAlign w:val="center"/>
          </w:tcPr>
          <w:p>
            <w:pPr>
              <w:pStyle w:val="TableContents"/>
              <w:bidi w:val="0"/>
              <w:spacing w:before="0" w:after="283"/>
              <w:ind w:left="0" w:right="0" w:hanging="1800"/>
              <w:jc w:val="center"/>
              <w:rPr/>
            </w:pPr>
            <w:r>
              <w:rPr/>
              <w:t xml:space="preserve">ARTICLE Eleven </w:t>
              <w:br/>
              <w:br/>
              <w:t>REDEMPTION OF NOTES</w:t>
            </w:r>
          </w:p>
        </w:tc>
      </w:tr>
      <w:tr>
        <w:trPr/>
        <w:tc>
          <w:tcPr>
            <w:tcW w:w="9810" w:type="dxa"/>
            <w:tcBorders/>
            <w:vAlign w:val="center"/>
          </w:tcPr>
          <w:p>
            <w:pPr>
              <w:pStyle w:val="TableContents"/>
              <w:bidi w:val="0"/>
              <w:spacing w:before="0" w:after="283"/>
              <w:jc w:val="left"/>
              <w:rPr/>
            </w:pPr>
            <w:r>
              <w:rPr/>
              <w:t>SECTION 11.01.   Right of Redemption</w:t>
            </w:r>
          </w:p>
        </w:tc>
        <w:tc>
          <w:tcPr>
            <w:tcW w:w="395" w:type="dxa"/>
            <w:tcBorders/>
            <w:vAlign w:val="center"/>
          </w:tcPr>
          <w:p>
            <w:pPr>
              <w:pStyle w:val="TableContents"/>
              <w:bidi w:val="0"/>
              <w:spacing w:before="0" w:after="283"/>
              <w:ind w:left="0" w:right="0" w:hanging="1800"/>
              <w:jc w:val="right"/>
              <w:rPr/>
            </w:pPr>
            <w:r>
              <w:rPr/>
              <w:t>132</w:t>
            </w:r>
          </w:p>
        </w:tc>
      </w:tr>
      <w:tr>
        <w:trPr/>
        <w:tc>
          <w:tcPr>
            <w:tcW w:w="9810" w:type="dxa"/>
            <w:tcBorders/>
            <w:vAlign w:val="center"/>
          </w:tcPr>
          <w:p>
            <w:pPr>
              <w:pStyle w:val="TableContents"/>
              <w:bidi w:val="0"/>
              <w:spacing w:before="0" w:after="283"/>
              <w:jc w:val="left"/>
              <w:rPr/>
            </w:pPr>
            <w:r>
              <w:rPr/>
              <w:t>SECTION 11.02.   [Reserved]</w:t>
            </w:r>
          </w:p>
        </w:tc>
        <w:tc>
          <w:tcPr>
            <w:tcW w:w="395" w:type="dxa"/>
            <w:tcBorders/>
            <w:vAlign w:val="center"/>
          </w:tcPr>
          <w:p>
            <w:pPr>
              <w:pStyle w:val="TableContents"/>
              <w:bidi w:val="0"/>
              <w:spacing w:before="0" w:after="283"/>
              <w:ind w:left="0" w:right="0" w:hanging="1800"/>
              <w:jc w:val="right"/>
              <w:rPr/>
            </w:pPr>
            <w:r>
              <w:rPr/>
              <w:t>133</w:t>
            </w:r>
          </w:p>
        </w:tc>
      </w:tr>
      <w:tr>
        <w:trPr/>
        <w:tc>
          <w:tcPr>
            <w:tcW w:w="9810" w:type="dxa"/>
            <w:tcBorders/>
            <w:vAlign w:val="center"/>
          </w:tcPr>
          <w:p>
            <w:pPr>
              <w:pStyle w:val="TableContents"/>
              <w:bidi w:val="0"/>
              <w:spacing w:before="0" w:after="283"/>
              <w:jc w:val="left"/>
              <w:rPr/>
            </w:pPr>
            <w:r>
              <w:rPr/>
              <w:t>SECTION 11.03.   Applicability of Article</w:t>
            </w:r>
          </w:p>
        </w:tc>
        <w:tc>
          <w:tcPr>
            <w:tcW w:w="395" w:type="dxa"/>
            <w:tcBorders/>
            <w:vAlign w:val="center"/>
          </w:tcPr>
          <w:p>
            <w:pPr>
              <w:pStyle w:val="TableContents"/>
              <w:bidi w:val="0"/>
              <w:spacing w:before="0" w:after="283"/>
              <w:ind w:left="0" w:right="0" w:hanging="1800"/>
              <w:jc w:val="right"/>
              <w:rPr/>
            </w:pPr>
            <w:r>
              <w:rPr/>
              <w:t>133</w:t>
            </w:r>
          </w:p>
        </w:tc>
      </w:tr>
      <w:tr>
        <w:trPr/>
        <w:tc>
          <w:tcPr>
            <w:tcW w:w="9810" w:type="dxa"/>
            <w:tcBorders/>
            <w:vAlign w:val="center"/>
          </w:tcPr>
          <w:p>
            <w:pPr>
              <w:pStyle w:val="TableContents"/>
              <w:bidi w:val="0"/>
              <w:spacing w:before="0" w:after="283"/>
              <w:jc w:val="left"/>
              <w:rPr/>
            </w:pPr>
            <w:r>
              <w:rPr/>
              <w:t>SECTION 11.04.   Election to Redeem; Notice to Trustee</w:t>
            </w:r>
          </w:p>
        </w:tc>
        <w:tc>
          <w:tcPr>
            <w:tcW w:w="395" w:type="dxa"/>
            <w:tcBorders/>
            <w:vAlign w:val="center"/>
          </w:tcPr>
          <w:p>
            <w:pPr>
              <w:pStyle w:val="TableContents"/>
              <w:bidi w:val="0"/>
              <w:spacing w:before="0" w:after="283"/>
              <w:ind w:left="0" w:right="0" w:hanging="1800"/>
              <w:jc w:val="right"/>
              <w:rPr/>
            </w:pPr>
            <w:r>
              <w:rPr/>
              <w:t>133</w:t>
            </w:r>
          </w:p>
        </w:tc>
      </w:tr>
      <w:tr>
        <w:trPr/>
        <w:tc>
          <w:tcPr>
            <w:tcW w:w="9810" w:type="dxa"/>
            <w:tcBorders/>
            <w:vAlign w:val="center"/>
          </w:tcPr>
          <w:p>
            <w:pPr>
              <w:pStyle w:val="TableContents"/>
              <w:bidi w:val="0"/>
              <w:spacing w:before="0" w:after="283"/>
              <w:jc w:val="left"/>
              <w:rPr/>
            </w:pPr>
            <w:r>
              <w:rPr/>
              <w:t>SECTION 11.05.   Selection by Trustee of Notes to Be Redeemed</w:t>
            </w:r>
          </w:p>
        </w:tc>
        <w:tc>
          <w:tcPr>
            <w:tcW w:w="395" w:type="dxa"/>
            <w:tcBorders/>
            <w:vAlign w:val="center"/>
          </w:tcPr>
          <w:p>
            <w:pPr>
              <w:pStyle w:val="TableContents"/>
              <w:bidi w:val="0"/>
              <w:spacing w:before="0" w:after="283"/>
              <w:ind w:left="0" w:right="0" w:hanging="1800"/>
              <w:jc w:val="right"/>
              <w:rPr/>
            </w:pPr>
            <w:r>
              <w:rPr/>
              <w:t>133</w:t>
            </w:r>
          </w:p>
        </w:tc>
      </w:tr>
      <w:tr>
        <w:trPr/>
        <w:tc>
          <w:tcPr>
            <w:tcW w:w="9810" w:type="dxa"/>
            <w:tcBorders/>
            <w:vAlign w:val="center"/>
          </w:tcPr>
          <w:p>
            <w:pPr>
              <w:pStyle w:val="TableContents"/>
              <w:bidi w:val="0"/>
              <w:spacing w:before="0" w:after="283"/>
              <w:jc w:val="left"/>
              <w:rPr/>
            </w:pPr>
            <w:r>
              <w:rPr/>
              <w:t>SECTION 11.06.   Notice of Redemption</w:t>
            </w:r>
          </w:p>
        </w:tc>
        <w:tc>
          <w:tcPr>
            <w:tcW w:w="395" w:type="dxa"/>
            <w:tcBorders/>
            <w:vAlign w:val="center"/>
          </w:tcPr>
          <w:p>
            <w:pPr>
              <w:pStyle w:val="TableContents"/>
              <w:bidi w:val="0"/>
              <w:spacing w:before="0" w:after="283"/>
              <w:ind w:left="0" w:right="0" w:hanging="1800"/>
              <w:jc w:val="right"/>
              <w:rPr/>
            </w:pPr>
            <w:r>
              <w:rPr/>
              <w:t>134</w:t>
            </w:r>
          </w:p>
        </w:tc>
      </w:tr>
      <w:tr>
        <w:trPr/>
        <w:tc>
          <w:tcPr>
            <w:tcW w:w="9810" w:type="dxa"/>
            <w:tcBorders/>
            <w:vAlign w:val="center"/>
          </w:tcPr>
          <w:p>
            <w:pPr>
              <w:pStyle w:val="TableContents"/>
              <w:bidi w:val="0"/>
              <w:spacing w:before="0" w:after="283"/>
              <w:jc w:val="left"/>
              <w:rPr/>
            </w:pPr>
            <w:r>
              <w:rPr/>
              <w:t>SECTION 11.07.   Deposit of Redemption Price</w:t>
            </w:r>
          </w:p>
        </w:tc>
        <w:tc>
          <w:tcPr>
            <w:tcW w:w="395" w:type="dxa"/>
            <w:tcBorders/>
            <w:vAlign w:val="center"/>
          </w:tcPr>
          <w:p>
            <w:pPr>
              <w:pStyle w:val="TableContents"/>
              <w:bidi w:val="0"/>
              <w:spacing w:before="0" w:after="283"/>
              <w:ind w:left="0" w:right="0" w:hanging="1800"/>
              <w:jc w:val="right"/>
              <w:rPr/>
            </w:pPr>
            <w:r>
              <w:rPr/>
              <w:t>135</w:t>
            </w:r>
          </w:p>
        </w:tc>
      </w:tr>
      <w:tr>
        <w:trPr/>
        <w:tc>
          <w:tcPr>
            <w:tcW w:w="9810" w:type="dxa"/>
            <w:tcBorders/>
            <w:vAlign w:val="center"/>
          </w:tcPr>
          <w:p>
            <w:pPr>
              <w:pStyle w:val="TableContents"/>
              <w:bidi w:val="0"/>
              <w:spacing w:before="0" w:after="283"/>
              <w:jc w:val="left"/>
              <w:rPr/>
            </w:pPr>
            <w:r>
              <w:rPr/>
              <w:t>SECTION 11.08.   Notes Payable on Redemption Date</w:t>
            </w:r>
          </w:p>
        </w:tc>
        <w:tc>
          <w:tcPr>
            <w:tcW w:w="395" w:type="dxa"/>
            <w:tcBorders/>
            <w:vAlign w:val="center"/>
          </w:tcPr>
          <w:p>
            <w:pPr>
              <w:pStyle w:val="TableContents"/>
              <w:bidi w:val="0"/>
              <w:spacing w:before="0" w:after="283"/>
              <w:ind w:left="0" w:right="0" w:hanging="1800"/>
              <w:jc w:val="right"/>
              <w:rPr/>
            </w:pPr>
            <w:r>
              <w:rPr/>
              <w:t>135</w:t>
            </w:r>
          </w:p>
        </w:tc>
      </w:tr>
      <w:tr>
        <w:trPr/>
        <w:tc>
          <w:tcPr>
            <w:tcW w:w="9810" w:type="dxa"/>
            <w:tcBorders/>
            <w:vAlign w:val="center"/>
          </w:tcPr>
          <w:p>
            <w:pPr>
              <w:pStyle w:val="TableContents"/>
              <w:bidi w:val="0"/>
              <w:spacing w:before="0" w:after="283"/>
              <w:jc w:val="left"/>
              <w:rPr/>
            </w:pPr>
            <w:r>
              <w:rPr/>
              <w:t>SECTION 11.09.   Notes Redeemed in Part</w:t>
            </w:r>
          </w:p>
        </w:tc>
        <w:tc>
          <w:tcPr>
            <w:tcW w:w="395" w:type="dxa"/>
            <w:tcBorders/>
            <w:vAlign w:val="center"/>
          </w:tcPr>
          <w:p>
            <w:pPr>
              <w:pStyle w:val="TableContents"/>
              <w:bidi w:val="0"/>
              <w:spacing w:before="0" w:after="283"/>
              <w:ind w:left="0" w:right="0" w:hanging="1800"/>
              <w:jc w:val="right"/>
              <w:rPr/>
            </w:pPr>
            <w:r>
              <w:rPr/>
              <w:t>136</w:t>
            </w:r>
          </w:p>
        </w:tc>
      </w:tr>
      <w:tr>
        <w:trPr/>
        <w:tc>
          <w:tcPr>
            <w:tcW w:w="9810" w:type="dxa"/>
            <w:tcBorders/>
            <w:vAlign w:val="center"/>
          </w:tcPr>
          <w:p>
            <w:pPr>
              <w:pStyle w:val="TableContents"/>
              <w:bidi w:val="0"/>
              <w:spacing w:before="0" w:after="283"/>
              <w:jc w:val="left"/>
              <w:rPr/>
            </w:pPr>
            <w:r>
              <w:rPr/>
              <w:t>SECTION 11.10.   Mandatory Redemption; Open Market Purchases</w:t>
            </w:r>
          </w:p>
        </w:tc>
        <w:tc>
          <w:tcPr>
            <w:tcW w:w="395" w:type="dxa"/>
            <w:tcBorders/>
            <w:vAlign w:val="center"/>
          </w:tcPr>
          <w:p>
            <w:pPr>
              <w:pStyle w:val="TableContents"/>
              <w:bidi w:val="0"/>
              <w:spacing w:before="0" w:after="283"/>
              <w:ind w:left="0" w:right="0" w:hanging="1800"/>
              <w:jc w:val="right"/>
              <w:rPr/>
            </w:pPr>
            <w:r>
              <w:rPr/>
              <w:t>136</w:t>
            </w:r>
          </w:p>
        </w:tc>
      </w:tr>
      <w:tr>
        <w:trPr/>
        <w:tc>
          <w:tcPr>
            <w:tcW w:w="9810" w:type="dxa"/>
            <w:tcBorders/>
            <w:vAlign w:val="center"/>
          </w:tcPr>
          <w:p>
            <w:pPr>
              <w:pStyle w:val="TableContents"/>
              <w:bidi w:val="0"/>
              <w:spacing w:before="0" w:after="283"/>
              <w:jc w:val="left"/>
              <w:rPr/>
            </w:pPr>
            <w:r>
              <w:rPr/>
              <w:t>SECTION 11.11.   Tender Offer Optional Redemption</w:t>
            </w:r>
          </w:p>
        </w:tc>
        <w:tc>
          <w:tcPr>
            <w:tcW w:w="395" w:type="dxa"/>
            <w:tcBorders/>
            <w:vAlign w:val="center"/>
          </w:tcPr>
          <w:p>
            <w:pPr>
              <w:pStyle w:val="TableContents"/>
              <w:bidi w:val="0"/>
              <w:spacing w:before="0" w:after="283"/>
              <w:jc w:val="right"/>
              <w:rPr/>
            </w:pPr>
            <w:r>
              <w:rPr/>
              <w:t>136</w:t>
            </w:r>
          </w:p>
        </w:tc>
      </w:tr>
      <w:tr>
        <w:trPr/>
        <w:tc>
          <w:tcPr>
            <w:tcW w:w="10205" w:type="dxa"/>
            <w:gridSpan w:val="2"/>
            <w:tcBorders/>
            <w:vAlign w:val="center"/>
          </w:tcPr>
          <w:p>
            <w:pPr>
              <w:pStyle w:val="TableContents"/>
              <w:bidi w:val="0"/>
              <w:spacing w:before="0" w:after="283"/>
              <w:ind w:left="0" w:right="0" w:hanging="1800"/>
              <w:jc w:val="center"/>
              <w:rPr/>
            </w:pPr>
            <w:r>
              <w:rPr/>
              <w:t xml:space="preserve">ARTICLE Twelve </w:t>
              <w:br/>
              <w:br/>
              <w:t>GUARANTEES</w:t>
            </w:r>
          </w:p>
        </w:tc>
      </w:tr>
      <w:tr>
        <w:trPr/>
        <w:tc>
          <w:tcPr>
            <w:tcW w:w="9810" w:type="dxa"/>
            <w:tcBorders/>
            <w:vAlign w:val="center"/>
          </w:tcPr>
          <w:p>
            <w:pPr>
              <w:pStyle w:val="TableContents"/>
              <w:bidi w:val="0"/>
              <w:spacing w:before="0" w:after="283"/>
              <w:jc w:val="left"/>
              <w:rPr/>
            </w:pPr>
            <w:r>
              <w:rPr/>
              <w:t>SECTION 12.01.   Guarantees</w:t>
            </w:r>
          </w:p>
        </w:tc>
        <w:tc>
          <w:tcPr>
            <w:tcW w:w="395" w:type="dxa"/>
            <w:tcBorders/>
            <w:vAlign w:val="center"/>
          </w:tcPr>
          <w:p>
            <w:pPr>
              <w:pStyle w:val="TableContents"/>
              <w:bidi w:val="0"/>
              <w:spacing w:before="0" w:after="283"/>
              <w:ind w:left="0" w:right="0" w:hanging="1800"/>
              <w:jc w:val="right"/>
              <w:rPr/>
            </w:pPr>
            <w:r>
              <w:rPr/>
              <w:t>136</w:t>
            </w:r>
          </w:p>
        </w:tc>
      </w:tr>
      <w:tr>
        <w:trPr/>
        <w:tc>
          <w:tcPr>
            <w:tcW w:w="9810" w:type="dxa"/>
            <w:tcBorders/>
            <w:vAlign w:val="center"/>
          </w:tcPr>
          <w:p>
            <w:pPr>
              <w:pStyle w:val="TableContents"/>
              <w:bidi w:val="0"/>
              <w:spacing w:before="0" w:after="283"/>
              <w:jc w:val="left"/>
              <w:rPr/>
            </w:pPr>
            <w:r>
              <w:rPr/>
              <w:t>SECTION 12.02.   Severability</w:t>
            </w:r>
          </w:p>
        </w:tc>
        <w:tc>
          <w:tcPr>
            <w:tcW w:w="395" w:type="dxa"/>
            <w:tcBorders/>
            <w:vAlign w:val="center"/>
          </w:tcPr>
          <w:p>
            <w:pPr>
              <w:pStyle w:val="TableContents"/>
              <w:bidi w:val="0"/>
              <w:spacing w:before="0" w:after="283"/>
              <w:ind w:left="0" w:right="0" w:hanging="1800"/>
              <w:jc w:val="right"/>
              <w:rPr/>
            </w:pPr>
            <w:r>
              <w:rPr/>
              <w:t>138</w:t>
            </w:r>
          </w:p>
        </w:tc>
      </w:tr>
      <w:tr>
        <w:trPr/>
        <w:tc>
          <w:tcPr>
            <w:tcW w:w="9810" w:type="dxa"/>
            <w:tcBorders/>
            <w:vAlign w:val="center"/>
          </w:tcPr>
          <w:p>
            <w:pPr>
              <w:pStyle w:val="TableContents"/>
              <w:bidi w:val="0"/>
              <w:spacing w:before="0" w:after="283"/>
              <w:jc w:val="left"/>
              <w:rPr/>
            </w:pPr>
            <w:r>
              <w:rPr/>
              <w:t>SECTION 12.03.   Restricted Subsidiaries</w:t>
            </w:r>
          </w:p>
        </w:tc>
        <w:tc>
          <w:tcPr>
            <w:tcW w:w="395" w:type="dxa"/>
            <w:tcBorders/>
            <w:vAlign w:val="center"/>
          </w:tcPr>
          <w:p>
            <w:pPr>
              <w:pStyle w:val="TableContents"/>
              <w:bidi w:val="0"/>
              <w:spacing w:before="0" w:after="283"/>
              <w:ind w:left="0" w:right="0" w:hanging="1800"/>
              <w:jc w:val="right"/>
              <w:rPr/>
            </w:pPr>
            <w:r>
              <w:rPr/>
              <w:t>138</w:t>
            </w:r>
          </w:p>
        </w:tc>
      </w:tr>
      <w:tr>
        <w:trPr/>
        <w:tc>
          <w:tcPr>
            <w:tcW w:w="9810" w:type="dxa"/>
            <w:tcBorders/>
            <w:vAlign w:val="center"/>
          </w:tcPr>
          <w:p>
            <w:pPr>
              <w:pStyle w:val="TableContents"/>
              <w:bidi w:val="0"/>
              <w:spacing w:before="0" w:after="283"/>
              <w:jc w:val="left"/>
              <w:rPr/>
            </w:pPr>
            <w:r>
              <w:rPr/>
              <w:t>SECTION 12.04.   Limitation of Guarantors’ Liability</w:t>
            </w:r>
          </w:p>
        </w:tc>
        <w:tc>
          <w:tcPr>
            <w:tcW w:w="395" w:type="dxa"/>
            <w:tcBorders/>
            <w:vAlign w:val="center"/>
          </w:tcPr>
          <w:p>
            <w:pPr>
              <w:pStyle w:val="TableContents"/>
              <w:bidi w:val="0"/>
              <w:spacing w:before="0" w:after="283"/>
              <w:ind w:left="0" w:right="0" w:hanging="1800"/>
              <w:jc w:val="right"/>
              <w:rPr/>
            </w:pPr>
            <w:r>
              <w:rPr/>
              <w:t>138</w:t>
            </w:r>
          </w:p>
        </w:tc>
      </w:tr>
      <w:tr>
        <w:trPr/>
        <w:tc>
          <w:tcPr>
            <w:tcW w:w="9810" w:type="dxa"/>
            <w:tcBorders/>
            <w:vAlign w:val="center"/>
          </w:tcPr>
          <w:p>
            <w:pPr>
              <w:pStyle w:val="TableContents"/>
              <w:bidi w:val="0"/>
              <w:spacing w:before="0" w:after="283"/>
              <w:jc w:val="left"/>
              <w:rPr/>
            </w:pPr>
            <w:r>
              <w:rPr/>
              <w:t>SECTION 12.05.   Contribution</w:t>
            </w:r>
          </w:p>
        </w:tc>
        <w:tc>
          <w:tcPr>
            <w:tcW w:w="395" w:type="dxa"/>
            <w:tcBorders/>
            <w:vAlign w:val="center"/>
          </w:tcPr>
          <w:p>
            <w:pPr>
              <w:pStyle w:val="TableContents"/>
              <w:bidi w:val="0"/>
              <w:spacing w:before="0" w:after="283"/>
              <w:ind w:left="0" w:right="0" w:hanging="1800"/>
              <w:jc w:val="right"/>
              <w:rPr/>
            </w:pPr>
            <w:r>
              <w:rPr/>
              <w:t>138</w:t>
            </w:r>
          </w:p>
        </w:tc>
      </w:tr>
      <w:tr>
        <w:trPr/>
        <w:tc>
          <w:tcPr>
            <w:tcW w:w="9810" w:type="dxa"/>
            <w:tcBorders/>
            <w:vAlign w:val="center"/>
          </w:tcPr>
          <w:p>
            <w:pPr>
              <w:pStyle w:val="TableContents"/>
              <w:bidi w:val="0"/>
              <w:spacing w:before="0" w:after="283"/>
              <w:jc w:val="left"/>
              <w:rPr/>
            </w:pPr>
            <w:r>
              <w:rPr/>
              <w:t>SECTION 12.06.   Subrogation</w:t>
            </w:r>
          </w:p>
        </w:tc>
        <w:tc>
          <w:tcPr>
            <w:tcW w:w="395" w:type="dxa"/>
            <w:tcBorders/>
            <w:vAlign w:val="center"/>
          </w:tcPr>
          <w:p>
            <w:pPr>
              <w:pStyle w:val="TableContents"/>
              <w:bidi w:val="0"/>
              <w:spacing w:before="0" w:after="283"/>
              <w:ind w:left="0" w:right="0" w:hanging="1800"/>
              <w:jc w:val="right"/>
              <w:rPr/>
            </w:pPr>
            <w:r>
              <w:rPr/>
              <w:t>139</w:t>
            </w:r>
          </w:p>
        </w:tc>
      </w:tr>
      <w:tr>
        <w:trPr/>
        <w:tc>
          <w:tcPr>
            <w:tcW w:w="9810" w:type="dxa"/>
            <w:tcBorders/>
            <w:vAlign w:val="center"/>
          </w:tcPr>
          <w:p>
            <w:pPr>
              <w:pStyle w:val="TableContents"/>
              <w:bidi w:val="0"/>
              <w:spacing w:before="0" w:after="283"/>
              <w:jc w:val="left"/>
              <w:rPr/>
            </w:pPr>
            <w:r>
              <w:rPr/>
              <w:t>SECTION 12.07.   Reinstatement</w:t>
            </w:r>
          </w:p>
        </w:tc>
        <w:tc>
          <w:tcPr>
            <w:tcW w:w="395" w:type="dxa"/>
            <w:tcBorders/>
            <w:vAlign w:val="center"/>
          </w:tcPr>
          <w:p>
            <w:pPr>
              <w:pStyle w:val="TableContents"/>
              <w:bidi w:val="0"/>
              <w:spacing w:before="0" w:after="283"/>
              <w:ind w:left="0" w:right="0" w:hanging="1800"/>
              <w:jc w:val="right"/>
              <w:rPr/>
            </w:pPr>
            <w:r>
              <w:rPr/>
              <w:t>139</w:t>
            </w:r>
          </w:p>
        </w:tc>
      </w:tr>
      <w:tr>
        <w:trPr/>
        <w:tc>
          <w:tcPr>
            <w:tcW w:w="9810" w:type="dxa"/>
            <w:tcBorders/>
            <w:vAlign w:val="center"/>
          </w:tcPr>
          <w:p>
            <w:pPr>
              <w:pStyle w:val="TableContents"/>
              <w:bidi w:val="0"/>
              <w:spacing w:before="0" w:after="283"/>
              <w:jc w:val="left"/>
              <w:rPr/>
            </w:pPr>
            <w:r>
              <w:rPr/>
              <w:t>SECTION 12.08.   Release of a Guarantor</w:t>
            </w:r>
          </w:p>
        </w:tc>
        <w:tc>
          <w:tcPr>
            <w:tcW w:w="395" w:type="dxa"/>
            <w:tcBorders/>
            <w:vAlign w:val="center"/>
          </w:tcPr>
          <w:p>
            <w:pPr>
              <w:pStyle w:val="TableContents"/>
              <w:bidi w:val="0"/>
              <w:spacing w:before="0" w:after="283"/>
              <w:ind w:left="0" w:right="0" w:hanging="1800"/>
              <w:jc w:val="right"/>
              <w:rPr/>
            </w:pPr>
            <w:r>
              <w:rPr/>
              <w:t>139</w:t>
            </w:r>
          </w:p>
        </w:tc>
      </w:tr>
      <w:tr>
        <w:trPr/>
        <w:tc>
          <w:tcPr>
            <w:tcW w:w="9810" w:type="dxa"/>
            <w:tcBorders/>
            <w:vAlign w:val="center"/>
          </w:tcPr>
          <w:p>
            <w:pPr>
              <w:pStyle w:val="TableContents"/>
              <w:bidi w:val="0"/>
              <w:spacing w:before="0" w:after="283"/>
              <w:jc w:val="left"/>
              <w:rPr/>
            </w:pPr>
            <w:r>
              <w:rPr/>
              <w:t>SECTION 12.09.   Benefits Acknowledged</w:t>
            </w:r>
          </w:p>
        </w:tc>
        <w:tc>
          <w:tcPr>
            <w:tcW w:w="395" w:type="dxa"/>
            <w:tcBorders/>
            <w:vAlign w:val="center"/>
          </w:tcPr>
          <w:p>
            <w:pPr>
              <w:pStyle w:val="TableContents"/>
              <w:bidi w:val="0"/>
              <w:spacing w:before="0" w:after="283"/>
              <w:ind w:left="0" w:right="0" w:hanging="1800"/>
              <w:jc w:val="right"/>
              <w:rPr/>
            </w:pPr>
            <w:r>
              <w:rPr/>
              <w:t>140</w:t>
            </w:r>
          </w:p>
        </w:tc>
      </w:tr>
      <w:tr>
        <w:trPr/>
        <w:tc>
          <w:tcPr>
            <w:tcW w:w="9810" w:type="dxa"/>
            <w:tcBorders/>
            <w:vAlign w:val="center"/>
          </w:tcPr>
          <w:p>
            <w:pPr>
              <w:pStyle w:val="TableContents"/>
              <w:bidi w:val="0"/>
              <w:spacing w:before="0" w:after="283"/>
              <w:jc w:val="left"/>
              <w:rPr/>
            </w:pPr>
            <w:r>
              <w:rPr/>
              <w:t>SECTION 12.10.   Effectiveness of Guarantees</w:t>
            </w:r>
          </w:p>
        </w:tc>
        <w:tc>
          <w:tcPr>
            <w:tcW w:w="395" w:type="dxa"/>
            <w:tcBorders/>
            <w:vAlign w:val="center"/>
          </w:tcPr>
          <w:p>
            <w:pPr>
              <w:pStyle w:val="TableContents"/>
              <w:bidi w:val="0"/>
              <w:spacing w:before="0" w:after="283"/>
              <w:jc w:val="right"/>
              <w:rPr/>
            </w:pPr>
            <w:r>
              <w:rPr/>
              <w:t>140</w:t>
            </w:r>
          </w:p>
        </w:tc>
      </w:tr>
      <w:tr>
        <w:trPr/>
        <w:tc>
          <w:tcPr>
            <w:tcW w:w="10205" w:type="dxa"/>
            <w:gridSpan w:val="2"/>
            <w:tcBorders/>
            <w:vAlign w:val="center"/>
          </w:tcPr>
          <w:p>
            <w:pPr>
              <w:pStyle w:val="TableContents"/>
              <w:bidi w:val="0"/>
              <w:spacing w:before="0" w:after="283"/>
              <w:ind w:left="0" w:right="0" w:hanging="1800"/>
              <w:jc w:val="center"/>
              <w:rPr/>
            </w:pPr>
            <w:r>
              <w:rPr/>
              <w:t xml:space="preserve">ARTICLE Thirteen </w:t>
              <w:br/>
              <w:br/>
              <w:t>LEGAL DEFEASANCE AND COVENANT DEFEASANCE</w:t>
            </w:r>
          </w:p>
        </w:tc>
      </w:tr>
      <w:tr>
        <w:trPr/>
        <w:tc>
          <w:tcPr>
            <w:tcW w:w="9810" w:type="dxa"/>
            <w:tcBorders/>
            <w:vAlign w:val="center"/>
          </w:tcPr>
          <w:p>
            <w:pPr>
              <w:pStyle w:val="TableContents"/>
              <w:bidi w:val="0"/>
              <w:spacing w:before="0" w:after="283"/>
              <w:jc w:val="left"/>
              <w:rPr/>
            </w:pPr>
            <w:r>
              <w:rPr/>
              <w:t>SECTION 13.01.   Issuer’s Option to Effect Legal Defeasance or Covenant Defeasance</w:t>
            </w:r>
          </w:p>
        </w:tc>
        <w:tc>
          <w:tcPr>
            <w:tcW w:w="395" w:type="dxa"/>
            <w:tcBorders/>
            <w:vAlign w:val="center"/>
          </w:tcPr>
          <w:p>
            <w:pPr>
              <w:pStyle w:val="TableContents"/>
              <w:bidi w:val="0"/>
              <w:spacing w:before="0" w:after="283"/>
              <w:ind w:left="0" w:right="0" w:hanging="1800"/>
              <w:jc w:val="right"/>
              <w:rPr/>
            </w:pPr>
            <w:r>
              <w:rPr/>
              <w:t>140</w:t>
            </w:r>
          </w:p>
        </w:tc>
      </w:tr>
      <w:tr>
        <w:trPr/>
        <w:tc>
          <w:tcPr>
            <w:tcW w:w="9810" w:type="dxa"/>
            <w:tcBorders/>
            <w:vAlign w:val="center"/>
          </w:tcPr>
          <w:p>
            <w:pPr>
              <w:pStyle w:val="TableContents"/>
              <w:bidi w:val="0"/>
              <w:spacing w:before="0" w:after="283"/>
              <w:jc w:val="left"/>
              <w:rPr/>
            </w:pPr>
            <w:r>
              <w:rPr/>
              <w:t>SECTION 13.02.   Legal Defeasance and Discharge</w:t>
            </w:r>
          </w:p>
        </w:tc>
        <w:tc>
          <w:tcPr>
            <w:tcW w:w="395" w:type="dxa"/>
            <w:tcBorders/>
            <w:vAlign w:val="center"/>
          </w:tcPr>
          <w:p>
            <w:pPr>
              <w:pStyle w:val="TableContents"/>
              <w:bidi w:val="0"/>
              <w:spacing w:before="0" w:after="283"/>
              <w:ind w:left="0" w:right="0" w:hanging="1800"/>
              <w:jc w:val="right"/>
              <w:rPr/>
            </w:pPr>
            <w:r>
              <w:rPr/>
              <w:t>140</w:t>
            </w:r>
          </w:p>
        </w:tc>
      </w:tr>
      <w:tr>
        <w:trPr/>
        <w:tc>
          <w:tcPr>
            <w:tcW w:w="9810" w:type="dxa"/>
            <w:tcBorders/>
            <w:vAlign w:val="center"/>
          </w:tcPr>
          <w:p>
            <w:pPr>
              <w:pStyle w:val="TableContents"/>
              <w:bidi w:val="0"/>
              <w:spacing w:before="0" w:after="283"/>
              <w:jc w:val="left"/>
              <w:rPr/>
            </w:pPr>
            <w:r>
              <w:rPr/>
              <w:t>SECTION 13.03.   Covenant Defeasance</w:t>
            </w:r>
          </w:p>
        </w:tc>
        <w:tc>
          <w:tcPr>
            <w:tcW w:w="395" w:type="dxa"/>
            <w:tcBorders/>
            <w:vAlign w:val="center"/>
          </w:tcPr>
          <w:p>
            <w:pPr>
              <w:pStyle w:val="TableContents"/>
              <w:bidi w:val="0"/>
              <w:spacing w:before="0" w:after="283"/>
              <w:ind w:left="0" w:right="0" w:hanging="1800"/>
              <w:jc w:val="right"/>
              <w:rPr/>
            </w:pPr>
            <w:r>
              <w:rPr/>
              <w:t>141</w:t>
            </w:r>
          </w:p>
        </w:tc>
      </w:tr>
      <w:tr>
        <w:trPr/>
        <w:tc>
          <w:tcPr>
            <w:tcW w:w="9810" w:type="dxa"/>
            <w:tcBorders/>
            <w:vAlign w:val="center"/>
          </w:tcPr>
          <w:p>
            <w:pPr>
              <w:pStyle w:val="TableContents"/>
              <w:bidi w:val="0"/>
              <w:spacing w:before="0" w:after="283"/>
              <w:jc w:val="left"/>
              <w:rPr/>
            </w:pPr>
            <w:r>
              <w:rPr/>
              <w:t>SECTION 13.04.   Conditions to Legal Defeasance or Covenant Defeasance</w:t>
            </w:r>
          </w:p>
        </w:tc>
        <w:tc>
          <w:tcPr>
            <w:tcW w:w="395" w:type="dxa"/>
            <w:tcBorders/>
            <w:vAlign w:val="center"/>
          </w:tcPr>
          <w:p>
            <w:pPr>
              <w:pStyle w:val="TableContents"/>
              <w:bidi w:val="0"/>
              <w:spacing w:before="0" w:after="283"/>
              <w:ind w:left="0" w:right="0" w:hanging="1800"/>
              <w:jc w:val="right"/>
              <w:rPr/>
            </w:pPr>
            <w:r>
              <w:rPr/>
              <w:t>141</w:t>
            </w:r>
          </w:p>
        </w:tc>
      </w:tr>
      <w:tr>
        <w:trPr/>
        <w:tc>
          <w:tcPr>
            <w:tcW w:w="9810" w:type="dxa"/>
            <w:tcBorders/>
            <w:vAlign w:val="center"/>
          </w:tcPr>
          <w:p>
            <w:pPr>
              <w:pStyle w:val="TableContents"/>
              <w:bidi w:val="0"/>
              <w:spacing w:before="0" w:after="283"/>
              <w:jc w:val="left"/>
              <w:rPr/>
            </w:pPr>
            <w:r>
              <w:rPr/>
              <w:t>SECTION 13.05.   Deposited Money and Government Securities To Be Held in Trust; Other Miscellaneous Provisions</w:t>
            </w:r>
          </w:p>
        </w:tc>
        <w:tc>
          <w:tcPr>
            <w:tcW w:w="395" w:type="dxa"/>
            <w:tcBorders/>
            <w:vAlign w:val="center"/>
          </w:tcPr>
          <w:p>
            <w:pPr>
              <w:pStyle w:val="TableContents"/>
              <w:bidi w:val="0"/>
              <w:spacing w:before="0" w:after="283"/>
              <w:ind w:left="0" w:right="0" w:hanging="1800"/>
              <w:jc w:val="right"/>
              <w:rPr/>
            </w:pPr>
            <w:r>
              <w:rPr/>
              <w:t>142</w:t>
            </w:r>
          </w:p>
        </w:tc>
      </w:tr>
      <w:tr>
        <w:trPr/>
        <w:tc>
          <w:tcPr>
            <w:tcW w:w="9810" w:type="dxa"/>
            <w:tcBorders/>
            <w:vAlign w:val="center"/>
          </w:tcPr>
          <w:p>
            <w:pPr>
              <w:pStyle w:val="TableContents"/>
              <w:bidi w:val="0"/>
              <w:spacing w:before="0" w:after="283"/>
              <w:jc w:val="left"/>
              <w:rPr/>
            </w:pPr>
            <w:r>
              <w:rPr/>
              <w:t>SECTION 13.06.   Reinstatement</w:t>
            </w:r>
          </w:p>
        </w:tc>
        <w:tc>
          <w:tcPr>
            <w:tcW w:w="395" w:type="dxa"/>
            <w:tcBorders/>
            <w:vAlign w:val="center"/>
          </w:tcPr>
          <w:p>
            <w:pPr>
              <w:pStyle w:val="TableContents"/>
              <w:bidi w:val="0"/>
              <w:spacing w:before="0" w:after="283"/>
              <w:jc w:val="right"/>
              <w:rPr/>
            </w:pPr>
            <w:r>
              <w:rPr/>
              <w:t>143</w:t>
            </w:r>
          </w:p>
        </w:tc>
      </w:tr>
      <w:tr>
        <w:trPr/>
        <w:tc>
          <w:tcPr>
            <w:tcW w:w="10205" w:type="dxa"/>
            <w:gridSpan w:val="2"/>
            <w:tcBorders/>
            <w:vAlign w:val="center"/>
          </w:tcPr>
          <w:p>
            <w:pPr>
              <w:pStyle w:val="TableContents"/>
              <w:bidi w:val="0"/>
              <w:spacing w:before="0" w:after="283"/>
              <w:ind w:left="0" w:right="0" w:hanging="1800"/>
              <w:jc w:val="center"/>
              <w:rPr/>
            </w:pPr>
            <w:r>
              <w:rPr/>
              <w:t xml:space="preserve">ARTICLE Fourteen </w:t>
              <w:br/>
              <w:br/>
              <w:t>COLLATERAL</w:t>
            </w:r>
          </w:p>
        </w:tc>
      </w:tr>
      <w:tr>
        <w:trPr/>
        <w:tc>
          <w:tcPr>
            <w:tcW w:w="9810" w:type="dxa"/>
            <w:tcBorders/>
            <w:vAlign w:val="center"/>
          </w:tcPr>
          <w:p>
            <w:pPr>
              <w:pStyle w:val="TableContents"/>
              <w:bidi w:val="0"/>
              <w:spacing w:before="0" w:after="283"/>
              <w:jc w:val="left"/>
              <w:rPr/>
            </w:pPr>
            <w:r>
              <w:rPr/>
              <w:t>SECTION 14.01.   Security Documents</w:t>
            </w:r>
          </w:p>
        </w:tc>
        <w:tc>
          <w:tcPr>
            <w:tcW w:w="395" w:type="dxa"/>
            <w:tcBorders/>
            <w:vAlign w:val="center"/>
          </w:tcPr>
          <w:p>
            <w:pPr>
              <w:pStyle w:val="TableContents"/>
              <w:bidi w:val="0"/>
              <w:spacing w:before="0" w:after="283"/>
              <w:ind w:left="0" w:right="0" w:hanging="1800"/>
              <w:jc w:val="right"/>
              <w:rPr/>
            </w:pPr>
            <w:r>
              <w:rPr/>
              <w:t>143</w:t>
            </w:r>
          </w:p>
        </w:tc>
      </w:tr>
      <w:tr>
        <w:trPr/>
        <w:tc>
          <w:tcPr>
            <w:tcW w:w="9810" w:type="dxa"/>
            <w:tcBorders/>
            <w:vAlign w:val="center"/>
          </w:tcPr>
          <w:p>
            <w:pPr>
              <w:pStyle w:val="TableContents"/>
              <w:bidi w:val="0"/>
              <w:spacing w:before="0" w:after="283"/>
              <w:jc w:val="left"/>
              <w:rPr/>
            </w:pPr>
            <w:r>
              <w:rPr/>
              <w:t>SECTION 14.02.   Release of Collateral</w:t>
            </w:r>
          </w:p>
        </w:tc>
        <w:tc>
          <w:tcPr>
            <w:tcW w:w="395" w:type="dxa"/>
            <w:tcBorders/>
            <w:vAlign w:val="center"/>
          </w:tcPr>
          <w:p>
            <w:pPr>
              <w:pStyle w:val="TableContents"/>
              <w:bidi w:val="0"/>
              <w:spacing w:before="0" w:after="283"/>
              <w:jc w:val="right"/>
              <w:rPr/>
            </w:pPr>
            <w:r>
              <w:rPr/>
              <w:t>144</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9695"/>
        <w:gridCol w:w="395"/>
      </w:tblGrid>
      <w:tr>
        <w:trPr/>
        <w:tc>
          <w:tcPr>
            <w:tcW w:w="9695" w:type="dxa"/>
            <w:tcBorders/>
            <w:vAlign w:val="center"/>
          </w:tcPr>
          <w:p>
            <w:pPr>
              <w:pStyle w:val="TableContents"/>
              <w:bidi w:val="0"/>
              <w:spacing w:before="0" w:after="283"/>
              <w:ind w:left="0" w:right="0" w:hanging="1800"/>
              <w:jc w:val="left"/>
              <w:rPr/>
            </w:pPr>
            <w:r>
              <w:rPr/>
              <w:t>SECTION 14.03.   Suits to Protect the Collateral</w:t>
            </w:r>
          </w:p>
        </w:tc>
        <w:tc>
          <w:tcPr>
            <w:tcW w:w="395" w:type="dxa"/>
            <w:tcBorders/>
            <w:vAlign w:val="center"/>
          </w:tcPr>
          <w:p>
            <w:pPr>
              <w:pStyle w:val="TableContents"/>
              <w:bidi w:val="0"/>
              <w:spacing w:before="0" w:after="283"/>
              <w:ind w:left="0" w:right="0" w:hanging="1800"/>
              <w:jc w:val="right"/>
              <w:rPr/>
            </w:pPr>
            <w:r>
              <w:rPr/>
              <w:t>145</w:t>
            </w:r>
          </w:p>
        </w:tc>
      </w:tr>
      <w:tr>
        <w:trPr/>
        <w:tc>
          <w:tcPr>
            <w:tcW w:w="9695" w:type="dxa"/>
            <w:tcBorders/>
            <w:vAlign w:val="center"/>
          </w:tcPr>
          <w:p>
            <w:pPr>
              <w:pStyle w:val="TableContents"/>
              <w:bidi w:val="0"/>
              <w:spacing w:before="0" w:after="283"/>
              <w:jc w:val="left"/>
              <w:rPr/>
            </w:pPr>
            <w:r>
              <w:rPr/>
              <w:t>SECTION 14.04.   Authorization of Receipt of Funds by the Trustee under the Security Documents</w:t>
            </w:r>
          </w:p>
        </w:tc>
        <w:tc>
          <w:tcPr>
            <w:tcW w:w="395" w:type="dxa"/>
            <w:tcBorders/>
            <w:vAlign w:val="center"/>
          </w:tcPr>
          <w:p>
            <w:pPr>
              <w:pStyle w:val="TableContents"/>
              <w:bidi w:val="0"/>
              <w:spacing w:before="0" w:after="283"/>
              <w:ind w:left="0" w:right="0" w:hanging="1800"/>
              <w:jc w:val="right"/>
              <w:rPr/>
            </w:pPr>
            <w:r>
              <w:rPr/>
              <w:t>145</w:t>
            </w:r>
          </w:p>
        </w:tc>
      </w:tr>
      <w:tr>
        <w:trPr/>
        <w:tc>
          <w:tcPr>
            <w:tcW w:w="9695" w:type="dxa"/>
            <w:tcBorders/>
            <w:vAlign w:val="center"/>
          </w:tcPr>
          <w:p>
            <w:pPr>
              <w:pStyle w:val="TableContents"/>
              <w:bidi w:val="0"/>
              <w:spacing w:before="0" w:after="283"/>
              <w:jc w:val="left"/>
              <w:rPr/>
            </w:pPr>
            <w:r>
              <w:rPr/>
              <w:t>SECTION 14.05.   Purchaser Protected</w:t>
            </w:r>
          </w:p>
        </w:tc>
        <w:tc>
          <w:tcPr>
            <w:tcW w:w="395" w:type="dxa"/>
            <w:tcBorders/>
            <w:vAlign w:val="center"/>
          </w:tcPr>
          <w:p>
            <w:pPr>
              <w:pStyle w:val="TableContents"/>
              <w:bidi w:val="0"/>
              <w:spacing w:before="0" w:after="283"/>
              <w:ind w:left="0" w:right="0" w:hanging="1800"/>
              <w:jc w:val="right"/>
              <w:rPr/>
            </w:pPr>
            <w:r>
              <w:rPr/>
              <w:t>146</w:t>
            </w:r>
          </w:p>
        </w:tc>
      </w:tr>
      <w:tr>
        <w:trPr/>
        <w:tc>
          <w:tcPr>
            <w:tcW w:w="9695" w:type="dxa"/>
            <w:tcBorders/>
            <w:vAlign w:val="center"/>
          </w:tcPr>
          <w:p>
            <w:pPr>
              <w:pStyle w:val="TableContents"/>
              <w:bidi w:val="0"/>
              <w:spacing w:before="0" w:after="283"/>
              <w:jc w:val="left"/>
              <w:rPr/>
            </w:pPr>
            <w:r>
              <w:rPr/>
              <w:t>SECTION 14.06.   Powers Exercisable by Receiver or Trustee</w:t>
            </w:r>
          </w:p>
        </w:tc>
        <w:tc>
          <w:tcPr>
            <w:tcW w:w="395" w:type="dxa"/>
            <w:tcBorders/>
            <w:vAlign w:val="center"/>
          </w:tcPr>
          <w:p>
            <w:pPr>
              <w:pStyle w:val="TableContents"/>
              <w:bidi w:val="0"/>
              <w:spacing w:before="0" w:after="283"/>
              <w:ind w:left="0" w:right="0" w:hanging="1800"/>
              <w:jc w:val="right"/>
              <w:rPr/>
            </w:pPr>
            <w:r>
              <w:rPr/>
              <w:t>146</w:t>
            </w:r>
          </w:p>
        </w:tc>
      </w:tr>
      <w:tr>
        <w:trPr/>
        <w:tc>
          <w:tcPr>
            <w:tcW w:w="9695" w:type="dxa"/>
            <w:tcBorders/>
            <w:vAlign w:val="center"/>
          </w:tcPr>
          <w:p>
            <w:pPr>
              <w:pStyle w:val="TableContents"/>
              <w:bidi w:val="0"/>
              <w:spacing w:before="0" w:after="283"/>
              <w:jc w:val="left"/>
              <w:rPr/>
            </w:pPr>
            <w:r>
              <w:rPr/>
              <w:t>SECTION 14.07.   Release Upon Termination of the Issuer’s Obligations</w:t>
            </w:r>
          </w:p>
        </w:tc>
        <w:tc>
          <w:tcPr>
            <w:tcW w:w="395" w:type="dxa"/>
            <w:tcBorders/>
            <w:vAlign w:val="center"/>
          </w:tcPr>
          <w:p>
            <w:pPr>
              <w:pStyle w:val="TableContents"/>
              <w:bidi w:val="0"/>
              <w:spacing w:before="0" w:after="283"/>
              <w:ind w:left="0" w:right="0" w:hanging="1800"/>
              <w:jc w:val="right"/>
              <w:rPr/>
            </w:pPr>
            <w:r>
              <w:rPr/>
              <w:t>146</w:t>
            </w:r>
          </w:p>
        </w:tc>
      </w:tr>
      <w:tr>
        <w:trPr/>
        <w:tc>
          <w:tcPr>
            <w:tcW w:w="9695" w:type="dxa"/>
            <w:tcBorders/>
            <w:vAlign w:val="center"/>
          </w:tcPr>
          <w:p>
            <w:pPr>
              <w:pStyle w:val="TableContents"/>
              <w:bidi w:val="0"/>
              <w:spacing w:before="0" w:after="283"/>
              <w:jc w:val="left"/>
              <w:rPr/>
            </w:pPr>
            <w:r>
              <w:rPr/>
              <w:t>SECTION 14.08.   Notes Collateral Agent</w:t>
            </w:r>
          </w:p>
        </w:tc>
        <w:tc>
          <w:tcPr>
            <w:tcW w:w="395" w:type="dxa"/>
            <w:tcBorders/>
            <w:vAlign w:val="center"/>
          </w:tcPr>
          <w:p>
            <w:pPr>
              <w:pStyle w:val="TableContents"/>
              <w:bidi w:val="0"/>
              <w:spacing w:before="0" w:after="283"/>
              <w:ind w:left="0" w:right="0" w:hanging="1800"/>
              <w:jc w:val="right"/>
              <w:rPr/>
            </w:pPr>
            <w:r>
              <w:rPr/>
              <w:t>146</w:t>
            </w:r>
          </w:p>
        </w:tc>
      </w:tr>
      <w:tr>
        <w:trPr/>
        <w:tc>
          <w:tcPr>
            <w:tcW w:w="9695" w:type="dxa"/>
            <w:tcBorders/>
            <w:vAlign w:val="center"/>
          </w:tcPr>
          <w:p>
            <w:pPr>
              <w:pStyle w:val="TableContents"/>
              <w:bidi w:val="0"/>
              <w:spacing w:before="0" w:after="283"/>
              <w:jc w:val="left"/>
              <w:rPr/>
            </w:pPr>
            <w:r>
              <w:rPr/>
              <w:t>SECTION 14.09.   Other Limitations and Protections</w:t>
            </w:r>
          </w:p>
        </w:tc>
        <w:tc>
          <w:tcPr>
            <w:tcW w:w="395" w:type="dxa"/>
            <w:tcBorders/>
            <w:vAlign w:val="center"/>
          </w:tcPr>
          <w:p>
            <w:pPr>
              <w:pStyle w:val="TableContents"/>
              <w:bidi w:val="0"/>
              <w:spacing w:before="0" w:after="283"/>
              <w:ind w:left="0" w:right="0" w:hanging="1800"/>
              <w:jc w:val="right"/>
              <w:rPr/>
            </w:pPr>
            <w:r>
              <w:rPr/>
              <w:t>155</w:t>
            </w:r>
          </w:p>
        </w:tc>
      </w:tr>
      <w:tr>
        <w:trPr/>
        <w:tc>
          <w:tcPr>
            <w:tcW w:w="9695" w:type="dxa"/>
            <w:tcBorders/>
            <w:vAlign w:val="center"/>
          </w:tcPr>
          <w:p>
            <w:pPr>
              <w:pStyle w:val="TableContents"/>
              <w:bidi w:val="0"/>
              <w:spacing w:before="0" w:after="283"/>
              <w:jc w:val="left"/>
              <w:rPr/>
            </w:pPr>
            <w:r>
              <w:rPr/>
              <w:t>SECTION 14.10.   Further Assurances; Maintenance of Properties; Compliance with Laws; Insurance</w:t>
            </w:r>
          </w:p>
        </w:tc>
        <w:tc>
          <w:tcPr>
            <w:tcW w:w="395" w:type="dxa"/>
            <w:tcBorders/>
            <w:vAlign w:val="center"/>
          </w:tcPr>
          <w:p>
            <w:pPr>
              <w:pStyle w:val="TableContents"/>
              <w:bidi w:val="0"/>
              <w:spacing w:before="0" w:after="283"/>
              <w:jc w:val="right"/>
              <w:rPr/>
            </w:pPr>
            <w:r>
              <w:rPr/>
              <w:t>155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&amp;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 ― Rule 144A /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 to Rule 144A / Regulation S — Form of Initial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Form of Supplemental Indenture to Be Delivered by Subsequent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Form of Incumbency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Form of Net Short 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May 14, 2026 (this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among ACADEMY, LTD., a Texas limited partnership, the Guarantors (as defined herein) listed on Schedule I hereto, and U.S. BANK TRUST COMPANY, NATIONAL ASSOCIATION, as Trustee and as Notes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duly authorized the creation of an issue of 5.875% Senior Secured Notes Due 2031 issued on the date hereof (the “</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and to provide therefor the Issuer has duly authorized the execution and delivery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things necessary have been done to make the Notes, when executed by the Issuer and authenticated and delivered hereunder and duly issued by the Issuer, the valid and legally binding obligations of the Issuer and to make this Indenture a valid and legally binding agreement of the Issuer and the Guarantors, in accordance with their and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is entering into this Indenture for the benefit of the other parties and for the equal and ratable benefit of the Holders (as defined below) of (i) the Issuer’s Initial Notes and (ii) any Additional Notes (as defined herein) that may be issued from time to time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THIS INDENTURE WITNESSETH: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purchase of the Notes by the Holders thereof, it is mutually covenanted and agreed, for the equal and ratable benefit of all Holders,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One</w:t>
        <w:br/>
        <w:br/>
        <w:t>DEFINITIONS AND OTHER PROVISIONS</w:t>
        <w:br/>
        <w:t>OF GENERAL APPLICATION</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1.01.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Indenture, except as otherwise expressly provided or unless the context otherwise requires: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defined in this Article One have the meanings assigned to them in this Article One, and words in the singular include the plural and words in the plural include the singular;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accounting terms not otherwise defined herein have the meanings assigned to them in accordance with GAAP (as herein defined);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words “herein”, “hereof” and “hereunder” and other words of similar import refer to this Indenture as a whole and not to any particular Article, Section or other subdivision;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references to Articles, Sections, Exhibits and Appendices shall be construed to refer to Articles and Sections of, and Exhibits and Appendices to,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“or” is not exclusive;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“including” means including without limitation;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all references to the date the Notes were originally issued shall refer to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ABL Collateral Agent</w:t>
      </w:r>
      <w:r>
        <w:rPr>
          <w:rFonts w:ascii="Times New Roman;Times;Serif" w:hAnsi="Times New Roman;Times;Serif"/>
          <w:b w:val="false"/>
          <w:i w:val="false"/>
          <w:caps w:val="false"/>
          <w:smallCaps w:val="false"/>
          <w:sz w:val="20"/>
        </w:rPr>
        <w:t>” means JPMorgan Chase Bank, N.A., in its capacity as the collateral agent under the ABL Credit Agreement, or any successor representative acting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ABL Credit Agreement</w:t>
      </w:r>
      <w:r>
        <w:rPr>
          <w:rFonts w:ascii="Times New Roman;Times;Serif" w:hAnsi="Times New Roman;Times;Serif"/>
          <w:b w:val="false"/>
          <w:i w:val="false"/>
          <w:caps w:val="false"/>
          <w:smallCaps w:val="false"/>
          <w:sz w:val="20"/>
        </w:rPr>
        <w:t xml:space="preserve">” means (i) the revolving credit facility pursuant to the First Amended and Restated ABL Credit Agreement, dated July 2, 2015, among the Issuer,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the same may be in effect from time to time and any amendments, supplements, modifications, extensions, renewals, restatements, refundings, exchanges or refinancings thereof and (ii) whether or not the credit agreement referred to in clause (i) remains outstanding, any other financing arrangements (including, without limitation,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or refundings thereof and any credit facilities, indentures or commercial paper facilities that replace, refund, refinance, extend, renew, restate, amend, supplement or modify any part of the loans, notes, other credit facilities, commitments or other similar obligations thereunder, including any such exchanged, replacement, refunding, refinancing, extended, renewed, restated, amended, supplemented or modified facility or indenture that increases the amount permitted to be borrowed thereunder or alters the maturity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increase in borrowings is permitted under Section 10.11) or adds Restricted Subsidiaries as additional borrowers or guarantors thereunder and whether by the same or any other agent, lender or group of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ABL Documents</w:t>
      </w:r>
      <w:r>
        <w:rPr>
          <w:rFonts w:ascii="Times New Roman;Times;Serif" w:hAnsi="Times New Roman;Times;Serif"/>
          <w:b w:val="false"/>
          <w:i w:val="false"/>
          <w:caps w:val="false"/>
          <w:smallCaps w:val="false"/>
          <w:sz w:val="20"/>
        </w:rPr>
        <w:t>” means the ABL Credit Agreement, any additional credit agreement, note purchase agreement, indenture or other agreement related thereto and all other loan or note documents, collateral or security documents, notes, guarantees, instruments and agreements governing or evidencing, or executed or delivered in connection with, the ABL Credit Agreement or any Pari Passu ABL Lien Indebtedness, as such agreements or instruments may be amended, supplemented, modified, restated, replaced, renewed, refunded, restructured, increased or refinanced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ABL Intercreditor Agreement</w:t>
      </w:r>
      <w:r>
        <w:rPr>
          <w:rFonts w:ascii="Times New Roman;Times;Serif" w:hAnsi="Times New Roman;Times;Serif"/>
          <w:b w:val="false"/>
          <w:i w:val="false"/>
          <w:caps w:val="false"/>
          <w:smallCaps w:val="false"/>
          <w:sz w:val="20"/>
        </w:rPr>
        <w:t>” means that certain ABL Intercreditor Agreement, dated as of July 2, 2015, by and among the Issuer, the Guarantors, the ABL Collateral Agent and, from and after giving effect to the ABL Intercreditor Agreement Joinder, the Notes Collateral Agent, as amended,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ABL Intercreditor Agreement Joinder</w:t>
      </w:r>
      <w:r>
        <w:rPr>
          <w:rFonts w:ascii="Times New Roman;Times;Serif" w:hAnsi="Times New Roman;Times;Serif"/>
          <w:b w:val="false"/>
          <w:i w:val="false"/>
          <w:caps w:val="false"/>
          <w:smallCaps w:val="false"/>
          <w:sz w:val="20"/>
        </w:rPr>
        <w:t>” means the Lien Sharing and Priority Confirmation Joinder, dated as of the Issue Date, by the Notes Collateral Agent and acknowledged by the ABL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ABL Obligations</w:t>
      </w:r>
      <w:r>
        <w:rPr>
          <w:rFonts w:ascii="Times New Roman;Times;Serif" w:hAnsi="Times New Roman;Times;Serif"/>
          <w:b w:val="false"/>
          <w:i w:val="false"/>
          <w:caps w:val="false"/>
          <w:smallCaps w:val="false"/>
          <w:sz w:val="20"/>
        </w:rPr>
        <w:t>” means all Indebtedness, liabilities and obligations (of every kind or nature) incurred or arising under or relating to the ABL Documents that is secured by a Permitted Lien, and all other obligations of the Issuer or any Guarantor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ABL Priority Collateral</w:t>
      </w:r>
      <w:r>
        <w:rPr>
          <w:rFonts w:ascii="Times New Roman;Times;Serif" w:hAnsi="Times New Roman;Times;Serif"/>
          <w:b w:val="false"/>
          <w:i w:val="false"/>
          <w:caps w:val="false"/>
          <w:smallCaps w:val="false"/>
          <w:sz w:val="20"/>
        </w:rPr>
        <w:t>” has the meaning given to such term in the ABL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ABL Representative</w:t>
      </w:r>
      <w:r>
        <w:rPr>
          <w:rFonts w:ascii="Times New Roman;Times;Serif" w:hAnsi="Times New Roman;Times;Serif"/>
          <w:b w:val="false"/>
          <w:i w:val="false"/>
          <w:caps w:val="false"/>
          <w:smallCaps w:val="false"/>
          <w:sz w:val="20"/>
        </w:rPr>
        <w:t>” means, (1) in the case of the ABL Credit Agreement, the ABL Collateral Agent and (2) in the case of any other Pari Passu ABL Lien Indebtedness, the trustee, agent or representative of the holders of such Pari Passu ABL Lien Indebtedness who is appointed as a representative of such Pari Passu ABL Lien Indebtedness (for purposes related to the administration of the applicable security documents related thereto) pursuant to this Indenture, the credit agreement or other agreement governing such Pari Passu ABL Lien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Acceptable Commitment</w:t>
      </w:r>
      <w:r>
        <w:rPr>
          <w:rFonts w:ascii="Times New Roman;Times;Serif" w:hAnsi="Times New Roman;Times;Serif"/>
          <w:b w:val="false"/>
          <w:i w:val="false"/>
          <w:caps w:val="false"/>
          <w:smallCaps w:val="false"/>
          <w:sz w:val="20"/>
        </w:rPr>
        <w:t>” has the meaning specified in Section 10.17(b)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Indebtedness</w:t>
      </w:r>
      <w:r>
        <w:rPr>
          <w:rFonts w:ascii="Times New Roman;Times;Serif" w:hAnsi="Times New Roman;Times;Serif"/>
          <w:b w:val="false"/>
          <w:i w:val="false"/>
          <w:caps w:val="false"/>
          <w:smallCaps w:val="false"/>
          <w:sz w:val="20"/>
        </w:rPr>
        <w:t>” means, with respect to any specified Person, (1)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(2) Indebtedness secured by a Lien encumbering any asset acquired by such specified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when used with respect to any Holder, has the meaning specified in Section 1.05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Credit Support Party</w:t>
      </w:r>
      <w:r>
        <w:rPr>
          <w:rFonts w:ascii="Times New Roman;Times;Serif" w:hAnsi="Times New Roman;Times;Serif"/>
          <w:b w:val="false"/>
          <w:i w:val="false"/>
          <w:caps w:val="false"/>
          <w:smallCaps w:val="false"/>
          <w:sz w:val="20"/>
        </w:rPr>
        <w:t>” has the meaning specified in Section 10.15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First Lien Obligations</w:t>
      </w:r>
      <w:r>
        <w:rPr>
          <w:rFonts w:ascii="Times New Roman;Times;Serif" w:hAnsi="Times New Roman;Times;Serif"/>
          <w:b w:val="false"/>
          <w:i w:val="false"/>
          <w:caps w:val="false"/>
          <w:smallCaps w:val="false"/>
          <w:sz w:val="20"/>
        </w:rPr>
        <w:t xml:space="preserve">” means the Obligations with respect to any indebtedness having Pari Passu Lien Priority (but without regard to the control of remedies) relative to the Notes Obligations or ABL Obligations, as applicable, with respect to the Collateral (other than the ABL Obligations) or that is otherwise secured by Liens on the Collateral on a first-priority basis as of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 authorized representative of the holders of such indebtedness shall be a party to the Intercreditor Agreements or shall have executed a joinder to the Intercreditor Agreements (or entered into such other intercreditor agreement having substantially similar terms as the Intercreditor Agreements,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means any Notes issued by the Issuer pursuant to Section 3.13.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Net Assets</w:t>
      </w:r>
      <w:r>
        <w:rPr>
          <w:rFonts w:ascii="Times New Roman;Times;Serif" w:hAnsi="Times New Roman;Times;Serif"/>
          <w:b w:val="false"/>
          <w:i w:val="false"/>
          <w:caps w:val="false"/>
          <w:smallCaps w:val="false"/>
          <w:sz w:val="20"/>
        </w:rPr>
        <w:t>” has the meaning specified in Section 12.05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Advance Offer</w:t>
      </w:r>
      <w:r>
        <w:rPr>
          <w:rFonts w:ascii="Times New Roman;Times;Serif" w:hAnsi="Times New Roman;Times;Serif"/>
          <w:b w:val="false"/>
          <w:i w:val="false"/>
          <w:caps w:val="false"/>
          <w:smallCaps w:val="false"/>
          <w:sz w:val="20"/>
        </w:rPr>
        <w:t>” has the meaning specified in Section 10.17(c)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Advance Portion</w:t>
      </w:r>
      <w:r>
        <w:rPr>
          <w:rFonts w:ascii="Times New Roman;Times;Serif" w:hAnsi="Times New Roman;Times;Serif"/>
          <w:b w:val="false"/>
          <w:i w:val="false"/>
          <w:caps w:val="false"/>
          <w:smallCaps w:val="false"/>
          <w:sz w:val="20"/>
        </w:rPr>
        <w:t>” has the meaning specified in Section 10.17(c)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 Transaction</w:t>
      </w:r>
      <w:r>
        <w:rPr>
          <w:rFonts w:ascii="Times New Roman;Times;Serif" w:hAnsi="Times New Roman;Times;Serif"/>
          <w:b w:val="false"/>
          <w:i w:val="false"/>
          <w:caps w:val="false"/>
          <w:smallCaps w:val="false"/>
          <w:sz w:val="20"/>
        </w:rPr>
        <w:t>” has the meaning specified in Section 10.13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Agent</w:t>
      </w:r>
      <w:r>
        <w:rPr>
          <w:rFonts w:ascii="Times New Roman;Times;Serif" w:hAnsi="Times New Roman;Times;Serif"/>
          <w:b w:val="false"/>
          <w:i w:val="false"/>
          <w:caps w:val="false"/>
          <w:smallCaps w:val="false"/>
          <w:sz w:val="20"/>
        </w:rPr>
        <w:t>” means any Note Registrar, Transfer Agent, co-registrar, Paying Agent, Notes Collateral Agent, authentication agent, or other agent appointed in accordance with this Indenture to perform any function that this Indenture authorized such agent to perform.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has the meaning specified in Section 10.16(a)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Appendix</w:t>
      </w:r>
      <w:r>
        <w:rPr>
          <w:rFonts w:ascii="Times New Roman;Times;Serif" w:hAnsi="Times New Roman;Times;Serif"/>
          <w:b w:val="false"/>
          <w:i w:val="false"/>
          <w:caps w:val="false"/>
          <w:smallCaps w:val="false"/>
          <w:sz w:val="20"/>
        </w:rPr>
        <w:t>” has the meaning specified in Section 2.01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Calculation Date</w:t>
      </w:r>
      <w:r>
        <w:rPr>
          <w:rFonts w:ascii="Times New Roman;Times;Serif" w:hAnsi="Times New Roman;Times;Serif"/>
          <w:b w:val="false"/>
          <w:i w:val="false"/>
          <w:caps w:val="false"/>
          <w:smallCaps w:val="false"/>
          <w:sz w:val="20"/>
        </w:rPr>
        <w:t>” means the applicable date of calculation for (i) the Consolidated First Lien Debt Ratio, (ii) the Consolidated Total Debt Ratio, (iii) the Consolidated Secured Debt Ratio, (iv) the Fixed Charge Coverage Ratio, (v) the Consolidated EBITDA or (vi) the Total Assets. For clarity, for purposes of the provisions described in the following paragraphs of this definition, the Applicable Calculation Date may, at the option of a Testing Party, be the Transaction Test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calculating the availability under any basket, ratio or any financial metric under this Indenture or compliance with any provision of this Indenture (including the absence of defaults or Events of Default), in each case, in connection with (a) any Limited Condition Transaction, (b) any incurrence or issuance of or repayment, redemption, repurchase or refinancing of Indebtedness, Disqualified Stock or Preferred Stock and the use of proceeds thereof, (c) the creation of Liens, (d) the making of any Asset Sale or any disposition excluded from the definition of “Asset Sale”, (e) the making of an Investment (including any acquisition) or Restricted Payments, or (f) the designation of a Subsidiary as restricted or unrestricted (the transactions referred to in clauses (b) through (f), collectively, the “</w:t>
      </w:r>
      <w:r>
        <w:rPr>
          <w:rFonts w:ascii="Times New Roman;Times;Serif" w:hAnsi="Times New Roman;Times;Serif"/>
          <w:b w:val="false"/>
          <w:i/>
          <w:caps w:val="false"/>
          <w:smallCaps w:val="false"/>
          <w:sz w:val="20"/>
        </w:rPr>
        <w:t>Specified Transactions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caps w:val="false"/>
          <w:smallCaps w:val="false"/>
          <w:sz w:val="20"/>
        </w:rPr>
        <w:t>Specified Transaction</w:t>
      </w:r>
      <w:r>
        <w:rPr>
          <w:rFonts w:ascii="Times New Roman;Times;Serif" w:hAnsi="Times New Roman;Times;Serif"/>
          <w:b w:val="false"/>
          <w:i w:val="false"/>
          <w:caps w:val="false"/>
          <w:smallCaps w:val="false"/>
          <w:sz w:val="20"/>
        </w:rPr>
        <w:t>”) and any actions or transactions related thereto, the date of determination of such basket, ratio or financial metric or whether the Limited Condition Transaction or any such Specified Transaction is permitted (or any requirement or conditions therefor is complied with or satisfied (including as to the absence of any Default or Event of Default)) may, at the option of the Issuer, any of its Restricted Subsidiaries, a Parent Entity of the Issuer, any successor entity of any of the foregoing (including a third party) (the “</w:t>
      </w:r>
      <w:r>
        <w:rPr>
          <w:rFonts w:ascii="Times New Roman;Times;Serif" w:hAnsi="Times New Roman;Times;Serif"/>
          <w:b w:val="false"/>
          <w:i/>
          <w:caps w:val="false"/>
          <w:smallCaps w:val="false"/>
          <w:sz w:val="20"/>
        </w:rPr>
        <w:t>Testing Party</w:t>
      </w:r>
      <w:r>
        <w:rPr>
          <w:rFonts w:ascii="Times New Roman;Times;Serif" w:hAnsi="Times New Roman;Times;Serif"/>
          <w:b w:val="false"/>
          <w:i w:val="false"/>
          <w:caps w:val="false"/>
          <w:smallCaps w:val="false"/>
          <w:sz w:val="20"/>
        </w:rPr>
        <w:t>”) (which election may be made on or prior to the date of consummation of such Limited Condition Transaction or Specified Transaction), be the date the definitive agreements for such Limited Condition Transaction or Specified Transaction are entered into (or, if applicable, the date of delivery of a binding offer or launch of a “certain funds” tender offer, delivery of an irrevocable notice, a declaration of a Restricted Payment, a dividend or a similar event), or the date that a notice, which may be conditional, on repayment or redemption in connection with a repayment, redemption, repurchase or refinancing of Indebtedness, Disqualified Stock or Preferred Stock, is given to the holders of such Indebtedness, Disqualified Stock or Preferred Stock (any such date, the “</w:t>
      </w:r>
      <w:r>
        <w:rPr>
          <w:rFonts w:ascii="Times New Roman;Times;Serif" w:hAnsi="Times New Roman;Times;Serif"/>
          <w:b w:val="false"/>
          <w:i/>
          <w:caps w:val="false"/>
          <w:smallCaps w:val="false"/>
          <w:sz w:val="20"/>
        </w:rPr>
        <w:t>Transaction Test Date</w:t>
      </w:r>
      <w:r>
        <w:rPr>
          <w:rFonts w:ascii="Times New Roman;Times;Serif" w:hAnsi="Times New Roman;Times;Serif"/>
          <w:b w:val="false"/>
          <w:i w:val="false"/>
          <w:caps w:val="false"/>
          <w:smallCaps w:val="false"/>
          <w:sz w:val="20"/>
        </w:rPr>
        <w:t xml:space="preserve">”) and such baskets, ratios or financial metrics shall be calculated with such pro forma adjustments as are appropriate and consistent with the pro forma adjustment provisions set forth in the definitions of Fixed Charge Coverage Ratio, Consolidated Total Debt Ratio, Consolidated Secured Debt Ratio and Consolidated First Lien Debt Ratio after giving effect to such Limited Condition Transaction or Specified Transactions and any actions or transactions related thereto (including any incurrence of Liens, Indebtedness and the use of proceeds thereof) as if they occurred at the beginning of the applicable period for purposes of determining the ability to consummate any such Limited Condition Transaction or Specified Transaction, and, for the avoidance of doubt, (x) if any of such baskets, ratios or financial metrics are exceeded or are not complied with as a result of fluctuations in such basket, ratio or financial metrics (including due to fluctuations in Fixed Charges, Consolidated Net Income or Consolidated EBITDA of the Issuer, the target company or any Person that is otherwise the subject of the Limited Condition Transaction or the Specified Transaction during and after the Applicable Measurement Period) at or prior to the consummation of the relevant Limited Condition Transaction or Specified Transaction and any actions or transactions related thereto, such baskets, ratios or financial metrics will not be deemed to have been exceeded as a result of such fluctuations and (y) such baskets, ratios or financial metrics shall not be tested at the time of consummation of such Limited Condition Transaction or Specified Transaction and any actions or transactions related thereto except as contemplated in clause (a) of the immediately succeeding proviso;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Transaction Test Date for purposes of such baskets, ratios and financial metrics, (b) if any ratios or financial metrics improve or baskets increase as a result of such fluctuations, such improved ratios, financial metrics or baskets may be utilized and (c) if the Testing Party elects to have such determinations occur at the Transaction Test Date, any such transactions (including the Limited Condition Transaction or Specified Transaction and any actions or transactions related thereto) shall be deemed to have occurred on the Transaction Test Date and to be outstanding thereafter for purposes of calculating any baskets, ratios or financial metrics under this Indenture after the Transaction Test Date and before the consummation of such Limited Condition Transaction or Specified Transaction unless and until such Limited Condition Transaction or Specified Transaction has been abandoned, as determined by the Testing Party, prior to the consummation thereof. For the avoidance of doubt, if the Testing Party has exercised its option pursuant to the foregoing and any Default or Event of Default occurs following the Transaction Test Date (including any new Transaction Test Date) for the applicable Limited Condition Transaction or Specified Transaction and prior to or on the date of the consummation of such Limited Condition Transaction or Specified Transaction, any such Default or Event of Default shall be deemed to not have occurred or be continuing for purposes of determining whether any action being taken in connection with such Limited Condition Transaction or Specified Transaction is permitted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the Trustee shall have no responsibility, nor shall it have any liability to the Issuer, any Holder or any third party, for calculating any basket, ratio or other financial metrics under this Indenture, determining whether any Default or Event of Default has occurred, is continuing or would result from any action, or determining the Issuer’s compliance with any other condition precedent to any action or transaction, in connection with a Limited Condition Transaction, any actions or transactions related thereto,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calculation or measure that is determined with reference to the Issuer’s financial statements (including, without limitation, Applicable Measurement Period, Consolidated EBITDA, Consolidated Interest Expense, Consolidated Net Income, Consolidated First Lien Debt Ratio, Consolidated Secured Debt Ratio, Consolidated Total Debt Ratio, Fixed Charge Coverage Ratio, Fixed Charges, Permitted Receivables Financing, Total Assets and Section 10.10(a)(2)(a)) may be determined with reference to the financial statements of a Parent Entity of the Issuer instead, so long as such Parent Entity does not hold any material assets other than, directly or indirectly, the Equity Interests of the Issuer (as determined in good faith by the Board or senior management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any calculation or measure as of any Applicable Calculation Date, date of determination or Transaction Test Date (including, without limitation, Consolidated EBITDA, Consolidated Interest Expense, Consolidated Net Income, Consolidated First Lien Debt Ratio, Consolidated Secured Debt Ratio, Consolidated Total Debt Ratio, Fixed Charge Coverage Ratio, Fixed Charges, Permitted Receivables Financing and Total Assets) under this Indenture, the U.S. dollar equivalent amount of any amount denominated in a foreign currency shall be calculated, to the extent not already reflected in U.S. dollars in the relevant financial statements (which may be internal), based on the relevant currency exchange rate in effect as of the end of the most recent fiscal quarter for which internal financial statements are available immediately preceding the Applicable Calculation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in the event an item of Indebtedness, Disqualified Stock or Preferred Stock (or any portion thereof) is incurred or issued, any Lien is incurred or other transaction is undertaken in reliance on a ratio basket based on the Fixed Charge Coverage Ratio, Consolidated First Lien Debt Ratio, Consolidated Secured Debt Ratio or Consolidated Total Debt Ratio, such ratio(s) shall be calculated with respect to such incurrence, issuance or other transaction without giving effect to amounts being utilized under any other basket (other than a ratio basket based on the Fixed Charge Coverage Ratio, Consolidated First Lien Debt Ratio, Consolidated Secured Debt Ratio or Consolidated Total Debt Ratio) on the same date (whether such baskets are utilized in a single transaction, a series of related transactions or otherwise). Each item of Indebtedness, Disqualified Stock or Preferred Stock that is incurred or issued, each Lien incurred and each other transaction undertaken will be deemed to have been incurred, issued or taken first, to the extent available, pursuant to the relevant Fixed Charge Coverage Ratio, Consolidated First Lien Debt Ratio, Consolidated Secured Debt Ratio or Consolidated Total Debt Ratio test without giving effect to any amounts being utilized pursuant to any other available baskets and, thereafter, pursuant to any other available baskets (but giving full pro forma effect to all applicable and related transactions, including (but subject to the foregoing) any incurrence and repayments of Indebtedness and all other permitted pro forma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Indenture to the contrary, in the event an item of Indebtedness, Disqualified Stock or Preferred Stock (or any portion thereof) is incurred or issued, any Lien is incurred or other transaction is undertaken in reliance of a ratio basket based on the Fixed Charge Coverage Ratio, Consolidated First Lien Debt Ratio, Consolidated Secured Debt Ratio or Consolidated Total Debt Ratio, such ratio(s) shall be calculated without regard to the incurrence of any Indebtedness under any revolving facility or letter of credit facility (1) immediately prior to or in connection therewith or (2) used to finance working capital needs of the Issuer, its Restricted Subsidiaries and any Parent Entity (as reasonably determined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Indenture to the contrary, so long as an action was taken (or not taken) in reliance upon a basket, ratio or financial metric under this Indenture that was calculated or determined in good faith by a responsible financial or accounting officer of the Issuer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modification or adjustment that would have caused such basket or ratio to be exceeded as a result of such action or inaction) shall not result in any Default or Event of Default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Measurement Period</w:t>
      </w:r>
      <w:r>
        <w:rPr>
          <w:rFonts w:ascii="Times New Roman;Times;Serif" w:hAnsi="Times New Roman;Times;Serif"/>
          <w:b w:val="false"/>
          <w:i w:val="false"/>
          <w:caps w:val="false"/>
          <w:smallCaps w:val="false"/>
          <w:sz w:val="20"/>
        </w:rPr>
        <w:t>” means the most recently completed four consecutive fiscal quarters of the Issuer immediately preceding the Applicable Calculation Date for which internal financial statements are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Percentage</w:t>
      </w:r>
      <w:r>
        <w:rPr>
          <w:rFonts w:ascii="Times New Roman;Times;Serif" w:hAnsi="Times New Roman;Times;Serif"/>
          <w:b w:val="false"/>
          <w:i w:val="false"/>
          <w:caps w:val="false"/>
          <w:smallCaps w:val="false"/>
          <w:sz w:val="20"/>
        </w:rPr>
        <w:t>” means 100%; provided that the Applicable Percentage shall be (1) 50% if, on a pro forma basis after giving effect to such Asset Sale and the use of proceeds therefrom the Consolidated First Lien Debt Ratio would be less than or equal to 1.25 to 1.00 but greater than 1.00 to 1.00, or (2) 0% if, on a pro forma basis after giving effect to such Asset Sale and the use of proceeds therefrom, the Consolidated First Lien Debt Ratio would be less than or equal to 1.00 to 1.00.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Premium</w:t>
      </w:r>
      <w:r>
        <w:rPr>
          <w:rFonts w:ascii="Times New Roman;Times;Serif" w:hAnsi="Times New Roman;Times;Serif"/>
          <w:b w:val="false"/>
          <w:i w:val="false"/>
          <w:caps w:val="false"/>
          <w:smallCaps w:val="false"/>
          <w:sz w:val="20"/>
        </w:rPr>
        <w:t>” means, with respect to any Note on any Redemption Date, the greater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1.0% of the principal amount of such Note;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excess, if any,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sum of the present values at such Redemption Date of (A) the redemption price of such Note at May 15, 2028 (such redemption price being set forth in the table appearing in Section 11.01), plus (B) all required remaining scheduled interest payments due on such Note through May 15, 2028, discounted to the Redemption Date on a semi-annual basis (assuming a 360-day year consisting of twelve 30-day months) at the Treasury Rate as of such Redemption Date plus 50 basis points,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(ii) accrued but unpaid interest to, but excluding, the Redemption Date </w:t>
      </w:r>
      <w:r>
        <w:rPr>
          <w:rFonts w:ascii="Times New Roman;Times;Serif" w:hAnsi="Times New Roman;Times;Serif"/>
          <w:b w:val="false"/>
          <w:i/>
          <w:caps w:val="false"/>
          <w:smallCaps w:val="false"/>
          <w:sz w:val="20"/>
        </w:rPr>
        <w:t>over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of such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Calculation of the Applicable Premium will be made by the Issuer or on behalf of the Issuer by such Person as the Issuer shall designate;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calculation or the correctness thereof shall not be a duty or obligation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Premium Deficit</w:t>
      </w:r>
      <w:r>
        <w:rPr>
          <w:rFonts w:ascii="Times New Roman;Times;Serif" w:hAnsi="Times New Roman;Times;Serif"/>
          <w:b w:val="false"/>
          <w:i w:val="false"/>
          <w:caps w:val="false"/>
          <w:smallCaps w:val="false"/>
          <w:sz w:val="20"/>
        </w:rPr>
        <w:t>” has the meaning specified in Section 4.01(a)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 has the meaning specified in Section 10.17(b)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ASO</w:t>
      </w:r>
      <w:r>
        <w:rPr>
          <w:rFonts w:ascii="Times New Roman;Times;Serif" w:hAnsi="Times New Roman;Times;Serif"/>
          <w:b w:val="false"/>
          <w:i w:val="false"/>
          <w:caps w:val="false"/>
          <w:smallCaps w:val="false"/>
          <w:sz w:val="20"/>
        </w:rPr>
        <w:t>” means Academy Sports and Outdoors,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Asset Sale</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sale, conveyance, transfer or other disposition, whether in a single transaction or a series of related transactions, of property or assets (including by way of a Sale and Lease-Back Transaction) of the Issuer or any Restricted Subsidiary (each referred to in this definition as a “disposition”);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issuance or sale of Equity Interests of any Restricted Subsidiary (other than Preferred Stock of Restricted Subsidiaries issued in compliance with the covenant described under Section 10.11), whether in a single transaction or a series of related transactions,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other than: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disposition of cash, Cash Equivalents or Investment Grade Securities or obsolete, damaged, unnecessary, unsuitable or worn out property or equipment or other assets in the ordinary course of business or any disposition of inventory, immaterial assets or goods (or other assets), property or equipment held for sale or no longer used or useful, or economically practicable or commercially desirable to maintain, in the conduct of the business of the Issuer and its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disposition of all or substantially all of the assets of the Issuer or any Restricted Subsidiary in a manner permitted pursuant to Article Eight of this Indenture or any disposition that constitutes a Change of Control pursuant to this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disposition, issuance or sale in connection with the incurrence of any Permitted Lien or the making of any Restricted Payment that is permitted to be made, and is made, under Section 10.10 or any Permitted Investment;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disposition of property or assets, or issuance or sale of Equity Interests of any Restricted Subsidiary, in any transaction or series of related transactions with an aggregate fair market value of less than the greater of (i) $70.0 million and (ii) 10.0% of Consolidated EBITDA of the Issuer for the Applicable Measurement Period;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disposition of property or assets, or issuance of securities by a Restricted Subsidiary, to the Issuer or by the Issuer or a Restricted Subsidiary to another Restricted Subsidiary;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allowable under Section 1031 of the Code, or any comparable or successor provision, any exchange of like property (excluding any boot thereon) for use in a Similar Business, which may be in connection with an Asset Sale;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lease, assignment, sub-lease, license or sub-license of any real or personal property in the ordinary course of business or consistent with past practice;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issuance, sale or pledge of Equity Interests in, or Indebtedness or other securities of, an Unrestricted Subsidiary;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foreclosures, condemnation, expropriation, forced dispositions, eminent domain or any similar action (whether by deed of condemnation or otherwise) with respect to assets or the granting of Liens not prohibited by this Indenture, and transfers of any property that have been subject to a casualty to the respective insurer of such property as part of an insurance settlement or upon receipt of the net proceeds of such casualty event;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sales of accounts receivables, or participations therein and related assets pursuant to any Permitted Receivables Financing;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financing transaction with respect to property built or acquired by the Issuer or any Restricted Subsidiary after the Issue Date, including Sale and Lease-Back Transactions and asset securitizations permitted by this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(1) any surrender or waiver of contractual rights or the settlement, release or surrender of contractual rights or other litigation claims in the ordinary course of business or consistent with past practice, (2) the termination or collapse of cost sharing agreements with the Issuer or any Subsidiary and the settlement of any crossing payments in connection therewith, or (3) the settlement, discount write off, forgiveness, or cancellation of any Indebtedness owing by any present or former consultants, directors, officers, or employees of the Issuer (or any Parent Entity) or any Subsidiary or any of their successors or assigns;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sale, lease, assignment, license, sublease or discount of inventory, equipment, accounts receivable, notes receivable or other current assets in the ordinary course of business or consistent with past practice or the conversion of accounts receivable to notes receivable or other dispositions of accounts receivable in connection with the collection or compromise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licensing, sub-licensing or cross-licensing of intellectual property or other general intangibles in the ordinary course of business or consistent with past practice that is immaterial;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unwinding of any Hedging Obligations or Cash Management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sales, transfers and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lapse, abandonment or invalidation of intellectual property rights, which in the reasonable determination of the Board of the Issuer or the senior management thereof are not material to the conduct of the business of the Issuer and its Restricted Subsidiaries taken as a whole or are no longer used or useful or economically practicable or commercially reasonable to maintain;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issuance of directors’ qualifying shares and shares issued to foreign nationals or other third parties as required by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disposition of any assets (including Equity Interests) (i) acquired after the Issue Date in a transaction permitted under this Indenture, which assets are not used or useful in the core or principal business of the Issuer and its Restricted Subsidiaries, or (ii) made in connection with the approval of any applicable antitrust authority or otherwise necessary or advisable in the good faith determination of the Issuer to consummate any acquisition permitted under this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any disposition of property or assets of a Foreign Subsidiary the Net Proceeds of which the Issuer has determined in good faith that the repatriation of such Net Proceeds (i) is prohibited or subject to limitations under applicable law, orders, decrees or determinations of any arbitrator, court or Governmental Authority or (ii) would have a material adverse tax consequence (taking into account any foreign tax credit or benefit actually realized in connection with such repatriation);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when the Issuer determines in good faith that repatriation of any of such Net Proceeds (i) is no longer prohibited or subject to limitations under such applicable law, orders, decrees or determinations of any arbitrator, court or Governmental Authority or (ii) would no longer have a material adverse tax consequence (taking into account any foreign tax credit or benefit actually realized in connection with such repatriation), such amount at such time shall be considered the Net Proceeds in respect of an Asset Sale;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any “fee in lieu” or other disposition of assets to any Governmental Authority that continue in use by the Issuer or any Restricted Subsidiary, so long as the Issuer or any Restricted Subsidiary may obtain title to such assets upon reasonable notice by paying a nominal fee;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disposition of Capital Stock of a Restricted Subsidiary pursuant to an agreement or other obligation with or to a Person (other than the Issuer or a Restricted Subsidiary) from whom such Restricted Subsidiary was acquired, or from whom such Restricted Subsidiary acquired its business and assets (having been newly formed in connection with such acquisition), entered into in connection with such acquisition;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lease, assignment, sub-lease, license or sub-license of, or any transfer related to a “reverse build to suit” or similar transaction in respect of, any real or personal property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dispositions of property to the extent that (i) such property is exchanged for credit against the purchase price of similar replacement property or (ii) an amount equal to the Net Proceeds of such disposition are promptly applied to the purchase price of such replacement property;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sales of property or assets for an aggregate fair market value not to exceed the greater of (i) $235.0 million and (ii) 35.0% of Consolidated EBITDA of the Issuer for the Applicable Measurement Period.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transaction (or any portion thereof) meets the criteria of a permitted Asset Sale and would also be a permitted Restricted Payment or Permitted Investment, the Issuer, in its sole discretion, will be entitled to divide and classify such transaction (or a portion thereof) as an Asset Sale and/or one or more of the types of permitted Restricted Payments or Permitted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Asset Sale Offer”</w:t>
      </w:r>
      <w:r>
        <w:rPr>
          <w:rFonts w:ascii="Times New Roman;Times;Serif" w:hAnsi="Times New Roman;Times;Serif"/>
          <w:b w:val="false"/>
          <w:i w:val="false"/>
          <w:caps w:val="false"/>
          <w:smallCaps w:val="false"/>
          <w:sz w:val="20"/>
        </w:rPr>
        <w:t xml:space="preserve"> has the meaning specified in Section 10.17(c)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Asset Sale Proceeds Application Period</w:t>
      </w:r>
      <w:r>
        <w:rPr>
          <w:rFonts w:ascii="Times New Roman;Times;Serif" w:hAnsi="Times New Roman;Times;Serif"/>
          <w:b w:val="false"/>
          <w:i w:val="false"/>
          <w:caps w:val="false"/>
          <w:smallCaps w:val="false"/>
          <w:sz w:val="20"/>
        </w:rPr>
        <w:t>” has the meaning specified in Section 10.17(b)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Bankruptcy Code</w:t>
      </w:r>
      <w:r>
        <w:rPr>
          <w:rFonts w:ascii="Times New Roman;Times;Serif" w:hAnsi="Times New Roman;Times;Serif"/>
          <w:b w:val="false"/>
          <w:i w:val="false"/>
          <w:caps w:val="false"/>
          <w:smallCaps w:val="false"/>
          <w:sz w:val="20"/>
        </w:rPr>
        <w:t>” means Title 11 of the United States Code,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Bankruptcy Law</w:t>
      </w:r>
      <w:r>
        <w:rPr>
          <w:rFonts w:ascii="Times New Roman;Times;Serif" w:hAnsi="Times New Roman;Times;Serif"/>
          <w:b w:val="false"/>
          <w:i w:val="false"/>
          <w:caps w:val="false"/>
          <w:smallCaps w:val="false"/>
          <w:sz w:val="20"/>
        </w:rPr>
        <w:t>” means the Bankruptcy Code and any similar federal, state or foreign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with respect to a Person means the board of directors (or similar body) of such Person or, if such Person does not have such a board of directors (or similar body) and is owned or managed by a single entity, the board of directors (or similar body) of such entity, or, in either case, any committee thereof duly authorized to act on behalf of such board of directors (or similar body). Unless the context otherwise requires, any references to the Board of the Issuer refer to the board of managers (or similar governing body) of Holdings or any committee thereof duly authorized to act on behalf of such board of managers (or similar governing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 Resolution</w:t>
      </w:r>
      <w:r>
        <w:rPr>
          <w:rFonts w:ascii="Times New Roman;Times;Serif" w:hAnsi="Times New Roman;Times;Serif"/>
          <w:b w:val="false"/>
          <w:i w:val="false"/>
          <w:caps w:val="false"/>
          <w:smallCaps w:val="false"/>
          <w:sz w:val="20"/>
        </w:rPr>
        <w:t>” means a duly adopted resolution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Borrowing Base</w:t>
      </w:r>
      <w:r>
        <w:rPr>
          <w:rFonts w:ascii="Times New Roman;Times;Serif" w:hAnsi="Times New Roman;Times;Serif"/>
          <w:b w:val="false"/>
          <w:i w:val="false"/>
          <w:caps w:val="false"/>
          <w:smallCaps w:val="false"/>
          <w:sz w:val="20"/>
        </w:rPr>
        <w:t xml:space="preserve">” has the meaning given to such term in the ABL Credit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ABL Credit Agreement has been amended (including any amendment or restatement thereof), supplemented or otherwise modified as of any date (including pursuant to any agreement or indenture exchanging, extending the maturity of, refinancing, renewing, replacing, substituting or otherwise restructuring, whether in the bank or debt capital markets (or combination thereof), all or any portion of the Indebtedness under such agreement or facility or any successor or replacement agreement or facility (each of the foregoing, a “</w:t>
      </w:r>
      <w:r>
        <w:rPr>
          <w:rFonts w:ascii="Times New Roman;Times;Serif" w:hAnsi="Times New Roman;Times;Serif"/>
          <w:b w:val="false"/>
          <w:i/>
          <w:caps w:val="false"/>
          <w:smallCaps w:val="false"/>
          <w:sz w:val="20"/>
        </w:rPr>
        <w:t>Replacement</w:t>
      </w:r>
      <w:r>
        <w:rPr>
          <w:rFonts w:ascii="Times New Roman;Times;Serif" w:hAnsi="Times New Roman;Times;Serif"/>
          <w:b w:val="false"/>
          <w:i w:val="false"/>
          <w:caps w:val="false"/>
          <w:smallCaps w:val="false"/>
          <w:sz w:val="20"/>
        </w:rPr>
        <w:t>”)), and if pursuant to any such Replacement, the ABL Credit Agreement does not provide for revolving borrowings subject to a borrowing base definition customary for similarly situated domestic borrowers in the asset-based loan market at such time, then the definition of “Borrowing Base” hereunder shall be deemed to mean, as of any date, an amount equal to the sum of (a) 90% of the book value of all accounts receivable (including credit card receivables) and (b) 90% of the book value of all inventory, in each case, of the Issuer and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each day that is not a Legal Holiday.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 Stock</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business entity, any and all shares, interests, participations, rights or other equivalents (however designated) of corporate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or membership interests (whether general or limited);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Capitalized Lease Obligation</w:t>
      </w:r>
      <w:r>
        <w:rPr>
          <w:rFonts w:ascii="Times New Roman;Times;Serif" w:hAnsi="Times New Roman;Times;Serif"/>
          <w:b w:val="false"/>
          <w:i w:val="false"/>
          <w:caps w:val="false"/>
          <w:smallCaps w:val="false"/>
          <w:sz w:val="20"/>
        </w:rPr>
        <w:t>” means an obligation that is required to be accounted for as a financing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lease or capital lease would be the amount required to be reflected as a liability on such balance sheet (excluding the footnotes thereto)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Capitalized Software Expenditures</w:t>
      </w:r>
      <w:r>
        <w:rPr>
          <w:rFonts w:ascii="Times New Roman;Times;Serif" w:hAnsi="Times New Roman;Times;Serif"/>
          <w:b w:val="false"/>
          <w:i w:val="false"/>
          <w:caps w:val="false"/>
          <w:smallCaps w:val="false"/>
          <w:sz w:val="20"/>
        </w:rPr>
        <w:t>” means, for any period, the aggregate of all expenditures (whether paid in cash or accrued as liabilities) by a Person and its Restricted Subsidiaries during such period in respect of purchased software or internally developed software and software enhancements that, in conformity with GAAP, are or are required to be reflected as capitalized costs on the consolidated balance sheet of a Person and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Equivalents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U.S.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Canadian dollars, euros, pounds sterling, yen, swiss francs or any national currency of any participating member state of the EMU;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currencies held by the Issuer and the Restricted Subsidiaries from time to time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securities issued or directly and fully and unconditionally guaranteed or insured by the U.S. government or any country that is a member state of the European Union or any agency or instrumentality thereof, the securities of which are unconditionally guaranteed as a full faith and credit obligation of such government with average maturities of 36 months or less from the date of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certificates of deposit, time deposits and eurodollar time deposits with average maturities of one year or less from the date of acquisition, demand deposits, bankers’ acceptances with average maturities not exceeding one year and overnight bank deposits, in each case with any commercial bank having capital and surplus of not less than $100.0 million (or the foreign currency equivalent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repurchase obligations for underlying securities of the types described in clauses (3), (4) and (10) entered into with any financial institution meeting the qualifications specified in clause (4)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commercial paper rated at least P-2 by Moody’s or at least A-2 by S&amp;P (or, if at any time, neither Moody’s nor S&amp;P shall be rating such obligations, an equivalent rating from another Rating Agency) and variable and fixed rate notes issued by any financial institution meeting the qualifications specified in clause (4) above, in each case with average maturities of 36 months or less after the date of creation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marketable short-term money market and similar securities having a rating of at least P-2 or A-2 from either Moody’s or S&amp;P, respectively (or, if at any time neither Moody’s nor S&amp;P shall be rating such obligations, an equivalent rating from another Rating Agency);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investment funds investing 90% of their assets in securities of the types described in clauses (1) through (7) above and (9) through (12)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securities issued or directly and fully and unconditionally guaranteed by any state, commonwealth or territory of the United States or any political subdivision or taxing authority of any such state, commonwealth or territory or any public instrumentality thereof having average maturities of not more than 36 months from the date of acquisition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readily marketable direct obligations issued or directly and fully and unconditionally guaranteed by any foreign government or any political subdivision or public instrumentality thereof, in each case (other than in the case of such securities issued or guaranteed by any participating member state of the EMU) having an Investment Grade Rating from either Moody’s or S&amp;P (or, if at any time neither Moody’s nor S&amp;P shall be rating such obligations, an equivalent rating from another Rating Agency) with average maturities of 36 months or less from the date of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Indebtedness or Preferred Stock issued by Persons with a rating of “A” or higher from S&amp;P or “A2” or higher from Moody’s (or, if at any time neither Moody’s nor S&amp;P shall be rating such obligations, an equivalent rating from another Rating Agency) with average maturities of 36 months or less from the date of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Investments with average maturities of 36 months or less from the date of acquisition in money market funds rated A (or the equivalent thereof) or better by S&amp;P or A2 (or the equivalent thereof) or better by Moody’s (or, if at any time neither Moody’s nor S&amp;P shall be rating such obligations, an equivalent rating from another Rating Agency);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 the case of Investments by any Foreign Subsidiary of the Issuer, Investments for short-term cash management purposes of comparable tenor and credit quality to those described in the foregoing clauses (1) through (12) customarily utilized in countries in which such Foreign Subsidiary operates;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with average maturities of 36 months or less from the date of acquisition,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“Approved Foreign Bank”), and in each case with maturities of not more than 36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Investments, classified in accordance with GAAP as current assets, in money market investment programs that are registered under the Investment Company Act of 1940 or that are administered by financial institutions meeting the qualifications specified in clause (4) above, and, in either case, the portfolios of which are limited such that substantially all of such Investments are of the character, quality and maturity described in clauses (2) through (14) of this definition;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Credit Card Receivables.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Cash Equivalents shall include amounts denominated in currencies other than those set forth in clauses (1) and (2)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amounts are converted into any currency listed in clauses (1) and (2) as promptly as practicable and in any event within ten Business Days following the receipt of such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items identified as Cash Equivalents under this definition (other than Credit Card Receivables) will be deemed to be Cash Equivalents for all purposes under this Indenture regardless of the treatment of such items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 Management Obligations</w:t>
      </w:r>
      <w:r>
        <w:rPr>
          <w:rFonts w:ascii="Times New Roman;Times;Serif" w:hAnsi="Times New Roman;Times;Serif"/>
          <w:b w:val="false"/>
          <w:i w:val="false"/>
          <w:caps w:val="false"/>
          <w:smallCaps w:val="false"/>
          <w:sz w:val="20"/>
        </w:rPr>
        <w:t>” means (1) obligations in respect of any overdraft and related liabilities arising from treasury, depository, cash pooling arrangements and cash management services or any automated clearing house transfers of funds, (2) other obligations in respect of netting services, commercial credit cards, merchant credit card services, purchase or debit cards, including non-card-e-payable services, or electronic funds transfer services and similar arrangements, (3) any other demand deposit or operating account relationships or other cash management services and (4)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CFC</w:t>
      </w:r>
      <w:r>
        <w:rPr>
          <w:rFonts w:ascii="Times New Roman;Times;Serif" w:hAnsi="Times New Roman;Times;Serif"/>
          <w:b w:val="false"/>
          <w:i w:val="false"/>
          <w:caps w:val="false"/>
          <w:smallCaps w:val="false"/>
          <w:sz w:val="20"/>
        </w:rPr>
        <w:t>” shall mean a Subsidiary of Holdings that is a “controlled foreign corporation” within the meaning of Section 957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CFC Holding Company</w:t>
      </w:r>
      <w:r>
        <w:rPr>
          <w:rFonts w:ascii="Times New Roman;Times;Serif" w:hAnsi="Times New Roman;Times;Serif"/>
          <w:b w:val="false"/>
          <w:i w:val="false"/>
          <w:caps w:val="false"/>
          <w:smallCaps w:val="false"/>
          <w:sz w:val="20"/>
        </w:rPr>
        <w:t>” shall mean a Domestic Subsidiary of Holdings substantially all of the assets of which consist of equity and/or indebtedness of one or more Foreign Subsidiaries that are CFCs.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means the occurrence of any of the following after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sale, lease or transfer, in one or a series of related transactions, of all or substantially all of the assets of the Issuer and its Subsidiaries, taken as a whole, to any Person, other than a Permitted Holder;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Issuer becomes aware of (by way of a report or any other filing pursuant to Section 13(d) of the Exchange Act, proxy, vote, written notice or otherwise) the acquisition by (A) any Person (other than any Permitted Holder) or (B) Persons (other than any Permitted Holders) that are together a group (within the meaning of Section 13(d)(3) or Section 14(d)(2) of the Exchange Act, or any successor provision), including any group acting for the purpose of acquiring, holding or disposing of securities (within the meaning of Rule 13d-5(b)(1) under the Exchange Act, or any successor provision), in a single transaction or in a related series of transactions, by way of merger, consolidation or other business combination or purchase, of beneficial ownership (within the meaning of Rule 13d-3 under the Exchange Act, or any successor provision) of more than 50% of the total voting power of the Voting Stock of the Issuer or any Parent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and (y) any Voting Stock of which any Permitted Holder is the “beneficial owner” shall not in any case be included in the calculation of any Voting Stock of which any such “Person” is the “beneficial owner.”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(other than a Permitted Holder) includes one or more Permitted Holders, the issued and outstanding Voting Stock of the Issuer or any Parent Entity owned, directly or indirectly, by any Permitted Holders that are part of such group shall not be treated as being beneficially owned by such group or any other member of such group for purposes of determining whether a Change of Control has occurred and (iii) a Person or group will not be deemed to beneficially own the Voting Stock of a Person (the “</w:t>
      </w:r>
      <w:r>
        <w:rPr>
          <w:rFonts w:ascii="Times New Roman;Times;Serif" w:hAnsi="Times New Roman;Times;Serif"/>
          <w:b w:val="false"/>
          <w:i/>
          <w:caps w:val="false"/>
          <w:smallCaps w:val="false"/>
          <w:sz w:val="20"/>
        </w:rPr>
        <w:t>Subject Person</w:t>
      </w:r>
      <w:r>
        <w:rPr>
          <w:rFonts w:ascii="Times New Roman;Times;Serif" w:hAnsi="Times New Roman;Times;Serif"/>
          <w:b w:val="false"/>
          <w:i w:val="false"/>
          <w:caps w:val="false"/>
          <w:smallCaps w:val="false"/>
          <w:sz w:val="20"/>
        </w:rPr>
        <w:t>”) held by a parent of such Subject Person unless it owns 50% or more of the total voting power of the Voting Stock entitled to vote for the election of directors of such parent having a majority of the aggregate votes on the Board of such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has the meaning specified in Section 10.16(a)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has the meaning specified in Section 10.16(a)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Payment Date</w:t>
      </w:r>
      <w:r>
        <w:rPr>
          <w:rFonts w:ascii="Times New Roman;Times;Serif" w:hAnsi="Times New Roman;Times;Serif"/>
          <w:b w:val="false"/>
          <w:i w:val="false"/>
          <w:caps w:val="false"/>
          <w:smallCaps w:val="false"/>
          <w:sz w:val="20"/>
        </w:rPr>
        <w:t>” has the meaning specified in Section 10.16(a)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Collateral</w:t>
      </w:r>
      <w:r>
        <w:rPr>
          <w:rFonts w:ascii="Times New Roman;Times;Serif" w:hAnsi="Times New Roman;Times;Serif"/>
          <w:b w:val="false"/>
          <w:i w:val="false"/>
          <w:caps w:val="false"/>
          <w:smallCaps w:val="false"/>
          <w:sz w:val="20"/>
        </w:rPr>
        <w:t>” means all properties and assets of the Issuer and the Guarantors now owned or hereafter acquired in which Liens have been granted, or are purported to, intended to or required to be granted, to the Notes Collateral Agent pursuant to any Security Document to secure any or all of the Notes Obligations, other than Excluded Assets and other than assets released from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Consolidated</w:t>
      </w:r>
      <w:r>
        <w:rPr>
          <w:rFonts w:ascii="Times New Roman;Times;Serif" w:hAnsi="Times New Roman;Times;Serif"/>
          <w:b w:val="false"/>
          <w:i w:val="false"/>
          <w:caps w:val="false"/>
          <w:smallCaps w:val="false"/>
          <w:sz w:val="20"/>
        </w:rPr>
        <w:t>” means, with respect to any Person, such Person on a consolidated basis in accordance with GAAP, but excluding from such consolidation any Unrestricted Subsidiary as if such Unrestricted Subsidiary were not an Affiliate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Depreciation and Amortization Expense</w:t>
      </w:r>
      <w:r>
        <w:rPr>
          <w:rFonts w:ascii="Times New Roman;Times;Serif" w:hAnsi="Times New Roman;Times;Serif"/>
          <w:b w:val="false"/>
          <w:i w:val="false"/>
          <w:caps w:val="false"/>
          <w:smallCaps w:val="false"/>
          <w:sz w:val="20"/>
        </w:rPr>
        <w:t>” means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EBITDA</w:t>
      </w:r>
      <w:r>
        <w:rPr>
          <w:rFonts w:ascii="Times New Roman;Times;Serif" w:hAnsi="Times New Roman;Times;Serif"/>
          <w:b w:val="false"/>
          <w:i w:val="false"/>
          <w:caps w:val="false"/>
          <w:smallCaps w:val="false"/>
          <w:sz w:val="20"/>
        </w:rPr>
        <w:t xml:space="preserve">” means, with respect to any Person for any period, the Consolidated Net Income of such Person and its Restricted Subsidiaries for such period, determined on a consolidated basis, </w:t>
      </w:r>
      <w:r>
        <w:rPr>
          <w:rFonts w:ascii="Times New Roman;Times;Serif" w:hAnsi="Times New Roman;Times;Serif"/>
          <w:b w:val="false"/>
          <w:i/>
          <w:caps w:val="false"/>
          <w:smallCaps w:val="false"/>
          <w:sz w:val="20"/>
        </w:rPr>
        <w:t>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without duplication and to the extent already deducted (and not added back) in arriving at such Consolidated Net Income, the sum of the following amounts for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Fixed Charges of such Person for such period (including (x) net losses on Hedging Obligations or other derivative instruments entered into for the purpose of hedging interest rate risk and (y) bank and letter of credit fees and costs of surety bonds in connection with financing activities, in each case, to the extent included in Fixed Charges), together with items excluded from the definition of “Consolidated Interest Expense” pursuant to clauses (a) through (k) thereof, and any non-cash interest expense,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provision for taxes based on income, profits, revenue or capital gains, including, federal, foreign and state income, franchise and similar taxes and foreign withholding taxes of such Person paid or accrued during such period (including in respect of repatriated funds), including any penalties and interest relating to such taxes or arising from any tax examinations, and any payments to a direct or indirect parent company pursuant to Section 10.10(b)(13) in respect of such taxes,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Consolidated Depreciation and Amortization Expense of such Person for such period,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other non-cash charges, including any write offs, write downs, expenses, losses or items (provided, in each case,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amount of any non-controlling interest consisting of income attributable to non-controlling interests of third parties in any non-Wholly-Owned Subsidiary,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 [reserved] and (ii) the amount of payments made to option, phantom equity or profits interests holders of such Person or any of its Subsidiaries or Parent Entities in connection with, or as a result of, any distribution made to equity holders of such Person or its Parent Entities, which payments are being made to compensate such option, phantom equity or profits interests holders as though they were equity holders at the time of, and entitled to share in, such distribution, in each case, to the extent permitted under this Indenture (including expenses relating to distributions made to equity holders of such Person or any of its Parent Entities resulting from the application of FASB Accounting Standards Codification Topic 718— Compensation—Stock Compensation),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losses or discounts on sales of receivables and related assets in connection with any Permitted Receivables Financing,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cash receipts (or any netting arrangements resulting in reduced cash expenditures) not included in the calculation of Consolidated Net Income in any period to the extent non-cash gains relating to such income were deducted in the calculation of Consolidated EBITDA pursuant to paragraph (3) below for any previous period and not added back,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costs or expense incurred by such Person or any of its Restricted Subsidiaries pursuant to any management equity plan or stock option plan or phantom equity plan or any other management or employee benefit plan or agreement, any severance agreement or any stock subscription or shareholder agreement, to the extent that such cost or expenses are non-cash or otherwise funded with cash proceeds contributed to the capital of such Person or Net Proceeds of an issuance of Equity Interests of such Person (other than Disqualified Stock),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 Retirement Benefits, and any other items of a similar nature,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costs of surety bonds incurred in such period in connection with financing activities,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with respect to any joint venture that is not a Restricted Subsidiary, an amount equal to the proportion of those items described in clauses (b) and (c) above relating to such joint venture corresponding to such Person and its Restricted Subsidiaries’ proportionate share of such joint venture’s Consolidated Net Income (determined as if such joint venture were a Restricted Subsidiary),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amount of any loss attributable to a new store, distribution center, facility or business until the date that is 24 months after the date of commencement of construction or the date of acquisition or launch thereof,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losses are reasonably identifiable and factually supportable and certified by a responsible officer of such Person and (B) losses attributable to such store, distribution center, facility or business after 24 months from the date of commencement of construction or the date of acquisition of such store, distribution center, facility or business, as the case may be, shall not be included in this clause (m),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increases in Consolidated EBITDA projected by such Person in good faith to result from acquisitions or transactions involving new or expanded services, facilities, lines of business or operations, in each case which have been consummated or are reasonably expected to be consummated pursuant to agreements or letters of intent that have been entered into with respect thereto, reflecting any projected increase in the businesses and services of such Person and its Restricted Subsidiaries and such acquired entity or business or new or expanded services, facilities, lines of business or operations, in each case attributable to the applicable transaction and that are reasonably identifiable and factually supportable,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charges, expenses, and other items described in (i) the calculations of Adjusted EBITDA as set forth in the Offering Memorandum and (ii) any quality of earnings report reasonably prepared in good faith by a nationally recognized accounting firm in connection with any Specified Event actually consummated by such Person or its Restricted Subsidiaries and delivered to the Trustee,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ind w:left="144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the aggregate amount of “run-rate” Consolidated EBITDA reasonably expected to be derived from contracted revenue under any contract in place as of the end of such period projected by such Person in good faith for the period of four consecutive fiscal quarters of such Person following the end of such period, as if such contracted revenue was applicable (calculated, if applicable, using the historical average derived from such contract over the immediately preceding three year period and without duplication of any Consolidated EBITDA actually reflected in such four consecutive fiscal quarter period) during the entire period,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any costs or expenses realized in connection with or resulting from stock-based awards, partnership interest-based awards and similar incentive-based compensation awards or arrangements or other rights of officers, directors and employees, in each case of such Person or any of its Restricted Subsidiaries,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pre-opening costs and expenses in connection with new retail locations and losses from any such new location during the first year after opening,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costs and expenses in connection with project ramp-ups that are reasonably identifiable and factually supportable (in the good faith determination of such Person),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without duplication, the amount of “ run rate” cost savings and revenue synergies, operating expense reductions, operating enhancements and other synergies related to the Refinancing Transactions or any Specified Event (as defined below) projected by such Person in good faith to be realized as a result of actions that have been taken or initiated or are expected to be taken (in the good faith determination of such Person), including any cost savings, expenses and charges (including restructuring and integration charges) in connection with, or incurred by or on behalf of, any joint venture of such Person or any of its Restricted Subsidiaries (whether accounted for on the financial statements of any such joint venture or such Person), (a) with respect to the Refinancing Transactions, on or prior to the date that is 24 months after the Issue Date (including actions initiated prior to the Issue Date) and (b) with respect to any investment, sale, transfer or other disposition of assets, incurrence or repayment of Indebtedness, Restricted Payment, New Project, Subsidiary designation, restructuring, cost saving initiative or other initiative (collectively, a “ Specified Event”), within 24 months of such Specified Event (which cost savings and revenue synergies, operating expense reductions, operating enhancements and other synergies shall be added to Consolidated EBITDA until fully realized and calculated on a pro forma basis as though such cost savings and revenue synergies, operating expense reductions, operating enhancements and other synergies had been realized on the first day of the relevant period), net of the amount of actual benefits realized from such actions; provided that (i) such cost savings are reasonably identifiable and factually supportable, (ii) no cost savings and revenue synergies, operating expense reductions, operating enhancements or other synergies shall be added pursuant to this clause (2) to the extent duplicative of any expenses or charges relating to such cost savings and revenue synergies, operating expense reductions , operating enhancements or other synergies that are included in clause (1) above (it being understood and agreed that “ run rate” shall mean the full recurring benefit that is associated with any action taken) and (iii) the share of any such cost savings, expenses and charges with respect to a joint venture that are to be allocated to such Person or any of its Restricted Subsidiaries shall not exceed the total amount thereof for any such joint venture multiplied by the percentage of income of such venture expected to be included in Consolidated EBITDA for the relevant Applicable Measurement Period, </w:t>
      </w:r>
      <w:r>
        <w:rPr>
          <w:rFonts w:ascii="Times New Roman;Times;Serif" w:hAnsi="Times New Roman;Times;Serif"/>
          <w:b w:val="false"/>
          <w:i/>
          <w:caps w:val="false"/>
          <w:smallCaps w:val="false"/>
          <w:sz w:val="20"/>
        </w:rPr>
        <w:t>less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without duplication and to the extent included in arriving at such Consolidated Net Income, the sum of the following amounts for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non-cash gains (excluding any non-cash gain to the extent it represents the reversal of an accrual or reserve for a potential cash item that reduced Consolidated Net Income or Consolidated EBITDA in any prior period),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amount of any non-controlling interest consisting of loss attributable to non-controlling interests of third parties in any non-Wholly-Owned Subsidiary,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determined on a consolidated basis for such Person and its Restricted Subsidiaries. For purposes of testing the covenants under this Indenture in connection with any transaction, the Consolidated EBITDA of the Issuer and the Restricted Subsidiaries shall be adjusted to reflect such pro forma adjustments as are appropriate and consistent with the pro forma adjustment provisions set forth in the definition of “Fixed Charge Coverage Ratio” (other than as set forth in the first proviso to the first paragraph of such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First Lien Debt Ratio</w:t>
      </w:r>
      <w:r>
        <w:rPr>
          <w:rFonts w:ascii="Times New Roman;Times;Serif" w:hAnsi="Times New Roman;Times;Serif"/>
          <w:b w:val="false"/>
          <w:i w:val="false"/>
          <w:caps w:val="false"/>
          <w:smallCaps w:val="false"/>
          <w:sz w:val="20"/>
        </w:rPr>
        <w:t xml:space="preserve">” means, as of any Applicable Calculation Date, the ratio of (1) Consolidated Total First Lien Indebtedness of the Issuer and its Restricted Subsidiaries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cash and Cash Equivalents of the Issuer and its Restricted Subsidiaries, in each case, computed as of the end of the most recent fiscal quarter for which internal financial statements are available immediately preceding the Applicable Calculation Date to (2) the Issuer’s Consolidated EBITDA for the Applicable Measurement Period, in each case, with such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adjustments to Consolidated Total First Lien Indebtedness, cash, Cash Equivalents and Consolidated EBITDA as are appropriate and consistent with the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adjustment provisions set forth in the definition of “Fixed Charge Coverage Ratio” (other than as set forth in the first proviso to the first paragraph of such definition);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the calculation of Consolidated First Lien Debt Ratio, in connection with (x) the incurrence of any Indebtedness pursuant to Section 10.11(b)(1) or (y) the incurrence of any Lien pursuant to clauses (12) or (34) of the definition of “Permitted Liens,” the Issuer may elect, pursuant to an Officer’s Certificate delivered to the Trustee, to treat all or any portion of the commitment (any such amount elected until revoked as described below, an “</w:t>
      </w:r>
      <w:r>
        <w:rPr>
          <w:rFonts w:ascii="Times New Roman;Times;Serif" w:hAnsi="Times New Roman;Times;Serif"/>
          <w:b w:val="false"/>
          <w:i/>
          <w:caps w:val="false"/>
          <w:smallCaps w:val="false"/>
          <w:sz w:val="20"/>
        </w:rPr>
        <w:t>Elected Amount</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any Indebtedness which is to be incurred (or any commitment in respect thereof) or secured by such Lien, as the case may be, as being incurred as of the Applicable Calculation Date and (i) any subsequent incurrence of Indebtedness under such commitment (so long as the total amount under such Indebtedness does not exceed the Elected Amount) shall not be deemed, for purposes of this calculation, to be an incurrence of additional Indebtedness or an additional Lien at such subsequent time, (ii) the Issuer may revoke an election of an Elected Amount pursuant to an Officer’s Certificate delivered to the Trustee and (iii) for purposes of all subsequent calculations of the Consolidated First Lien Debt Ratio, the Elected Amount (if any) shall be deemed to be outstanding, whether or not such amount is actually outstanding, so long as the applicable commitment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Interest Expense</w:t>
      </w:r>
      <w:r>
        <w:rPr>
          <w:rFonts w:ascii="Times New Roman;Times;Serif" w:hAnsi="Times New Roman;Times;Serif"/>
          <w:b w:val="false"/>
          <w:i w:val="false"/>
          <w:caps w:val="false"/>
          <w:smallCaps w:val="false"/>
          <w:sz w:val="20"/>
        </w:rPr>
        <w:t>” means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but excluding, for the avoidance of doubt, (a) amortization of deferred financing costs, debt issuance costs, commissions, fees and expenses and any other amounts of non-cash interest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815—Derivatives and Hedging, (c) any one-time cash costs associated with breakage in respect of hedging agreements for interest rates, (d) commissions, discounts, yield, make-whole premium and other fees and charges (including any interest expense) incurred in connection with any Permitted Receivables Financing, (e) any “additional interest” owing pursuant to a registration rights agreement with respect to any securities, (f) any payments with respect to make-whole premiums or other breakage costs of any Indebtedness, including, without limitation, any Indebtedness issued in connection with the Refinancing Transactions, (g) 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Refinancing Transactions, any acquisition or Investment permitted hereunder, all as calculated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Net Income</w:t>
      </w:r>
      <w:r>
        <w:rPr>
          <w:rFonts w:ascii="Times New Roman;Times;Serif" w:hAnsi="Times New Roman;Times;Serif"/>
          <w:b w:val="false"/>
          <w:i w:val="false"/>
          <w:caps w:val="false"/>
          <w:smallCaps w:val="false"/>
          <w:sz w:val="20"/>
        </w:rPr>
        <w:t>” means, with respect to any Person for any period, the aggregate of the Net Income, of such Person for such period, determined on a consolidated basis, excluding (and excluding the effect of),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non-recurring or unusual items), severance, relocation costs, integration and facilities’ or stores’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the election of the Issuer, with respect to any quarterly period, the cumulative effect of a change in accounting principles and changes as a result of adoption or modification of accounting policies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Transaction Expenses,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Net Income for such period of any Person that is an Unrestricted Subsidiary and any Person that is not a Subsidiary or that is accounted for by the equity method of accounting;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Consolidated Net Income shall be increased by the amount of dividends or distributions or other payments that are actually paid in cash or Cash Equivalents (or, if not paid in cash or Cash Equivalents, but later converted into cash or Cash Equivalents, upon such conversion) by such Person to the referent Person or a Restricted Subsidiary thereof in respect of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fees and expenses (including any transaction or retention bonus or similar payment) incurred during such period, or any amortization thereof for such period, in connection with any acquisition, disposition, Investment, recapitalization, Asset Sale, issuance or repayment of Indebtedness, issuance of Equity Interests, refinancing transaction or amendment or modification of any debt instrument (in each case, including any such transaction consummated prior to the Issue Date and any such transaction undertaken but not completed) and any charges, losses or non-recurring merger costs incurred during such period as a result of any such transaction, in each case whether or not successful (including, for the avoidance of doubt, the effects of expensing all transaction-related expenses in accordance with FASB Accounting Standards Codification Topic 805—Business Combinations and gains or losses associated with FASB Accounting Standards Codification Topic 460—Guarantees),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income (loss) for such period attributable to the early extinguishment of Indebtedness, Hedging Obligations or other derivative instruments (including deferred financing costs written off and premiums paid),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accruals and reserves (including contingent liabilities) that are established or adjusted within twelve months after the Issue Date that are so required to be established as a result of the Refinancing Transactions in accordance with GAAP, or changes as a result of the adoption or modification of accounting policies,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non-cash expenses and costs that result from the issuance of stock-based awards, partnership interest-based awards and similar incentive-based compensation awards or arrangements or other rights to officers, directors, managers or employees,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income (loss) attributable to deferred compensation plans or trusts,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any non-cash gain (loss) attributable to the mark to market movement in the valuation of Hedging Obligations or other derivative instruments pursuant to FASB Accounting Standards Codification Topic 815—Derivatives and Hedging or mark to market movement of other financial instruments pursuant to FASB Accounting Standards Codification Topic 825—Financial Instruments;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cash payments or receipts relating to transactions realized in a given period shall be taken into account in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non-cash gain (loss) related to currency remeasurements of Indebtedness (including the net loss or gain resulting from Hedging Obligations for currency exchange risk and revaluations of intercompany balances and other balance sheet items),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any non-cash expenses, accruals or reserves related to adjustments to historical tax exposures (provided, in each case, that the cash payment in respect thereof in such future period shall be subtracted from Consolidated Net Income for the period in which such cash payment was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any impairment charge or asset write-off or write-down (including related to intangible assets (including goodwill), long-lived assets, and investments in debt and equity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solely for the purpose of determining the amount available for Restricted Payments under Section 10.10(a)(2)(a),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(A) any restriction that has been legally waived or released (or the Issuer reasonably believes such restriction could be waived or released and is using commercially reasonable efforts to pursue such waiver or release); (B) any restriction imposed pursuant to the Indenture, the Security Documents or the documents related to the Credit Facilities; and/or (C) any restriction that arises pursuant to an agreement or instrument if the encumbrances and restrictions contained in any such agreement or instrument taken as a whole are not materially less favorable to Holders than the encumbrances and restrictions contained in the Indenture, the Security Documents or the documents related to the Credit Facilities (as determined by the Issuer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Consolidated Net Income of such Person will be increased by the amount of dividends or other distributions or other payments actually paid in cash or Cash Equivalents (or, if not paid in cash or Cash Equivalents, but later converted into cash or Cash Equivalents, upon such conversion) to such Person or a Restricted Subsidiary thereof in respect of such period, to the extent not already included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deferred tax expense associated with tax deductions or net operating losses arising as a result of the Refinancing Transactions, or the release of any valuation allowance related to such items,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any costs or expenses incurred during such period relating to environmental remediation, litigation or other disputes in respect of events and exposures that occurred prior to the Issue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costs associated with, or in anticipation of, or preparation for, compliance with the requirements of the Sarbanes-Oxley Act of 2002 and the rules and regulations promulgated in connection therewith and Public Company costs.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excluded from Consolidated Net Income for any period the effects from applying acquisition method accounting, including applying acquisition method accounting to inventory, property and equipment, loans and leases, software and other intangible assets and deferred revenue (including deferred costs related thereto and deferred rent) required or permitted by GAAP and related authoritative pronouncements (including the effects of such adjustments pushed down to such Person and its Restricted Subsidiaries), as a result of the Refinancing Transactions, any acquisition consummated prior to the Issue Date and any other acquisition (by merger, consolidation, amalgamation or otherwise) or other Investment or the amortization or write-off of any amounts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not already included in Consolidated Net Income, Consolidated Net Income shall include the amount of proceeds received or, so long as such Person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due from liability or casualty events or business interruption insurance or reimbursement of expenses and charges that are covered by indemnification and other reimbursement provisions in connection with any acquisition or other Investment or any disposition or transfer of any asset permitted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Secured Debt Ratio</w:t>
      </w:r>
      <w:r>
        <w:rPr>
          <w:rFonts w:ascii="Times New Roman;Times;Serif" w:hAnsi="Times New Roman;Times;Serif"/>
          <w:b w:val="false"/>
          <w:i w:val="false"/>
          <w:caps w:val="false"/>
          <w:smallCaps w:val="false"/>
          <w:sz w:val="20"/>
        </w:rPr>
        <w:t xml:space="preserve">” means, as of any Applicable Calculation Date, the ratio of (1) Consolidated Total Indebtedness of the Issuer and its Restricted Subsidiaries that is secured by a Lien on Collateral minus cash and Cash Equivalents of the Issuer and its Restricted Subsidiaries, in each case, computed as of the end of the most recent fiscal quarter for which internal financial statements are available immediately preceding the Applicable Calculation Date to (2) the Issuer’s Consolidated EBITDA for the Applicable Measurement Period, in each case with such pro forma adjustments to Consolidated Total Indebtedness, cash, Cash Equivalents and Consolidated EBITDA as are appropriate and consistent with the pro forma adjustment provisions set forth in the definition of “Fixed Charge Coverage Ratio” (other than as set forth in the first proviso to the first paragraph of such definition);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the calculation of the Consolidated Secured Debt Ratio, in connection with (x) the incurrence of any Indebtedness pursuant to Section 10.11(b)(1) or (y) the incurrence of any Lien pursuant to clause (12) or (34) of the definition of “Permitted Liens,” the Issuer may elect, pursuant to an Officer’s Certificate delivered to the Trustee, to treat an Elected Amount under any Indebtedness which is to be incurred or secured by such Lien, as the case may be, as being incurred as of the Applicable Calculation Date and (i) any subsequent incurrence of Indebtedness under such commitment (so long as the total amount under such Indebtedness does not exceed the Elected Amount) shall not be deemed, for purposes of this calculation, to be an incurrence of additional Indebtedness or an additional Lien at such subsequent time, (ii) the Issuer may revoke an election of an Elected Amount pursuant to an Officer’s Certificate delivered to the Trustee and (iii) for purposes of all subsequent calculations of the Consolidated Secured Debt Ratio, the Elected Amount (if any) shall be deemed to be outstanding, whether or not such amount is actually outstanding, so long as the applicable commitment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Total Debt Ratio</w:t>
      </w:r>
      <w:r>
        <w:rPr>
          <w:rFonts w:ascii="Times New Roman;Times;Serif" w:hAnsi="Times New Roman;Times;Serif"/>
          <w:b w:val="false"/>
          <w:i w:val="false"/>
          <w:caps w:val="false"/>
          <w:smallCaps w:val="false"/>
          <w:sz w:val="20"/>
        </w:rPr>
        <w:t xml:space="preserve">” means, as of any Applicable Calculation Date, the ratio of (1) Consolidated Total Indebtedness of the Issuer and its Restricted Subsidiaries minus cash and Cash Equivalents of the Issuer and its Restricted Subsidiaries, in each case, computed as of the end of the most recent fiscal quarter for which internal financial statements are available immediately preceding the Applicable Calculation Date to (2) the Issuer’s Consolidated EBITDA for the Applicable Measurement Period, in each case with such pro forma adjustments to Consolidated Total Indebtedness, cash, Cash Equivalents and Consolidated EBITDA as are appropriate and consistent with the pro forma adjustment provisions set forth in the definition of “Fixed Charge Coverage Ratio” (other than as set forth in the first proviso to the first paragraph of such definition);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the calculation of Consolidated Total Debt Ratio, in connection with the incurrence of any Indebtedness pursuant to Section 10.11(a) or Section 10.11(b)(14), the Issuer may elect, pursuant to an Officer’s Certificate delivered to the Trustee, to treat an Elected Amount under any Indebtedness which is to be incurred (or any commitment in respect thereof), as being incurred as of the Applicable Calculation Date and (i) any subsequent incurrence of Indebtedness under such commitment (so long as the total amount under such Indebtedness does not exceed the Elected Amount) shall not be deemed, for purposes of this calculation, to be an incurrence of additional Indebtedness at such subsequent time, (ii) the Issuer may revoke an election of an Elected Amount pursuant to an Officer’s Certificate delivered to the Trustee and (iii) for purposes of all subsequent calculations of the Consolidated Total Debt Ratio, the Elected Amount (if any) shall be deemed to be outstanding, whether or not such amount is actually outstanding, so long as the applicable commitment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Total First Lien Indebtedness</w:t>
      </w:r>
      <w:r>
        <w:rPr>
          <w:rFonts w:ascii="Times New Roman;Times;Serif" w:hAnsi="Times New Roman;Times;Serif"/>
          <w:b w:val="false"/>
          <w:i w:val="false"/>
          <w:caps w:val="false"/>
          <w:smallCaps w:val="false"/>
          <w:sz w:val="20"/>
        </w:rPr>
        <w:t>” means, as at any date of determination, the amount of Consolidated Total Indebtedness that is secured by Liens on Collateral on a first-priority basis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Consolidated Total Indebtedness</w:t>
      </w:r>
      <w:r>
        <w:rPr>
          <w:rFonts w:ascii="Times New Roman;Times;Serif" w:hAnsi="Times New Roman;Times;Serif"/>
          <w:b w:val="false"/>
          <w:i w:val="false"/>
          <w:caps w:val="false"/>
          <w:smallCaps w:val="false"/>
          <w:sz w:val="20"/>
        </w:rPr>
        <w:t>” means, as at any date of determination, an amount equal to the sum of (1) the aggregate amount of all outstanding Indebtedness of the Issuer and its Restricted Subsidiaries on a consolidated basis consisting of Indebtedness for borrowed money, unreimbursed drawings under letters of credit, Obligations in respect of Capitalized Lease Obligations and third-party debt obligations evidenced by promissory notes and similar instruments (and excluding, for the avoidance of doubt, (A) all undrawn amounts under revolving credit facilities, (B) Hedging Obligations, and (C) performance bonds or any similar instruments) and (2) the aggregate amount of all outstanding Disqualified Stock of the Issuer and all Preferred Stock of the Restricted Subsidiaries on a consolidated basis, with the amount of such Disqualified Stock and Preferred Stock equal to the greater of their respective voluntary or involuntary liquidation preferences and maximum fixed repurchase prices, in each case determined on a consolidated basis in accordance with GAAP. For purposes hereof, the “maximum fixed repurchase price” 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Total Indebtedness shall be required to be determined pursuant to this Indenture, and if such price is based upon, or measured by, the fair market value of such Disqualified Stock or Preferred Stock, such fair market value shall be determined in good faith by the senior management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Contingent Obligations</w:t>
      </w:r>
      <w:r>
        <w:rPr>
          <w:rFonts w:ascii="Times New Roman;Times;Serif" w:hAnsi="Times New Roman;Times;Serif"/>
          <w:b w:val="false"/>
          <w:i w:val="false"/>
          <w:caps w:val="false"/>
          <w:smallCaps w:val="false"/>
          <w:sz w:val="20"/>
        </w:rPr>
        <w:t>” means, with respect to any Person, any obligation of such Person guaranteeing any leases, dividends or other obligations that do not constitute Indebtedness (“</w:t>
      </w:r>
      <w:r>
        <w:rPr>
          <w:rFonts w:ascii="Times New Roman;Times;Serif" w:hAnsi="Times New Roman;Times;Serif"/>
          <w:b w:val="false"/>
          <w:i/>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val="false"/>
          <w:i/>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including, without limitation, any obligation of such Person, whether or not contingent,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purchase any such primary obligation or any property constituting direct or indirect security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advance or supply funds: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purchase or payment of any such primary obligation,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maintain working capital or equity capital of the primary obligor or otherwise to maintain the net worth or solvency of the primary obligor,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Contribution Debt</w:t>
      </w:r>
      <w:r>
        <w:rPr>
          <w:rFonts w:ascii="Times New Roman;Times;Serif" w:hAnsi="Times New Roman;Times;Serif"/>
          <w:b w:val="false"/>
          <w:i w:val="false"/>
          <w:caps w:val="false"/>
          <w:smallCaps w:val="false"/>
          <w:sz w:val="20"/>
        </w:rPr>
        <w:t>” has the meaning specified in Section 10.11(b)(12)(a)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Corporate Trust Office</w:t>
      </w:r>
      <w:r>
        <w:rPr>
          <w:rFonts w:ascii="Times New Roman;Times;Serif" w:hAnsi="Times New Roman;Times;Serif"/>
          <w:b w:val="false"/>
          <w:i w:val="false"/>
          <w:caps w:val="false"/>
          <w:smallCaps w:val="false"/>
          <w:sz w:val="20"/>
        </w:rPr>
        <w:t>” means the principal corporate trust office of the Trustee, at which at any particular time its corporate trust business in relation to this Indenture shall be administered, which office at the date of execution of this Indenture is located at U.S. Bank Trust Company, National Association, 1255 Corporate Drive, 6th Floor, Irving, Texas, 75038, or any other address as the Trustee may designate from time to time by notice to the holders and the Issuer, except that with respect to presentation of the Notes for payment or for registration of transfer or exchange, such term shall mean the office or agency of the Trustee at which, at any particular time, its corporate agency business in relation to this Indenture shall be conducted.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has the meaning specified in Section 13.03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Covenant Suspension Event</w:t>
      </w:r>
      <w:r>
        <w:rPr>
          <w:rFonts w:ascii="Times New Roman;Times;Serif" w:hAnsi="Times New Roman;Times;Serif"/>
          <w:b w:val="false"/>
          <w:i w:val="false"/>
          <w:caps w:val="false"/>
          <w:smallCaps w:val="false"/>
          <w:sz w:val="20"/>
        </w:rPr>
        <w:t>” has the meaning specified in Section 10.18(a)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Card Receivables</w:t>
      </w:r>
      <w:r>
        <w:rPr>
          <w:rFonts w:ascii="Times New Roman;Times;Serif" w:hAnsi="Times New Roman;Times;Serif"/>
          <w:b w:val="false"/>
          <w:i w:val="false"/>
          <w:caps w:val="false"/>
          <w:smallCaps w:val="false"/>
          <w:sz w:val="20"/>
        </w:rPr>
        <w:t>” means, as of any date of determination, the amount due from third-party financial institutions for credit and debt transactions that would, in conformity with GAAP, be set forth opposite the caption “cash equivalents” (or any like caption) on the most recent consolidated balance sheet of the Issuer and its Restricted Subsidiaries at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Credit Facilities</w:t>
      </w:r>
      <w:r>
        <w:rPr>
          <w:rFonts w:ascii="Times New Roman;Times;Serif" w:hAnsi="Times New Roman;Times;Serif"/>
          <w:b w:val="false"/>
          <w:i w:val="false"/>
          <w:caps w:val="false"/>
          <w:smallCaps w:val="false"/>
          <w:sz w:val="20"/>
        </w:rPr>
        <w:t>” means, with respect to the Issuer or any of its Restricted Subsidiaries, one or more debt facilities, including the Senior Credit Facilities, or other financing arrangements (including, without limitation, commercial paper facilities with banks or other institutional lenders or investors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or refundings thereof, in whole or in part, and any indentures or credit facilities or commercial paper facilities with banks or other institutional lenders or investors that replace, refund, refinance, extend, renew, restate, amend, supplement or modify any part of the loans, notes, other credit facilities or commitments thereunder, including any such exchanged, replacement, refunding, refinancing, extended, renewed, restated, amended, supplemented or modified facility or indenture that increases the amount permitted to be borrowed or issued thereunder or alters the maturity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increase in borrowings or issuance is permitted under Section 10.11) or adds Restricted Subsidiaries as additional borrowers or guarantors thereunder and whether by the same or any other agent, trustee, lender or group of lenders or other holders or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that is, or with the passage of time or the giving of notice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has the meaning specified in Section 3.07(b)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Depository</w:t>
      </w:r>
      <w:r>
        <w:rPr>
          <w:rFonts w:ascii="Times New Roman;Times;Serif" w:hAnsi="Times New Roman;Times;Serif"/>
          <w:b w:val="false"/>
          <w:i w:val="false"/>
          <w:caps w:val="false"/>
          <w:smallCaps w:val="false"/>
          <w:sz w:val="20"/>
        </w:rPr>
        <w:t>” means The Depository Trust Company, its nominees and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Times New Roman;Times;Serif" w:hAnsi="Times New Roman;Times;Serif"/>
          <w:b w:val="false"/>
          <w:i/>
          <w:caps w:val="false"/>
          <w:smallCaps w:val="false"/>
          <w:sz w:val="20"/>
        </w:rPr>
        <w:t>Performance References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Designated Non-cash Consideration</w:t>
      </w:r>
      <w:r>
        <w:rPr>
          <w:rFonts w:ascii="Times New Roman;Times;Serif" w:hAnsi="Times New Roman;Times;Serif"/>
          <w:b w:val="false"/>
          <w:i w:val="false"/>
          <w:caps w:val="false"/>
          <w:smallCaps w:val="false"/>
          <w:sz w:val="20"/>
        </w:rPr>
        <w:t>” means the fair market value of non-cash consideration received by the Issuer or a Restricted Subsidiary in connection with an Asset Sale that is so designated as Designated Non-cash Consideration pursuant to an Officer’s Certificate, setting forth the basis of such valuation, less the amount of cash or Cash Equivalents received in connection with a subsequent sale, redemption or repurchase of or collection or payment on such Designated Non-cash Consideration. A particular item of Designated Non-cash Consideration will no longer be considered to be outstanding when and to the extent it has been paid, redeemed or otherwise retired or sold or otherwise disposed of in exchange for consideration in the form of cash or Cash Equivalents in compliance with Section 10.17.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Designated Preferred Stock</w:t>
      </w:r>
      <w:r>
        <w:rPr>
          <w:rFonts w:ascii="Times New Roman;Times;Serif" w:hAnsi="Times New Roman;Times;Serif"/>
          <w:b w:val="false"/>
          <w:i w:val="false"/>
          <w:caps w:val="false"/>
          <w:smallCaps w:val="false"/>
          <w:sz w:val="20"/>
        </w:rPr>
        <w:t>” means Preferred Stock of the Issuer, any Restricted Subsidiary or any Parent Entity (in each case other than Disqualified Stock) that is issued for cash (other than to a Restricted Subsidiary or an employee stock ownership plan or trust established by the Issuer or any of its Subsidiaries) and is so designated as Designated Preferred Stock, pursuant to an Officer’s Certificate executed by the principal financial officer of the Issuer or the applicable Parent Entity, as the case may be, on the issuance date thereof, the cash proceeds of which are excluded from the calculation set forth in Section 10.10(a)(2).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Directing Holder</w:t>
      </w:r>
      <w:r>
        <w:rPr>
          <w:rFonts w:ascii="Times New Roman;Times;Serif" w:hAnsi="Times New Roman;Times;Serif"/>
          <w:b w:val="false"/>
          <w:i w:val="false"/>
          <w:caps w:val="false"/>
          <w:smallCaps w:val="false"/>
          <w:sz w:val="20"/>
        </w:rPr>
        <w:t>” has the meaning specified in Section 6.02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Disqualified Stock</w:t>
      </w:r>
      <w:r>
        <w:rPr>
          <w:rFonts w:ascii="Times New Roman;Times;Serif" w:hAnsi="Times New Roman;Times;Serif"/>
          <w:b w:val="false"/>
          <w:i w:val="false"/>
          <w:caps w:val="false"/>
          <w:smallCaps w:val="false"/>
          <w:sz w:val="20"/>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as a result of a change of control, asset sale, casualty, condemnation or eminent domain) pursuant to a sinking fund obligation or otherwise, or is redeemable at the option of the holder thereof (other than solely as a result of a change of control, asset sale, casualty, condemnation or eminent domain), in whole or in part, in each case prior to the date 91 days after the earlier of the maturity date of the Notes or the date the Notes are no longer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Capital Stock is issued to any plan for the benefit of employees of the Issuer or its Subsidiaries or by any such plan to such employees, such Capital Stock shall not constitute Disqualified Stock solely because it may be required to be repurchased by the Issuer or its Subsidiaries in order to satisfy applicable statutory or regulatory obligations or as a result of such employees’ termination, death or disability;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any Capital Stock held by any future, current or former employee, director, officer, manager or consultant (or any permitted transferee thereof) of the Issuer, any of its Subsidiaries or any Parent Entity or any other entity in which the Issuer or a Restricted Subsidiary has an Investment and is designated in good faith as an “affiliate” by the Board of the Issuer (or the compensation committee thereof) shall not constitute Disqualified Stock solely because it may be required to be repurchased by the Issuer or its Subsidiaries pursuant to any stockholders’ agreement, management equity plan, stock option plan or any other management or employee benefit plan or agreement or in order to satisfy applicable statutory or regulatory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Domestic Subsidiary</w:t>
      </w:r>
      <w:r>
        <w:rPr>
          <w:rFonts w:ascii="Times New Roman;Times;Serif" w:hAnsi="Times New Roman;Times;Serif"/>
          <w:b w:val="false"/>
          <w:i w:val="false"/>
          <w:caps w:val="false"/>
          <w:smallCaps w:val="false"/>
          <w:sz w:val="20"/>
        </w:rPr>
        <w:t>” means, with respect to any Person, any Restricted Subsidiary of such Person that is organized or existing under the laws of the United States, any state thereof or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Elected Amount</w:t>
      </w:r>
      <w:r>
        <w:rPr>
          <w:rFonts w:ascii="Times New Roman;Times;Serif" w:hAnsi="Times New Roman;Times;Serif"/>
          <w:b w:val="false"/>
          <w:i w:val="false"/>
          <w:caps w:val="false"/>
          <w:smallCaps w:val="false"/>
          <w:sz w:val="20"/>
        </w:rPr>
        <w:t>” has the meaning specified in the definition of “Consolidated First Lien Debt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EMU</w:t>
      </w:r>
      <w:r>
        <w:rPr>
          <w:rFonts w:ascii="Times New Roman;Times;Serif" w:hAnsi="Times New Roman;Times;Serif"/>
          <w:b w:val="false"/>
          <w:i w:val="false"/>
          <w:caps w:val="false"/>
          <w:smallCaps w:val="false"/>
          <w:sz w:val="20"/>
        </w:rPr>
        <w:t>” means economic and monetary union as contemplated in the Treaty on European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Interests</w:t>
      </w:r>
      <w:r>
        <w:rPr>
          <w:rFonts w:ascii="Times New Roman;Times;Serif" w:hAnsi="Times New Roman;Times;Serif"/>
          <w:b w:val="false"/>
          <w:i w:val="false"/>
          <w:caps w:val="false"/>
          <w:smallCaps w:val="false"/>
          <w:sz w:val="20"/>
        </w:rPr>
        <w:t>” means Capital Stock and all warrants, options or other rights to acquire Capital Stock, but excluding any debt security that is convertible into, or exchangeable for,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Offering</w:t>
      </w:r>
      <w:r>
        <w:rPr>
          <w:rFonts w:ascii="Times New Roman;Times;Serif" w:hAnsi="Times New Roman;Times;Serif"/>
          <w:b w:val="false"/>
          <w:i w:val="false"/>
          <w:caps w:val="false"/>
          <w:smallCaps w:val="false"/>
          <w:sz w:val="20"/>
        </w:rPr>
        <w:t>” means any public or private sale or issuance of Capital Stock (x) of the Issuer or any Parent Entity (excluding Disqualified Stock) or (y) proceeds of which are contributed to the equity capital of the Issuer or any of its Restricted Subsidiaries, in each case,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public offerings with respect to the Issuer’s or any of its Parent Entity’s common stock registered on Form S-8;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issuances to any Subsidiary of the Issuer;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such public or private sale or issuance that constitutes an Excluded Contribution.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euro</w:t>
      </w:r>
      <w:r>
        <w:rPr>
          <w:rFonts w:ascii="Times New Roman;Times;Serif" w:hAnsi="Times New Roman;Times;Serif"/>
          <w:b w:val="false"/>
          <w:i w:val="false"/>
          <w:caps w:val="false"/>
          <w:smallCaps w:val="false"/>
          <w:sz w:val="20"/>
        </w:rPr>
        <w:t>” means the single currency of participating member states of the EMU.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has the meaning specified in Section 5.01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has the meaning specified in Section 10.17(c)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Assets</w:t>
      </w:r>
      <w:r>
        <w:rPr>
          <w:rFonts w:ascii="Times New Roman;Times;Serif" w:hAnsi="Times New Roman;Times;Serif"/>
          <w:b w:val="false"/>
          <w:i w:val="false"/>
          <w:caps w:val="false"/>
          <w:smallCaps w:val="false"/>
          <w:sz w:val="20"/>
        </w:rPr>
        <w:t>” means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(x) all leasehold interests in real property and (y) any parcel of real estate and the improvements thereto owned in fee by the Issuer or any Guarantor not constituting Mortgaged Property (but not any Collateral located thereon);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motor vehicles and other assets subject to certificates of title, letter of credit rights (other than to the extent such rights can be perfected by filing a UCC-1) and Commercial Tort Claims with a claim value of less than the greater of (a) $70.0 million and (b) 10.0% of Consolidated EBITDA of the Issuer for the Applicable Measurement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those assets over which the granting of security interests in such assets would be prohibited by applicable law or regulation (in each case, except to the extent such prohibition is unenforceable after giving effect to applicable provisions of the Uniform Commercial Code of any applicable jurisdiction, other than proceeds thereof, the assignment of which is expressly deemed effective under the Uniform Commercial Code of any applicable jurisdiction notwithstanding such prohibitions) or to the extent that such security interests would require obtaining the consent of any Governmental Authority (except to the extent such consent has been obtained) or would result in materially adverse tax consequences as reasonably determined by the Issuer in consultation with the Notes Collateral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margin stock and, to the extent requiring the consent of one or more third parties or prohibited by the terms of any applicable organizational documents, joint venture agreement or shareholders’ agreement, Equity Interests in any Person (other than Wholly-Owned Subsidiaries that are Restricted Subsidiaries) after giving effect to the applicable anti-assignment provisions of the Uniform Commercial Code of any applicable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those assets as to which the Notes Collateral Agent and the Issuer reasonably determine in writing that the cost of obtaining such a security interest or perfection thereof are excessive in relation to the benefit to the lenders and/or Holders of the security to be afforded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intent-to-use trademark application filed in the United States Patent and Trademark Office prior to the filing of a “Statement of Use” or “Amendment to Allege Use” with respect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any contract, lease, license or other agreement or any property subject to a purchase money security interest, Capitalized Lease Obligation or similar arrangement permitted under the Senior Credit Facilities and/or the Indenture, as the case may be, in each case, to the extent that a grant of a security interest therein would violate or invalidate such contract, lease, license or agreement or purchase money, Capitalized Lease Obligation or similar arrangement or create a right of termination in favor of any other party thereto (other than the Issuer or a Guarantor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any property that is subject to a Lien permitted pursuant to clause (17) of the definition of “Permitted Liens” if the contract or other agreement in which such Lien is granted (or the documentation providing for Indebtedness subject to such Lien) prohibits the creation of any other Lien on such property or creates a right of termination in favor of any other party thereto (other than the Issuer or any Guarantor) as a result of the creation of any such Lien;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Excluded Stock and Stock Equivalents;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proceeds and products from any and all of the foregoing that would constitute Excluded Assets shall also not be considered Collateral and proceeds and products from any and all of the foregoing that do not constitute Excluded Assets shall be considered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in the definition of Excluded Assets above that are not defined in this Indenture are defined more particularly in the New York Uniform Commercial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Contribution</w:t>
      </w:r>
      <w:r>
        <w:rPr>
          <w:rFonts w:ascii="Times New Roman;Times;Serif" w:hAnsi="Times New Roman;Times;Serif"/>
          <w:b w:val="false"/>
          <w:i w:val="false"/>
          <w:caps w:val="false"/>
          <w:smallCaps w:val="false"/>
          <w:sz w:val="20"/>
        </w:rPr>
        <w:t>” means net cash proceeds, the fair market value of marketable securities or the fair market value of Qualified Proceeds received by the Issuer 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contributions to its common equity capital;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dividends, distributions, fees and other payments from any Unrestricted Subsidiaries or joint ventures or Investments in entities that are not Restricted Subsidiaries;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sale (other than to a Subsidiary of the Issuer or to any management equity plan or stock option plan or any other management or employee benefit plan or agreement of the Issuer) of Capital Stock (other than Disqualified Stock and Designated Preferred Stock) of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designated as Excluded Contributions by the Issuer, which shall be excluded from the calculation set forth in Section 10.10(a)(2);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dividends, distributions, fees or other payments so designated pursuant to clause (2) of this definition shall be excluded from the definition of “Consolidated Net Income” for all purposes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Excluded Stock and Stock Equivalents</w:t>
      </w:r>
      <w:r>
        <w:rPr>
          <w:rFonts w:ascii="Times New Roman;Times;Serif" w:hAnsi="Times New Roman;Times;Serif"/>
          <w:b w:val="false"/>
          <w:i w:val="false"/>
          <w:caps w:val="false"/>
          <w:smallCaps w:val="false"/>
          <w:sz w:val="20"/>
        </w:rPr>
        <w:t>” means (i) any Capital Stock or Stock Equivalents with respect to which, in the reasonable judgment of the Notes Collateral Agent and the Issuer (as agreed to in writing), the cost or other consequences of pledging such Capital Stock or Stock Equivalents in favor of the Holders pursuant to this Indenture shall be excessive in view of the benefits to be obtained by the lenders therefrom, (ii) solely in the case of any pledge of Voting Stock and Stock Equivalents of any Foreign Subsidiary that is a CFC or any CFC Holding Company, any Voting Stock or Stock Equivalents entitled to vote of any class of such Foreign Subsidiary or any CFC Holding Company in excess of 66% of the total voting power of all Voting Stock or Stock Equivalents of such Foreign Subsidiary or CFC Holding Company (provided that, for the avoidance of doubt, such 66% limitation shall not apply to (x) Capital Stock other than Voting Stock or (y) Stock Equivalents that are not entitled to vote), (iii) any Capital Stock or Stock Equivalents to the extent the pledge thereof would 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clause (17) of the definition of Permitted Lien or (B) any Capital Stock or Stock Equivalents of any Subsidiary that is not wholly-owned by Holdings and its Subsidiaries at the time such Subsidiary becomes a Subsidiary, any Capital Stock or Stock Equivalents of each such Subsidiary described in clause (A) or (B) to the extent (I) that a pledge thereof to secure the Notes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provided that this clause (II) shall not apply if (x) such other party is the Issuer or a Guarantor or a Wholly-Owned Subsidiary or (y) consent has been obtained to consummate such pledge (it being understood that the foregoing shall not be deemed to obligate Holdings or any Subsidiary to obtain any such consent) and for so long as such contractual requirement or replacement or renewal thereof is in effect, or (III) a pledge thereof to secure the Notes Obligations would give any other party (other than the Issuer or a Guarantor or a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Holdings or any Subsidiary or any Parent Entity as reasonably determined by the Issuer in consultation with the Notes Collateral Agent, (vi) any Capital Stock or Stock Equivalents that are margin stock, and (vii) any Capital Stock and Stock Equivalents of any Subsidiary that is not a Material Subsidiary or is an Unrestricted Subsidiary, a captive insurance Subsidiary, a special purpose vehicle or any special purpose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purpose of this definition, “</w:t>
      </w:r>
      <w:r>
        <w:rPr>
          <w:rFonts w:ascii="Times New Roman;Times;Serif" w:hAnsi="Times New Roman;Times;Serif"/>
          <w:b w:val="false"/>
          <w:i/>
          <w:caps w:val="false"/>
          <w:smallCaps w:val="false"/>
          <w:sz w:val="20"/>
        </w:rPr>
        <w:t>Stock Equivalents</w:t>
      </w:r>
      <w:r>
        <w:rPr>
          <w:rFonts w:ascii="Times New Roman;Times;Serif" w:hAnsi="Times New Roman;Times;Serif"/>
          <w:b w:val="false"/>
          <w:i w:val="false"/>
          <w:caps w:val="false"/>
          <w:smallCaps w:val="false"/>
          <w:sz w:val="20"/>
        </w:rPr>
        <w:t>” shall mean all securities convertible into or exchangeable for Capital Stock and all warrants, options or other rights to purchase or subscribe for any Capital Stock, whether or not presently convertible, exchangeable or exercisable; “</w:t>
      </w:r>
      <w:r>
        <w:rPr>
          <w:rFonts w:ascii="Times New Roman;Times;Serif" w:hAnsi="Times New Roman;Times;Serif"/>
          <w:b w:val="false"/>
          <w:i/>
          <w:caps w:val="false"/>
          <w:smallCaps w:val="false"/>
          <w:sz w:val="20"/>
        </w:rPr>
        <w:t>Requirements of L</w:t>
      </w:r>
      <w:r>
        <w:rPr>
          <w:rFonts w:ascii="Times New Roman;Times;Serif" w:hAnsi="Times New Roman;Times;Serif"/>
          <w:b w:val="false"/>
          <w:i w:val="false"/>
          <w:caps w:val="false"/>
          <w:smallCaps w:val="false"/>
          <w:sz w:val="20"/>
        </w:rPr>
        <w:t>aw”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means, with respect to any Investment, asset, property or liability, the fair market value of such Investment, asset, property or liability as determined in good faith by the Board or the senior management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FATCA</w:t>
      </w:r>
      <w:r>
        <w:rPr>
          <w:rFonts w:ascii="Times New Roman;Times;Serif" w:hAnsi="Times New Roman;Times;Serif"/>
          <w:b w:val="false"/>
          <w:i w:val="false"/>
          <w:caps w:val="false"/>
          <w:smallCaps w:val="false"/>
          <w:sz w:val="20"/>
        </w:rPr>
        <w:t>” has the meaning specified in Section 1.20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Lien Intercreditor Agreement</w:t>
      </w:r>
      <w:r>
        <w:rPr>
          <w:rFonts w:ascii="Times New Roman;Times;Serif" w:hAnsi="Times New Roman;Times;Serif"/>
          <w:b w:val="false"/>
          <w:i w:val="false"/>
          <w:caps w:val="false"/>
          <w:smallCaps w:val="false"/>
          <w:sz w:val="20"/>
        </w:rPr>
        <w:t>” means an intercreditor agreement among holders of First Lien Obligations (or their representatives or agents) the terms of which are consistent with market terms (in the view of such holders) governing security arrangements for the priority and share of liens or arrangements relating to the distribution of payments, as applicable, at the time the intercreditor agreement is proposed to be established in light of the type of Indebtedness subject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First Lien Obligations</w:t>
      </w:r>
      <w:r>
        <w:rPr>
          <w:rFonts w:ascii="Times New Roman;Times;Serif" w:hAnsi="Times New Roman;Times;Serif"/>
          <w:b w:val="false"/>
          <w:i w:val="false"/>
          <w:caps w:val="false"/>
          <w:smallCaps w:val="false"/>
          <w:sz w:val="20"/>
        </w:rPr>
        <w:t>” means, collectively, (1) the ABL Obligations, (2) the Notes Obligations and (3) each series of Additional First Lien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Fitch</w:t>
      </w:r>
      <w:r>
        <w:rPr>
          <w:rFonts w:ascii="Times New Roman;Times;Serif" w:hAnsi="Times New Roman;Times;Serif"/>
          <w:b w:val="false"/>
          <w:i w:val="false"/>
          <w:caps w:val="false"/>
          <w:smallCaps w:val="false"/>
          <w:sz w:val="20"/>
        </w:rPr>
        <w:t>” means Fitch Ratings Inc. and any successor to its rating agency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Fixed Charge Coverage Ratio</w:t>
      </w:r>
      <w:r>
        <w:rPr>
          <w:rFonts w:ascii="Times New Roman;Times;Serif" w:hAnsi="Times New Roman;Times;Serif"/>
          <w:b w:val="false"/>
          <w:i w:val="false"/>
          <w:caps w:val="false"/>
          <w:smallCaps w:val="false"/>
          <w:sz w:val="20"/>
        </w:rPr>
        <w:t xml:space="preserve">” means, with respect to any Person as of any Applicable Calculation Date, the ratio of Consolidated EBITDA of such Person for the Applicable Measurement Period to the Fixed Charges of such Person for such Applicable Measurement Period. In the event that the Issuer or any Restricted Subsidiary incurs, assumes, guarantees, redeems, repays, retires or extinguishes any Indebtedness or issues or redeems Disqualified Stock or Preferred Stock subsequent to the commencement of the Applicable Measurement Period but on or prior to the Applicable Calculation Date, then the Fixed Charge Coverage Ratio shall be calculated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to such incurrence, assumption, guarantee, redemption, repayment, retirement or extinguishment of Indebtedness, or such issuance or redemption of Disqualified Stock or Preferred Stock (in each case, including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application of the net proceeds therefrom), as if the same had occurred at the beginning of the Applicable Measurement Period;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for purposes of the calculation of the Fixed Charge Coverage Ratio, in connection with the incurrence of any Indebtedness pursuant to Sections 10.11(a) or 10.11(b)(14), the Issuer may elect, pursuant to an Officer’s Certificate delivered to the Trustee, to treat an Elected Amount under any Indebtedness which is to be incurred (or any commitment in respect thereof), as being incurred as of the Applicable Calculation Date and (i) any subsequent incurrence of Indebtedness under such commitment that was so treated (so long as the total amount under such Indebtedness does not exceed the Elected Amount) shall not be deemed, for purposes of this calculation, to be an incurrence of additional Indebtedness at such subsequent time, (ii) the Issuer may revoke an election of an Elected Amount pursuant to an Officer’s Certificate delivered to the Trustee and (iii) for subsequent calculations of the Fixed Charge Coverage Ratio, the Elected Amount (if any) shall be deemed to be outstanding, whether or not such amount is actually outstanding, so long as the applicable commitment remains outstanding. For purposes of making the computation referred to above, Investments, acquisitions, dispositions, mergers, amalgamations, consolidations and disposed operations (as determined in accordance with GAAP) and operational changes that have been made by the Issuer or any of its Restricted Subsidiaries during the Applicable Measurement Period or subsequent to such Applicable Measurement Period and on or prior to or simultaneously with the Applicable Calculation Date shall be calculated on a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basis assuming that all such Investments, acquisitions, dispositions, mergers, amalgamations, consolidations, disposed operations and operational changes (and the change in any associated fixed charge obligations and the change in Consolidated EBITDA resulting therefrom) had occurred on the first day of the Applicable Measurement Period. If since the beginning of such period any Person that subsequently became a Restricted Subsidiary or was merged or amalgamated with or into the Issuer or any of its Restricted Subsidiaries since the beginning of such period shall have made any Investment, acquisition, disposition, merger, amalgamation, consolidation or disposed operation that would have required adjustment pursuant to this definition, then the Fixed Charge Coverage Ratio shall be calculated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effect thereto for such Applicable Measurement Period as if such Investment, acquisition, disposition, merger, amalgamation, consolidation or disposed operation had occurred at the beginning of the Applicable Measurement Period. For the avoidance of doubt, in the event that a Subsidiary was previously designated as an Unrestricted Subsidiary but was redesignated as a Restricted Subsidiary during or subsequent to the Applicable Measurement Period and is a Restricted Subsidiary as of the Applicable Calculation Date, the computation referred to above shall be calculated on a pro forma basis assuming that such redesignation as a Restricted Subsidiary (and the change in any associated fixed charge obligations and any change in Consolidated EBITDA resulting therefrom) had occurred on the first day of the Applicable Measurement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definition, whenever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is to be given to a transaction, the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calculations shall be made in good faith by a responsible financial or accounting officer of the Issuer (and may include, for the avoidance of doubt and without duplication, cost savings, operating expense reductions and synergies resulting from any Asset Sale or other disposition or such Investment, acquisition, disposition, merger, amalgamation or consolidation or other transaction, in each case calculated in accordance with and permitted by clause (2) of the definition of “Consolidated EBITDA”). If any Indebtedness bears a floating rate of interest and is being given pro forma effect, the interest on such Indebtedness shall be calculated as if the rate in effect on the Applicable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Issuer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maximum commitments under such revolving credit facility as of the Applicable Calculation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Issuer may designate.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Fixed Charges</w:t>
      </w:r>
      <w:r>
        <w:rPr>
          <w:rFonts w:ascii="Times New Roman;Times;Serif" w:hAnsi="Times New Roman;Times;Serif"/>
          <w:b w:val="false"/>
          <w:i w:val="false"/>
          <w:caps w:val="false"/>
          <w:smallCaps w:val="false"/>
          <w:sz w:val="20"/>
        </w:rPr>
        <w:t>” means, with respect to any Person for any period, the sum of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Consolidated Interest Expense of such Person for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cash dividends or other distributions paid (excluding items eliminated in consolidation) on any series of Preferred Stock during such period,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cash dividends or other distributions paid (excluding items eliminated in consolidation) on any series of Disqualified Stock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Foreign Subsidiary</w:t>
      </w:r>
      <w:r>
        <w:rPr>
          <w:rFonts w:ascii="Times New Roman;Times;Serif" w:hAnsi="Times New Roman;Times;Serif"/>
          <w:b w:val="false"/>
          <w:i w:val="false"/>
          <w:caps w:val="false"/>
          <w:smallCaps w:val="false"/>
          <w:sz w:val="20"/>
        </w:rPr>
        <w:t>” means, with respect to any Person, any Subsidiary of such Person that is not organized or existing under the laws of the United States, any state thereof or the District of Columbia and any Subsidiary of such Foreign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Funding Guarantor</w:t>
      </w:r>
      <w:r>
        <w:rPr>
          <w:rFonts w:ascii="Times New Roman;Times;Serif" w:hAnsi="Times New Roman;Times;Serif"/>
          <w:b w:val="false"/>
          <w:i w:val="false"/>
          <w:caps w:val="false"/>
          <w:smallCaps w:val="false"/>
          <w:sz w:val="20"/>
        </w:rPr>
        <w:t>” has the meaning specified in Section 12.05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terms of an accounting or financial nature used in this Indenture shall be construed, and all computations of amounts and ratios referred to in this Indenture shall be made (a) without giving effect to any election under FASB Accounting Standards Codification Topic 825—Financial Instruments, or any successor thereto (including pursuant to the FASB Accounting Standards Codification), to value any Indebtedness of the Issuer or any Subsidiary at “fair value,” as defined therein and (b) the accounting for operating leases and financing or capital leases under U.S. GAAP as in effect on May 16, 2017 (including, without limitation, FASB Accounting Standards Codification Topic 840—Leases) shall apply for the purpose of determining compliance with the provisions of this Indenture, including the definition of “Capitalized Lease Obligation.” At any time after the Issue Date, the Issuer may elect to apply IFRS accounting principles in lieu of GAAP and, upon any such election, references herein to GAAP shall thereafter be construed to mean IFRS (except as otherwise provided in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election, once made, shall be irrevocable;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any calculation or determination in this Indenture that requires the application of GAAP for periods that include fiscal quarters ended prior to the Issuer’s election to apply IFRS shall remain as previously calculated or determined in accordance with GAAP. The Issuer shall give notice of any such election made in accordance with this definition to the Trustee. For the avoidance of doubt, solely making an election (without any other action) referred to in this definition will not be treated as an incurrence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occurs a change in generally accepted accounting principles and such change would cause a change in the method of calculation of any standards, terms or measures used in a covenant under Article Ten as determined in good faith by the Issuer (an “</w:t>
      </w:r>
      <w:r>
        <w:rPr>
          <w:rFonts w:ascii="Times New Roman;Times;Serif" w:hAnsi="Times New Roman;Times;Serif"/>
          <w:b w:val="false"/>
          <w:i/>
          <w:caps w:val="false"/>
          <w:smallCaps w:val="false"/>
          <w:sz w:val="20"/>
        </w:rPr>
        <w:t>Accounting Change</w:t>
      </w:r>
      <w:r>
        <w:rPr>
          <w:rFonts w:ascii="Times New Roman;Times;Serif" w:hAnsi="Times New Roman;Times;Serif"/>
          <w:b w:val="false"/>
          <w:i w:val="false"/>
          <w:caps w:val="false"/>
          <w:smallCaps w:val="false"/>
          <w:sz w:val="20"/>
        </w:rPr>
        <w:t>”), then the Issuer may elect, as evidenced by a written notice of the Issuer to the Trustee, that such standards, terms or measures shall be calculated as if such Accounting Change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 Securities</w:t>
      </w:r>
      <w:r>
        <w:rPr>
          <w:rFonts w:ascii="Times New Roman;Times;Serif" w:hAnsi="Times New Roman;Times;Serif"/>
          <w:b w:val="false"/>
          <w:i w:val="false"/>
          <w:caps w:val="false"/>
          <w:smallCaps w:val="false"/>
          <w:sz w:val="20"/>
        </w:rPr>
        <w:t>” means securities that 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direct obligations of, or obligations guaranteed by, the United States for the timely payment of which its full faith and credit is pledged;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obligations of a Person controlled or supervised by and acting as an agency or instrumentality of the United States the timely payment of which is unconditionally guaranteed as a full faith and credit obligation by the United States,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which, in either case, are not callable or redeemable at the option of the issuers thereof, and shall also include a depository receipt issued by a bank (as defined in Section 3(a)(2) of the Securities Act), as custodian with respect to any such Government Securities or a specific payment of principal of or interest on any such Government Securities held by such custodian for the account of the holder of such depository receipt;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as required by law) such custodian is not authorized to make any deduction from the amount payable to the holder of such depository receipt from any amount received by the custodian in respect of the Government Securities or the specific payment of principal of or interest on the Government Securities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Guarantee</w:t>
      </w:r>
      <w:r>
        <w:rPr>
          <w:rFonts w:ascii="Times New Roman;Times;Serif" w:hAnsi="Times New Roman;Times;Serif"/>
          <w:b w:val="false"/>
          <w:i w:val="false"/>
          <w:caps w:val="false"/>
          <w:smallCaps w:val="false"/>
          <w:sz w:val="20"/>
        </w:rPr>
        <w:t>” means the guarantee by any Guarantor of the Issuer’s Obligations under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Guarantor</w:t>
      </w:r>
      <w:r>
        <w:rPr>
          <w:rFonts w:ascii="Times New Roman;Times;Serif" w:hAnsi="Times New Roman;Times;Serif"/>
          <w:b w:val="false"/>
          <w:i w:val="false"/>
          <w:caps w:val="false"/>
          <w:smallCaps w:val="false"/>
          <w:sz w:val="20"/>
        </w:rPr>
        <w:t>” means each Parent Guarantor and each Restricted Subsidiary of the Issuer that executes this Indenture as a Guarantor on the Issue Date and each other Restricted Subsidiary of the Issuer that thereafter guarantees the Notes in accordance with the terms of this Indenture, until, in each case, such Person is released from the guarantee of the Notes in accordance with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Hedging Obligations</w:t>
      </w:r>
      <w:r>
        <w:rPr>
          <w:rFonts w:ascii="Times New Roman;Times;Serif" w:hAnsi="Times New Roman;Times;Serif"/>
          <w:b w:val="false"/>
          <w:i w:val="false"/>
          <w:caps w:val="false"/>
          <w:smallCaps w:val="false"/>
          <w:sz w:val="20"/>
        </w:rPr>
        <w:t>” means, with respect to any Person, (1) the obligations of such Person under any interest rate swap agreement, interest rate cap agreement, interest rate floor agreement, interest rate collar agreement, commodity swap agreement, commodity cap agreement, commodity collar agreement, foreign exchange contract, currency swap agreement or similar agreement providing for the transfer, modification or mitigation of interest rate, currency, commodity or equity risks either generally or under specific contingencies and (2)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val="false"/>
          <w:i/>
          <w:caps w:val="false"/>
          <w:smallCaps w:val="false"/>
          <w:sz w:val="20"/>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means, with reference to any Indebtedness or other Obligations, any holder or lender of, or trustee or collateral agent or other authorized representative with respect to, such Indebtedness or Obligations, and, in the case of Hedging Obligations, any counter-party to such Hedging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Holder</w:t>
      </w:r>
      <w:r>
        <w:rPr>
          <w:rFonts w:ascii="Times New Roman;Times;Serif" w:hAnsi="Times New Roman;Times;Serif"/>
          <w:b w:val="false"/>
          <w:i w:val="false"/>
          <w:caps w:val="false"/>
          <w:smallCaps w:val="false"/>
          <w:sz w:val="20"/>
        </w:rPr>
        <w:t>” means the Person in whose name a Note is registered on the Note Registrar’s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Holdings</w:t>
      </w:r>
      <w:r>
        <w:rPr>
          <w:rFonts w:ascii="Times New Roman;Times;Serif" w:hAnsi="Times New Roman;Times;Serif"/>
          <w:b w:val="false"/>
          <w:i w:val="false"/>
          <w:caps w:val="false"/>
          <w:smallCaps w:val="false"/>
          <w:sz w:val="20"/>
        </w:rPr>
        <w:t>” means (i) New Academy Holding Company, LLC or (ii) after the Issue Date, any other Person or Persons (“New Holdings”) that is a Subsidiary of Holdings or of any Parent Entity of Holdings (or the previous New Holdings, as the case may be) but not the Issuer (“</w:t>
      </w:r>
      <w:r>
        <w:rPr>
          <w:rFonts w:ascii="Times New Roman;Times;Serif" w:hAnsi="Times New Roman;Times;Serif"/>
          <w:b w:val="false"/>
          <w:i/>
          <w:caps w:val="false"/>
          <w:smallCaps w:val="false"/>
          <w:sz w:val="20"/>
        </w:rPr>
        <w:t>Previous Holdings</w:t>
      </w:r>
      <w:r>
        <w:rPr>
          <w:rFonts w:ascii="Times New Roman;Times;Serif" w:hAnsi="Times New Roman;Times;Serif"/>
          <w:b w:val="false"/>
          <w:i w:val="false"/>
          <w:caps w:val="false"/>
          <w:smallCaps w:val="false"/>
          <w:sz w:val="20"/>
        </w:rPr>
        <w:t xml:space="preserve">”); provided that (a) such New Holdings directly or indirectly through Intermediate Holdcos owns 100% of the Equity Interests of the Issuer, (b) New Holdings shall expressly assume all the obligations of Previous Holdings under the Indenture, the notes, its Guarantee, the Intercreditor Agreements and applicable Security Documents pursuant to a supplemental indenture or other applicable documents or instruments, (c) all Capital Stock of the Issuer shall be pledged to secure the Notes Obligations and (d) (i) no Event of Default has occurred and is continuing at the time of such substitution and such substitution does not result in any Event of Default and (ii) such substitution does not result in any adverse tax consequences to any Holder (unless reimbursed hereunder) or to the Notes Collateral Agent (unless reimbursed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each of the foregoing is satisfied, Previous Holdings shall be automatically released of all its obligations under the Indenture, the notes, its Guarantee, the Intercreditor Agreements and applicable Security Documents and any reference to “</w:t>
      </w:r>
      <w:r>
        <w:rPr>
          <w:rFonts w:ascii="Times New Roman;Times;Serif" w:hAnsi="Times New Roman;Times;Serif"/>
          <w:b w:val="false"/>
          <w:i/>
          <w:caps w:val="false"/>
          <w:smallCaps w:val="false"/>
          <w:sz w:val="20"/>
        </w:rPr>
        <w:t>Holdings</w:t>
      </w:r>
      <w:r>
        <w:rPr>
          <w:rFonts w:ascii="Times New Roman;Times;Serif" w:hAnsi="Times New Roman;Times;Serif"/>
          <w:b w:val="false"/>
          <w:i w:val="false"/>
          <w:caps w:val="false"/>
          <w:smallCaps w:val="false"/>
          <w:sz w:val="20"/>
        </w:rPr>
        <w:t>” therein shall be meant to refer to New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and interpretations issued by the International Accounting Standards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incur</w:t>
      </w:r>
      <w:r>
        <w:rPr>
          <w:rFonts w:ascii="Times New Roman;Times;Serif" w:hAnsi="Times New Roman;Times;Serif"/>
          <w:b w:val="false"/>
          <w:i w:val="false"/>
          <w:caps w:val="false"/>
          <w:smallCaps w:val="false"/>
          <w:sz w:val="20"/>
        </w:rPr>
        <w:t>” has the meaning specified in Section 10.11(a)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incurrence</w:t>
      </w:r>
      <w:r>
        <w:rPr>
          <w:rFonts w:ascii="Times New Roman;Times;Serif" w:hAnsi="Times New Roman;Times;Serif"/>
          <w:b w:val="false"/>
          <w:i w:val="false"/>
          <w:caps w:val="false"/>
          <w:smallCaps w:val="false"/>
          <w:sz w:val="20"/>
        </w:rPr>
        <w:t>” has the meaning specified in Section 10.11(a)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Incurrence Clauses</w:t>
      </w:r>
      <w:r>
        <w:rPr>
          <w:rFonts w:ascii="Times New Roman;Times;Serif" w:hAnsi="Times New Roman;Times;Serif"/>
          <w:b w:val="false"/>
          <w:i w:val="false"/>
          <w:caps w:val="false"/>
          <w:smallCaps w:val="false"/>
          <w:sz w:val="20"/>
        </w:rPr>
        <w:t>” has the meaning specified in Section 10.10(b)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indebtedness (including principal and premium) of such Person, whether or not contingent: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respect of borrowed money;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evidenced by bonds, notes, debentures or similar instruments or letters of credit or bankers’ acceptances (or, without duplication, reimbursement agreements in respect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representing the balance deferred and unpaid of the purchase price of any property (including Capitalized Lease Obligations), except (i) any such balance that constitutes an obligation in respect of a commercial letter of credit, a trade payable or similar obligation to a trade creditor, in each case accrued in the ordinary course of business and (ii) any earn-out obligations until such obligation is reflected as a liability on the balance sheet of such Person in accordance with GAAP and if not paid within 120 days after becoming due and payable;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representing the net obligations under any Hedging Obligations;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and to the extent that any of the foregoing Indebtedness in clauses (a) through (d) (other than letters of credit and Hedging Obligations) would appear as a liability upon a balance sheet (excluding the footnotes thereto) of such Person prepared in accordance with GAAP;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(1)(x) Indebtedness of any Parent Entity appearing on the balance sheet of the Issuer solely by reason of push-down accounting under GAAP and (y) Non-Capitalized Lease Obligations, straight-line leases and operating leases shall be excluded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to the extent not otherwise included, the obligations of the type referred to in clause (1) of a third Person secured by a Lien on any assets owned by such first Person, whether or not such Indebtedness is assumed by such first Person;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amount of such Indebtedness will be the lesser of (a) the fair market value of such assets at such date of determination and (b) the amount of such Indebtedness of such other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notwithstanding the foregoing, Indebtedness shall be deemed not to include (A) Contingent Obligations incurred in the ordinary course of business, (B) accrued expenses and royalties, (C) obligations under or in respect of operating leases or Sale and Lease-Back Transactions (except any resulting Capitalized Lease Obligations) and Permitted Receivables Financing or (D) asset retirement obligations and obligations in respect of performance bonds, reclamation and workers’ compensation (including pensions and retiree medical care) that are not overdue by more than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and as it may from time to time be supplemented or amended by one or more indentures supplemental hereto entered into pursuant to the applicable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Independent Financial Advisor</w:t>
      </w:r>
      <w:r>
        <w:rPr>
          <w:rFonts w:ascii="Times New Roman;Times;Serif" w:hAnsi="Times New Roman;Times;Serif"/>
          <w:b w:val="false"/>
          <w:i w:val="false"/>
          <w:caps w:val="false"/>
          <w:smallCaps w:val="false"/>
          <w:sz w:val="20"/>
        </w:rPr>
        <w:t>” means an accounting, appraisal, investment banking firm or consultant to Persons engaged in Similar Businesses of nationally recognized standing that is, in the good faith judgment of the Issuer, qualified to perform the task for which it has been engaged.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Initial Notes</w:t>
      </w:r>
      <w:r>
        <w:rPr>
          <w:rFonts w:ascii="Times New Roman;Times;Serif" w:hAnsi="Times New Roman;Times;Serif"/>
          <w:b w:val="false"/>
          <w:i w:val="false"/>
          <w:caps w:val="false"/>
          <w:smallCaps w:val="false"/>
          <w:sz w:val="20"/>
        </w:rPr>
        <w:t>” has the meaning set forth in the first recital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Intercreditor Agreements</w:t>
      </w:r>
      <w:r>
        <w:rPr>
          <w:rFonts w:ascii="Times New Roman;Times;Serif" w:hAnsi="Times New Roman;Times;Serif"/>
          <w:b w:val="false"/>
          <w:i w:val="false"/>
          <w:caps w:val="false"/>
          <w:smallCaps w:val="false"/>
          <w:sz w:val="20"/>
        </w:rPr>
        <w:t>” means the ABL Intercreditor Agreement, any First Lien Intercreditor Agreement and any Junior Lien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means the Stated Maturity of an installment of interest on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Intermediate Holdcos</w:t>
      </w:r>
      <w:r>
        <w:rPr>
          <w:rFonts w:ascii="Times New Roman;Times;Serif" w:hAnsi="Times New Roman;Times;Serif"/>
          <w:b w:val="false"/>
          <w:i w:val="false"/>
          <w:caps w:val="false"/>
          <w:smallCaps w:val="false"/>
          <w:sz w:val="20"/>
        </w:rPr>
        <w:t>” means Associated Investors L.L.C., Academy Managing Co., L.L.C. and any other Subsidiary of Holdings that is required to guarantee the notes under Section 10.15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Investment Grade Rating</w:t>
      </w:r>
      <w:r>
        <w:rPr>
          <w:rFonts w:ascii="Times New Roman;Times;Serif" w:hAnsi="Times New Roman;Times;Serif"/>
          <w:b w:val="false"/>
          <w:i w:val="false"/>
          <w:caps w:val="false"/>
          <w:smallCaps w:val="false"/>
          <w:sz w:val="20"/>
        </w:rPr>
        <w:t>” means a rating equal to or higher than (w) Baa3 (or the equivalent), with respect to Moody’s, (x) BBB- (or the equivalent) with respect to S&amp;P, or (y) BBB- (or the equivalent), with respect to Fitch, or (z) an equivalent rating by any other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Investment Grade Securities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securities issued or directly and fully guaranteed or insured by the U.S. government or any agency or instrumentality thereof (other than Cash Equivalents),</w:t>
      </w:r>
    </w:p>
    <w:p>
      <w:pPr>
        <w:pStyle w:val="TextBody"/>
        <w:bidi w:val="0"/>
        <w:spacing w:before="0" w:after="0"/>
        <w:ind w:left="720" w:right="0" w:firstLine="540"/>
        <w:jc w:val="both"/>
        <w:rPr>
          <w:caps w:val="false"/>
          <w:smallCaps w:val="false"/>
        </w:rPr>
      </w:pPr>
      <w:r>
        <w:rPr>
          <w:caps w:val="false"/>
          <w:smallCaps w:val="false"/>
        </w:rPr>
        <w:t> </w:t>
      </w:r>
    </w:p>
    <w:p>
      <w:pPr>
        <w:pStyle w:val="TextBody"/>
        <w:bidi w:val="0"/>
        <w:spacing w:before="0" w:after="0"/>
        <w:ind w:left="72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debt securities or debt instruments with an Investment Grade Rating, but excluding any debt securities or instruments constituting loans or advances among the Issuer and its Subsidiaries,</w:t>
      </w:r>
    </w:p>
    <w:p>
      <w:pPr>
        <w:pStyle w:val="TextBody"/>
        <w:bidi w:val="0"/>
        <w:spacing w:before="0" w:after="0"/>
        <w:ind w:left="720" w:right="0" w:firstLine="540"/>
        <w:jc w:val="both"/>
        <w:rPr>
          <w:caps w:val="false"/>
          <w:smallCaps w:val="false"/>
        </w:rPr>
      </w:pPr>
      <w:r>
        <w:rPr>
          <w:caps w:val="false"/>
          <w:smallCaps w:val="false"/>
        </w:rPr>
        <w:t> </w:t>
      </w:r>
    </w:p>
    <w:p>
      <w:pPr>
        <w:pStyle w:val="TextBody"/>
        <w:bidi w:val="0"/>
        <w:spacing w:before="0" w:after="0"/>
        <w:ind w:left="72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investments in any fund that invests at least 90% of its assets in investments of the type described in clauses (1) and (2) above, which fund may also hold immaterial amounts of cash pending investment or distribution, and</w:t>
      </w:r>
    </w:p>
    <w:p>
      <w:pPr>
        <w:pStyle w:val="TextBody"/>
        <w:bidi w:val="0"/>
        <w:spacing w:before="0" w:after="0"/>
        <w:ind w:left="720" w:right="0" w:firstLine="540"/>
        <w:jc w:val="both"/>
        <w:rPr>
          <w:caps w:val="false"/>
          <w:smallCaps w:val="false"/>
        </w:rPr>
      </w:pPr>
      <w:r>
        <w:rPr>
          <w:caps w:val="false"/>
          <w:smallCaps w:val="false"/>
        </w:rPr>
        <w:t> </w:t>
      </w:r>
    </w:p>
    <w:p>
      <w:pPr>
        <w:pStyle w:val="TextBody"/>
        <w:bidi w:val="0"/>
        <w:spacing w:before="0" w:after="0"/>
        <w:ind w:left="72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corresponding instruments in countries other than the United States customarily utilized for high-quality investments.</w:t>
      </w:r>
    </w:p>
    <w:p>
      <w:pPr>
        <w:pStyle w:val="TextBody"/>
        <w:bidi w:val="0"/>
        <w:spacing w:before="0" w:after="0"/>
        <w:ind w:left="720" w:right="0" w:firstLine="5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Investments</w:t>
      </w:r>
      <w:r>
        <w:rPr>
          <w:rFonts w:ascii="Times New Roman;Times;Serif" w:hAnsi="Times New Roman;Times;Serif"/>
          <w:b w:val="false"/>
          <w:i w:val="false"/>
          <w:caps w:val="false"/>
          <w:smallCaps w:val="false"/>
          <w:sz w:val="20"/>
        </w:rPr>
        <w:t xml:space="preserve">” means, with respect to any Person, all investments by such Person in other Persons (including Affiliates) in the form of loans (including guarantees), advances or capital contributions (excluding accounts receivable, trade credit, advances to customers, commission, moving, entertainment, travel and similar expenses and advances to officers, directors, managers, employees and consultants, in each case made in the ordinary course of business or consistent with past practice), purchases or other acquisitions for consideration of Indebtedness, Equity Interests or other securities issued by any other Person and investments that are required by GAAP to be classified on the balance sheet (excluding the footnotes) of the Issuer in the same manner as the other investments included in this definition to the extent such transactions involve the transfer of cash or other property;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Investments shall not include, in the case of the Issuer and its Restricted Subsidiaries, intercompany loans (including guarantees), advances or Indebtedness either (i) having a term not exceeding 364 days (inclusive of any roll-over or extensions of terms) and made in the ordinary course of business or (ii) arising from cash management, tax and/or accounting operations. For purposes of the definition of “Unrestricted Subsidiary” and Section 10.10: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“Investments” shall include the portion (proportionate to the Issuer’s equity interest in such Subsidiary) of the fair market value of the net assets of a Subsidiary of the Issuer at the time that such Subsidiary is designated an Unrestricted Subsidiary;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upon a redesignation of such Subsidiary as a Restricted Subsidiary, the Issuer shall be deemed to continue to have a permanent “Investment” in an Unrestricted Subsidiary in an amount (if positive) equal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Issuer’s “Investment” in such Subsidiary at the time of such redesignation; less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portion (proportionate to the Issuer’s equity interest in such Subsidiary) of the fair market value of the net assets of such Subsidiary at the time of such redesignation;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property transferred to or from an Unrestricted Subsidiary shall be valued at its fair market value at the time of such transfer, in each case as determined by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Investment outstanding at any time shall be the original cost of such Investment, reduced by any dividend, distribution, interest payment, return of capital, repayment or other amount received in cash or Cash Equivalents by the Issuer or a Restricted Subsidiary in respect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Issue Date</w:t>
      </w:r>
      <w:r>
        <w:rPr>
          <w:rFonts w:ascii="Times New Roman;Times;Serif" w:hAnsi="Times New Roman;Times;Serif"/>
          <w:b w:val="false"/>
          <w:i w:val="false"/>
          <w:caps w:val="false"/>
          <w:smallCaps w:val="false"/>
          <w:sz w:val="20"/>
        </w:rPr>
        <w:t>” means May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Issuer</w:t>
      </w:r>
      <w:r>
        <w:rPr>
          <w:rFonts w:ascii="Times New Roman;Times;Serif" w:hAnsi="Times New Roman;Times;Serif"/>
          <w:b w:val="false"/>
          <w:i w:val="false"/>
          <w:caps w:val="false"/>
          <w:smallCaps w:val="false"/>
          <w:sz w:val="20"/>
        </w:rPr>
        <w:t>” means Academy, Ltd. and not any of its Parent Entities or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Issuer Request</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Issuer Order</w:t>
      </w:r>
      <w:r>
        <w:rPr>
          <w:rFonts w:ascii="Times New Roman;Times;Serif" w:hAnsi="Times New Roman;Times;Serif"/>
          <w:b w:val="false"/>
          <w:i w:val="false"/>
          <w:caps w:val="false"/>
          <w:smallCaps w:val="false"/>
          <w:sz w:val="20"/>
        </w:rPr>
        <w:t>” means a written request or order signed in the name of the Issuer by an Officer thereof,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w:t>
      </w:r>
      <w:r>
        <w:rPr>
          <w:rFonts w:ascii="Times New Roman;Times;Serif" w:hAnsi="Times New Roman;Times;Serif"/>
          <w:b w:val="false"/>
          <w:i w:val="false"/>
          <w:caps w:val="false"/>
          <w:smallCaps w:val="false"/>
          <w:sz w:val="20"/>
        </w:rPr>
        <w:t>” means a Lien, junior to the Liens on the Collateral securing both any ABL Obligations and Pari Passu Secured Obligations pursuant to the Junior Lien Intercreditor Agreement, granted by the Issuer or any Guarantor to secure Junior Lien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 Documents</w:t>
      </w:r>
      <w:r>
        <w:rPr>
          <w:rFonts w:ascii="Times New Roman;Times;Serif" w:hAnsi="Times New Roman;Times;Serif"/>
          <w:b w:val="false"/>
          <w:i w:val="false"/>
          <w:caps w:val="false"/>
          <w:smallCaps w:val="false"/>
          <w:sz w:val="20"/>
        </w:rPr>
        <w:t>” means, collectively, any indenture, note, security document and each of the other agreements, documents and instruments providing for or evidencing any Junior Lien Obligations, and any other document or instrument executed or delivered at any time in connection with any Junior Lien Obligations, to the extent such are effective at the relevant time, in each case as each may be amended, restated, supplemented, modified, renewed, extended or refinanced in whole or in part from time to time, and any other credit agreement, indenture or other agreement, document or instrument evidencing, governing, relating to or securing any Junior Lien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 Indebtedness</w:t>
      </w:r>
      <w:r>
        <w:rPr>
          <w:rFonts w:ascii="Times New Roman;Times;Serif" w:hAnsi="Times New Roman;Times;Serif"/>
          <w:b w:val="false"/>
          <w:i w:val="false"/>
          <w:caps w:val="false"/>
          <w:smallCaps w:val="false"/>
          <w:sz w:val="20"/>
        </w:rPr>
        <w:t xml:space="preserve">” means any Indebtedness (other than intercompany Indebtedness owing to Holdings or its Affiliates) of the Issuer or any Guarantor (including any Refinancing Indebtedness in respect thereof) that is secured by a Junior Lien pursuant to a Permitted Lien;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Indebtedness referred to in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Indebtedness does not mature and does not have any mandatory or scheduled payments or sinking fund obligations prior to the Stated Maturity of the Notes (except as a result of a customary change of control or asset sale repurchase offer provisions);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or before the date on which the first such Indebtedness is incurred by the Issuer or any Guarantor, the Issuer shall deliver to each Pari Passu Notes Lien Representative and ABL Representative complete copies of each applicable Junior Lien Document (which shall provide that each secured party with respect to such Indebtedness shall be subject to and bound by the Junior Lien Intercreditor Agreement), along with an Officer’s Certificate certifying as to such Junior Lien Documents and identifying the obligations constituting Junior Lien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 or before the date on which any such Indebtedness is incurred by the Issuer or any Guarantor, such Indebtedness is designated by the Issuer, in an Officer’s Certificate delivered to the Junior Lien Representative and each Pari Passu Notes Lien Representative and ABL Representative, as “Junior Lien Indebtedness”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Junior Lien Representative is designated with respect to such Indebtedness and executes and delivers the Junior Lien Intercreditor Agreement (including, as applicable, a joinder thereto) on behalf of itself and all holders of such Indebtedness;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all other requirements set forth in the Junior Lien Intercreditor Agreement as to the confirmation, grant or perfection of the Liens of the holders of Junior Lien Indebtedness to secure such Indebtedness or Obligations in respect thereof are satisfied.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 Intercreditor Agreement</w:t>
      </w:r>
      <w:r>
        <w:rPr>
          <w:rFonts w:ascii="Times New Roman;Times;Serif" w:hAnsi="Times New Roman;Times;Serif"/>
          <w:b w:val="false"/>
          <w:i w:val="false"/>
          <w:caps w:val="false"/>
          <w:smallCaps w:val="false"/>
          <w:sz w:val="20"/>
        </w:rPr>
        <w:t>” means an intercreditor agreement which subordinates the Lien on the Collateral of the holders of the Junior Lien Indebtedness to the Lien on the Collateral of each of the holders of ABL Obligations and Pari Passu ABL Lien Indebtedness and the holders of the Pari Passu Secured Obligations and the terms of which are consistent with market terms (in the view of the ABL Collateral Agent and the Notes Collateral Agent or, if the ABL Collateral Agent or the Notes Collateral Agent has been replaced, as applicable, any other agent for the holders of ABL Obligations or Pari Passu Secured Obligations, respectively) governing security arrangements for the subordination and sharing of liens or arrangements relating to the distribution of payments, as applicable, at the time the intercreditor agreement is proposed to be established in light of the type of Indebtedness subject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 Obligations</w:t>
      </w:r>
      <w:r>
        <w:rPr>
          <w:rFonts w:ascii="Times New Roman;Times;Serif" w:hAnsi="Times New Roman;Times;Serif"/>
          <w:b w:val="false"/>
          <w:i w:val="false"/>
          <w:caps w:val="false"/>
          <w:smallCaps w:val="false"/>
          <w:sz w:val="20"/>
        </w:rPr>
        <w:t>” means Junior Lien Indebtedness and all other Obligations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Junior Lien Representative</w:t>
      </w:r>
      <w:r>
        <w:rPr>
          <w:rFonts w:ascii="Times New Roman;Times;Serif" w:hAnsi="Times New Roman;Times;Serif"/>
          <w:b w:val="false"/>
          <w:i w:val="false"/>
          <w:caps w:val="false"/>
          <w:smallCaps w:val="false"/>
          <w:sz w:val="20"/>
        </w:rPr>
        <w:t>” means in the case of any series of Junior Lien Indebtedness, the trustee, agent or representative of the holders of such series of Junior Lien Indebtedness who is appointed as a representative of the Junior Lien Indebtedness (for purposes related to the administration of security interests) pursuant to the applicable Junior Lien Document governing such series of Junior Lien Indebtedness, together with its successors and assigns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has the meaning specified in Section 13.02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Legal Holiday</w:t>
      </w:r>
      <w:r>
        <w:rPr>
          <w:rFonts w:ascii="Times New Roman;Times;Serif" w:hAnsi="Times New Roman;Times;Serif"/>
          <w:b w:val="false"/>
          <w:i w:val="false"/>
          <w:caps w:val="false"/>
          <w:smallCaps w:val="false"/>
          <w:sz w:val="20"/>
        </w:rPr>
        <w:t>” means a Saturday, a Sunday or a day on which commercial banking institutions are not required or authorized to be open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xml:space="preserve">” means, with respect to any asset, any mortgage, lien (statutory or otherwise), pledge, hypothecation, charge, security interest, preference, priority or encumbrance of any kind in respect of such asset, whether or not filed, recorded, registered, published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 Non-Capitalized Lease Obligation be deemed to constitute a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Limited Condition Transaction</w:t>
      </w:r>
      <w:r>
        <w:rPr>
          <w:rFonts w:ascii="Times New Roman;Times;Serif" w:hAnsi="Times New Roman;Times;Serif"/>
          <w:b w:val="false"/>
          <w:i w:val="false"/>
          <w:caps w:val="false"/>
          <w:smallCaps w:val="false"/>
          <w:sz w:val="20"/>
        </w:rPr>
        <w:t>” means any transaction by the Issuer or one or more of its Restricted Subsidiaries whose consummation is not conditioned upon the availability of, or on obtaining, third party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Management Investors</w:t>
      </w:r>
      <w:r>
        <w:rPr>
          <w:rFonts w:ascii="Times New Roman;Times;Serif" w:hAnsi="Times New Roman;Times;Serif"/>
          <w:b w:val="false"/>
          <w:i w:val="false"/>
          <w:caps w:val="false"/>
          <w:smallCaps w:val="false"/>
          <w:sz w:val="20"/>
        </w:rPr>
        <w:t>” means the former, current or future officers, directors, employees and managers of the Issuer, any Restricted Subsidiary or any Parent Entity of the Issuer who are or become direct or indirect investors in the Issuer, any Parent Entity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Market Capitalization</w:t>
      </w:r>
      <w:r>
        <w:rPr>
          <w:rFonts w:ascii="Times New Roman;Times;Serif" w:hAnsi="Times New Roman;Times;Serif"/>
          <w:b w:val="false"/>
          <w:i w:val="false"/>
          <w:caps w:val="false"/>
          <w:smallCaps w:val="false"/>
          <w:sz w:val="20"/>
        </w:rPr>
        <w:t>” means an amount equal to (i) the total number of issued and outstanding shares of common Equity Interests of the Issuer or any Parent Entity on the date of the declaration of a Restricted Payment permitted pursuant to Section 10.10(b)(8) multiplied by (ii) the arithmetic mean of the closing prices per share of such common Equity Interests on the principal securities exchange on which such common Equity Interests are traded for the 30 consecutive trading days immediately preceding the date of declaration of such Restricted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Subsidiary</w:t>
      </w:r>
      <w:r>
        <w:rPr>
          <w:rFonts w:ascii="Times New Roman;Times;Serif" w:hAnsi="Times New Roman;Times;Serif"/>
          <w:b w:val="false"/>
          <w:i w:val="false"/>
          <w:caps w:val="false"/>
          <w:smallCaps w:val="false"/>
          <w:sz w:val="20"/>
        </w:rPr>
        <w:t>” shall mean, at any date of determination, each Restricted Subsidiary (i) whose total assets at the last day of the Applicable Measurement Period ending on the last day of the most recent fiscal period for which financials have been delivered were equal to or greater than 5.0% of the Consolidated Total Assets of the Issuer and the Restricted Subsidiaries at such date or (ii) whose revenues during such Applicable Measurement Period were equal to or greater than 5.0% of the consolidated revenues of the Issuer and the Restricted Subsidiaries for such period, in each case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Maturity</w:t>
      </w:r>
      <w:r>
        <w:rPr>
          <w:rFonts w:ascii="Times New Roman;Times;Serif" w:hAnsi="Times New Roman;Times;Serif"/>
          <w:b w:val="false"/>
          <w:i w:val="false"/>
          <w:caps w:val="false"/>
          <w:smallCaps w:val="false"/>
          <w:sz w:val="20"/>
        </w:rPr>
        <w:t>” when used with respect to any Note, means the date on which the principal of such Note or an installment of principal becomes due and payable as therein or herein provided, whether at the Stated Maturity or by declaration of acceleration, notice of redemption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Moody’s</w:t>
      </w:r>
      <w:r>
        <w:rPr>
          <w:rFonts w:ascii="Times New Roman;Times;Serif" w:hAnsi="Times New Roman;Times;Serif"/>
          <w:b w:val="false"/>
          <w:i w:val="false"/>
          <w:caps w:val="false"/>
          <w:smallCaps w:val="false"/>
          <w:sz w:val="20"/>
        </w:rPr>
        <w:t>” means Moody’s Investors Service, Inc. and any successor to its rating agency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Mortgaged Property</w:t>
      </w:r>
      <w:r>
        <w:rPr>
          <w:rFonts w:ascii="Times New Roman;Times;Serif" w:hAnsi="Times New Roman;Times;Serif"/>
          <w:b w:val="false"/>
          <w:i w:val="false"/>
          <w:caps w:val="false"/>
          <w:smallCaps w:val="false"/>
          <w:sz w:val="20"/>
        </w:rPr>
        <w:t>” shall mean each parcel of real estate and the improvements thereto owned in fee by the Issuer and the Guarantors that are subject to the Liens of the Senior Credit Facilities, and each other owned parcel of real property and improvements thereto with respect to which a mortgage is granted pursuant to the Senior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Income</w:t>
      </w:r>
      <w:r>
        <w:rPr>
          <w:rFonts w:ascii="Times New Roman;Times;Serif" w:hAnsi="Times New Roman;Times;Serif"/>
          <w:b w:val="false"/>
          <w:i w:val="false"/>
          <w:caps w:val="false"/>
          <w:smallCaps w:val="false"/>
          <w:sz w:val="20"/>
        </w:rPr>
        <w:t>” means, with respect to any Person, the net income (loss) attributable to such Person and its Restricted Subsidiaries, determined on a consolidated basis in accordance with GAAP and before any reduction in respect of Preferred Stock (other than Disqualified Stock)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Proceeds</w:t>
      </w:r>
      <w:r>
        <w:rPr>
          <w:rFonts w:ascii="Times New Roman;Times;Serif" w:hAnsi="Times New Roman;Times;Serif"/>
          <w:b w:val="false"/>
          <w:i w:val="false"/>
          <w:caps w:val="false"/>
          <w:smallCaps w:val="false"/>
          <w:sz w:val="20"/>
        </w:rPr>
        <w:t xml:space="preserve">” means the aggregate cash proceeds and the fair market value of any Cash Equivalents received by the Issuer or any of the Restricted Subsidiaries in respect of any Asset Sale, including any cash or Cash Equivalents received upon the sale or other disposition of any Designated Non-cash Consideration received in any Asset Sale, net of (1) fees, out-of-pocket expenses and other direct costs relating to such Asset Sale and the sale or disposition of such Designated Non-cash Consideration, including, without limitation, legal, accounting, consulting, investment banking and other customary fees, underwriting discounts and commissions, survey costs, title and recordation expenses, title insurance premiums, payments made in order to obtain a necessary consent or required by applicable law and brokerage and sales commissions and any relocation expenses incurred as a result thereof, (2) taxes paid or payable as a result thereof or any transactions occurring or deemed to occur to effectuate a payment under this Indenture (including transfer taxes, deed or mortgage recording taxes and estimated taxes payable in connection with any repatriation of funds and after taking into account any available tax credits or deductions and any tax sharing arrangements), (3) amounts required to be applied to the repayment of principal, premium, if any, and interest on Senior Indebtedness, Indebtedness of any Restricted Subsidiary or Indebtedness secured by a Lien on such assets and in each case required (other than pursuant to Section 10.17(b)(1)) to be paid as a result of such transaction, (4) the pro rata portion of Net Proceeds thereof attributable to minority interests and not available for distribution to or for the account of the Issuer and the Restricted Subsidiaries as a result thereof, (5) any costs associated with unwinding any related Hedging Obligations in connection with such transaction, (6) any deduction of appropriate amounts to be provided by the Issuer or any of its Restricted Subsidiaries as a reserve in accordance with GAAP against any liabilities associated with the asset disposed of in such transaction and retained by the Issuer or any of the Restricted Subsidiaries after such sale or other disposition thereof, including pension and other post-employment benefit liabilities and liabilities related to environmental matters or against any indemnification obligations associated with such transaction, (7) any portion of the purchase price from an Asset Sale placed in escrow, whether as a reserve for adjustment of the purchase price, for satisfaction of indemnities in respect of such Asset Sale or otherwise in connection with such Asset Sale;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the termination of that escrow (other than in connection with a payment in respect of any such adjustment or satisfaction of indemnities), Net Proceeds will be increased by any portion of funds in the escrow that are released to the Issuer or any of its Restricted Subsidiaries and (8) the amount of any liabilities (other than Indebtedness in respect of the Senior Credit Facilities and the Notes) directly associated with such asset being sold and retained by the Issuer or any of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Net Short</w:t>
      </w:r>
      <w:r>
        <w:rPr>
          <w:rFonts w:ascii="Times New Roman;Times;Serif" w:hAnsi="Times New Roman;Times;Serif"/>
          <w:b w:val="false"/>
          <w:i w:val="false"/>
          <w:caps w:val="false"/>
          <w:smallCaps w:val="false"/>
          <w:sz w:val="20"/>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any Issuer or any Guarantor immediately prior to such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New Project</w:t>
      </w:r>
      <w:r>
        <w:rPr>
          <w:rFonts w:ascii="Times New Roman;Times;Serif" w:hAnsi="Times New Roman;Times;Serif"/>
          <w:b w:val="false"/>
          <w:i w:val="false"/>
          <w:caps w:val="false"/>
          <w:smallCaps w:val="false"/>
          <w:sz w:val="20"/>
        </w:rPr>
        <w:t>” means (a) each facility or operating location which is a facility, location, store or office newly created or subject to a letter of intent or purchase agreement and reasonably expected to be acquired by the Issuer or its Subsidiaries, or an expansion, relocation or substantial modernization (including, without limitation, any projected increase in the management, training, administrative support and services ancillary or related thereto) of an existing facility, location, store or office owned by the Issuer or its Subsidiaries and (b) each creation (in one or a series of related transactions) of a business unit to the extent such business unit commences operations or such expansion (in one or a series of related transactions) of business into a new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Non-Capitalized Lease Obligation</w:t>
      </w:r>
      <w:r>
        <w:rPr>
          <w:rFonts w:ascii="Times New Roman;Times;Serif" w:hAnsi="Times New Roman;Times;Serif"/>
          <w:b w:val="false"/>
          <w:i w:val="false"/>
          <w:caps w:val="false"/>
          <w:smallCaps w:val="false"/>
          <w:sz w:val="20"/>
        </w:rPr>
        <w:t>” means a lease obligation that is not required to be accounted for as a financing or capital lease on both the balance sheet and the income statement for financial reporting purposes in accordance with GAAP. For the avoidance of doubt, a straight-line or operating lease shall be considered a Non-Capitalized Lease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 Documents</w:t>
      </w:r>
      <w:r>
        <w:rPr>
          <w:rFonts w:ascii="Times New Roman;Times;Serif" w:hAnsi="Times New Roman;Times;Serif"/>
          <w:b w:val="false"/>
          <w:i w:val="false"/>
          <w:caps w:val="false"/>
          <w:smallCaps w:val="false"/>
          <w:sz w:val="20"/>
        </w:rPr>
        <w:t>” means this Indenture, the Notes, the Guarantees and the Security Documents relating to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 Register</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Note Registrar</w:t>
      </w:r>
      <w:r>
        <w:rPr>
          <w:rFonts w:ascii="Times New Roman;Times;Serif" w:hAnsi="Times New Roman;Times;Serif"/>
          <w:b w:val="false"/>
          <w:i w:val="false"/>
          <w:caps w:val="false"/>
          <w:smallCaps w:val="false"/>
          <w:sz w:val="20"/>
        </w:rPr>
        <w:t>” have the respective meanings specified in Section 3.02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Noteholder Direction</w:t>
      </w:r>
      <w:r>
        <w:rPr>
          <w:rFonts w:ascii="Times New Roman;Times;Serif" w:hAnsi="Times New Roman;Times;Serif"/>
          <w:b w:val="false"/>
          <w:i w:val="false"/>
          <w:caps w:val="false"/>
          <w:smallCaps w:val="false"/>
          <w:sz w:val="20"/>
        </w:rPr>
        <w:t>” has the meaning specified in Section 6.02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 xml:space="preserve">” has the meaning stated in the first recital of this Indenture and more particularly means any Notes authenticated and delivered under this Indenture. The Initial Notes and the Additional Notes shall be treated as a single class for all purposes of this Indenture, and unless the context otherwise requires, all references to the Notes shall include the Initial Notes and any Additional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separate CUSIP or ISIN will be issued for the Additional Notes, unless the Initial Notes and the Additional Notes are treated as fungible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Notes Collateral Agent</w:t>
      </w:r>
      <w:r>
        <w:rPr>
          <w:rFonts w:ascii="Times New Roman;Times;Serif" w:hAnsi="Times New Roman;Times;Serif"/>
          <w:b w:val="false"/>
          <w:i w:val="false"/>
          <w:caps w:val="false"/>
          <w:smallCaps w:val="false"/>
          <w:sz w:val="20"/>
        </w:rPr>
        <w:t>” means U.S. Bank Trust Company, National Association, in its capacity as the collateral agent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Notes Custodian</w:t>
      </w:r>
      <w:r>
        <w:rPr>
          <w:rFonts w:ascii="Times New Roman;Times;Serif" w:hAnsi="Times New Roman;Times;Serif"/>
          <w:b w:val="false"/>
          <w:i w:val="false"/>
          <w:caps w:val="false"/>
          <w:smallCaps w:val="false"/>
          <w:sz w:val="20"/>
        </w:rPr>
        <w:t>” means the custodian with respect to a Global Note (as appointed by the Depository) or any successor person thereto, who shall initially be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Notes Obligations</w:t>
      </w:r>
      <w:r>
        <w:rPr>
          <w:rFonts w:ascii="Times New Roman;Times;Serif" w:hAnsi="Times New Roman;Times;Serif"/>
          <w:b w:val="false"/>
          <w:i w:val="false"/>
          <w:caps w:val="false"/>
          <w:smallCaps w:val="false"/>
          <w:sz w:val="20"/>
        </w:rPr>
        <w:t>” means Obligations in respect of the Note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Notes Secured Parties</w:t>
      </w:r>
      <w:r>
        <w:rPr>
          <w:rFonts w:ascii="Times New Roman;Times;Serif" w:hAnsi="Times New Roman;Times;Serif"/>
          <w:b w:val="false"/>
          <w:i w:val="false"/>
          <w:caps w:val="false"/>
          <w:smallCaps w:val="false"/>
          <w:sz w:val="20"/>
        </w:rPr>
        <w:t>” means the Trustee, the Notes Collateral Agent and the Holders and any agent or any subagent appointed by the Trustee or the Notes Collateral Agent pursuant to any Security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Obligations</w:t>
      </w:r>
      <w:r>
        <w:rPr>
          <w:rFonts w:ascii="Times New Roman;Times;Serif" w:hAnsi="Times New Roman;Times;Serif"/>
          <w:b w:val="false"/>
          <w:i w:val="false"/>
          <w:caps w:val="false"/>
          <w:smallCaps w:val="false"/>
          <w:sz w:val="20"/>
        </w:rPr>
        <w:t xml:space="preserve">” means any principal, interest (including any interest accruing on or subsequent to the filing of a petition in bankruptcy, reorganization or similar proceeding at the rate provided for in the documentation with respect thereto, whether or not such interest is an allowed claim under applicable state, provincial, federal or foreign law), premium, penalties, fees, expenses, costs, indemnifications, reimbursements (including reimbursement obligations with respect to letters of credit and bankers’ acceptances), damages and other liabilities, and guarantees of payment of such principal, interest, premium, penalties, fees, indemnifications, reimbursements, damages and other liabilities, payable under the documentation governing any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of the foregoing (other than principal and interest) shall no longer constitute “Obligations” after payment in full of such principal and interest except to the extent such obligations are fully liquidated and non-contingent on or prior to such payment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Offering Memorandum</w:t>
      </w:r>
      <w:r>
        <w:rPr>
          <w:rFonts w:ascii="Times New Roman;Times;Serif" w:hAnsi="Times New Roman;Times;Serif"/>
          <w:b w:val="false"/>
          <w:i w:val="false"/>
          <w:caps w:val="false"/>
          <w:smallCaps w:val="false"/>
          <w:sz w:val="20"/>
        </w:rPr>
        <w:t>” means the Offering Memorandum dated May 4, 2026 relating to the offering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means the Chairman of the Board, any Manager or Director, the Chief Executive Officer, the Chief Financial Officer, the Chief Operating Officer, the President, any Executive Vice President, Senior Vice President, Vice President or Assistant Vice President, the Treasurer, the Controller or the Secretary or any other officer designated by any such individuals of the Issuer or any other Person, as the case may be, or in the event that the Issuer or such Person has no such officers, a person duly authorized under applicable law by the managers or members or a similar body to act on behalf of the Issuer or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means a certificate signed on behalf of the Issuer by an Officer of the Issuer or on behalf of any other Person, as the case may be, that meets the requirements set forth in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means a written opinion from legal counsel who is reasonably acceptable to the Trustee (which opinion may be subject to customary assumptions and exclusions); such legal counsel may be an employee of or counsel to the Issuer or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Outstanding</w:t>
      </w:r>
      <w:r>
        <w:rPr>
          <w:rFonts w:ascii="Times New Roman;Times;Serif" w:hAnsi="Times New Roman;Times;Serif"/>
          <w:b w:val="false"/>
          <w:i w:val="false"/>
          <w:caps w:val="false"/>
          <w:smallCaps w:val="false"/>
          <w:sz w:val="20"/>
        </w:rPr>
        <w:t>”, when used with respect to Notes, means, as of the date of determination, all Notes theretofore authenticated and delivered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Notes theretofore cancelled by the Trustee or delivered to the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Notes, or portions thereof, for whose payment or redemption money in the necessary amount has been theretofore deposited with the Trustee or any Paying Agent (other than the Issuer) in trust or set aside and segregated in trust by the Issuer (if the Issuer shall act as its own Paying Agent) for the Holders of such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Notes are to be redeemed, written notice of such redemption has been duly given pursuant to this Indenture or provision therefor satisfactory to the Trustee has been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Notes, except to the extent provided in Sections 13.02 and 13.03, with respect to which the Issuer has effected Legal Defeasance or Covenant Defeasance as provided in Article Thirteen;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Notes which have been paid pursuant to Section 3.06 or in exchange for or in lieu of which other Notes have been authenticated and delivered pursuant to this Indenture, other than any such Notes in respect of which there shall have been presented to the Trustee proof satisfactory to it that such Notes are held by a Protected Purchaser in whose hands the Notes are valid obligations of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determining whether the Holders of the requisite principal amount of Outstanding Notes have given any request, demand, authorization, direction, consent, notice or waiver hereunder, Notes owned by the Issuer or its Affiliates shall be disregarded and deemed not to be Outstanding, except that, in determining whether the Trustee shall be protected in making such determination or in relying upon any such request, demand, authorization, direction, notice, consent or waiver, only Notes which a Responsible Officer of the Trustee actually knows to be so owned shall be so disregarded.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Parent Entity</w:t>
      </w:r>
      <w:r>
        <w:rPr>
          <w:rFonts w:ascii="Times New Roman;Times;Serif" w:hAnsi="Times New Roman;Times;Serif"/>
          <w:b w:val="false"/>
          <w:i w:val="false"/>
          <w:caps w:val="false"/>
          <w:smallCaps w:val="false"/>
          <w:sz w:val="20"/>
        </w:rPr>
        <w:t>” means any Person that is a direct or indirect parent company (which may be organized as, among other things, a partnership or a limited liability company), including any general partner, limited partner or managing member ,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Parent Guarantors</w:t>
      </w:r>
      <w:r>
        <w:rPr>
          <w:rFonts w:ascii="Times New Roman;Times;Serif" w:hAnsi="Times New Roman;Times;Serif"/>
          <w:b w:val="false"/>
          <w:i w:val="false"/>
          <w:caps w:val="false"/>
          <w:smallCaps w:val="false"/>
          <w:sz w:val="20"/>
        </w:rPr>
        <w:t>” means each of Holdings and the Intermediate Holdcos.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Pari Passu ABL Lien Indebtedness</w:t>
      </w:r>
      <w:r>
        <w:rPr>
          <w:rFonts w:ascii="Times New Roman;Times;Serif" w:hAnsi="Times New Roman;Times;Serif"/>
          <w:b w:val="false"/>
          <w:i w:val="false"/>
          <w:caps w:val="false"/>
          <w:smallCaps w:val="false"/>
          <w:sz w:val="20"/>
        </w:rPr>
        <w:t xml:space="preserve">” means any Indebtedness that is permitted to have Pari Passu Lien Priority relative to the ABL Obligations with respect to the Collateral and is not secured by any other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an authorized representative of the holders of such Indebtedness shall have executed a joinder to the ABL Intercreditor Agreement in accordance with the terms thereof (or otherwise satisfactory to the ABL Collateral Agent and the Notes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Pari Passu Indebtedness</w:t>
      </w:r>
      <w:r>
        <w:rPr>
          <w:rFonts w:ascii="Times New Roman;Times;Serif" w:hAnsi="Times New Roman;Times;Serif"/>
          <w:b w:val="false"/>
          <w:i w:val="false"/>
          <w:caps w:val="false"/>
          <w:smallCaps w:val="false"/>
          <w:sz w:val="20"/>
        </w:rPr>
        <w:t>” has the meaning specified in Section 10.17(c)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Pari Passu Lien Priority</w:t>
      </w:r>
      <w:r>
        <w:rPr>
          <w:rFonts w:ascii="Times New Roman;Times;Serif" w:hAnsi="Times New Roman;Times;Serif"/>
          <w:b w:val="false"/>
          <w:i w:val="false"/>
          <w:caps w:val="false"/>
          <w:smallCaps w:val="false"/>
          <w:sz w:val="20"/>
        </w:rPr>
        <w:t>” means relative to specified Indebtedness and other obligations having equal Lien priority to (i) the Notes and the Guarantees on the Collateral, (ii) a Term Loan Facility on the Collateral or (iii) the ABL Credit Agreement on the Collateral,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Pari Passu Notes Lien Indebtedness</w:t>
      </w:r>
      <w:r>
        <w:rPr>
          <w:rFonts w:ascii="Times New Roman;Times;Serif" w:hAnsi="Times New Roman;Times;Serif"/>
          <w:b w:val="false"/>
          <w:i w:val="false"/>
          <w:caps w:val="false"/>
          <w:smallCaps w:val="false"/>
          <w:sz w:val="20"/>
        </w:rPr>
        <w:t xml:space="preserve">” means (i) any Additional Notes and (ii) any other Indebtedness that has a stated maturity date that is equal to or longer than the stated maturity date of the Notes and that is permitted to have Pari Passu Lien Priority relative to the Notes and the Guarantees with respect to the Collateral and is not secured by any other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an authorized representative of the holders of such Indebtedness (other than any Additional Notes) shall have executed a First Lien Intercreditor Agreement (or otherwise satisfactory to the ABL Collateral Agent and the Notes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Pari Passu Notes Lien Representative</w:t>
      </w:r>
      <w:r>
        <w:rPr>
          <w:rFonts w:ascii="Times New Roman;Times;Serif" w:hAnsi="Times New Roman;Times;Serif"/>
          <w:b w:val="false"/>
          <w:i w:val="false"/>
          <w:caps w:val="false"/>
          <w:smallCaps w:val="false"/>
          <w:sz w:val="20"/>
        </w:rPr>
        <w:t>” means (i) the Notes Collateral Agent, in the case of this Indenture and the Notes, and (ii) in the case of any other series of Pari Passu Notes Lien Indebtedness, the trustee, agent or representative of the holders of such series of Pari Passu Notes Lien Indebtedness who is appointed as a representative of such series of Pari Passu Notes Lien Indebtedness (for purposes related to the administration of the applicable security documents related thereto) pursuant to this Indenture, credit agreement or other agreement governing such series of Pari Passu Notes Lien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Pari Passu Secured Obligations</w:t>
      </w:r>
      <w:r>
        <w:rPr>
          <w:rFonts w:ascii="Times New Roman;Times;Serif" w:hAnsi="Times New Roman;Times;Serif"/>
          <w:b w:val="false"/>
          <w:i w:val="false"/>
          <w:caps w:val="false"/>
          <w:smallCaps w:val="false"/>
          <w:sz w:val="20"/>
        </w:rPr>
        <w:t>” means (i) all Obligations under this Indenture and the Notes and (ii) all Pari Passu Notes Lien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Paying Agent</w:t>
      </w:r>
      <w:r>
        <w:rPr>
          <w:rFonts w:ascii="Times New Roman;Times;Serif" w:hAnsi="Times New Roman;Times;Serif"/>
          <w:b w:val="false"/>
          <w:i w:val="false"/>
          <w:caps w:val="false"/>
          <w:smallCaps w:val="false"/>
          <w:sz w:val="20"/>
        </w:rPr>
        <w:t>” means any Person (including the Issuer acting as Paying Agent) authorized by the Issuer to pay the principal of (and premium, if any) or interest on any Notes on behalf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Performance References</w:t>
      </w:r>
      <w:r>
        <w:rPr>
          <w:rFonts w:ascii="Times New Roman;Times;Serif" w:hAnsi="Times New Roman;Times;Serif"/>
          <w:b w:val="false"/>
          <w:i w:val="false"/>
          <w:caps w:val="false"/>
          <w:smallCaps w:val="false"/>
          <w:sz w:val="20"/>
        </w:rPr>
        <w:t>” has the meaning set forth for such term in the definition of “Derivative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Asset Swap</w:t>
      </w:r>
      <w:r>
        <w:rPr>
          <w:rFonts w:ascii="Times New Roman;Times;Serif" w:hAnsi="Times New Roman;Times;Serif"/>
          <w:b w:val="false"/>
          <w:i w:val="false"/>
          <w:caps w:val="false"/>
          <w:smallCaps w:val="false"/>
          <w:sz w:val="20"/>
        </w:rPr>
        <w:t xml:space="preserve">” means the substantially concurrent purchase and sale or exchange, including as a deposit for future purchases, of Related Business Assets or a combination of Related Business Assets and cash or Cash Equivalents between the Issuer or any of its Restricted Subsidiaries and another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cash or Cash Equivalents received must be applied in accordance with Section 10.17.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Holders</w:t>
      </w:r>
      <w:r>
        <w:rPr>
          <w:rFonts w:ascii="Times New Roman;Times;Serif" w:hAnsi="Times New Roman;Times;Serif"/>
          <w:b w:val="false"/>
          <w:i w:val="false"/>
          <w:caps w:val="false"/>
          <w:smallCaps w:val="false"/>
          <w:sz w:val="20"/>
        </w:rPr>
        <w:t xml:space="preserve">” means (1)  the Management Investors, any Permitted Parent and any group (within the meaning of Section 13(d)(3) or Section 14(d)(2) of the Exchange Act) of which any of the foregoing or any Permitted Holder specified in the last sentence of this definition are members;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 the case of such group and without giving effect to the existence of such group or any other group, such Management Investors, Permitted Parent and any Person or group specified in the last sentence of this definition, collectively, own, directly or indirectly, more than 50% of the total voting power of the Voting Stock entitled to vote for the election of directors of ASO having a majority of the aggregate votes on the Board of ASO held by such group and (2) any Permitted Plan. Any Person or group (within the meaning of Section 13(d)(3) or Section 14(d)(2) of the Exchange Act) whose acquisition of beneficial ownership constitutes a Change of Control in respect of which a Change of Control Offer is made in accordance with the requirements of this Indenture will thereafter, together with its Affiliates, constitute an additional Permitted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Investments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Investment in the Issuer or any of its Restricted Subsidiaries (including guarantees of obligations of its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Investment in cash and Cash Equivalents or Investment Grade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Investment by the Issuer or any of its Restricted Subsidiaries in a Person (including, to the extent constituting an Investment, in assets of a Person that represent substantially all of its assets or a division, business unit, product line or line of business, including research and development and related assets in respect of any product) that is engaged directly or through entities that will be Restricted Subsidiaries in a Similar Business if as a result of such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Person becomes a Restricted Subsidiary;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Person, in one transaction or a series of related transactions, is merged, amalgamated or consolidated with or into, or transfers or conveys substantially all of its assets (or such division, business unit, product line or line of business) to, or is liquidated into, the Issuer or a Restricted Subsidiary, </w:t>
      </w:r>
    </w:p>
    <w:p>
      <w:pPr>
        <w:pStyle w:val="TextBody"/>
        <w:bidi w:val="0"/>
        <w:spacing w:before="0" w:after="0"/>
        <w:ind w:left="1440" w:right="0" w:firstLine="720"/>
        <w:jc w:val="both"/>
        <w:rPr/>
      </w:pPr>
      <w:r>
        <w:rPr/>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in each case, any Investment held by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Investment was not acquired by such Person in contemplation of such acquisition, merger, amalgamation, consolidation, transfer or conveyance;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200" w:after="20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Investment in securities or other assets (including earn-outs) not constituting cash, Cash Equivalents or Investment Grade Securities and received in connection with an Asset Sale made pursuant to Section 10.17 or any other disposition of assets not constituting an Asset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any Investment existing on the Issue Date or made pursuant to binding commitments in effect on the Issue Date or an Investment consisting of any extension, modification, replacement, reinvestment or renewal of any such Investment existing on the Issue Date or binding commitment in effect on the Issue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any such Investment may be increased in such extension, modification, replacement, reinvestment or renewal only (a) as required by the terms of such Investment or binding commitment as in existence on the Issue Date (including as a result of the accrual or accretion of interest or original issue discount or the issuance of pay-in-kind securities) or (b) as otherwise permitted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Investment acquired by the Issuer or any of its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exchange for any other Investment or accounts receivable, endorsements for collection or deposit held by the Issuer or any Restricted Subsidiary in connection with or as a result of a bankruptcy, workout, reorganization or recapitalization of the issuer of such other Investment or accounts receivable;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satisfaction of judgments against other Persons;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a result of a foreclosure by the Issuer or any of its Restricted Subsidiaries with respect to any secured Investment or other transfer of title with respect to any secured Investment in default;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received in compromise or resolution of (A) obligations of trade creditors, suppliers or customers that were incurred in the ordinary course of business of the Issuer or any Restricted Subsidiary or consistent with past practice, including pursuant to any plan of reorganization or similar arrangement upon the bankruptcy or insolvency of any trade creditor, supplier or customer, or (B) litigation, arbitration or other disputes;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Hedging Obligations permitted under Section 10.11(b)(10);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any Investment (a) in a Similar Business having an aggregate fair market value, taken together with all other Investments made pursuant to this clause (8) that are at that time outstanding, not to exceed the greater of (a) $235.0 million and (b) 35.0% of Consolidated EBITDA of the Issuer for the Applicable Measurement Period at the time of such Investment (in each case, determined on the date such Investment is made, with the fair market value of each Investment being measured at the time made and without giving effect to subsequent changes in value) and (b) without duplication with clause (a), in an amount equal to the net cash proceeds from any sale or disposition of, or any distribution in respect of, Investments acquired after the Issue Date, to the extent the acquisition of such Investments was financed in reliance on clause (a)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will not increase the amount available for Restricted Payments under Section 10.10(a)(2);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Investment pursuant to this clause (8)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Investments the payment for which consists of Equity Interests (exclusive of Disqualified Stock) of the Issuer or any Parent Entity or any Unrestricted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Equity Interests will not increase the amount available for Restricted Payments under Section 10.10(a)(2);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guarantees of Indebtedness permitted under the covenant described in Section 10.11, performance guarantees and Contingent Obligations incurred in the ordinary course of business or consistent with past practice and the creation of Liens on the assets of the Issuer or any Restricted Subsidiary in compliance with the covenant described under Section 10.12;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transaction to the extent it constitutes an Investment that is permitted by and made in accordance with Section 10.13(b) (except transactions described in Section 10.13(b)(2), (5) and (9));</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Investments consisting of purchases and acquisitions of inventory, supplies, material or equipment or other similar assets, or the licensing or contribution of intellectual property pursuant to joint marketing arrangements with other Persons;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additional Investments (a) having an aggregate fair market value, taken together with all other Investments made pursuant to this clause (13) that are at that time outstanding (without giving effect to the sale of an Unrestricted Subsidiary to the extent the proceeds of such sale do not consist of cash or marketable securities), not to exceed the greater of (x) $340.0 million and (y) 50.0% of Consolidated EBITDA of the Issuer for the Applicable Measurement Period at the time of such Investment (with the fair market value of each Investment being measured at the time made and without giving effect to subsequent changes in value) and (b) without duplication with clause (a), in an amount equal to the net cash proceeds from any sale or disposition of, or any distribution in respect of, Investments acquired after the Issue Date, to the extent the acquisition of such Investments was financed in reliance on clause (a)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will not increase the amount available for Restricted Payments under Section 10.10(a)(2);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Investment pursuant to this clause (13) is made in any Person that is not a Restricted Subsidiary at the date of the making of such Investment and such Person becomes a Restricted Subsidiary after such date, such Investment shall thereafter be deemed to have been made pursuant to clause (1) above and shall cease to have been made pursuant to this clause (13);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Investments in Receivables Subsidiaries in the form of assets required in connection with a Permitted Receivables Financing (including the contribution or lending of Cash Equivalents to Subsidiaries to finance the purchase of such assets from the Issuer or any Restricted Subsidiary or to otherwise fund required reserves);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loans and advances to, or guarantees of Indebtedness of, officers, directors, managers, employees and consultants not in excess of the greater of (x) $35.0 million and (y) 5.0% of Consolidated EBITDA of the Issuer for the Applicable Measurement Period outstanding at any one time,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loans and advances to, or guarantees of Indebtedness of, officers, directors, managers, employees and consultants for business-related travel expenses, moving or relocation expenses, payroll advances and other analogous or similar expenses or payroll expenses, in each case incurred in the ordinary course of business or consistent with past practice, or to fund such Person’s purchase of Equity Interests of the Issuer, any Restricted Subsidiary or any Parent Entity;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advances, loans or extensions of trade credit (including the creation of receivables) or prepayments to customers, suppliers, licensors, licensees or lessors or loans or advances made to distributors, and performance guarantees, in each case in the ordinary course of business or consistent with past practice by the Issuer or any of its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Investments consisting of purchases and acquisitions of assets or services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repurchases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Investments in the ordinary course of business or consistent with past practice consisting of Uniform Commercial Code Article 3 endorsements for collection or deposit and Article 4 customary trade arrangements with customers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Investments in Unrestricted Subsidiaries (a) having an aggregate fair market value, taken together with all other Investments made pursuant to this clause (21) that are at the time outstanding, without giving effect to the sale of an Unrestricted Subsidiary to the extent the proceeds of such sale do not consist of cash or marketable securities, not to exceed the greater of (x) $150.0 million and (y) 22.5% of Consolidated EBITDA of the Issuer for the Applicable Measurement Period at the time of such Investment (with the fair market value of each Investment being measured at the time made and without giving effect to subsequent changes in value) and (b) without duplication with clause (a), in an amount equal to the net cash proceeds from any sale or disposition of, or any distribution in respect of, Investments acquired after the Issue Date, to the extent the acquisition of such Investments was financed in reliance on clause (a)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will not increase the amount available for Restricted Payments under Section 10.10(a)(2);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any Investment pursuant to this clause (21) is made in any Person that is an Unrestricted Subsidiary at the date of the making of such Investment and such Person becomes a Restricted Subsidiary after such date, such Investment shall thereafter be deemed to have been made pursuant to clause (1) above and shall cease to have been made pursuant to this clause (21);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Investments of assets relating to non-qualified deferred payment plans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any Investment in any Subsidiary or any joint venture in connection with intercompany cash management arrangements or related activities arising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contributions to a “rabbi” trust for the benefit of employees, directors, managers, consultants, independent contractors or other service providers or other grantor trust subject to claims of creditors in the case of a bankruptcy of the Issuer or any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non-cash Investments in connection with tax planning and reorganization activities;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any other Investment;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on a pro forma basis after giving effect to such Investment the Consolidated Total Debt Ratio would be equal to or less than 1.50 to 1.00.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Liens for taxes, assessments or other governmental charges that are not overdue for a period of more than 60 days or not yet payable or subject to penalties for nonpayment or that are being contested in good faith by appropriate actions diligently conducted, if adequate reserves with respect thereto are maintained on the books of the applicable Person in accordance with GAAP, or for property taxes on property the Issuer or one of its Subsidiaries has determined to abandon if the sole recourse for such tax, assessment, charge, levy or claim is to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Liens imposed by law or regulation, such as landlords’, carriers’, warehousemen’s, mechanics’, suppliers’, materialmen’s, repairmen’s, architects’ or construction contractors’ Liens and other similar Liens that secure amounts not overdue for a period of more than 60 days or, if more than 60 days overdue, are unfiled and no other action has been taken to enforce such Liens or that are being contested in good faith by appropriate actions or other Liens arising out of judgments or awards against such Person with respect to which such Person shall then be proceeding with an appeal or other proceeding for review, if adequate reserves with respect thereto are maintained on the books of the applicable Person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incurred or deposits made in the ordinary course of business or consistent with past practice (a) in connection with workers’ compensation, unemployment insurance, employers’ health tax, and other social security or similar legislation or other insurance related obligations (including, but not limited to, in respect of deductibles, self-insured retention amounts and premiums and adjustments thereto) and (b) securing reimbursement or indemnification obligations of (including obligations in respect of letters of credit or bank guarantees or similar instruments for the benefit of) insurance carriers providing property, casualty or liability insurance to such Person or otherwise supporting the payment of items set forth in the foregoing clause (a);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incurred or deposits made to secure the performance of bids, tenders, trade contracts, governmental contracts, leases, public or statutory obligations, surety, indemnity, warranty, release, appeal or similar bonds or with respect to other regulatory requirements, completion guarantees, stays, customs and appeal bonds, performance bonds, bankers’ acceptance facilities and other obligations of a like nature (including those to secure health, safety and environmental obligations), deposits as security for contested taxes or import duties or for payment of rent, performance and return of money bonds and obligations in respect of letters of credit, bank guarantees or similar instruments that have been posted to support the same, incurred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minor survey exceptions, minor encumbrances, easements or reservations of, or rights of others for, rights-of-way, servitudes, sewers, electric lines, drains, telegraph, telephone and cable television lines and other similar purposes, or zoning, building codes or other restrictions (including minor defects and irregularities in title and similar encumbrances) as to the use of real properties or Liens incidental to the conduct of the business of such Person or to the ownership of its properties and other similar charges or encumbrances in respect of real property which were not incurred in connection with Indebtedness and which do not in any case materially interfere with the ordinary conduct of the business of the Issuer and its Restricted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Liens securing, or otherwise arising from, judgments not constituting an Event of Default under Section 5.01(5);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Liens on goods the purchase price of which is financed by a documentary letter of credit issued for the account of the Issuer or any of its Subsidiaries or Liens on bills of lading, drafts or other documents of title arising by operation of law or pursuant to the standard terms of agreements relating to letters of credit, bank guarantees and other similar instruments,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Lien secures only the obligations of the Issuer or such Restricted Subsidiaries in respect of such letter of credit to the extent such obligations are permitted under Section 10.11 and Liens on specific items of inventory or other goods and proceeds of any Person securing such Person’s accounts payable or similar trade obligations in respect of bankers’ acceptances or documentary letters of credit issued or created for the account of such Person to facilitate the purchase, shipment or storage of such inventory or other goods;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rights of set-off, banker’s liens, netting agreements and other Liens arising by operation of law or by the terms of documents of banks or other financial institutions in relation to the maintenance or administration of deposit accounts, securities accounts, cash management arrangements or in connection with the issuance of letters of credit, bank guarantees or other similar instruments;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arising from Uniform Commercial Code financing statements, including precautionary financing statements, or any similar filings made in respect of operating leases or consignments entered into by the Issuer or any of its Restricted Subsidiaries or disposition of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securing Indebtedness permitted to be incurred under Credit Facilities, including any letter of credit facility relating thereto, that was permitted by the terms of this Indenture to be incurred pursuant to Section 10.11(b)(1);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existing on the Issue Date (other than Liens incurred in connection with the Senior Credit Facilities and pursuant to clauses (39) and (40)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Liens securing Indebtedness permitted to be incurred pursuant to Section 10.11(b)(4), (12), (13), (14), (15), (18) and (19);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Liens securing Indebtedness permitted to be incurred pursuant to Section 10.11(b)(4) extend only to the assets purchased with the proceeds of such Indebtedness, accessions to such assets and the proceeds and products thereof, and any lease of such assets (including accessions thereto) and the proceeds and the products thereof;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individual financings of equipment provided by one lender may be cross collateralized to other financings of equipment provided by such lender; (b) Liens securing Indebtedness permitted to be incurred pursuant to Section 10.11(b)(14) shall only be permitted if such Liens (A) are limited to all or part of the same property or assets, including Capital Stock (plus improvements, accessions, proceeds or dividends or distributions in respect thereof, or replacements of any thereof) acquired, or of any Person acquired or merged, amalgamated or consolidated with or into the Issuer or any Restricted Subsidiary, in any transaction to which such Indebtedness relates or (B) after giving pro forma effect to the incurrence or issuance of Indebtedness, Disqualified Stock or Preferred Stock permitted under Section 10.11(b)(14), either (x) in the case of Junior Lien Obligations, the Consolidated Secured Debt Ratio would be no greater than either (i) 2.25 to 1.00 or (ii) the Consolidated Secured Debt Ratio immediately prior to giving effect to such transaction and/or (y) in the case of First Lien Obligations, the Consolidated First Lien Debt Ratio would be no greater than either (i) 2.00 to 1.00 or (ii) the Consolidated First Lien Debt Ratio immediately prior to giving effect to such transaction; (c) Liens securing Obligations relating to any Indebtedness permitted to be incurred pursuant to Section 10.11(b)(13) relate only to Obligations relating to Refinancing Indebtedness that (x) is secured by Liens on the same assets as the assets that secured the Indebtedness being refinanced or (y) extends, replaces, refunds, refinances, renews or defeases Indebtedness incurred or Disqualified Stock or Preferred Stock issued under Section 10.11(b)(3) (solely to the extent such Indebtedness was secured by a Lien prior to such refinancing), (4) or (12) (solely to the extent such Indebtedness was secured by a Lien prior to such refinancing); (d) Liens securing Indebtedness permitted to be incurred pursuant to Section 10.11(b)(18) extend only to the assets of Restricted Subsidiaries that are incurring such Indebtedness; and (e) Liens securing Indebtedness permitted to be incurred pursuant to Section 10.11(b)(19) are solely on acquired property or extend only to the assets of the acquired entity, as the case may be, and the proceeds and products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leases, licenses, subleases or sublicenses granted to others that do not (a) interfere in any material respect with the business of the Issuer and its Restricted Subsidiaries, taken as a whole or (b) secure any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in favor of customs and revenue authorities arising as a matter of law to secure payment of customs duties in connection with the importation of goods;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Liens (a) of a collection bank arising under Section 4-210 of the Uniform Commercial Code or any comparable or successor provision on items in the course of collection, (b) attaching to pooling, commodity trading accounts or other commodity brokerage accounts incurred in the ordinary course of business or consistent with past practice and (c) in favor of a banking or other financial institution or electronic payment service providers arising as a matter of law or under general terms and conditions encumbering deposits (including the right of setoff) and that are within the general parameters customary in the banking or finance industry;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Liens (a)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(including any letter of intent or purchase agreement with respect to such Investment), and (b) consisting of an agreement to sell, transfer, lease or otherwise dispose of any property in a transaction permitted under Section 10.17, in each case, solely to the extent such Investment or sale, disposition, transfer or lease, as the case may be, would have been permitted on the date of the creation of such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Liens existing on property at the time of its acquisition (by a merger, consolidation or amalgamation or otherwise) or existing on the property or shares of stock or other assets of any Person at the time such Person becomes a Subsidiary, in each case after the Issue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such Lien was not created in contemplation of such acquisition (by a merger, consolidation or amalgamation or otherwise) or such Person becoming a Subsidiary, (b) such Lien does not extend to or cover any other assets or property of the Issuer or any Restricted Subsidiary (other than assets and property affixed or appurtenant thereto and the proceeds or products thereof and other than after-acquired property subject to a Lien securing Indebtedness and other obligations incurred prior to such time and which Indebtedness and other obligations are permitted under this Indenture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Section 10.11;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interest or title of a lessor under leases (including leases constituting Non-Capitalized Lease Obligations, but excluding leases constituting Capitalized Lease Obligations) entered into by the Issuer or any of its Restricted Subsidiaries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Liens arising out of conditional sale, title retention, consignment or similar arrangements for sale or purchase of goods by the Issuer or any of its Restricted Subsidiaries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Liens deemed to exist in connection with Investments in repurchase agreements permitted under clause (5) of the definition of “Cash Equivalents;”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Liens that are contractual rights of setoff or rights of pledge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Issuer and its Restricted Subsidiaries or (c) relating to purchase orders and other agreements entered into with customers of the Issuer or any of its Restricted Subsidiaries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ground leases, subleases, licenses or sublicenses in respect of real property on which facilities owned or leased by the Issuer or any of its Restricted Subsidiaries are located;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 Liens on insurance policies and the proceeds thereof securing the financing of the premiums with respect thereto or (b) deposits made or other security provided to secure liabilities to insurance carriers under insurance or self-insurance arrangements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Liens on cash and Permitted Investments used to satisfy or discharge Indebtedness; provided such satisfaction or discharge is permitted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Liens on receivables and related assets incurred in connection with Permitted Receivables Financings;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receipt of progress payments and advances from customers in the ordinary course of business or consistent with past practice to the extent the same creates a Lien on the related inventory and proceeds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Liens securing Hedging Obligations and the costs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Liens securing Obligations relating to any Indebtedness or other obligations of a Restricted Subsidiary owing to the Issuer or another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Liens in favor of the Issuer or any Guarantor or the Trustee or the Notes Collateral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Liens on vehicles or equipment of the Issuer or any of its Restricted Subsidiaries granted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Liens to secure any modification, refinancing, refunding, restatement, exchange, extension, renewal or replacement (or successive refinancing, refunding, restatement, exchange, extensions, renewals or replacements) as a whole, or in part, of any Indebtedness secured by any Lien referred to in clauses (11), (12), (16), (17), (34), (38) and (39) of this definition;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such new Lien shall be limited to all or part of the same property that secured the original Lien (plus accessions, additions and improvements on such property, including after-acquired property that is (i) affixed or incorporated into the property covered by such Lien, (ii) after-acquired property subject to a Lien securing such Indebtedness,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and (b) the Indebtedness secured by such Lien at such time is not increased to any amount greater than the sum of (x) the outstanding principal amount or, if greater, committed amount of the Indebtedness described under clauses (11), (12), (16), (17), (34), (38) and (39) of this definition at the time the original Lien became a Permitted Lien under this Indenture, and (y) an amount necessary to pay accrued but unpaid interest on such Indebtedness and any dividend, premium (including tender premiums), defeasance costs, underwriting discounts and any fees, costs and expenses (including original issue discount, upfront fees or similar fees) incurred in connection with such modification, refinancing, refunding, extension, renewal or replacement;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other Liens securing Indebtedness (including Capitalized Lease Obligations) in an aggregate principal amount not to exceed the greater of (x) $340.0 million and (y) 50.0% of Consolidated EBITDA of the Issuer for the Applicable Measurement Period at any one time outstanding, with the amount determined on the dates of incurrence of such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Liens incurred to secure Obligations in respect of any Indebtedness permitted to be incurred pursuant to the covenant described above under Section 10.11;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Liens securing Obligations permitted under this clause (34), at the time of incurrence of such Obligations and after giving pro forma effect thereto, (i) in the case of Junior Lien Obligations, the Consolidated Secured Debt Ratio would be no greater than 2.25 to 1.00 or (ii) in the case of First Lien Obligations, the Consolidated First Lien Debt Ratio shall be no greater than 2.00 to 1.00;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any encumbrance or restriction (including put and call arrangements) with respect to Capital Stock of any joint venture or similar arrangement pursuant to any joint venture or similar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Liens on Equity Interests of an Unrestricted Subsidiary that secure Indebtedness or other obligations of such Unrestricted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agreements to subordinate any interest of the Issuer or any Restricted Subsidiary in any accounts receivable or other proceeds arising from inventory consigned by the Issuer or any Restricted Subsidiary pursuant to an agreement entered into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Liens on property or assets used to defease or to irrevocably satisfy and discharge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defeasance or satisfaction and discharge is not prohibited by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Liens securing the Notes (other than any Additional Notes) and the related Guarantees;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security given to a public utility or any municipality or Governmental Authority when required by such utility or authority in connection with the operations of that Person in the ordinary course of business or consistent with past practice;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Liens securing obligations owed by the Issuer or any Restricted Subsidiary to any lender under the Senior Credit Facilities or any Affiliate of such a lender in respect of any overdraft and related liabilities arising from treasury, depository and cash management services or any automated clearing house transfers of funds;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Liens solely on any cash earnest money deposits made by the Issuer or any of its Restricted Subsidiaries in connection with any letter of intent or purchase agreement permitted by this Indenture;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Liens relating to future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definition, (A) a Lien need not be incurred solely by reference to one category of Permitted Liens described in this definition but are permitted to be incurred in part under any combination thereof and of any other available exemption, (B) in the event that a Lien (or any portion thereof) meets the criteria of one or more of the categories of Permitted Liens, Issuer shall, in its sole discretion, classify or reclassify such Lien (or any portion thereof) in any manner that complies with this definition, and (C) in the event that a portion of Indebtedness secured by a Lien could be classified as secured in part pursuant to clause (34) above (giving pro forma effect to the incurrence of such portion of such Indebtedness), the Issuer, in its sole discretion, may classify such portion of such Indebtedness (and any Obligations in respect thereof) as having been secured pursuant to clause (34) above and thereafter the remainder of the Indebtedness as having been secured pursuant to one or more of the other clauses of this definition.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the term “Indebtedness” shall be deemed to include interest on such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Parent</w:t>
      </w:r>
      <w:r>
        <w:rPr>
          <w:rFonts w:ascii="Times New Roman;Times;Serif" w:hAnsi="Times New Roman;Times;Serif"/>
          <w:b w:val="false"/>
          <w:i w:val="false"/>
          <w:caps w:val="false"/>
          <w:smallCaps w:val="false"/>
          <w:sz w:val="20"/>
        </w:rPr>
        <w:t>” means (a) any Parent Entity that at the time it became a Parent Entity of ASO was a Permitted Holder pursuant to clause (1) of the definition thereof and (b) any Public Company (or Wholly-Owned Subsidiary of such Public Company), except to the extent (and until such time as) any Person or group is deemed to be or becomes a beneficial owner of Voting Stock of such Public Company representing more than 50% of the total voting power of the Voting Stock of such Public Company (as determined in accordance with the provisions of the final paragraph of the definition of “Change of Control”). For the avoidance of doubt, “Permitted Parent” shall include ASO and its Wholly-Owned Subsidiaries (other than the Issuer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Plan</w:t>
      </w:r>
      <w:r>
        <w:rPr>
          <w:rFonts w:ascii="Times New Roman;Times;Serif" w:hAnsi="Times New Roman;Times;Serif"/>
          <w:b w:val="false"/>
          <w:i w:val="false"/>
          <w:caps w:val="false"/>
          <w:smallCaps w:val="false"/>
          <w:sz w:val="20"/>
        </w:rPr>
        <w:t>” means any employee benefits plan of the Issuer or any Parent Entity and any Person acting in its capacity as trustee, agent or other fiduciary or administrator of any such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Receivables Financing</w:t>
      </w:r>
      <w:r>
        <w:rPr>
          <w:rFonts w:ascii="Times New Roman;Times;Serif" w:hAnsi="Times New Roman;Times;Serif"/>
          <w:b w:val="false"/>
          <w:i w:val="false"/>
          <w:caps w:val="false"/>
          <w:smallCaps w:val="false"/>
          <w:sz w:val="20"/>
        </w:rPr>
        <w:t xml:space="preserve">” means, collectively, (i) with respect to receivables of the type constituting any term securitizations, receivables securitizations or other receivables financings (including any factoring program), in each case that are non-recourse to the Issuer and the Restricted Subsidiaries (except for any customary limited recourse that is applicable only to Subsidiaries of the Issuer that are not Guarantors, that is customary in the relevant local market, and reasonable extensions thereof) and (ii) with respect to receivables (including, without limitation, trade and lease receivables) not otherwise constituting term securitizations, other receivables securitizations or other similar financings (including any factoring program), in each case in an amount not to exceed 85% of the book value of all accounts receivable of the Issuer and its Restricted Subsidiaries as of any date and that are non-recourse to the Issuer and its Restricted Subsidiaries (except for any customary limited recourse that is applicable only to Subsidiaries of the Issuer that are not Guarantors, that is customary in the relevant local market;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Permitted Receivables Financings incurred in the form of a factoring program under this clause (ii), the outstanding amount of such Permitted Receivables Financing for the purposes of this definition shall be deemed to be equal to the Permitted Receivables Net Investment for the last Applicable Measurement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Receivables Net Investment</w:t>
      </w:r>
      <w:r>
        <w:rPr>
          <w:rFonts w:ascii="Times New Roman;Times;Serif" w:hAnsi="Times New Roman;Times;Serif"/>
          <w:b w:val="false"/>
          <w:i w:val="false"/>
          <w:caps w:val="false"/>
          <w:smallCaps w:val="false"/>
          <w:sz w:val="20"/>
        </w:rPr>
        <w:t>” means the aggregate cash amount paid by the purchasers under any Permitted Receivables Financing in the form of a factoring program in connection with their purchase of accounts receivable and customary related assets or interests therein, as the same may be reduced from time to time by collections with respect to such accounts receivable and related assets or otherwise in accordance with the terms of such Permitted Receivables Financing (but excluding any such collections used to make payments of commissions, discounts, yield and other fees and charges incurred in connection with any Permitted Receivables Financing in the form of a factoring program which are payable to any Person other than the Issuer or a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Pledge Agreement</w:t>
      </w:r>
      <w:r>
        <w:rPr>
          <w:rFonts w:ascii="Times New Roman;Times;Serif" w:hAnsi="Times New Roman;Times;Serif"/>
          <w:b w:val="false"/>
          <w:i w:val="false"/>
          <w:caps w:val="false"/>
          <w:smallCaps w:val="false"/>
          <w:sz w:val="20"/>
        </w:rPr>
        <w:t>” means the Pledge Agreement, dated as of the Issue Date, by and among the Issuer, the Guarantors and the Notes Collateral Agent for the benefit of the Notes Secured Parties,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Position Representation</w:t>
      </w:r>
      <w:r>
        <w:rPr>
          <w:rFonts w:ascii="Times New Roman;Times;Serif" w:hAnsi="Times New Roman;Times;Serif"/>
          <w:b w:val="false"/>
          <w:i w:val="false"/>
          <w:caps w:val="false"/>
          <w:smallCaps w:val="false"/>
          <w:sz w:val="20"/>
        </w:rPr>
        <w:t>” has the meaning specified in Section 6.02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Post-Petition Interest</w:t>
      </w:r>
      <w:r>
        <w:rPr>
          <w:rFonts w:ascii="Times New Roman;Times;Serif" w:hAnsi="Times New Roman;Times;Serif"/>
          <w:b w:val="false"/>
          <w:i w:val="false"/>
          <w:caps w:val="false"/>
          <w:smallCaps w:val="false"/>
          <w:sz w:val="20"/>
        </w:rPr>
        <w:t>” means any interest or entitlement to fees or expenses or other charges that accrue after the commencement of any insolvency or liquidation proceeding whether or not allowed or allowable as a claim in any such insolvency or liquidation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Predecessor Note</w:t>
      </w:r>
      <w:r>
        <w:rPr>
          <w:rFonts w:ascii="Times New Roman;Times;Serif" w:hAnsi="Times New Roman;Times;Serif"/>
          <w:b w:val="false"/>
          <w:i w:val="false"/>
          <w:caps w:val="false"/>
          <w:smallCaps w:val="false"/>
          <w:sz w:val="20"/>
        </w:rPr>
        <w:t>” of any particular Note means every previous Note evidencing all or a portion of the same debt as that evidenced by such particular Note; and, for the purposes of this definition, any Note authenticated and delivered under Section 3.06 in exchange for a mutilated Note or in lieu of a destroyed, lost or stolen Note shall be deemed to evidence the same debt as the mutilated, destroyed, lost or stolen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Preferred Stock</w:t>
      </w:r>
      <w:r>
        <w:rPr>
          <w:rFonts w:ascii="Times New Roman;Times;Serif" w:hAnsi="Times New Roman;Times;Serif"/>
          <w:b w:val="false"/>
          <w:i w:val="false"/>
          <w:caps w:val="false"/>
          <w:smallCaps w:val="false"/>
          <w:sz w:val="20"/>
        </w:rPr>
        <w:t>” means any Equity Interest with preferential rights of payment of dividends or upon liquidation, dissolution, or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Protected Purchaser</w:t>
      </w:r>
      <w:r>
        <w:rPr>
          <w:rFonts w:ascii="Times New Roman;Times;Serif" w:hAnsi="Times New Roman;Times;Serif"/>
          <w:b w:val="false"/>
          <w:i w:val="false"/>
          <w:caps w:val="false"/>
          <w:smallCaps w:val="false"/>
          <w:sz w:val="20"/>
        </w:rPr>
        <w:t>” has the meaning specified in Section 3.06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Public Company</w:t>
      </w:r>
      <w:r>
        <w:rPr>
          <w:rFonts w:ascii="Times New Roman;Times;Serif" w:hAnsi="Times New Roman;Times;Serif"/>
          <w:b w:val="false"/>
          <w:i w:val="false"/>
          <w:caps w:val="false"/>
          <w:smallCaps w:val="false"/>
          <w:sz w:val="20"/>
        </w:rPr>
        <w:t>” means any Person with a class or series of Voting Stock that is traded on the New York Stock Exchange, the NASDAQ or the London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Money Obligations</w:t>
      </w:r>
      <w:r>
        <w:rPr>
          <w:rFonts w:ascii="Times New Roman;Times;Serif" w:hAnsi="Times New Roman;Times;Serif"/>
          <w:b w:val="false"/>
          <w:i w:val="false"/>
          <w:caps w:val="false"/>
          <w:smallCaps w:val="false"/>
          <w:sz w:val="20"/>
        </w:rPr>
        <w:t>” means any Indebtedness incurred to finance or refinance the acquisition, leasing, construction or improvement of property (real or personal) or assets (other than Capital Stock), and whether acquired through the direct acquisition of such property or assets, or otherwise (including through the purchase of Capital Stock of any Person owning such property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Qualified Proceeds</w:t>
      </w:r>
      <w:r>
        <w:rPr>
          <w:rFonts w:ascii="Times New Roman;Times;Serif" w:hAnsi="Times New Roman;Times;Serif"/>
          <w:b w:val="false"/>
          <w:i w:val="false"/>
          <w:caps w:val="false"/>
          <w:smallCaps w:val="false"/>
          <w:sz w:val="20"/>
        </w:rPr>
        <w:t>” means assets that are used or useful in, or Capital Stock of any Person engaged in, a Similar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Rating Agency</w:t>
      </w:r>
      <w:r>
        <w:rPr>
          <w:rFonts w:ascii="Times New Roman;Times;Serif" w:hAnsi="Times New Roman;Times;Serif"/>
          <w:b w:val="false"/>
          <w:i w:val="false"/>
          <w:caps w:val="false"/>
          <w:smallCaps w:val="false"/>
          <w:sz w:val="20"/>
        </w:rPr>
        <w:t>” means (1) S&amp;P, Moody’s and Fitch or (2) if S&amp;P, Moody’s or Fitch or each of them shall not make a corporate rating with respect to the Issuer or a rating on the Notes publicly available, a nationally recognized statistical rating agency or agencies, as the case may be, selected by the Issuer, which shall be substituted for any or all of S&amp;P, Moody’s or Fitch, as the case may be, with respect to such corporate rating or the rating of the Notes,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Receivables Fees</w:t>
      </w:r>
      <w:r>
        <w:rPr>
          <w:rFonts w:ascii="Times New Roman;Times;Serif" w:hAnsi="Times New Roman;Times;Serif"/>
          <w:b w:val="false"/>
          <w:i w:val="false"/>
          <w:caps w:val="false"/>
          <w:smallCaps w:val="false"/>
          <w:sz w:val="20"/>
        </w:rPr>
        <w:t>” means distributions or payments made directly or by means of discounts with respect to any accounts receivable or participation interest therein issued or sold in connection with, and other fees paid to a Person that is not a Restricted Subsidiary in connection with, any Permitted Receivables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Receivables Subsidiary</w:t>
      </w:r>
      <w:r>
        <w:rPr>
          <w:rFonts w:ascii="Times New Roman;Times;Serif" w:hAnsi="Times New Roman;Times;Serif"/>
          <w:b w:val="false"/>
          <w:i w:val="false"/>
          <w:caps w:val="false"/>
          <w:smallCaps w:val="false"/>
          <w:sz w:val="20"/>
        </w:rPr>
        <w:t>” means any Special Purpose Entity established in connection with a Permitted Receivables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has the meaning specified in Section 11.01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Redemption Price,</w:t>
      </w:r>
      <w:r>
        <w:rPr>
          <w:rFonts w:ascii="Times New Roman;Times;Serif" w:hAnsi="Times New Roman;Times;Serif"/>
          <w:b w:val="false"/>
          <w:i w:val="false"/>
          <w:caps w:val="false"/>
          <w:smallCaps w:val="false"/>
          <w:sz w:val="20"/>
        </w:rPr>
        <w:t>” when used with respect to any Note to be redeemed, means the price at which it is to be redeemed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refinance</w:t>
      </w:r>
      <w:r>
        <w:rPr>
          <w:rFonts w:ascii="Times New Roman;Times;Serif" w:hAnsi="Times New Roman;Times;Serif"/>
          <w:b w:val="false"/>
          <w:i w:val="false"/>
          <w:caps w:val="false"/>
          <w:smallCaps w:val="false"/>
          <w:sz w:val="20"/>
        </w:rPr>
        <w:t>” has the meaning specified in Section 10.11(b)(13)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Indebtedness</w:t>
      </w:r>
      <w:r>
        <w:rPr>
          <w:rFonts w:ascii="Times New Roman;Times;Serif" w:hAnsi="Times New Roman;Times;Serif"/>
          <w:b w:val="false"/>
          <w:i w:val="false"/>
          <w:caps w:val="false"/>
          <w:smallCaps w:val="false"/>
          <w:sz w:val="20"/>
        </w:rPr>
        <w:t>” has the meaning specified in Section 10.11(b)(13)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Refinancing Transactions</w:t>
      </w:r>
      <w:r>
        <w:rPr>
          <w:rFonts w:ascii="Times New Roman;Times;Serif" w:hAnsi="Times New Roman;Times;Serif"/>
          <w:b w:val="false"/>
          <w:i w:val="false"/>
          <w:caps w:val="false"/>
          <w:smallCaps w:val="false"/>
          <w:sz w:val="20"/>
        </w:rPr>
        <w:t>” has the meaning specified in “Summary—Recent Developments” of the Offering Memorandum.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Refunding Capital Stock</w:t>
      </w:r>
      <w:r>
        <w:rPr>
          <w:rFonts w:ascii="Times New Roman;Times;Serif" w:hAnsi="Times New Roman;Times;Serif"/>
          <w:b w:val="false"/>
          <w:i w:val="false"/>
          <w:caps w:val="false"/>
          <w:smallCaps w:val="false"/>
          <w:sz w:val="20"/>
        </w:rPr>
        <w:t>” has the meaning specified in Section 10.10(b)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Regular Record Date</w:t>
      </w:r>
      <w:r>
        <w:rPr>
          <w:rFonts w:ascii="Times New Roman;Times;Serif" w:hAnsi="Times New Roman;Times;Serif"/>
          <w:b w:val="false"/>
          <w:i w:val="false"/>
          <w:caps w:val="false"/>
          <w:smallCaps w:val="false"/>
          <w:sz w:val="20"/>
        </w:rPr>
        <w:t>” has the meaning specified in Section 3.01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Regulated Bank</w:t>
      </w:r>
      <w:r>
        <w:rPr>
          <w:rFonts w:ascii="Times New Roman;Times;Serif" w:hAnsi="Times New Roman;Times;Serif"/>
          <w:b w:val="false"/>
          <w:i w:val="false"/>
          <w:caps w:val="false"/>
          <w:smallCaps w:val="false"/>
          <w:sz w:val="20"/>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Related Business Assets</w:t>
      </w:r>
      <w:r>
        <w:rPr>
          <w:rFonts w:ascii="Times New Roman;Times;Serif" w:hAnsi="Times New Roman;Times;Serif"/>
          <w:b w:val="false"/>
          <w:i w:val="false"/>
          <w:caps w:val="false"/>
          <w:smallCaps w:val="false"/>
          <w:sz w:val="20"/>
        </w:rPr>
        <w:t xml:space="preserve">” means assets (other than cash or Cash Equivalents) used or useful in a Similar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assets received by the Issuer or a Restricted Subsidiary in exchange for assets transferred by the Issuer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Related Person”</w:t>
      </w:r>
      <w:r>
        <w:rPr>
          <w:rFonts w:ascii="Times New Roman;Times;Serif" w:hAnsi="Times New Roman;Times;Serif"/>
          <w:b w:val="false"/>
          <w:i w:val="false"/>
          <w:caps w:val="false"/>
          <w:smallCaps w:val="false"/>
          <w:sz w:val="20"/>
        </w:rPr>
        <w:t xml:space="preserve"> has the meaning specified in Section 14.08(b) of this Indenture.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means any officer of the Trustee within the Corporate Trust Office customarily performing functions similar to those performed by an officer who has direct responsibility for the administration of this Indenture, or with respect to a particular corporate trust matter, any other officer to whom such matter is referred because of his or her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Investment</w:t>
      </w:r>
      <w:r>
        <w:rPr>
          <w:rFonts w:ascii="Times New Roman;Times;Serif" w:hAnsi="Times New Roman;Times;Serif"/>
          <w:b w:val="false"/>
          <w:i w:val="false"/>
          <w:caps w:val="false"/>
          <w:smallCaps w:val="false"/>
          <w:sz w:val="20"/>
        </w:rPr>
        <w:t>” means an Investment other than a Permitted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Payments</w:t>
      </w:r>
      <w:r>
        <w:rPr>
          <w:rFonts w:ascii="Times New Roman;Times;Serif" w:hAnsi="Times New Roman;Times;Serif"/>
          <w:b w:val="false"/>
          <w:i w:val="false"/>
          <w:caps w:val="false"/>
          <w:smallCaps w:val="false"/>
          <w:sz w:val="20"/>
        </w:rPr>
        <w:t>” has the meaning specified in Section 10.10(a)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Subsidiary</w:t>
      </w:r>
      <w:r>
        <w:rPr>
          <w:rFonts w:ascii="Times New Roman;Times;Serif" w:hAnsi="Times New Roman;Times;Serif"/>
          <w:b w:val="false"/>
          <w:i w:val="false"/>
          <w:caps w:val="false"/>
          <w:smallCaps w:val="false"/>
          <w:sz w:val="20"/>
        </w:rPr>
        <w:t xml:space="preserve">” means, at any time, any direct or indirect Subsidiary of the Issuer (including any Foreign Subsidiary) that is not then an Unrestricted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upon the occurrence of an Unrestricted Subsidiary ceasing to be an Unrestricted Subsidiary, such Subsidiary shall be included in the definition of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Asset Sale Proceeds</w:t>
      </w:r>
      <w:r>
        <w:rPr>
          <w:rFonts w:ascii="Times New Roman;Times;Serif" w:hAnsi="Times New Roman;Times;Serif"/>
          <w:b w:val="false"/>
          <w:i w:val="false"/>
          <w:caps w:val="false"/>
          <w:smallCaps w:val="false"/>
          <w:sz w:val="20"/>
        </w:rPr>
        <w:t>” means the Net Proceeds in respect of any Asset Sale not required to be applied to make a prepayment or to be reinvested under Section 10.17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Reversion Date</w:t>
      </w:r>
      <w:r>
        <w:rPr>
          <w:rFonts w:ascii="Times New Roman;Times;Serif" w:hAnsi="Times New Roman;Times;Serif"/>
          <w:b w:val="false"/>
          <w:i w:val="false"/>
          <w:caps w:val="false"/>
          <w:smallCaps w:val="false"/>
          <w:sz w:val="20"/>
        </w:rPr>
        <w:t>” has the meaning specified in Section 10.18(a)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S&amp;P</w:t>
      </w:r>
      <w:r>
        <w:rPr>
          <w:rFonts w:ascii="Times New Roman;Times;Serif" w:hAnsi="Times New Roman;Times;Serif"/>
          <w:b w:val="false"/>
          <w:i w:val="false"/>
          <w:caps w:val="false"/>
          <w:smallCaps w:val="false"/>
          <w:sz w:val="20"/>
        </w:rPr>
        <w:t>” means S&amp;P Global Ratings and any successor to its rating agency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Sale and Lease-Back Transaction</w:t>
      </w:r>
      <w:r>
        <w:rPr>
          <w:rFonts w:ascii="Times New Roman;Times;Serif" w:hAnsi="Times New Roman;Times;Serif"/>
          <w:b w:val="false"/>
          <w:i w:val="false"/>
          <w:caps w:val="false"/>
          <w:smallCaps w:val="false"/>
          <w:sz w:val="20"/>
        </w:rPr>
        <w:t>” means any arrangement with any Person providing for the leasing by the Issuer or any of its Restricted Subsidiaries of any real property or tangible personal property, which property has been or is to be sold or transferred by the Issuer or such Restricted Subsidiary to such Person in contemplation of such leasing.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Screened Affiliate</w:t>
      </w:r>
      <w:r>
        <w:rPr>
          <w:rFonts w:ascii="Times New Roman;Times;Serif" w:hAnsi="Times New Roman;Times;Serif"/>
          <w:b w:val="false"/>
          <w:i w:val="false"/>
          <w:caps w:val="false"/>
          <w:smallCaps w:val="false"/>
          <w:sz w:val="20"/>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w:t>
      </w:r>
      <w:r>
        <w:rPr>
          <w:rFonts w:ascii="Times New Roman;Times;Serif" w:hAnsi="Times New Roman;Times;Serif"/>
          <w:b w:val="false"/>
          <w:i w:val="false"/>
          <w:caps w:val="false"/>
          <w:smallCaps w:val="false"/>
          <w:sz w:val="20"/>
        </w:rPr>
        <w:t>” means the U.S. Securities and Exchange Commission or any successor agency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Change of Control Payment Date</w:t>
      </w:r>
      <w:r>
        <w:rPr>
          <w:rFonts w:ascii="Times New Roman;Times;Serif" w:hAnsi="Times New Roman;Times;Serif"/>
          <w:b w:val="false"/>
          <w:i w:val="false"/>
          <w:caps w:val="false"/>
          <w:smallCaps w:val="false"/>
          <w:sz w:val="20"/>
        </w:rPr>
        <w:t>” has the meaning specified in Section 10.16(f)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Second Commitment</w:t>
      </w:r>
      <w:r>
        <w:rPr>
          <w:rFonts w:ascii="Times New Roman;Times;Serif" w:hAnsi="Times New Roman;Times;Serif"/>
          <w:b w:val="false"/>
          <w:i w:val="false"/>
          <w:caps w:val="false"/>
          <w:smallCaps w:val="false"/>
          <w:sz w:val="20"/>
        </w:rPr>
        <w:t>” has the meaning specified in Section 10.17(b)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Secured Indebtedness</w:t>
      </w:r>
      <w:r>
        <w:rPr>
          <w:rFonts w:ascii="Times New Roman;Times;Serif" w:hAnsi="Times New Roman;Times;Serif"/>
          <w:b w:val="false"/>
          <w:i w:val="false"/>
          <w:caps w:val="false"/>
          <w:smallCaps w:val="false"/>
          <w:sz w:val="20"/>
        </w:rPr>
        <w:t>” means any Indebtedness of the Issuer or any of its Restricted Subsidiaries secured by a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Security Agreement</w:t>
      </w:r>
      <w:r>
        <w:rPr>
          <w:rFonts w:ascii="Times New Roman;Times;Serif" w:hAnsi="Times New Roman;Times;Serif"/>
          <w:b w:val="false"/>
          <w:i w:val="false"/>
          <w:caps w:val="false"/>
          <w:smallCaps w:val="false"/>
          <w:sz w:val="20"/>
        </w:rPr>
        <w:t>” means the Security Agreement, dated as of the Issue Date, by and among the Issuer, the Guarantors and the Notes Collateral Agent for the benefit of the Notes Secured Parties,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Security Documents</w:t>
      </w:r>
      <w:r>
        <w:rPr>
          <w:rFonts w:ascii="Times New Roman;Times;Serif" w:hAnsi="Times New Roman;Times;Serif"/>
          <w:b w:val="false"/>
          <w:i w:val="false"/>
          <w:caps w:val="false"/>
          <w:smallCaps w:val="false"/>
          <w:sz w:val="20"/>
        </w:rPr>
        <w:t>” means the Intercreditor Agreements (including the ABL Intercreditor Agreement Joinder and each other joinder or other agreement (including other intercreditor agreements) pursuant to which holders of other Pari Passu Notes Lien Indebtedness become parties thereto), the Security Agreement, the Pledge Agreement and all security agreements, pledge agreements, mortgages, collateral assignments, collateral agency agreements, control agreements or other grants or transfers for security executed and delivered by the Issuer or any Guarantor (including, without limitation, Uniform Commercial Code financing statements or equivalent statements in any other jurisdiction) creating (or purporting to create) a Lien upon Collateral in favor of the Notes Collateral Agent or other agent or representative of Pari Passu Notes Lien Indebtedness or notice of such pledge, grant or assignment is given, in each case, as amended, modified, renewed, restated or replaced, in whole or in part, from time to time, in accordance with its terms and the terms of the Intercreditor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Senior Credit Facilities</w:t>
      </w:r>
      <w:r>
        <w:rPr>
          <w:rFonts w:ascii="Times New Roman;Times;Serif" w:hAnsi="Times New Roman;Times;Serif"/>
          <w:b w:val="false"/>
          <w:i w:val="false"/>
          <w:caps w:val="false"/>
          <w:smallCaps w:val="false"/>
          <w:sz w:val="20"/>
        </w:rPr>
        <w:t>” means the ABL Credit Agreement and any Term Loan Facility,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replacements,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exchange, refinance, renew or defease any part of the loans, notes, other credit facilities or commitments thereunder, including any such replacement, refunding, exchange or refinancing facility or indenture that increases the amount borrowable thereunder or alters the maturity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increase in borrowings is permitted under Section 10.11) or adds Restricted Subsidiaries as additional borrowers or guarantors thereunder and whether by the same or any other agent, lender or group of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Senior Indebtedness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Indebtedness of the Issuer or any Guarantor outstanding under the Senior Credit Facilities or the Notes and related Guarantees (including Post-Petition Interest accruing on or after the filing of any petition in bankruptcy or similar proceeding or for reorganization of the Issuer or any Guarantor (at the rate provided for in the documentation with respect thereto, regardless of whether or not a claim for Post-Petition Interest is allowed in such proceedings)), and any and all other fees, expense reimbursement obligations, indemnification amounts, penalties, and other amounts (whether existing on the Issue Date or thereafter created or incurred) and all obligations of the Issuer or any Guarantor to reimburse any bank or other Person in respect of amounts paid under letters of credit, acceptances or other similar instruments;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all (x) Hedging Obligations (and guarantees thereof) and (y) Cash Management Obligations (and guarantees thereof) owing to a Lender (as defined in the Senior Credit Facilities) or any of its Affiliates (or any Person that was a Lender or an Affiliate of such Lender at the time the applicable agreement giving rise to such Hedging Obligation was entered into),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Hedging Obligations and Cash Management Obligations, as the case may be, are permitted to be incurred under the terms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other Indebtedness of the Issuer or any Guarantor permitted to be incurred under the terms of this Indenture, unless the instrument under which such Indebtedness is incurred expressly provides that it is subordinated in right of payment to the Notes or any related Guarantee;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Obligations with respect to the items listed in the preceding clauses (1), (2) and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Senior Indebtedness shall not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obligation of such Person to the Issuer or any of its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liability for federal, state, local or other taxes owed or owing by such Person;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accounts payable or other liability to trade creditors arising in the ordinary course of business;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Indebtedness or other Obligation of such Person which is subordinate or junior in right of payment to any other Indebtedness or other Obligation of such Person;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portion of any Indebtedness which at the time of incurrence is incurred in violation of this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Significant Subsidiary</w:t>
      </w:r>
      <w:r>
        <w:rPr>
          <w:rFonts w:ascii="Times New Roman;Times;Serif" w:hAnsi="Times New Roman;Times;Serif"/>
          <w:b w:val="false"/>
          <w:i w:val="false"/>
          <w:caps w:val="false"/>
          <w:smallCaps w:val="false"/>
          <w:sz w:val="20"/>
        </w:rPr>
        <w:t>” means any Restricted Subsidiary that would be a “significant subsidiary” as defined in Article 1, Rule 1-02 of Regulation S-X, promulgated pursuant to the Securities Act, as such regulation is in effect on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Similar Business</w:t>
      </w:r>
      <w:r>
        <w:rPr>
          <w:rFonts w:ascii="Times New Roman;Times;Serif" w:hAnsi="Times New Roman;Times;Serif"/>
          <w:b w:val="false"/>
          <w:i w:val="false"/>
          <w:caps w:val="false"/>
          <w:smallCaps w:val="false"/>
          <w:sz w:val="20"/>
        </w:rPr>
        <w:t>” means any business conducted or proposed to be conducted by the Issuer and its Restricted Subsidiaries on the Issue Date or any business that is similar, reasonably related, complementary, incidental or ancillary thereto, or is a reasonable extension, development or expansion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Special Purpose Entity</w:t>
      </w:r>
      <w:r>
        <w:rPr>
          <w:rFonts w:ascii="Times New Roman;Times;Serif" w:hAnsi="Times New Roman;Times;Serif"/>
          <w:b w:val="false"/>
          <w:i w:val="false"/>
          <w:caps w:val="false"/>
          <w:smallCaps w:val="false"/>
          <w:sz w:val="20"/>
        </w:rPr>
        <w:t>” means a direct or indirect subsidiary of the Issuer, whose organizational documents contain restrictions on its purpose and activities and impose requirements intended to preserve its separateness from the Issuer and/or one or more Subsidiaries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the payment of any Defaulted Interest means a date fixed by the Trustee pursuant to Section 3.07.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Specified Event</w:t>
      </w:r>
      <w:r>
        <w:rPr>
          <w:rFonts w:ascii="Times New Roman;Times;Serif" w:hAnsi="Times New Roman;Times;Serif"/>
          <w:b w:val="false"/>
          <w:i w:val="false"/>
          <w:caps w:val="false"/>
          <w:smallCaps w:val="false"/>
          <w:sz w:val="20"/>
        </w:rPr>
        <w:t>” has the meaning specified in the definition of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Specified Transactions</w:t>
      </w:r>
      <w:r>
        <w:rPr>
          <w:rFonts w:ascii="Times New Roman;Times;Serif" w:hAnsi="Times New Roman;Times;Serif"/>
          <w:b w:val="false"/>
          <w:i w:val="false"/>
          <w:caps w:val="false"/>
          <w:smallCaps w:val="false"/>
          <w:sz w:val="20"/>
        </w:rPr>
        <w:t>” has the meaning specified in the definition of “Applicable Calculation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Stated Maturity</w:t>
      </w:r>
      <w:r>
        <w:rPr>
          <w:rFonts w:ascii="Times New Roman;Times;Serif" w:hAnsi="Times New Roman;Times;Serif"/>
          <w:b w:val="false"/>
          <w:i w:val="false"/>
          <w:caps w:val="false"/>
          <w:smallCaps w:val="false"/>
          <w:sz w:val="20"/>
        </w:rPr>
        <w:t>”, when used with respect to any Note or any installment of principal thereof or interest thereon, means the date specified in such Note as the fixed date on which the principal of such Note or such installment of principal or interest is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Subject Lien</w:t>
      </w:r>
      <w:r>
        <w:rPr>
          <w:rFonts w:ascii="Times New Roman;Times;Serif" w:hAnsi="Times New Roman;Times;Serif"/>
          <w:b w:val="false"/>
          <w:i w:val="false"/>
          <w:caps w:val="false"/>
          <w:smallCaps w:val="false"/>
          <w:sz w:val="20"/>
        </w:rPr>
        <w:t>” has the meaning specified in Section 10.12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Subordinated Indebtedness</w:t>
      </w:r>
      <w:r>
        <w:rPr>
          <w:rFonts w:ascii="Times New Roman;Times;Serif" w:hAnsi="Times New Roman;Times;Serif"/>
          <w:b w:val="false"/>
          <w:i w:val="false"/>
          <w:caps w:val="false"/>
          <w:smallCaps w:val="false"/>
          <w:sz w:val="20"/>
        </w:rPr>
        <w:t>” means, with respect to the Notes and the Guarantees: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Indebtedness of the Issuer which is by its terms subordinated in right of payment to the Notes,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Indebtedness of any Guarantor which is by its terms subordinated in right of payment to the Guarantee of such entity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joint venture, limited liability company or similar entity of which: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or otherwise,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Person or any Restricted Subsidiary of such Person is a controlling general partner or otherwise controls such entity.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entity that is owned at a 50% or less level (as described above) shall not be a “Subsidiary” for any purpose under this Indenture, regardless of whether such entity is consolidated on the Issuer’s or any Restricted Subsidiary’s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Successor Company</w:t>
      </w:r>
      <w:r>
        <w:rPr>
          <w:rFonts w:ascii="Times New Roman;Times;Serif" w:hAnsi="Times New Roman;Times;Serif"/>
          <w:b w:val="false"/>
          <w:i w:val="false"/>
          <w:caps w:val="false"/>
          <w:smallCaps w:val="false"/>
          <w:sz w:val="20"/>
        </w:rPr>
        <w:t>” has the meaning specified in Section 8.01(a)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Successor Guarantor</w:t>
      </w:r>
      <w:r>
        <w:rPr>
          <w:rFonts w:ascii="Times New Roman;Times;Serif" w:hAnsi="Times New Roman;Times;Serif"/>
          <w:b w:val="false"/>
          <w:i w:val="false"/>
          <w:caps w:val="false"/>
          <w:smallCaps w:val="false"/>
          <w:sz w:val="20"/>
        </w:rPr>
        <w:t>” has the meaning specified in Section 8.02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Suspended Covenants</w:t>
      </w:r>
      <w:r>
        <w:rPr>
          <w:rFonts w:ascii="Times New Roman;Times;Serif" w:hAnsi="Times New Roman;Times;Serif"/>
          <w:b w:val="false"/>
          <w:i w:val="false"/>
          <w:caps w:val="false"/>
          <w:smallCaps w:val="false"/>
          <w:sz w:val="20"/>
        </w:rPr>
        <w:t>” has the meaning specified in Section 10.18(a)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Suspension Date</w:t>
      </w:r>
      <w:r>
        <w:rPr>
          <w:rFonts w:ascii="Times New Roman;Times;Serif" w:hAnsi="Times New Roman;Times;Serif"/>
          <w:b w:val="false"/>
          <w:i w:val="false"/>
          <w:caps w:val="false"/>
          <w:smallCaps w:val="false"/>
          <w:sz w:val="20"/>
        </w:rPr>
        <w:t>” has the meaning specified in Section 10.18(a)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Suspension Period</w:t>
      </w:r>
      <w:r>
        <w:rPr>
          <w:rFonts w:ascii="Times New Roman;Times;Serif" w:hAnsi="Times New Roman;Times;Serif"/>
          <w:b w:val="false"/>
          <w:i w:val="false"/>
          <w:caps w:val="false"/>
          <w:smallCaps w:val="false"/>
          <w:sz w:val="20"/>
        </w:rPr>
        <w:t>” has the meaning specified in Section 10.18(a)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Term Loan Facility</w:t>
      </w:r>
      <w:r>
        <w:rPr>
          <w:rFonts w:ascii="Times New Roman;Times;Serif" w:hAnsi="Times New Roman;Times;Serif"/>
          <w:b w:val="false"/>
          <w:i w:val="false"/>
          <w:caps w:val="false"/>
          <w:smallCaps w:val="false"/>
          <w:sz w:val="20"/>
        </w:rPr>
        <w:t>” means any financing arrangements (including, without limitation, commercial paper facilities or indentures) providing for revolving credit loans, term loans, letters of credit or other indebtedness, including any notes, mortgages, guarantees, collateral documents, instruments and agreements executed in connection therewith, and any amendments, supplements, modifications, extensions, renewals, restatements or refundings thereof and any indentures or credit facilities or commercial paper facilities that replace, refund, refinance, extend, renew, restate, amend, supplement or modify any part of the loans, notes, other credit facilities or commitments thereunder, including any such exchanged, replacement, refunding, refinancing, extended, renewed, restated, amended, supplemented or modified facility or indenture that increases the amount permitted to be borrowed thereunder or alters the maturity thereof (provided that such increase in borrowings is permitted under Section 10.11 of this Indenture) or adds Restricted Subsidiaries as additional borrowers or guarantors thereunder and whether by the same or any other agent, lender or group of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Testing Party</w:t>
      </w:r>
      <w:r>
        <w:rPr>
          <w:rFonts w:ascii="Times New Roman;Times;Serif" w:hAnsi="Times New Roman;Times;Serif"/>
          <w:b w:val="false"/>
          <w:i w:val="false"/>
          <w:caps w:val="false"/>
          <w:smallCaps w:val="false"/>
          <w:sz w:val="20"/>
        </w:rPr>
        <w:t>” has the meaning specified in the definition of “Applicable Calculation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Total Assets</w:t>
      </w:r>
      <w:r>
        <w:rPr>
          <w:rFonts w:ascii="Times New Roman;Times;Serif" w:hAnsi="Times New Roman;Times;Serif"/>
          <w:b w:val="false"/>
          <w:i w:val="false"/>
          <w:caps w:val="false"/>
          <w:smallCaps w:val="false"/>
          <w:sz w:val="20"/>
        </w:rPr>
        <w:t xml:space="preserve">” means, at any time, the total assets of the Issuer and the Restricted Subsidiaries on a consolidated basis, as shown on the most recent consolidated balance sheet of the Issuer and the Restricted Subsidiaries as of the end of the most recently ended fiscal quarter prior to the applicable date of determination for which financial statements are available;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purposes of testing the covenants under this Indenture in connection with any transaction, the Total Assets of the Issuer and the Restricted Subsidiaries shall be adjusted to reflect such pro forma adjustments as are appropriate and consistent with the pro forma adjustment provisions set forth in the definition of “Fixed Charge Coverage Ratio” (other than as set forth in the first proviso to the first paragraph of such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any fees or expenses incurred or paid by a Parent Entity, the Issuer or any Subsidiary in connection with the Refinancing Transactions (including expenses in connection with hedging transactions related to the Senior Credit Facilities and any original issue discount or upfront fees), the Senior Credit Facilities and the transactions contemplated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Test Date</w:t>
      </w:r>
      <w:r>
        <w:rPr>
          <w:rFonts w:ascii="Times New Roman;Times;Serif" w:hAnsi="Times New Roman;Times;Serif"/>
          <w:b w:val="false"/>
          <w:i w:val="false"/>
          <w:caps w:val="false"/>
          <w:smallCaps w:val="false"/>
          <w:sz w:val="20"/>
        </w:rPr>
        <w:t>” has the meaning specified in the definition of “Applicable Calculation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Transfer Agent” </w:t>
      </w:r>
      <w:r>
        <w:rPr>
          <w:rFonts w:ascii="Times New Roman;Times;Serif" w:hAnsi="Times New Roman;Times;Serif"/>
          <w:b w:val="false"/>
          <w:i w:val="false"/>
          <w:caps w:val="false"/>
          <w:smallCaps w:val="false"/>
          <w:sz w:val="20"/>
        </w:rPr>
        <w:t>has the meaning specified in Section 3.02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Capital Stock</w:t>
      </w:r>
      <w:r>
        <w:rPr>
          <w:rFonts w:ascii="Times New Roman;Times;Serif" w:hAnsi="Times New Roman;Times;Serif"/>
          <w:b w:val="false"/>
          <w:i w:val="false"/>
          <w:caps w:val="false"/>
          <w:smallCaps w:val="false"/>
          <w:sz w:val="20"/>
        </w:rPr>
        <w:t>” has the meaning specified in Section 10.10(b)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Rate</w:t>
      </w:r>
      <w:r>
        <w:rPr>
          <w:rFonts w:ascii="Times New Roman;Times;Serif" w:hAnsi="Times New Roman;Times;Serif"/>
          <w:b w:val="false"/>
          <w:i w:val="false"/>
          <w:caps w:val="false"/>
          <w:smallCaps w:val="false"/>
          <w:sz w:val="20"/>
        </w:rPr>
        <w:t xml:space="preserve">” means, as obtained by the Issuer, as of any Redemption Date, the yield to maturity as of such Redemption Date of U.S. Treasury securities with a constant maturity (as compiled and published in the most recent Federal Reserve Statistical Release H.15 that has become publicly available at least two Business Days prior to the applicable Redemption Date of the Notes (or, in connection with any satisfaction and discharge, two Business Days prior to the deposit with the trustee) (or, if such Statistical Release is no longer published, any publicly available source of similar market data)) most nearly equal to the period from such Redemption Date to May 15, 2028;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period from such Redemption Date to May 15, 2028 is less than one year, the weekly average yield on actively traded U.S. Treasury securities adjusted to a constant maturity of one year will be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TIA</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means U.S Bank Trust Company, National Association until a successor replaces it and, thereafter, means the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Uniform Commercial Code</w:t>
      </w:r>
      <w:r>
        <w:rPr>
          <w:rFonts w:ascii="Times New Roman;Times;Serif" w:hAnsi="Times New Roman;Times;Serif"/>
          <w:b w:val="false"/>
          <w:i w:val="false"/>
          <w:caps w:val="false"/>
          <w:smallCaps w:val="false"/>
          <w:sz w:val="20"/>
        </w:rPr>
        <w:t>” means the Uniform Commercial Code or any successor provision thereof as the same may from time to time be in effect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Subsidiary of the Issuer that at the time of determination is an Unrestricted Subsidiary (as designated by the Issuer, as provided below);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Subsidiary of an Unrestricted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designate any Subsidiary of the Issuer (including any existing Subsidiary and any newly acquired or newly formed Subsidiary) to be an Unrestricted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(1) such designation complies with Section 10.10; and (2) immediately after giving effect to such designation, no Event of Default under clause (1), (2) or (6) of Section 5.01 shall have occurred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designate any Unrestricted Subsidiary to be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immediately after giving effect to such designation, no Default shall have occurred and be continuing and either: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could incur at least $1.00 of additional Indebtedness pursuant to either the Fixed Charge Coverage Ratio test or the Consolidated Total Debt Ratio test described under Section 10.11(a),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the Fixed Charge Coverage Ratio for the Issuer and its Restricted Subsidiaries would be equal to or greater than such ratio for the Issuer and its Restricted Subsidiaries immediately prior to such designation, or (B) the Consolidated Total Debt Ratio would be equal to or less than such ratio for the Issuer and its Restricted Subsidiaries immediately prior to such designation,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on a pro forma basis taking into account such designation.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designation by the Issuer shall be notified by the Issuer to the Trustee by promptly filing with the Trustee a copy of the resolution of the Board of the Issuer or any committee thereof giving effect to such designation and an Officer’s Certificate certifying that such designation complied with the foregoing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U.S. Person</w:t>
      </w:r>
      <w:r>
        <w:rPr>
          <w:rFonts w:ascii="Times New Roman;Times;Serif" w:hAnsi="Times New Roman;Times;Serif"/>
          <w:b w:val="false"/>
          <w:i w:val="false"/>
          <w:caps w:val="false"/>
          <w:smallCaps w:val="false"/>
          <w:sz w:val="20"/>
        </w:rPr>
        <w:t>” means a U.S. Person as defined in Rule 902(k)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Verification Covenant</w:t>
      </w:r>
      <w:r>
        <w:rPr>
          <w:rFonts w:ascii="Times New Roman;Times;Serif" w:hAnsi="Times New Roman;Times;Serif"/>
          <w:b w:val="false"/>
          <w:i w:val="false"/>
          <w:caps w:val="false"/>
          <w:smallCaps w:val="false"/>
          <w:sz w:val="20"/>
        </w:rPr>
        <w:t>” has the meaning specified in Section 6.02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Vice President</w:t>
      </w:r>
      <w:r>
        <w:rPr>
          <w:rFonts w:ascii="Times New Roman;Times;Serif" w:hAnsi="Times New Roman;Times;Serif"/>
          <w:b w:val="false"/>
          <w:i w:val="false"/>
          <w:caps w:val="false"/>
          <w:smallCaps w:val="false"/>
          <w:sz w:val="20"/>
        </w:rPr>
        <w:t>”, when used with respect to the Issuer or the Trustee, means any vice president, whether or not designated by a number or a word or words added before or after the title “vice president”.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Voting Stock</w:t>
      </w:r>
      <w:r>
        <w:rPr>
          <w:rFonts w:ascii="Times New Roman;Times;Serif" w:hAnsi="Times New Roman;Times;Serif"/>
          <w:b w:val="false"/>
          <w:i w:val="false"/>
          <w:caps w:val="false"/>
          <w:smallCaps w:val="false"/>
          <w:sz w:val="20"/>
        </w:rPr>
        <w:t>” of any Person as of any date means the Capital Stock of such Person that is at the time entitled to vote in the election of the Board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Weighted Average Life to Maturity</w:t>
      </w:r>
      <w:r>
        <w:rPr>
          <w:rFonts w:ascii="Times New Roman;Times;Serif" w:hAnsi="Times New Roman;Times;Serif"/>
          <w:b w:val="false"/>
          <w:i w:val="false"/>
          <w:caps w:val="false"/>
          <w:smallCaps w:val="false"/>
          <w:sz w:val="20"/>
        </w:rPr>
        <w:t>” means, when applied to any Indebtedness, Disqualified Stock or Preferred Stock, as the case may be, at any date, the quotient obtained by dividing: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sum of the products of the number of years (calculated to the nearest one-twelfth) from the date of determination to the date of each successive scheduled principal payment of such Indebtedness or redemption or similar payment with respect to such Disqualified Stock or Preferred Stock multiplied by the amount of such payment; 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all such payments.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Wholly-Owned Subsidiary</w:t>
      </w:r>
      <w:r>
        <w:rPr>
          <w:rFonts w:ascii="Times New Roman;Times;Serif" w:hAnsi="Times New Roman;Times;Serif"/>
          <w:b w:val="false"/>
          <w:i w:val="false"/>
          <w:caps w:val="false"/>
          <w:smallCaps w:val="false"/>
          <w:sz w:val="20"/>
        </w:rPr>
        <w:t>” of any Person means a Subsidiary of such Person, 100% of the outstanding Equity Interests of which (other than directors’ qualifying shares or an immaterial amount of shares required to be owned by other Persons pursuant to applicable law) shall at the time be owned by such Person or by one or more Wholly-Owned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1.03.           </w:t>
      </w:r>
      <w:r>
        <w:rPr>
          <w:rFonts w:ascii="Times New Roman;Times;Serif" w:hAnsi="Times New Roman;Times;Serif"/>
          <w:b w:val="false"/>
          <w:i w:val="false"/>
          <w:caps w:val="false"/>
          <w:smallCaps w:val="false"/>
          <w:sz w:val="20"/>
          <w:u w:val="single"/>
        </w:rPr>
        <w:t>Compliance Certificates and Opinions</w:t>
      </w:r>
      <w:r>
        <w:rPr>
          <w:rFonts w:ascii="Times New Roman;Times;Serif" w:hAnsi="Times New Roman;Times;Serif"/>
          <w:b w:val="false"/>
          <w:i w:val="false"/>
          <w:caps w:val="false"/>
          <w:smallCaps w:val="false"/>
          <w:sz w:val="20"/>
        </w:rPr>
        <w:t xml:space="preserve">. Upon any application or request by the Issuer to the Trustee to take or refrain from taking any action under this Indenture, the Issuer shall furnish to the Trustee an Officer’s Certificate stating that all conditions precedent, if any, provided for in this Indenture (including any covenant compliance with which constitutes a condition precedent) relating to the proposed action have been complied with and, other than in connection with the issuance, authentication and delivery of the Initial Notes on the Issue Date and the addition of a new Guarantor or parent guarantor,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or opinion with respect to compliance with a condition or covenant provided for in this Indenture (other than pursuant to Section 10.08(a)) shall include: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each individual signing such certificate or opinion has read such covenant or condition and the definitions herein relating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each such individual, he has made such examination or investigation as is necessary to enable him to express an informed opinion as to whether or not such covenant or condition has been complied with;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in the opinion of each such individual, such condition or covenant has been complied 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responsibility or liability with respect to any matters that would have been covered by the Opinions of Counsel that are not permitted by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1.04.           </w:t>
      </w:r>
      <w:r>
        <w:rPr>
          <w:rFonts w:ascii="Times New Roman;Times;Serif" w:hAnsi="Times New Roman;Times;Serif"/>
          <w:b w:val="false"/>
          <w:i w:val="false"/>
          <w:caps w:val="false"/>
          <w:smallCaps w:val="false"/>
          <w:sz w:val="20"/>
          <w:u w:val="single"/>
        </w:rPr>
        <w:t>Form of Documents Delivered to Trustee</w:t>
      </w:r>
      <w:r>
        <w:rPr>
          <w:rFonts w:ascii="Times New Roman;Times;Serif" w:hAnsi="Times New Roman;Times;Serif"/>
          <w:b w:val="false"/>
          <w:i w:val="false"/>
          <w:caps w:val="false"/>
          <w:smallCaps w:val="false"/>
          <w:sz w:val="20"/>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1.05.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agents duly appointed in writing;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and the Issuer, if made in the manner provided in this Section 1.05.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that the Trustee deems sufficient.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principal amount and serial numbers of Notes held by any Person, and the date of holding the same, shall be proved by the Note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Issuer shall solicit from the Holders any request, demand, authorization, direction, notice, consent, waiver or other Act, the Issuer may, at its option, fix in advance a record date for the determination of Holders entitled to give such request, demand, authorization, direction, notice, consent, waiver or other Act, but the Issuer shall have no obligation to do so. Such record date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authorization, agreement or consent by the Holders on such record date shall be deemed effective unless it shall become effective pursuant to the provisions of this Indenture not later than eleven months after the record date. 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the Issuer or any Guarantor in reliance thereon, whether or not notation of such action is made upon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1.06.           </w:t>
      </w:r>
      <w:r>
        <w:rPr>
          <w:rFonts w:ascii="Times New Roman;Times;Serif" w:hAnsi="Times New Roman;Times;Serif"/>
          <w:b w:val="false"/>
          <w:i w:val="false"/>
          <w:caps w:val="false"/>
          <w:smallCaps w:val="false"/>
          <w:sz w:val="20"/>
          <w:u w:val="single"/>
        </w:rPr>
        <w:t>Notices, Etc., to Trustee, Issuer, any Guarantor and Agent</w:t>
      </w:r>
      <w:r>
        <w:rPr>
          <w:rFonts w:ascii="Times New Roman;Times;Serif" w:hAnsi="Times New Roman;Times;Serif"/>
          <w:b w:val="false"/>
          <w:i w:val="false"/>
          <w:caps w:val="false"/>
          <w:smallCaps w:val="false"/>
          <w:sz w:val="20"/>
        </w:rPr>
        <w:t>. Any request, demand, authorization, direction, notice, consent, waiver or Act of Holders or other document provided or permitted by this Indenture to be made upon, given or furnished to, or filed with, (1) the Trustee or the Notes Collateral Agent by any Holder or by the Issuer or any Guarantor shall be sufficient for every purpose hereunder if made, given, furnished or filed in writing via facsimile, email in PDF format or mailed, first class postage prepaid, or delivered by recognized overnight courier, to or with the Trustee at U.S. Bank Trust Company, National Association, 1255 Corporate Drive, 6th Floor, Irving, Texas, 75038, Attention: Michael K. Herberger (email: michael.herberger@usbank.com), or (2) the Issuer or any Guarantor by the Trustee or by any Holder shall be sufficient for every purpose hereunder (unless otherwise herein expressly provided) if made, given, furnished or delivered in writing via email in PDF or mailed, first class postage prepaid, or delivered by recognized overnight courier, to the Issuer or such Guarantor addressed to Academy, Ltd., 1800 North Mason Road, Katy, Texas, Attention: Chief Legal Officer (legal@academy.com), or at any other address previously furnished in writing to the Trustee by the Issuer or such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all notices to any Agent shall be sent to the Trustee at the address shown above. Any Person may change its address by giving notice of such change as set forth herein. Any notice to the Trustee or the Notes Collateral Agent shall be effective upon actual receipt.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1.07.           </w:t>
      </w:r>
      <w:r>
        <w:rPr>
          <w:rFonts w:ascii="Times New Roman;Times;Serif" w:hAnsi="Times New Roman;Times;Serif"/>
          <w:b w:val="false"/>
          <w:i w:val="false"/>
          <w:caps w:val="false"/>
          <w:smallCaps w:val="false"/>
          <w:sz w:val="20"/>
          <w:u w:val="single"/>
        </w:rPr>
        <w:t>Notice to Holders; Waiver</w:t>
      </w:r>
      <w:r>
        <w:rPr>
          <w:rFonts w:ascii="Times New Roman;Times;Serif" w:hAnsi="Times New Roman;Times;Serif"/>
          <w:b w:val="false"/>
          <w:i w:val="false"/>
          <w:caps w:val="false"/>
          <w:smallCaps w:val="false"/>
          <w:sz w:val="20"/>
        </w:rPr>
        <w:t>. Where this Indenture provides for notice of any event to Holders by the Issuer or the Trustee, such notice shall be sufficiently given (unless otherwise herein expressly provided) if in writing and delivered electronically or mailed, first class postage prepaid, to each Holder affected by such event, at his address as it appears in the Note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Notices given by publication (including posting or filing of information as contemplated by Section 10.09) shall be deemed given on the first date on which publication is made, notices given by first-class mail, postage prepaid, shall be deemed given five calendar days after mailing or transmitting; notices sent by overnight delivery service shall be deemed given when delivered; and notices given electronically shall be deemed given when sent. Notice given in accordance with the procedures of the Depository will be deemed given on the date sent to the Depository. Any notices required to be given to the holders of Notes that are in global form will be given to the Depository in accordance with its customary procedures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agrees to accept and act upon instructions or directions pursuant to this Indenture sent by unsecured e-mail, pdf, facsimile transmission or other similar unsecured electronic methods,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Trustee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Issuer or any Holder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Issuer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or irregularities in regular mail service or by reason of any other cause, it shall be impracticable to mail notice of any event to Holders when such notice is required to be given pursuant to any provision of this Indenture, then any manner of giving such notice as shall be satisfactory to the Trustee shall be deemed to be a sufficient giving of such notice for every purpose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1.08.           </w:t>
      </w:r>
      <w:r>
        <w:rPr>
          <w:rFonts w:ascii="Times New Roman;Times;Serif" w:hAnsi="Times New Roman;Times;Serif"/>
          <w:b w:val="false"/>
          <w:i w:val="false"/>
          <w:caps w:val="false"/>
          <w:smallCaps w:val="false"/>
          <w:sz w:val="20"/>
          <w:u w:val="single"/>
        </w:rPr>
        <w:t>Effect of Headings and Table of Contents</w:t>
      </w:r>
      <w:r>
        <w:rPr>
          <w:rFonts w:ascii="Times New Roman;Times;Serif" w:hAnsi="Times New Roman;Times;Serif"/>
          <w:b w:val="false"/>
          <w:i w:val="false"/>
          <w:caps w:val="false"/>
          <w:smallCaps w:val="false"/>
          <w:sz w:val="20"/>
        </w:rPr>
        <w:t>. The Article and Section headings herein and the Table of Contents are for convenience of reference only, are not intended to be considered a part hereof and shall not affect the construction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agreements of the Issuer in this Indenture and the Notes will bind its successors. All agreements of the Trustee in this Indenture will bind its successors. All agreements of each Guarantor in this Indenture will bind its successors, except as otherwise provided in Section 12.08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           </w:t>
      </w:r>
      <w:r>
        <w:rPr>
          <w:rFonts w:ascii="Times New Roman;Times;Serif" w:hAnsi="Times New Roman;Times;Serif"/>
          <w:b w:val="false"/>
          <w:i w:val="false"/>
          <w:caps w:val="false"/>
          <w:smallCaps w:val="false"/>
          <w:sz w:val="20"/>
          <w:u w:val="single"/>
        </w:rPr>
        <w:t>Severability Clause.</w:t>
      </w:r>
      <w:r>
        <w:rPr>
          <w:rFonts w:ascii="Times New Roman;Times;Serif" w:hAnsi="Times New Roman;Times;Serif"/>
          <w:b w:val="false"/>
          <w:i w:val="false"/>
          <w:caps w:val="false"/>
          <w:smallCaps w:val="false"/>
          <w:sz w:val="20"/>
        </w:rPr>
        <w:t xml:space="preserve">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1.11.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the Notes, express or implied, shall give to any Person, other than the parties hereto, any Paying Agent, any Note Registrar and their successors hereunder and the Holders any benefit or any legal or equitable right, remedy or claim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1.12.           </w:t>
      </w:r>
      <w:r>
        <w:rPr>
          <w:rFonts w:ascii="Times New Roman;Times;Serif" w:hAnsi="Times New Roman;Times;Serif"/>
          <w:b w:val="false"/>
          <w:i w:val="false"/>
          <w:caps w:val="false"/>
          <w:smallCaps w:val="false"/>
          <w:sz w:val="20"/>
          <w:u w:val="single"/>
        </w:rPr>
        <w:t>Governing Law; Submission to Jurisdiction</w:t>
      </w:r>
      <w:r>
        <w:rPr>
          <w:rFonts w:ascii="Times New Roman;Times;Serif" w:hAnsi="Times New Roman;Times;Serif"/>
          <w:b w:val="false"/>
          <w:i w:val="false"/>
          <w:caps w:val="false"/>
          <w:smallCaps w:val="false"/>
          <w:sz w:val="20"/>
        </w:rPr>
        <w:t>. This Indenture, the Notes and any Guarantee shall be governed by and construed in accordance with the laws of the State of New York. THE PARTIES HERETO AGREE TO SUBMIT TO THE JURISDICTION OF ANY UNITED STATES FEDERAL OR STATE COURT LOCATED IN THE BOROUGH OF MANHATTAN, IN THE CITY OF NEW YORK IN ANY SUIT, ACTION OR PROCEEDING ARISING OUT OF OR RELATING TO THIS INDENTURE, THE NOTES OR THE GUARANTEES.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1.13.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xml:space="preserve"> In any case where any Interest Payment Date, Redemption Date, Change of Control Payment Date or Stated Maturity or Maturity of any Note shall not be a Business Day, then (notwithstanding any other provision of this Indenture or of the Notes) payment of principal (or premium, if any) or interest or other required payment need not be made on such date, but may be made on the next succeeding Business Day with the same force and effect as if made on the Interest Payment Date, Redemption Date, Change of Control Payment Date or at the Stated Maturity or Maturity;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interest shall accrue on such payment for the period from and after such Interest Payment Date, Redemption Date, Change of Control Payment Date, Stated Maturity or Maturity,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1.14.           </w:t>
      </w:r>
      <w:r>
        <w:rPr>
          <w:rFonts w:ascii="Times New Roman;Times;Serif" w:hAnsi="Times New Roman;Times;Serif"/>
          <w:b w:val="false"/>
          <w:i w:val="false"/>
          <w:caps w:val="false"/>
          <w:smallCaps w:val="false"/>
          <w:sz w:val="20"/>
          <w:u w:val="single"/>
        </w:rPr>
        <w:t>No Personal Liability of Directors, Managers, Officers, Employees and Stockholders.</w:t>
      </w:r>
      <w:r>
        <w:rPr>
          <w:rFonts w:ascii="Times New Roman;Times;Serif" w:hAnsi="Times New Roman;Times;Serif"/>
          <w:b w:val="false"/>
          <w:i w:val="false"/>
          <w:caps w:val="false"/>
          <w:smallCaps w:val="false"/>
          <w:sz w:val="20"/>
        </w:rPr>
        <w:t xml:space="preserve"> No past, present or future director, manager, officer, employee, incorporator, member, partner or stockholder of the Issuer or any Guarantor or any of their parent companies or their parent entities shall have any liability for any obligations of the Issuer or the Guarantors under the Notes, the Guarantees, this Indenture, the Intercreditor Agreements or any other Security Document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1.15.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Indenture may be executed in any number of counterparts, each of which shall be original; but such counterparts shall together constitute but one and the same instrument. One signed copy is enough to prove this Indenture.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Counterparts may be delivered via facsimile, electronic mail (including any electronic signature covered by the Electronic Signatures in Global and National Commerce Act of 2000, Uniform Electronic Transactions Act, the Electronic Signatures and Records Act or other applicable law (e.g., www.docusign.com)) or other transmission method and any counterpart so delivered shall be deemed to have been duly and validly delivered and be legally valid, effective and enforceable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1.17.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the Trustee may request in order for the Trustee to satisfy the requirements of the USA PATRIOT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ISSUER, ANY GUARANTOR, THE TRUSTEE AND THE NOTES COLLATERAL AGENT AND EACH HOLDER OF A NOTE, BY ITS ACCEPTANCE THEREOF, THEREBY IRREVOCABLY WAIVES, TO THE FULLEST EXTENT PERMITTED BY APPLICABLE LAW, ANY AND ALL RIGHT TO TRIAL BY JURY IN ANY LEGAL PROCEEDING ARISING OUT OF OR RELATING TO THIS INDENTURE, THE NOTES, THE GUARANTEES OR ANY OF THE TRANSACTIONS CONTEMPLATED THEREBY OR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1.19.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In order to comply with Sections 1471 – 1474 of the Code, any current or future regulations or official interpretations thereof, any intergovernmental agreement between a non-U.S. jurisdiction and the United States with respect to the foregoing, any similar law or regulations adopted pursuant to such an intergovernmental agreement or any agreements entered into pursuant to Section 1471(b)(1) of the Code (“</w:t>
      </w:r>
      <w:r>
        <w:rPr>
          <w:rFonts w:ascii="Times New Roman;Times;Serif" w:hAnsi="Times New Roman;Times;Serif"/>
          <w:b w:val="false"/>
          <w:i/>
          <w:caps w:val="false"/>
          <w:smallCaps w:val="false"/>
          <w:sz w:val="20"/>
        </w:rPr>
        <w:t>FATCA</w:t>
      </w:r>
      <w:r>
        <w:rPr>
          <w:rFonts w:ascii="Times New Roman;Times;Serif" w:hAnsi="Times New Roman;Times;Serif"/>
          <w:b w:val="false"/>
          <w:i w:val="false"/>
          <w:caps w:val="false"/>
          <w:smallCaps w:val="false"/>
          <w:sz w:val="20"/>
        </w:rPr>
        <w:t>”) that a foreign financial institution, issuer, trustee, paying agent, or other party is or has agreed to be subject to related to this Indenture, the Issuer agrees (i) to use commercially reasonably efforts to provide to the Trustee sufficient information about the parties and/or transactions (including any modification to the terms of such transactions) that is reasonably requested by the Trustee so the Trustee can determine whether it has tax-related obligations under FATCA, and (ii) that the Trustee shall be entitled to make any withholding or deduction from payments under this Indenture to the extent necessary to comply with FATCA for which the Trustee shall not have any liability. The terms of this paragraph shall survive the satisfaction and discharge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Two</w:t>
        <w:br/>
        <w:br/>
        <w:t>NOTE FORMS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2.01.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 Provisions relating to the Initial Notes are set forth in Annex I attached hereto (the “</w:t>
      </w:r>
      <w:r>
        <w:rPr>
          <w:rFonts w:ascii="Times New Roman;Times;Serif" w:hAnsi="Times New Roman;Times;Serif"/>
          <w:b w:val="false"/>
          <w:i/>
          <w:caps w:val="false"/>
          <w:smallCaps w:val="false"/>
          <w:sz w:val="20"/>
        </w:rPr>
        <w:t>Appendix</w:t>
      </w:r>
      <w:r>
        <w:rPr>
          <w:rFonts w:ascii="Times New Roman;Times;Serif" w:hAnsi="Times New Roman;Times;Serif"/>
          <w:b w:val="false"/>
          <w:i w:val="false"/>
          <w:caps w:val="false"/>
          <w:smallCaps w:val="false"/>
          <w:sz w:val="20"/>
        </w:rPr>
        <w:t>”), which is hereby incorporated in, and expressly made part of, this Indenture. The Initial Notes and the Trustee’s certificate of authentication shall be substantially in the form of Exhibit 1 to the Appendix which is hereby incorporated in, and expressly made a part of, this Indenture. The Notes may have notations, legends or endorsements required by law, stock exchange rule, agreements to which the Issuer is subject, if any, or usage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notation, legend or endorsement is in a form reasonably acceptable to the Issuer). The terms of the Note set forth in the Appendix are part of the terms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2.02.           </w:t>
      </w:r>
      <w:r>
        <w:rPr>
          <w:rFonts w:ascii="Times New Roman;Times;Serif" w:hAnsi="Times New Roman;Times;Serif"/>
          <w:b w:val="false"/>
          <w:i w:val="false"/>
          <w:caps w:val="false"/>
          <w:smallCaps w:val="false"/>
          <w:sz w:val="20"/>
          <w:u w:val="single"/>
        </w:rPr>
        <w:t>Execution, Authentication, Delivery and Dating</w:t>
      </w:r>
      <w:r>
        <w:rPr>
          <w:rFonts w:ascii="Times New Roman;Times;Serif" w:hAnsi="Times New Roman;Times;Serif"/>
          <w:b w:val="false"/>
          <w:i w:val="false"/>
          <w:caps w:val="false"/>
          <w:smallCaps w:val="false"/>
          <w:sz w:val="20"/>
        </w:rPr>
        <w:t>. The Notes shall be executed on behalf of the Issuer by at least one Officer. The signature of any Officer on the Notes may be manual, electronic or facsimile signatures of the present or any future such authorized officer and may be imprinted or otherwise reproduced on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bearing the manual, electronic or facsimile signature of an individual who was at any time the proper Officer of the Issuer shall bind the Issuer, notwithstanding that such individual has ceased to hold such office prior to the authentication and delivery of such Notes or did not hold such office at the date of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Issuer may deliver Notes executed by the Issuer to the Trustee for authentication, together with an Issuer Order for the authentication and delivery of such Notes, and the Trustee in accordance with such Issuer Order shall authenticate and deliver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Issue Date, the Issuer shall deliver the Initial Notes in the aggregate principal amount of $500,000,000 executed by the Issuer to the Trustee for authentication, together with an Issuer Order for the authentication and delivery of such Notes, specifying the principal amount and registered holder of each Note, directing the Trustee to authenticate the Notes and deliver the same to the persons named in such Issuer Order and the Trustee in accordance with such Issuer Order shall authenticate and deliver such Initial Notes. At any time and from time to time after the Issue Date, the Issuer may deliver Additional Notes executed by the Issuer to the Trustee for authentication, together with an Issuer Order for the authentication and delivery of such Additional Notes, specifying the principal amount of and registered holder of each Note, directing the Trustee to authenticate the Additional Notes and deliver the same to the Persons named in such Issuer Order and certifying that the issuance of such Additional Notes is in compliance with Section 10.11 of this Indenture and the Trustee in accordance with such Issuer Order shall authenticate and deliver such Additional Notes. In each case, the Trustee shall receive an Officer’s Certificate and an Opinion of Counsel of the Issuer as to such matters as it may reasonably require in connection with such authentication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Opinion of Counsel under Section 1.03 shall be required in connection with the authentication of the Initial Notes. Such Issuer Order shall specify the amount of Notes to be authenticated and the date on which the original issue of Notes is to be authenticated.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shall be dated the date of its authentication.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 shall be entitled to any benefit under this Indenture or be valid or obligatory for any purpose unless there appears on such Note a certificate of authentication substantially in the form provided for herein duly executed by the Trustee by manual signature of an authorized signatory, and such certificate upon any Note shall be conclusive evidence, and the only evidence, that such Note has been duly authenticated and delivered hereunder and is entitled to the benefits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or any Guarantor, pursuant to Article Eight of this Indenture, shall be merged, consolidated or amalgamated with or into or wind up into any other Person or shall sell, assign, transfer, lease, convey or otherwise dispose of all or substantially all of the properties or assets of the Issuer and its Restricted Subsidiaries, taken as a whole, in case of the Issuer, or all or substantially all of the properties or assets of such Guarantor in case of a Guarantor, to any Person, and the successor Person (other than the Issuer or such Guarantor, as applicable) formed by or surviving any such merger, consolidation or amalgamation or to which such sale, assignment, transfer, lease, conveyance or other disposition shall have been made, shall have executed a supplemental indenture hereto pursuant to Article Eight of this Indenture, any of the Notes authenticated or delivered prior to such merger, consolidation, amalgamation, sale, assignment, transfer, lease, conveyance or other disposition may, from time to time, at the request of the successor Person, be exchanged for other Notes executed in the name of the successor Person with such changes in phraseology and form as may be appropriate, but otherwise in substance of like tenor as the Notes surrendered for such exchange and of like principal amount; and the Trustee, upon Issuer Request of the successor Person, shall authenticate and deliver Notes as specified in such request for the purpose of such exchange. If Notes shall at any time be authenticated and delivered in any new name of a successor Person pursuant to this Section 2.02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Three</w:t>
        <w:br/>
        <w:br/>
        <w:t>THE NOTES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3.01.           </w:t>
      </w:r>
      <w:r>
        <w:rPr>
          <w:rFonts w:ascii="Times New Roman;Times;Serif" w:hAnsi="Times New Roman;Times;Serif"/>
          <w:b w:val="false"/>
          <w:i w:val="false"/>
          <w:caps w:val="false"/>
          <w:smallCaps w:val="false"/>
          <w:sz w:val="20"/>
          <w:u w:val="single"/>
        </w:rPr>
        <w:t>Title and Terms</w:t>
      </w:r>
      <w:r>
        <w:rPr>
          <w:rFonts w:ascii="Times New Roman;Times;Serif" w:hAnsi="Times New Roman;Times;Serif"/>
          <w:b w:val="false"/>
          <w:i w:val="false"/>
          <w:caps w:val="false"/>
          <w:smallCaps w:val="false"/>
          <w:sz w:val="20"/>
        </w:rPr>
        <w:t xml:space="preserve">. The aggregate principal amount of Notes which may be authenticated and issued under this Indenture is not limited;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Additional Notes issued under this Indenture are issued in accordance with Sections 2.02, 3.13 and 10.11 hereof, as part of the same series as the Initial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known and designated as the “5.875% Senior Secured Notes Due 2031” of the Issuer. The Stated Maturity of the principal of Notes shall be May 15, 2031, and the Notes shall bear interest at the rate of 5.875% per annum from the Issue Date, or from the most recent Interest Payment Date to which interest has been paid or duly provided for, payable on November 15, 2026 and semi-annually thereafter in arrears on November 15 and May 15 of each year, until the principal thereof is paid or duly provided for and to the Person in whose name the Note (or any Predecessor Note) is registered at the close of business (if applicable) on the November 1 and May 1 (whether or not a Business Day) immediately preceding such Interest Payment Date (each, a “</w:t>
      </w:r>
      <w:r>
        <w:rPr>
          <w:rFonts w:ascii="Times New Roman;Times;Serif" w:hAnsi="Times New Roman;Times;Serif"/>
          <w:b w:val="false"/>
          <w:i/>
          <w:caps w:val="false"/>
          <w:smallCaps w:val="false"/>
          <w:sz w:val="20"/>
        </w:rPr>
        <w:t>Regular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principal of (and premium, if any) and interest on the Notes shall be payable at the offices or agencies of the Issuer maintained for such purpose as set forth in Section 3.02, or, at the option of the Issuer, payment of interest may be made by check mailed to the Holders at their respective addresses set forth in the Note Register of Holders or by wire transfer;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all payments of principal, premium, if any, and interest with respect to Notes represented by one or more Global Notes registered in the name of or held by the Depository or its nominee will be made in accordance with the Depository’s applicable procedures.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shall have the right to require the Issuer to purchase their Notes, in whole or in part, in the event of a Change of Control pursuant to Section 10.16. The Notes shall be subject to repurchase pursuant to an Asset Sale Offer as provided in Section 10.17.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redeemable as provided in Article Eleven.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due and punctual payment of principal of (and premium, if any) and interest on the Notes payable by the Issuer is irrevocably unconditionally guaranteed, to the extent set forth herein, by each of the Guarantors.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3.02.           </w:t>
      </w:r>
      <w:r>
        <w:rPr>
          <w:rFonts w:ascii="Times New Roman;Times;Serif" w:hAnsi="Times New Roman;Times;Serif"/>
          <w:b w:val="false"/>
          <w:i w:val="false"/>
          <w:caps w:val="false"/>
          <w:smallCaps w:val="false"/>
          <w:sz w:val="20"/>
          <w:u w:val="single"/>
        </w:rPr>
        <w:t>Note Registrar, Transfer Agent and Paying Agent</w:t>
      </w:r>
      <w:r>
        <w:rPr>
          <w:rFonts w:ascii="Times New Roman;Times;Serif" w:hAnsi="Times New Roman;Times;Serif"/>
          <w:b w:val="false"/>
          <w:i w:val="false"/>
          <w:caps w:val="false"/>
          <w:smallCaps w:val="false"/>
          <w:sz w:val="20"/>
        </w:rPr>
        <w:t>. The Issuer shall maintain one or more Paying Agents for the Notes in New York. The Issuer hereby appoints the Trustee as the initial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be responsible for making calculations called for under the Notes, including but not limited to determination of redemption price or other amounts payable on the Notes. The Issuer will make the calculations in good faith and, absent manifest error, its calculations will be final and binding on the Holders. The Issuer will provide a schedule of its calculations to the Trustee when requested by the Trustee, and the Trustee is entitled to rely conclusively on the accuracy of the Issuer’s calculations without independent verification. The Trustee shall forward the Issuer’s calculations to any Holder upon the written request of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also maintain a registrar (the “</w:t>
      </w:r>
      <w:r>
        <w:rPr>
          <w:rFonts w:ascii="Times New Roman;Times;Serif" w:hAnsi="Times New Roman;Times;Serif"/>
          <w:b w:val="false"/>
          <w:i/>
          <w:caps w:val="false"/>
          <w:smallCaps w:val="false"/>
          <w:sz w:val="20"/>
        </w:rPr>
        <w:t>Note Registrar</w:t>
      </w:r>
      <w:r>
        <w:rPr>
          <w:rFonts w:ascii="Times New Roman;Times;Serif" w:hAnsi="Times New Roman;Times;Serif"/>
          <w:b w:val="false"/>
          <w:i w:val="false"/>
          <w:caps w:val="false"/>
          <w:smallCaps w:val="false"/>
          <w:sz w:val="20"/>
        </w:rPr>
        <w:t>”) with offices in New York. The Issuer will also maintain a transfer agent (each, a “</w:t>
      </w:r>
      <w:r>
        <w:rPr>
          <w:rFonts w:ascii="Times New Roman;Times;Serif" w:hAnsi="Times New Roman;Times;Serif"/>
          <w:b w:val="false"/>
          <w:i/>
          <w:caps w:val="false"/>
          <w:smallCaps w:val="false"/>
          <w:sz w:val="20"/>
        </w:rPr>
        <w:t>Transfer Agent</w:t>
      </w:r>
      <w:r>
        <w:rPr>
          <w:rFonts w:ascii="Times New Roman;Times;Serif" w:hAnsi="Times New Roman;Times;Serif"/>
          <w:b w:val="false"/>
          <w:i w:val="false"/>
          <w:caps w:val="false"/>
          <w:smallCaps w:val="false"/>
          <w:sz w:val="20"/>
        </w:rPr>
        <w:t>”) in New York. The Issuer hereby appoints the Trustee as the initial Note Registrar and Transfer Agent. The Note Registrar and the Transfer Agent shall keep a register of the Notes and of their transfer and exchange (the register maintained in such office or in any other office or agency designated pursuant to Section 10.02 being herein referred to as the “</w:t>
      </w:r>
      <w:r>
        <w:rPr>
          <w:rFonts w:ascii="Times New Roman;Times;Serif" w:hAnsi="Times New Roman;Times;Serif"/>
          <w:b w:val="false"/>
          <w:i/>
          <w:caps w:val="false"/>
          <w:smallCaps w:val="false"/>
          <w:sz w:val="20"/>
        </w:rPr>
        <w:t>Note Register</w:t>
      </w:r>
      <w:r>
        <w:rPr>
          <w:rFonts w:ascii="Times New Roman;Times;Serif" w:hAnsi="Times New Roman;Times;Serif"/>
          <w:b w:val="false"/>
          <w:i w:val="false"/>
          <w:caps w:val="false"/>
          <w:smallCaps w:val="false"/>
          <w:sz w:val="20"/>
        </w:rPr>
        <w:t>”) and will facilitate transfer of Notes on behalf of the Issuer. The Note Register shall be in written form or any other form capable of being converted into written form within a reasonable time. At all reasonable times, the Note Register shall be open to inspection by the Trustee. The Issuer may change the Paying Agents, the Note Registrars or the Transfer Agents without prior notice to the Holders. The Issuer may have one or more co-registrars and one or more additional paying agents. The term “</w:t>
      </w:r>
      <w:r>
        <w:rPr>
          <w:rFonts w:ascii="Times New Roman;Times;Serif" w:hAnsi="Times New Roman;Times;Serif"/>
          <w:b w:val="false"/>
          <w:i/>
          <w:caps w:val="false"/>
          <w:smallCaps w:val="false"/>
          <w:sz w:val="20"/>
        </w:rPr>
        <w:t>Note Registrar</w:t>
      </w:r>
      <w:r>
        <w:rPr>
          <w:rFonts w:ascii="Times New Roman;Times;Serif" w:hAnsi="Times New Roman;Times;Serif"/>
          <w:b w:val="false"/>
          <w:i w:val="false"/>
          <w:caps w:val="false"/>
          <w:smallCaps w:val="false"/>
          <w:sz w:val="20"/>
        </w:rPr>
        <w:t>” includes any co-registrars. For the avoidance of doubt, there shall only be one Note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enter into an appropriate agency agreement with any Note Registrar or Paying Agent not a party to this Indenture. The agreement shall implement the provisions of this Indenture that relate to such agent. The Issuer shall notify the Trustee in writing of the name and address of any such agent. If the Issuer fails to maintain a Note Registrar or Paying Agent, the Trustee shall act as such and shall be entitled to appropriate compensation therefor pursuant to Section 6.07. The Issuer or any of its Affiliates may act as Paying Agent or Note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acknowledges that neither the Trustee nor any Agent makes any representations as to the interpretation or characterization of the transactions herein undertaken for tax or any other purpose, in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3.03.           </w:t>
      </w:r>
      <w:r>
        <w:rPr>
          <w:rFonts w:ascii="Times New Roman;Times;Serif" w:hAnsi="Times New Roman;Times;Serif"/>
          <w:b w:val="false"/>
          <w:i w:val="false"/>
          <w:caps w:val="false"/>
          <w:smallCaps w:val="false"/>
          <w:sz w:val="20"/>
          <w:u w:val="single"/>
        </w:rPr>
        <w:t>Denominations</w:t>
      </w:r>
      <w:r>
        <w:rPr>
          <w:rFonts w:ascii="Times New Roman;Times;Serif" w:hAnsi="Times New Roman;Times;Serif"/>
          <w:b w:val="false"/>
          <w:i w:val="false"/>
          <w:caps w:val="false"/>
          <w:smallCaps w:val="false"/>
          <w:sz w:val="20"/>
        </w:rPr>
        <w:t>. The Notes shall be issuable only in registered form without coupons and only in minimum denominations of $2,000 and any integral multiples of $1,000 in excess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3.04.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conclusively evidenced by their execution of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temporary Notes are issued, the Issuer will cause definitive Notes to be prepared without unreasonable delay. After the preparation of definitive Notes, the temporary Notes shall be exchangeable for definitive Notes upon surrender of the temporary Notes at the office or agency of the Issuer designated for such purpose pursuant to Section 10.02, without charge to the Holder. Upon surrender for cancellation of any one or more temporary Notes, the Issuer shall execute and the Trustee shall authenticate and deliver in exchange therefor a like principal amount of definitive Notes of authorized denominations. Until so exchanged, the temporary Notes shall in all respects be entitled to the same benefits under this Indenture as definitive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3.05.           </w:t>
      </w:r>
      <w:r>
        <w:rPr>
          <w:rFonts w:ascii="Times New Roman;Times;Serif" w:hAnsi="Times New Roman;Times;Serif"/>
          <w:b w:val="false"/>
          <w:i w:val="false"/>
          <w:caps w:val="false"/>
          <w:smallCaps w:val="false"/>
          <w:sz w:val="20"/>
          <w:u w:val="single"/>
        </w:rPr>
        <w:t>Registration of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Note at the office or agency of the Issuer designated pursuant to Section 10.02, the Issuer shall execute, and the Trustee shall authenticate and deliver, in the name of the designated transferee or transferees, one or more new Notes of any authorized denomination or denominations of a like aggregate principal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Notes may be exchanged for other Notes of any authorized denomination and of a like aggregate principal amount, upon surrender of the Notes to be exchanged at such office or agency. Whenever any Notes are so surrendered for exchange, the Issuer shall execute, and the Trustee shall authenticate and deliver, the Notes which the Holder making the exchange is entitled to receive.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registration of transfer or exchange of Notes shall be the valid obligations of the Issuer, evidencing the same debt, and entitled to the same benefits under this Indenture, as the Notes surrendered upon such registration of transfer or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Note presented or surrendered for registration of transfer or for exchange shall (if so required by the Issuer or the Note Registrar) be duly endorsed, or be accompanied by written instruments of transfer, in form satisfactory to the Issuer and the Note Registrar, duly executed by the Holder thereof or his attorney duly authorized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or redemption of Notes, but the Issuer may require payment of a sum sufficient to cover any taxes, fees or other governmental charge that may be imposed in connection with any registration of transfer or exchange of Notes, other than exchanges pursuant to Sections 2.02, 3.04, 9.06, 10.16, 10.17 or 11.09 not involving any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3.06.           </w:t>
      </w:r>
      <w:r>
        <w:rPr>
          <w:rFonts w:ascii="Times New Roman;Times;Serif" w:hAnsi="Times New Roman;Times;Serif"/>
          <w:b w:val="false"/>
          <w:i w:val="false"/>
          <w:caps w:val="false"/>
          <w:smallCaps w:val="false"/>
          <w:sz w:val="20"/>
          <w:u w:val="single"/>
        </w:rPr>
        <w:t>Mutilated, Destroyed, Lost and Stolen Notes</w:t>
      </w:r>
      <w:r>
        <w:rPr>
          <w:rFonts w:ascii="Times New Roman;Times;Serif" w:hAnsi="Times New Roman;Times;Serif"/>
          <w:b w:val="false"/>
          <w:i w:val="false"/>
          <w:caps w:val="false"/>
          <w:smallCaps w:val="false"/>
          <w:sz w:val="20"/>
        </w:rPr>
        <w:t>. If (1) any mutilated Note is surrendered to the Trustee, or (2) the Issuer and the Trustee receive evidence to their satisfaction of the destruction, loss or theft of any Note, and there is delivered to the Issuer and the Trustee such security or indemnity to save each of them harmless from any claim, loss, cost or liability resulting from such lost or stolen Note, then, in the absence of written notice to the Issuer or the Trustee that such Note has been acquired by a Protected Purchaser (as defined in Section 8-303 of the Uniform Commercial Code) (a “</w:t>
      </w:r>
      <w:r>
        <w:rPr>
          <w:rFonts w:ascii="Times New Roman;Times;Serif" w:hAnsi="Times New Roman;Times;Serif"/>
          <w:b w:val="false"/>
          <w:i/>
          <w:caps w:val="false"/>
          <w:smallCaps w:val="false"/>
          <w:sz w:val="20"/>
        </w:rPr>
        <w:t>Protected Purchaser</w:t>
      </w:r>
      <w:r>
        <w:rPr>
          <w:rFonts w:ascii="Times New Roman;Times;Serif" w:hAnsi="Times New Roman;Times;Serif"/>
          <w:b w:val="false"/>
          <w:i w:val="false"/>
          <w:caps w:val="false"/>
          <w:smallCaps w:val="false"/>
          <w:sz w:val="20"/>
        </w:rPr>
        <w:t>”), the Issuer shall execute and upon Issuer Order the Trustee shall authenticate and deliver, in exchange for any such mutilated Note or in lieu of any such destroyed, lost or stolen Note, a new Note of like tenor and principal amount, bearing a number not contemporaneously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Note has become or is about to become due and payable, the Issuer in its discretion may, instead of issuing a new Note, pay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Note under this Section 3.06, the Issuer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Note issued pursuant to this Section 3.06 in lieu of any mutilated, destroyed, lost or stolen Note shall constitute an original additional contractual obligation of the Issuer and each Guarantor, whether or not the mutilated, destroyed, lost or stolen Note shall be at any time enforceable by anyone, and shall be entitled to all benefits of this Indenture equally and proportionately with any and all other Notes duly issued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3.06 are exclusive and shall preclude (to the extent lawful) all other rights and remedies with respect to the replacement or payment of mutilated, destroyed, lost or stolen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3.07.           </w:t>
      </w:r>
      <w:r>
        <w:rPr>
          <w:rFonts w:ascii="Times New Roman;Times;Serif" w:hAnsi="Times New Roman;Times;Serif"/>
          <w:b w:val="false"/>
          <w:i w:val="false"/>
          <w:caps w:val="false"/>
          <w:smallCaps w:val="false"/>
          <w:sz w:val="20"/>
          <w:u w:val="single"/>
        </w:rPr>
        <w:t>Payment of Interest; Interest Rights Preserved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Interest on any Note which is payable, and is punctually paid or duly provided for, on any Interest Payment Date shall be paid to the Person in whose name such Note (or one or more Predecessor Notes) is registered at the close of business (if applicable) on the Regular Record Date for such interest at the office or agency of the Issuer maintained for such purpose pursuant to Section 10.02;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subject to Section 3.01 hereof, each installment of interest may at the Issuer’s option be paid by (1) mailing a check for such interest, payable to or upon the written order of the Person entitled thereto pursuant to Section 3.08, to the address of such Person as it appears in the Note Register or (2) transfer to an account maintained by the payee;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by wire transfer of immediately available funds shall be required with respect to principal of, premium on, if any, and interest on, all Notes in global form and all other Notes the Holders of which shall have provided wire transfer instructions to the Issuer and the Paying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Notes not in global form, the Paying Agent shall have received from the Holders satisfactory wire transfer instructions at least ten calendar days prior to the related payment date and subject to surrender of the Note in the case of payments of principal and premium,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interest on any Note which is payable, but is not punctually paid or duly provided for, on any Interest Payment Date shall forthwith cease to be payable to the Holder on the Regular Record Date by virtue of having been such Holder, and such defaulted interest and (to the extent lawful) interest on such defaulted interest at the rate borne by the Notes (such defaulted interest and interest thereon herein collectively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may be paid by the Issuer, at its election in each case, as provided in clause (1) or (2)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ten days prior to the date of the proposed payment and not less than ten days after the receipt by the Trustee of the notice of the proposed payment. The Trustee shall promptly notify the Issuer of such Special Record Date, and in the name and at the expense of the Issuer, shall cause notice of the proposed payment of such Defaulted Interest and the Special Record Date therefor to be given in the manner provided for in Section 1.07, not less than ten days prior to such Special Record Date. Notice of the proposed payment of such Defaulted Interest and the Special Record Date therefor having been so given, such Defaulted Interest shall be paid to the Persons in whose names the Notes (or their respective Predecessor Notes) are registered at the close of business on such Special Record Date and shall no longer be payable pursuant to the following clause (2).</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may make payment of any Defaulted Interest in any other lawful manner not inconsistent with the requirements of any securities exchange on which the Notes may be listed, and upon such notice as may be required by such exchange, if, after written notice given by the Issuer to the Trustee of the proposed payment pursuant to this clause, such manner of payment shall be deemed practicable by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foregoing provisions of this Section,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3.08.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 Prior to the due presentment of a Note for registration of transfer, the Issuer, any Guarantor, the Trustee and any agent of the Issuer or the Trustee may treat the Person in whose name such Note is registered as the owner of such Note for the purpose of receiving payment of principal of (and premium, if any) and (subject to Sections 3.05 and 3.07) interest on such Note and for all other purposes whatsoever, whether or not such Note be overdue, and none of the Issuer, any Guarantor, the Trustee or any agent of the Issuer or the Trustee shall be affected by notice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3.09.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All Notes surrendered for payment, redemption, registration of transfer or exchange shall, if surrendered to any Person other than the Trustee, be delivered to the Trustee and shall be cancelled by the Trustee in accordance with its customary procedures.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cancelled by the Trustee in accordance with its customary procedures. If the Issuer shall so acquire any of the Notes, however, such acquisition shall not operate as a redemption or satisfaction of the indebtedness represented by such Notes unless and until the same are surrendered to the Trustee for cancellation. No Notes shall be authenticated in lieu of or in exchange for any Notes cancelled as provided in this Section, except as expressly permitted by this Indenture. All cancelled Notes held by the Trustee shall be disposed of by the Trustee in accordance with its customary procedures.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3.10.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Interest on the Notes shall be computed on the basis of a 360-day year of twelve 30-day months.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3.11.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The Notes shall be issued in registered form and shall be transferable only upon the surrender of a Note for registration of transfer. When a Note is presented to the Note Registrar or a co-registrar with a request to register a transfer, the Note Registrar shall register the transfer as requested if the requirements of this Indenture and Section 8-401(a) of the Uniform Commercial Code are met. When Notes are presented to the Note Registrar or a co-registrar with a request to exchange them for an equal principal amount of Notes of other denominations, the Note Registrar shall make the exchange as requested if the same requirements are met.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3.12.           </w:t>
      </w:r>
      <w:r>
        <w:rPr>
          <w:rFonts w:ascii="Times New Roman;Times;Serif" w:hAnsi="Times New Roman;Times;Serif"/>
          <w:b w:val="false"/>
          <w:i w:val="false"/>
          <w:caps w:val="false"/>
          <w:smallCaps w:val="false"/>
          <w:sz w:val="20"/>
          <w:u w:val="single"/>
        </w:rPr>
        <w:t>CUSIP, ISIN and Common Code Numbers</w:t>
      </w:r>
      <w:r>
        <w:rPr>
          <w:rFonts w:ascii="Times New Roman;Times;Serif" w:hAnsi="Times New Roman;Times;Serif"/>
          <w:b w:val="false"/>
          <w:i w:val="false"/>
          <w:caps w:val="false"/>
          <w:smallCaps w:val="false"/>
          <w:sz w:val="20"/>
        </w:rPr>
        <w:t xml:space="preserve">. The Issuer in issuing the Notes may use CUSIP, ISINs and “Common Code” numbers (in each case, if then generally in use) in addition to serial numbers, and, if so, the Trustee shall use such “CUSIP, ISINs and “Common Code” numbers in addition to serial numbers in notices of redemption, repurchase or other notices to Holders as a convenience to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notice may state that no representation is made as to the correctness of such “CUSIP, ISINs and “Common Code” numbers either as printed on the Notes or as contained in any notice of a redemption or repurchase and that reliance may be placed only on the serial or other identification numbers printed on the Notes, and any such redemption or repurchase shall not be affected by any defect in or omission of such numbers. The Issuer will promptly notify the Trustee in writing of any change in the “CUSIP, ISINs and “Common Code” numbers applicable to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3.13.           </w:t>
      </w:r>
      <w:r>
        <w:rPr>
          <w:rFonts w:ascii="Times New Roman;Times;Serif" w:hAnsi="Times New Roman;Times;Serif"/>
          <w:b w:val="false"/>
          <w:i w:val="false"/>
          <w:caps w:val="false"/>
          <w:smallCaps w:val="false"/>
          <w:sz w:val="20"/>
          <w:u w:val="single"/>
        </w:rPr>
        <w:t>Issuance of Additional Notes</w:t>
      </w:r>
      <w:r>
        <w:rPr>
          <w:rFonts w:ascii="Times New Roman;Times;Serif" w:hAnsi="Times New Roman;Times;Serif"/>
          <w:b w:val="false"/>
          <w:i w:val="false"/>
          <w:caps w:val="false"/>
          <w:smallCaps w:val="false"/>
          <w:sz w:val="20"/>
        </w:rPr>
        <w:t>. The Issuer may, subject to Section 10.11 of this Indenture, issue additional Notes having identical terms and conditions to the Initial Notes issued on the Issue Date (the “</w:t>
      </w:r>
      <w:r>
        <w:rPr>
          <w:rFonts w:ascii="Times New Roman;Times;Serif" w:hAnsi="Times New Roman;Times;Serif"/>
          <w:b w:val="false"/>
          <w:i/>
          <w:caps w:val="false"/>
          <w:smallCaps w:val="false"/>
          <w:sz w:val="20"/>
        </w:rPr>
        <w:t>Additional Notes</w:t>
      </w:r>
      <w:r>
        <w:rPr>
          <w:rFonts w:ascii="Times New Roman;Times;Serif" w:hAnsi="Times New Roman;Times;Serif"/>
          <w:b w:val="false"/>
          <w:i w:val="false"/>
          <w:caps w:val="false"/>
          <w:smallCaps w:val="false"/>
          <w:sz w:val="20"/>
        </w:rPr>
        <w:t xml:space="preserve">”), except, if applicable, the initial Interest Payment Date and the initial interest accrual date. The Initial Notes issued on the Issue Date and any Additional Notes subsequently issued shall be treated as a single class for all purposes under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 separate CUSIP or ISIN will be issued for the Additional Notes, unless the Initial Notes and the Additional Notes are treated as fungible for U.S. federal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Four</w:t>
        <w:br/>
        <w:br/>
        <w:t>SATISFACTION AND DISCHARGE</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4.01.           </w:t>
      </w:r>
      <w:r>
        <w:rPr>
          <w:rFonts w:ascii="Times New Roman;Times;Serif" w:hAnsi="Times New Roman;Times;Serif"/>
          <w:b w:val="false"/>
          <w:i w:val="false"/>
          <w:caps w:val="false"/>
          <w:smallCaps w:val="false"/>
          <w:sz w:val="20"/>
          <w:u w:val="single"/>
        </w:rPr>
        <w:t>Satisfaction and Discharge of Indenture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Indenture and the Security Documents shall be discharged and shall cease to be of further effect as to all Notes, the Guarantees and the Liens on the Collateral securing the Notes and the Guarantees will be released, and the Trustee, at the expense of the Issuer, shall execute proper instruments acknowledging satisfaction and discharge of this Indenture when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 Notes theretofore authenticated and delivered (other than (i) Notes which have been destroyed, lost or stolen and which have been replaced or paid as provided in Section 3.06 and (ii) Notes for whose payment money has theretofore been deposited in trust with the Trustee or any Paying Agent or segregated and held in trust by the Issuer and thereafter repaid to the Issuer or discharged from such trust, as provided in Section 10.03) have been delivered to the Trustee for cancellation;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all such Notes not theretofore delivered to the Trustee for cancellation have become due and payable by reason of the making of a notice of redemption or otherwise, will become due and payable within one year or may be called for redemption within one year under arrangements reasonably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cash in U.S. dollars, Government Securities or a combination thereof, in such amounts (including scheduled payments thereon) as will be sufficient (without consideration of any reinvestment of interest) to pay and discharge the entire indebtedness on such Notes not theretofore delivered to the Trustee for cancellation for principal, premium, if any, and accrued interest to the Maturity or Redemption Date,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Redemption Date (any such amount, the “</w:t>
      </w:r>
      <w:r>
        <w:rPr>
          <w:rFonts w:ascii="Times New Roman;Times;Serif" w:hAnsi="Times New Roman;Times;Serif"/>
          <w:b w:val="false"/>
          <w:i/>
          <w:caps w:val="false"/>
          <w:smallCaps w:val="false"/>
          <w:sz w:val="20"/>
        </w:rPr>
        <w:t>Applicable Premium Deficit</w:t>
      </w:r>
      <w:r>
        <w:rPr>
          <w:rFonts w:ascii="Times New Roman;Times;Serif" w:hAnsi="Times New Roman;Times;Serif"/>
          <w:b w:val="false"/>
          <w:i w:val="false"/>
          <w:caps w:val="false"/>
          <w:smallCaps w:val="false"/>
          <w:sz w:val="20"/>
        </w:rPr>
        <w:t>”) only required to be deposited with the Trustee on or prior to the Redemption Date. Any Applicable Premium Deficit shall be set forth in an Officer’s Certificate delivered to the Trustee simultaneously with the deposit of such Applicable Premium Deficit that confirms that such Applicable Premium Deficit shall be applied toward such redemption;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or Event of Default (other than that resulting from borrowing funds to be applied to make such deposit or any similar and simultaneous deposit relating to other Indebtedness and, in each case, the granting of Liens in connection therewith) with respect to this Indenture or the Notes shall have occurred and be continuing on the date of such deposit or shall occur as a result of such deposit and such deposit shall not result in a breach or violation of, or constitute a default under any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has paid or caused to be paid all sums payable by it under this Indenture; and</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has delivered irrevocable instructions to the Trustee to apply the deposited money toward the payment of such Notes at the Maturity or the Redemption Date, as the case may be.</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the Issuer shall deliver to the Trustee an Officer’s Certificate and an Opinion of Counsel (which Opinion of Counsel may be subject to customary assumptions and exclusions), each stating that all conditions precedent herein to the satisfaction and discharge of this Indenture have been satisfied. Such Opinion of Counsel may rely on such Officer’s Certificate as to matters of fact, including clauses (2)(A), (B), (C) and (D) above.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Issuer to the Trustee under Section 6.07, the obligations of the Issuer to any Authenticating Agent under Section 6.12 and, if money or Government Securities shall have been deposited with the Trustee pursuant to subclause (A) of clause (2) of this Section 4.01, the obligations of the Trustee under Section 4.02 and the last paragraph of Section 10.03 shall survive such satisfaction and discharge.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4.02.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Subject to the provisions of the last paragraph of Section 10.03, all money or Government Securities (including the proceeds thereof) deposited with the Trustee pursuant to Section 4.01 shall be held in trust and applied by it, in accordance with the provisions of the Notes and this Indenture, to the payment, either directly or through any Paying Agent (including the Issuer acting as its own Paying Agent) of the principal (and premium, if any) and interest for whose payment such money or Government Securities has been deposited with the Trustee; but such money or Government Securities need not be segregated from other funds except to the extent required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Government Securities deposited pursuant to this Section 4.02 or the principal and interest received in respect thereof other than any such tax, fee or other charge which by law is for the account of the Holders of the Outstanding Notes. The Trustee shall also deliver to the Issuer from time to time upon Issuer Request any money or Government Securities held by it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as applicable, in accordance with Article Four.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Paying Agent is unable to apply any money or Government Securities in accordance with Section 4.01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4.01 until such time as the Trustee or Paying Agent is permitted to apply all such money or Government Securities in accordance with Section 4.01;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Issuer has made any payment of principal of (and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Five</w:t>
        <w:br/>
        <w:br/>
        <w:t>REMEDIES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wherever used herein, means any one of the following events: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payment when due and payable, upon redemption, acceleration or otherwise, of principal of, or premium, if any, on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for 30 days or more in the payment when due of interest on or with respect to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failure by the Issuer or any Guarantor for 60 days after receipt of written notice given by the Trustee or the Holders of not less than 30% in aggregate principal amount of the then Outstanding Notes (with a copy to the Trustee) to comply with any of its obligations, covenants or agreements (other than a default referred to in clauses (1) or (2) above) contained in this Indenture or the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the case of a failure to comply with Section 10.09, such period of continuance of such default or breach shall be 120 days after written notice described in this clause (3) has been given;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 such notice may be given with respect to any action taken, and reported publicly or to the Holders, more than two years prior to such notice;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default under any mortgage, indenture or instrument under which there is issued or by which there is secured or evidenced any Indebtedness for money borrowed by the Issuer or any of the Restricted Subsidiaries or the payment of which is guaranteed by the Issuer or any of the Restricted Subsidiaries (other than Indebtedness owed to the Issuer or a Restricted Subsidiary or any Permitted Receivables Financing), whether such Indebtedness or guarantee now exists or is created after the issuance of the Notes, if both: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default either results from the failure to pay any principal of such Indebtedness at its stated final maturity (after giving effect to any applicable grace periods) or relates to an obligation other than the obligation to pay principal of any such Indebtedness at its stated final maturity and results in the holder or holders of such Indebtedness causing such Indebtedness to become due prior to its stated final maturity;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amount of such Indebtedness, together with the principal amount of any other such Indebtedness in default for failure to pay principal at stated final maturity (after giving effect to any applicable grace periods), or the maturity of which has been so accelerated, is, in the aggregate, in excess of the greater of (x) $115.0 million and (y) 17.0% of Consolidated EBITDA of the Issuer for the Applicable Measurement Period (or its foreign currency equivalent) at any one time outstanding;</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200" w:after="200"/>
        <w:ind w:left="144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failure by the Issuer or any Significant Subsidiary to pay final judgments aggregating in excess of the greater of (x) $115.0 million and (y) 17.0% of Consolidated EBITDA of the Issuer for the Applicable Measurement Period (to the extent not covered by insurance as to which the insurer has been notified of such judgment or order and has not denied its obligation), which final judgments remain unpaid, undischarged and unstayed for a period of more than 60 days after such judgment becomes final and non-appealable, and, in the event such judgment is covered by insurance, an enforcement proceeding has been commenced by any creditor upon such judgment or decree which is not promptly stayed;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of the following events with respect to the Issuer or any Significant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or any Significant Subsidiary pursuant to or within the meaning of any Bankruptcy Law:</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commences proceedings to be adjudicated bankrupt or insolvent;</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to the entry of an order for relief against it in an involuntary case;</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consents to the appointment of a custodian of it or for all or substantially all of its property;</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takes any comparable action under any foreign laws relating to insolvency; or</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court of competent jurisdiction enters an order or decree under any Bankruptcy Law that: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for relief against the Issuer or any Significant Subsidiary in an involuntary case;</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appoints a custodian of the Issuer or any Significant Subsidiary or for all or substantially all of its property; or</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orders the winding up or liquidation of the Issuer or any Significant Subsidiary; and</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order or decree remains unstayed and in effect for 60 days; or</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Guarantee of any Parent Guarantor or any Guarantor that is a Significant Subsidiary shall for any reason cease to be in full force and effect (except as contemplated by the terms of this Indenture) or be declared null and void or any responsible officer of any Parent Guarantor or any Guarantor that is a Significant Subsidiary denies in writing that it has any further liability under its Guarantee or gives written notice to such effect, other than by reason of the termination of this Indenture or the release of any such Guarantee in accordance with this Indenture;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(i) any Security Document ceases to be in full force and effect or is declared null and void, (ii) the Liens created by the Security Documents shall at any time not constitute a valid and perfected first-priority Lien on any material portion of the Collateral intended to be covered thereby (unless perfection is not required by this Indenture or the Security Documents) other than (A) in accordance with the terms of the relevant Security Document or this Indenture, (B) the satisfaction in full of all Obligations under this Indenture or (C) any loss of perfection that results from the failure of the Notes Collateral Agent to maintain possession of certificates delivered to it representing securities pledged under the Security Documents and (iii) the Issuer, any Parent Guarantor or any Significant Subsidiary (or any group of Restricted Subsidiaries that, taken together (as of the latest audited consolidated financial statements for the Issuer and its Restricted Subsidiaries) would constitute a Significant Subsidiary) shall assert, in any pleading in any court of competent jurisdiction, that any security interest in any Security Document is invalid or unenforceable;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a failure of the sort described in this clause (8) is susceptible of cure (including with respect to any loss of Lien priority on material portions of the Collateral), no Event of Default shall arise under this clause (8) with respect thereto until, and in each case of clauses (i) and (ii), any such default continues for 30 days after receipt of written notice given by the Trustee or the Holders of not less than 30% in aggregate principal amount of the then Outstanding Notes issued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Event of Default (other than an Event of Default specified in Section 5.01(6) above with respect to the Issuer) occurs and is continuing under this Indenture, the Trustee by notice to the Issuer or the Holders of at least 30% in aggregate principal amount of the Outstanding Notes by notice to the Issuer and the Trustee may declare the principal, premium, if any, interest and any other monetary obligations on all the then Outstanding Notes to be due and payable immediately.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effectiveness of a declaration under 5.02(a), such principal and interest will be due and payable immediately. Notwithstanding the foregoing, in the case of an Event of Default arising under Section 5.01(6) with respect to the Issuer, all Outstanding Notes will become due and payable without further action or notice. The Trustee shall have no obligation to accelerate the Notes if in the reasonable judgment of the Trustee acceleration is not in the best interest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Section 5.13, in the event of any Event of Default specified in Section 5.01(4), such Event of Default and all consequences thereof (excluding any resulting payment default, other than as a result of acceleration of the Notes) shall be annulled, waived and rescinded, automatically and without any action by the Trustee or the Holders, if within 20 days after such Event of Default arose: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Indebtedness or guarantee that is the basis for such Event of Default has been discharged;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requisite holders thereof have rescinded or waived the acceleration, notice or action (as the case may be) giving rise to such Event of Default;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default that is the basis for such Event of Default has been cured.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5.03.           </w:t>
      </w:r>
      <w:r>
        <w:rPr>
          <w:rFonts w:ascii="Times New Roman;Times;Serif" w:hAnsi="Times New Roman;Times;Serif"/>
          <w:b w:val="false"/>
          <w:i w:val="false"/>
          <w:caps w:val="false"/>
          <w:smallCaps w:val="false"/>
          <w:sz w:val="20"/>
          <w:u w:val="single"/>
        </w:rPr>
        <w:t>Collection of Indebtedness and Suits for Enforcement by Trustee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covenants that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is made in the payment of any installment of interest on any Note when such interest becomes due and payable and such default continues for a period of 30 days,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is made in the payment of the principal of (or premium, if any, on) any Note at the Maturity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upon demand of the Trustee, pay to the Trustee for the benefit of the Holders of such Notes, the whole amount then due and payable on such Notes for principal (and premium, if any) and interest, and interest on any overdue principal (and premium, if any) and, to the extent that payment of such interest shall be legally enforceable, upon any overdue installment of interest, at the rate borne by the Notes,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fails to pay such amounts forthwith upon such demand, the Trustee, in its own name as trustee of an express trust, may institute a judicial proceeding for the collection of the sums so due and unpaid, may prosecute such proceeding to judgment or final decree and may enforce the same against the Issuer, any Guarantor or any other obligor upon the Notes and collect the moneys adjudged or decreed to be payable in the manner provided by law out of the property of the Issuer, any Guarantor or any other obligor upon the Notes, wherever situated.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and is continuing, the Trustee may in its discretion proceed to protect and enforce its rights and the rights of the Holders under this Indenture and the Guarantees by such appropriate judicial proceedings as the Trustee shall deem necessary to protect and enforce any such rights, including seeking recourse against any Guarantor, whether for the specific enforcement of any covenant or agreement in this Indenture or in aid of the exercise of any power granted herein, or to enforce any other proper remedy, including seeking recourse against any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 In case of the pendency of any receivership, insolvency, liquidation, bankruptcy, reorganization, arrangement, adjustment, composition or other judicial proceeding relative to the Issuer or any other obligor including any Guarantor, upon the Notes or the property of the Issuer or of such other obligor or their creditors, the Trustee (irrespective of whether the principal of the Notes shall then be due and payable as therein expressed or by declaration or otherwise and irrespective of whether the Trustee shall have made any demand on the Issuer for the payment of overdue principal, premium, if any, or interest) shall be entitled and empowered, by intervention in such proceeding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and prove a claim for the whole amount of principal (and premium, if any) and interest owing and unpaid in respect of the Notes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collect and receive any moneys or other property payable or deliverable on any such claims and to distribute the same;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similar official in any such judicial proceeding is hereby authorized by each Holder to make such payments to the Trustee and, in the event that the Trustee shall consent to the making of such payments directly to the Holders, to pay the Trustee any amount due it for the reasonable compensation, expenses, disbursements and advances of the Trustee, its agents and counsel, and any other amounts due the Trustee under Section 6.07.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The Trustee may, on behalf of the Holders, vote for the election of a trustee in bankruptcy or similar official and be a member of a creditors’ committee or other similar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5.05.           </w:t>
      </w:r>
      <w:r>
        <w:rPr>
          <w:rFonts w:ascii="Times New Roman;Times;Serif" w:hAnsi="Times New Roman;Times;Serif"/>
          <w:b w:val="false"/>
          <w:i w:val="false"/>
          <w:caps w:val="false"/>
          <w:smallCaps w:val="false"/>
          <w:sz w:val="20"/>
          <w:u w:val="single"/>
        </w:rPr>
        <w:t>Trustee May Enforce Claims Without Possession of Notes</w:t>
      </w:r>
      <w:r>
        <w:rPr>
          <w:rFonts w:ascii="Times New Roman;Times;Serif" w:hAnsi="Times New Roman;Times;Serif"/>
          <w:b w:val="false"/>
          <w:i w:val="false"/>
          <w:caps w:val="false"/>
          <w:smallCaps w:val="false"/>
          <w:sz w:val="20"/>
        </w:rPr>
        <w:t>. All rights of action and claims under this Indenture or the Notes may be prosecuted and enforced by the Trustee without the possession of any of the Notes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in respect of which such judgment has been recovered.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 Any money or property collected by the Trustee pursuant to this Article Five shall be applied in the following order, at the date or dates fixed by the Trustee and, in case of the distribution of such money on account of principal (or premium, if any) or interest, upon presentation of the Notes and the notation thereon of the payment if only partially paid and upon surrender thereof if fully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payment of all amounts due the Trustee or Notes Collateral Agent (including any predecessor Trustee or Notes Collateral Agent) under Section 6.07;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the payment of the amounts then due and unpaid for principal of (and premium, if any) and interest on the Notes in respect of which or for the benefit of which such money has been collected, ratably, without preference or priority of any kind, according to the amounts due and payable on such Notes for principal (and premium, if any) and interest, respectively;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The balance, if any, to the Issuer or as a court of competent jurisdiction may direct in writing;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all sums due and owing to the Holders and the Trustee or Notes Collateral Agent have been paid in full as required by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of Notes pursuant to this Section 5.06.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Subject to the Intercreditor Agreements, except to enforce the right to receive payment of principal, premium, if any, or interest when due, no Holder shall pursue any remedy with respect to this Indenture or the Notes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previously given the Trustee written notice that an Event of Default is continuing;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of at least 30% in aggregate principal amount of the total Outstanding Notes have requested the Trustee in writing to pursue the remedy;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Holders have offered and, if requested, provided to the Trustee indemnity or security satisfactory to the Trustee against any loss, liability or expense;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has not complied with such request within 60 days after the receipt thereof and the offer of security or indemnity;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Holders of a majority in principal amount of the total Outstanding Notes have not given the Trustee a direction inconsistent with such request within such 60-day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Holders shall have any right in any manner whatever by virtue of, or by availing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 (it being further understood that the Trustee does not have an affirmative duty to ascertain whether or not such actions or forbearances are unduly prejudicial to such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5.08.           </w:t>
      </w:r>
      <w:r>
        <w:rPr>
          <w:rFonts w:ascii="Times New Roman;Times;Serif" w:hAnsi="Times New Roman;Times;Serif"/>
          <w:b w:val="false"/>
          <w:i w:val="false"/>
          <w:caps w:val="false"/>
          <w:smallCaps w:val="false"/>
          <w:sz w:val="20"/>
          <w:u w:val="single"/>
        </w:rPr>
        <w:t>Right of Holders to Bring Suit for Payment</w:t>
      </w:r>
      <w:r>
        <w:rPr>
          <w:rFonts w:ascii="Times New Roman;Times;Serif" w:hAnsi="Times New Roman;Times;Serif"/>
          <w:b w:val="false"/>
          <w:i w:val="false"/>
          <w:caps w:val="false"/>
          <w:smallCaps w:val="false"/>
          <w:sz w:val="20"/>
        </w:rPr>
        <w:t>. Subject to Sections 10.16 and 10.17, the right of any Holder of any Outstanding Note to bring suit for the enforcement of any payment of principal of, premium, if any, and interest on such Note, on or after the respective Maturity expressed in such Note (including in connection with an Asset Sale Offer or a Change of Control Offer), shall not be impaired or affected without the consent of such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or the Guarantees and such proceeding has been discontinued or abandoned for any reason, or has been determined adversely to the Trustee or to such Holder, then and in every such case, subject to any determination in such proceeding, the Issuer, any Guarantor, any other obligor of the Notes,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Article Five or by law to the Trustee or to the Holders may be exercised from time to time, and as often as may be deemed expedient, by the Trustee or by the Holders,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 Subject to the Intercreditor Agreements and certain other restrictions in this Indenture, the Holders of a majority in principal amount of the total Outstanding Notes shall have the right to direct the time, method and place of conducting any proceeding for any remedy available to the Trustee or of exercising any trust or power conferred on the Trustee. The Trustee, however, may refuse to follow any direction that conflicts with law or this Indenture or that the Trustee determines is unduly prejudicial to the rights of any other Holder or would involve the Trustee in personal liability. The Trustee may take any other action deemed proper by the Trustee which is not inconsistent with such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Holders of a majority in aggregate principal amount of the then Outstanding Notes by notice to the Trustee may on behalf of the Holders of all the Notes waive any existing Default or Event of Default and its consequences under this Indenture (except (1) a continuing Default or Event of Default in the payment of interest on, premium, if any, or the principal of any such Note held by a non-consenting Holder, or (2) in respect of a covenant or provision hereof or in any Guarantee which under Article Nine cannot be modified or amended without the consent of the Holder of each Outstanding Note affected which shall require the consent of all Holders of the Notes) and rescind any acceleration and its consequences with respect to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rescission would not conflict with any judgment of a court of competent jurisdiction;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the Trustee and the Notes Collateral Agent have been paid any amounts incurred by them in connection with such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5.14.           </w:t>
      </w:r>
      <w:r>
        <w:rPr>
          <w:rFonts w:ascii="Times New Roman;Times;Serif" w:hAnsi="Times New Roman;Times;Serif"/>
          <w:b w:val="false"/>
          <w:i w:val="false"/>
          <w:caps w:val="false"/>
          <w:smallCaps w:val="false"/>
          <w:sz w:val="20"/>
          <w:u w:val="single"/>
        </w:rPr>
        <w:t>Waiver of Stay or Extension Laws</w:t>
      </w:r>
      <w:r>
        <w:rPr>
          <w:rFonts w:ascii="Times New Roman;Times;Serif" w:hAnsi="Times New Roman;Times;Serif"/>
          <w:b w:val="false"/>
          <w:i w:val="false"/>
          <w:caps w:val="false"/>
          <w:smallCaps w:val="false"/>
          <w:sz w:val="20"/>
        </w:rPr>
        <w:t>. Each of the Issuer, the Guarantors and any other obligor on the Notes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Issuer, the Guarantors and any other obligor on the Notes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5.15.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5.15 does not apply to a suit by the Trustee, a suit by a Holder relating to right to payment hereof, or a suit by Holders of more than 10% in principal amount of the then Outstanding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Six</w:t>
        <w:br/>
        <w:br/>
        <w:t>THE TRUSTEE</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6.01.           </w:t>
      </w:r>
      <w:r>
        <w:rPr>
          <w:rFonts w:ascii="Times New Roman;Times;Serif" w:hAnsi="Times New Roman;Times;Serif"/>
          <w:b w:val="false"/>
          <w:i w:val="false"/>
          <w:caps w:val="false"/>
          <w:smallCaps w:val="false"/>
          <w:sz w:val="20"/>
          <w:u w:val="single"/>
        </w:rPr>
        <w:t>Duties of the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during the continuance of an Event of Default,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and the Notes Collateral Agent undertake to perform such respective duties and only such duties as are specifically set forth in this Indenture, and no implied covenants or obligations shall be read into this Indenture against the Trustee or the Notes Collateral Agent;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gross negligence or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specifically required by any provision hereof to be provided to it, the Trustee shall be under a duty to examine the same to determine whether or not they conform to the requirements of this Indenture, but not to verify the contents thereof including the accuracy of any mathematical calculations.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has occurred and is continuing of which a Responsible Officer has actual knowledge or of which written notice of such Event of Default shall have been given to a Responsible Officer by the Issuer, any other obligor of the Notes or by Holders of at least 30% of the aggregate principal amount of the Notes, the Trustee shall exercise such of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paragraph (c) shall not be construed to limit the effect of paragraph (a) of this Section 6.01;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unless it shall be proved in a court of competent jurisdiction that the Trustee was negligent in ascertaining the pertinent facts;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a majority in aggregate principal amount of the Outstanding Notes relating to the time, method and place of conducting any proceeding for any remedy available to the Trustee or the Notes Collateral Agent, or exercising any trust or power conferred upon the Trustee or the Notes Collateral Agent, under this Indenture;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provision of this Indenture shall require the Trustee or the Notes Collateral Agent to expend or risk its own funds or otherwise incur any financial liability in the performance of any of its duties hereunder, or in the exercise of any of its rights or powers vested in it by this Indenture, if it shall have reasonable grounds for believing that repayment of such funds or adequate indemnity against such risk or liability is not reasonably assured to 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relating to the conduct or affecting the liability of or affording protection to the Trustee shall be subject to the provisions of this Section 6.01.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6.02.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If a Default or Event of Default occurs and is continuing of which a Responsible Officer of the Trustee has received written notice, the Trustee shall transmit to the Holders notice of such Default or Event of Default hereunder known to the Trustee within 90 days after receipt of such written notice by the Trustee, unless such Default or Event of Default shall have been cured or waived;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in the case of a Default or Event of Default in the payment of the principal of (or premium, if any, on) or interest on any Note, the Trustee shall be protected in withholding such notice if and so long as Responsible Officers of the Trustee in good faith determine that the withholding of such notice is in the best interest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Default, notice of acceleration or instruction to the Trustee to provide a notice of Default, notice of acceleration or take any other action (a “</w:t>
      </w:r>
      <w:r>
        <w:rPr>
          <w:rFonts w:ascii="Times New Roman;Times;Serif" w:hAnsi="Times New Roman;Times;Serif"/>
          <w:b w:val="false"/>
          <w:i/>
          <w:caps w:val="false"/>
          <w:smallCaps w:val="false"/>
          <w:sz w:val="20"/>
        </w:rPr>
        <w:t>Noteholder Direction</w:t>
      </w:r>
      <w:r>
        <w:rPr>
          <w:rFonts w:ascii="Times New Roman;Times;Serif" w:hAnsi="Times New Roman;Times;Serif"/>
          <w:b w:val="false"/>
          <w:i w:val="false"/>
          <w:caps w:val="false"/>
          <w:smallCaps w:val="false"/>
          <w:sz w:val="20"/>
        </w:rPr>
        <w:t>”) provided by any one or more Holders (each a “</w:t>
      </w:r>
      <w:r>
        <w:rPr>
          <w:rFonts w:ascii="Times New Roman;Times;Serif" w:hAnsi="Times New Roman;Times;Serif"/>
          <w:b w:val="false"/>
          <w:i/>
          <w:caps w:val="false"/>
          <w:smallCaps w:val="false"/>
          <w:sz w:val="20"/>
        </w:rPr>
        <w:t>Directing Holder</w:t>
      </w:r>
      <w:r>
        <w:rPr>
          <w:rFonts w:ascii="Times New Roman;Times;Serif" w:hAnsi="Times New Roman;Times;Serif"/>
          <w:b w:val="false"/>
          <w:i w:val="false"/>
          <w:caps w:val="false"/>
          <w:smallCaps w:val="false"/>
          <w:sz w:val="20"/>
        </w:rPr>
        <w:t>”) must be accompanied by a written representation substantially in the form of Exhibit C hereto from each such Holder to the Issuer and the Trustee that such Holder is not (or, in the case such Holder is the Depository or its nominee, that such Holder is being instructed solely by beneficial owners that are not) Net Short (a “</w:t>
      </w:r>
      <w:r>
        <w:rPr>
          <w:rFonts w:ascii="Times New Roman;Times;Serif" w:hAnsi="Times New Roman;Times;Serif"/>
          <w:b w:val="false"/>
          <w:i/>
          <w:caps w:val="false"/>
          <w:smallCaps w:val="false"/>
          <w:sz w:val="20"/>
        </w:rPr>
        <w:t>Position Representation</w:t>
      </w:r>
      <w:r>
        <w:rPr>
          <w:rFonts w:ascii="Times New Roman;Times;Serif" w:hAnsi="Times New Roman;Times;Serif"/>
          <w:b w:val="false"/>
          <w:i w:val="false"/>
          <w:caps w:val="false"/>
          <w:smallCaps w:val="false"/>
          <w:sz w:val="20"/>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 with such other information as the Issuer may reasonably request from time to time in order to verify the accuracy of such Holder’s Position Representation within five Business Days of request therefor (a “</w:t>
      </w:r>
      <w:r>
        <w:rPr>
          <w:rFonts w:ascii="Times New Roman;Times;Serif" w:hAnsi="Times New Roman;Times;Serif"/>
          <w:b w:val="false"/>
          <w:i/>
          <w:caps w:val="false"/>
          <w:smallCaps w:val="false"/>
          <w:sz w:val="20"/>
        </w:rPr>
        <w:t>Verification Covenant</w:t>
      </w:r>
      <w:r>
        <w:rPr>
          <w:rFonts w:ascii="Times New Roman;Times;Serif" w:hAnsi="Times New Roman;Times;Serif"/>
          <w:b w:val="false"/>
          <w:i w:val="false"/>
          <w:caps w:val="false"/>
          <w:smallCaps w:val="false"/>
          <w:sz w:val="20"/>
        </w:rPr>
        <w:t>”). In any case in which the Holder is the Depository or its nominee, any Position Representation or Verification Covenant required hereunder shall be provided by the beneficial owner of such Notes in lieu of the Depository or its nominee.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following the delivery of a Noteholder Direction, but prior to the acceleration of the Notes, the Issuer determines in good faith that there is a reasonable basis to believe that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pending a final and non-appealable determination of a court of competent jurisdiction on such matter. If, following the delivery of a Noteholder Direction, but prior to the acceleration of the Notes, the Issuer provides to the Trustee an Officer’s Certificate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the Notes held by the remaining Holders that provided such Noteholder Direction would have been insufficient to validly provide such Noteholder Direction, such Noteholder Direction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with the effect that such Event of Default with respect to the Notes shall be deemed never to have occurred, acceleration voided and the Trustee shall be deemed not to have received such Noteholder Direction or any notice of such Default or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preceding two paragraphs to the contrary, any Noteholder Direction with respect to the Notes delivered to the Trustee during the pendency of an Event of Default as the result of a bankruptcy or similar proceeding shall not require compliance with the foregoing paragraph.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notwithstanding this Section 6.02,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will be fully protected for any actions taken (or not taken) pursuant to such Noteholder Direction under this Indenture even if such Holder’s holdings are later disregarded because of a breach of, or failure to comply with, the Position Representation or Verification Covenant. The Trustee shall have no liability to the Issuer, any Holder or any other Person in acting in good faith on a Noteholder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6.03.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(whether in original or facsimile form) believed by it to be genuine and to have been signed or presented by the proper party or parties;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request or direction of the Issuer mentioned herein shall be sufficiently evidenced by an Issuer Request or Issuer Order and any resolution of the Board may be sufficiently evidenced by a Board Resolution certified by the Secretary or an Assistant Secretary of the Issuer to have been duly adopted by the Board of the Issuer and to be in full force and effect on the date of such certification, and delivered to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or Opinion of Counsel;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shall not be charged with knowledge of any fact, Default or Event of Default with respect to the Notes unless either (i) a Responsible Officer has received written notice of such fact, Default or Event of Default or (ii) written notice of such fact, Default or Event of Default shall have been received by a Responsible Officer from the Issuer, any other obligor of the Notes or from Holders of at least 30% of the aggregate principal amount of the Notes and references this Indenture and the Notes. Delivery of any reports to the Trustee pursuant to Section 10.09 shall not constitute knowledge of, or notice to, the Trustee of the information contained therein;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may consult with counsel, accountants, bankers or other relevant experts of its own selection and the advice of such counsel, accountants, bankers or other relevant expert or any Opinion of Counsel shall be full and complete authorization and protection in respect of any action taken, suffered or omitted by it hereunder in good faith and in accordance with the advice or opinion of such counsel or Opinion of Counsel;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it against any loss, liability or expense;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shall not be bound to make any investigation into the facts or matters stated in any resolution, certificate, statement, instrument, opinion, report, notice, request, direction, consent, order, bond, debenture, note, other evidence of indebtedness or other paper or document, or inquire as to the performance by the Issuer or the Guarantors of any of their covenants in this Indenture or inquire as to the performance by the Issuer or the Guarantors of any of their covenants in this Indenture,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expense of the Issuer and shall incur no liability of any kind by reason of such inquiry or investigation;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Trustee may execute any of the trusts or powers hereunder or perform any duties hereunder or any other Note Document (including the Intercreditor Agreements) either directly or by or through agents, subagents, nominees, collateral trustees or attorneys and the Trustee shall not be responsible for any misconduct or negligence on the part of any agent, subagent, nominee, collateral trustees or attorney appointed with due care by it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Trustee shall not be liable for any action taken, suffered or omitted by it in good faith and believed by it to be authorized or within the discretion or rights or powers conferred upon it by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rights, privileges, protections, immunities and benefits given to the Trustee, including its right to be indemnified, are extended to, and shall be enforceable by, the Trustee in each of its capacities hereunder whether as an Agent or otherwise, and each agent, custodian and other Person employed to act hereunder, including the Notes Collateral Agent (even if such rights, privileges, protections, immunities and benefits are not set forth in Article Fourteen); provided however, that during the continuance of an Event of Default, only the Trustee, and not any Agent, shall be subject to the prudent person standard.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Trustee may request that the Issuer deliver an incumbency certificate substantially in the form of Exhibit B hereto setting forth the names of individuals or titles of officers authorized at such time to take specified actions pursuant to this Indenture, which such incumbency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Trustee shall not be required to give any note, bond or surety in respect of the execution of the trusts and powers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 no event shall the Trustee be responsible or liable for any failure or delay in the performance of its obligations hereunder arising out of or caused by, directly or indirectly, forces beyond its reasonable control, including, without limitation, acts of war or terrorism, civil or military disturbances, nuclear or natural catastrophes or acts of God, pandemic, epidemic, and interruptions, loss or malfunction of utilities, third-party communications or computer (software and hardware) services; it being understood that the Trustee shall use reasonable efforts which are consistent with accepted practices to resume performance as soon as practicable under the circumstances;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permissive rights, powers and authorizations of the Trustee to take actions permitted by this Indenture shall not be construed as an obligation or duty to do so;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at any time the Trustee is served with any arbitral, judicial or administrative order, judgment, award, decree, writ or other form of arbitral, judicial or administrative process which in any way affects this Indenture, the Notes, the Collateral or any part thereof or funds held by it (including, but not limited to, orders of attachment or garnishment or other forms of levies or injunctions), it shall be authorized to comply therewith in any manner as it reasonably determines necessary, after consulting with counsel, and if the Trustee complies with any such arbitral, judicial or administrative order, judgment, award, decree, writ or other form of arbitral, judicial or administrative process, the Trustee shall not be liable to any of the parties hereto or to any other person or entity even though such order, judgment, award, decree, writ or process may be subsequently modified or vacated or otherwise determined to have been without legal force or effect;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The Trustee shall not be liable for any indirect, special, punitive, incidental or consequential damages (including, but not limited to, lost profits) whatsoever, even if they have been informed of the likelihood thereof and regardless of the form of 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6.04.           </w:t>
      </w:r>
      <w:r>
        <w:rPr>
          <w:rFonts w:ascii="Times New Roman;Times;Serif" w:hAnsi="Times New Roman;Times;Serif"/>
          <w:b w:val="false"/>
          <w:i w:val="false"/>
          <w:caps w:val="false"/>
          <w:smallCaps w:val="false"/>
          <w:sz w:val="20"/>
          <w:u w:val="single"/>
        </w:rPr>
        <w:t>Trustee Not Responsible for Recitals or Issuance of Notes</w:t>
      </w:r>
      <w:r>
        <w:rPr>
          <w:rFonts w:ascii="Times New Roman;Times;Serif" w:hAnsi="Times New Roman;Times;Serif"/>
          <w:b w:val="false"/>
          <w:i w:val="false"/>
          <w:caps w:val="false"/>
          <w:smallCaps w:val="false"/>
          <w:sz w:val="20"/>
        </w:rPr>
        <w:t>. The recitals contained herein, the Guarantees, the Security Documents, and in the Notes, except for the Trustee’s certificates of authentication, shall be taken as the statements of the Issuer, and neither the Trustee nor any Agent assumes responsibility for their correctness. Neither the Trustee nor any Agent makes representations as to the validity or sufficiency of this Indenture, the Guarantees, the Security Documents, or of the Notes, except that the Trustee represents that it is duly authorized to execute and deliver this Indenture, authenticate the Notes and perform its obligations hereunder. Neither the Trustee nor any Agent shall be accountable for the use or application by the Issuer of Notes or the proceeds thereof or the Offering Memorandum or any other documents used in connection with the sale or distribution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6.05.           </w:t>
      </w:r>
      <w:r>
        <w:rPr>
          <w:rFonts w:ascii="Times New Roman;Times;Serif" w:hAnsi="Times New Roman;Times;Serif"/>
          <w:b w:val="false"/>
          <w:i w:val="false"/>
          <w:caps w:val="false"/>
          <w:smallCaps w:val="false"/>
          <w:sz w:val="20"/>
          <w:u w:val="single"/>
        </w:rPr>
        <w:t>May Hold Notes</w:t>
      </w:r>
      <w:r>
        <w:rPr>
          <w:rFonts w:ascii="Times New Roman;Times;Serif" w:hAnsi="Times New Roman;Times;Serif"/>
          <w:b w:val="false"/>
          <w:i w:val="false"/>
          <w:caps w:val="false"/>
          <w:smallCaps w:val="false"/>
          <w:sz w:val="20"/>
        </w:rPr>
        <w:t xml:space="preserve">. The Trustee, the Notes Collateral Agent, any Paying Agent, any Note Registrar or any other agent of the Issuer or of the Trustee, in its individual or any other capacity, may become the owner or pledgee of Notes and may otherwise deal with the Issuer with the same rights it would have if it were not the Trustee, the Notes Collateral Agent, Paying Agent, Note Registrar or such other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it acquires any conflicting interest (as such term is defined in the Trust Indenture Act), it must eliminate such conflict within 90 days or resign as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6.06.           </w:t>
      </w:r>
      <w:r>
        <w:rPr>
          <w:rFonts w:ascii="Times New Roman;Times;Serif" w:hAnsi="Times New Roman;Times;Serif"/>
          <w:b w:val="false"/>
          <w:i w:val="false"/>
          <w:caps w:val="false"/>
          <w:smallCaps w:val="false"/>
          <w:sz w:val="20"/>
          <w:u w:val="single"/>
        </w:rPr>
        <w:t>Money Held in Trust</w:t>
      </w:r>
      <w:r>
        <w:rPr>
          <w:rFonts w:ascii="Times New Roman;Times;Serif" w:hAnsi="Times New Roman;Times;Serif"/>
          <w:b w:val="false"/>
          <w:i w:val="false"/>
          <w:caps w:val="false"/>
          <w:smallCaps w:val="false"/>
          <w:sz w:val="20"/>
        </w:rPr>
        <w:t>. Money held by the Trustee in trust hereunder need not be segregated from other funds except to the extent required by law. The Trustee shall be under no liability for interest on any money received by it hereunder except as otherwise agreed in writing with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6.07.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The Issuer and the Guarantors, jointly and severally, agree: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to the Trustee and the Notes Collateral Agent from time to time such compensation as shall be agreed in writing between the Issuer and the Trustee or Notes Collateral Agent for all services rendered hereunder (which compensation shall not be limited by any provision of law in regard to the compensation of a trustee of an express trust);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reimburse the Trustee and the Notes Collateral Agent upon request for all reasonable expenses, disbursements and advances incurred or made by them in accordance with any provision of this Indenture (including the reasonable compensation and the expenses and disbursements of agents and counsel but excluding, for the avoidance of doubt, other experts engaged by the Trustee without the Issuer’s prior written consent (such consent not to be unreasonably withheld)), except any such expense, disbursement or advance as shall be determined to have been caused by its own negligence, bad faith or willful misconduct;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the Trustee and Notes Collateral Agent and any predecessor Trustee or Notes Collateral Agent for, and to hold it harmless against, any and all loss, liability, claim, damage or expense, including taxes (other than the taxes based on the income of the Trustee) incurred without gross negligence, bad faith or willful misconduct on the part of the Trustee or Notes Collateral Agent, arising out of or in connection with the acceptance or administration of this trust or the Collateral, including the reasonable costs and expenses of defending the Trustee or Notes Collateral Agent against any claim regardless of whether the claim is asserted by the Issuer, a Guarantor, a Holder or any other Person or liability in connection with the exercise or performance of any of its powers or duties hereunder, including the reasonable costs and expenses of enforcing this Indenture, including the indemnifications provided herein, the Security Documents, or a Guarantee against the Issuer or a Guarantor (including this Section 6.07).</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Issuer and the Guarantors under this Section 6.07 to compensate the Trustee and Notes Collateral Agent, to pay or reimburse the Trustee and Notes Collateral Agent for expenses, disbursements and advances and to indemnify and hold harmless the Trustee and Notes Collateral Agent shall constitute additional indebtedness hereunder and shall survive the satisfaction and discharge of this Indenture and resignation or removal of the Trustee or Notes Collateral Agent, as applicable. As security for the performance of such obligations of the Issuer, the Trustee shall have a lien prior to the Notes upon all property and funds held or collected by the Trustee as such, except funds held in trust solely for the benefit of the Holders entitled thereto for the payment of principal of (and premium, if any) or interest on particular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any other rights available to the Trustee under applicable law, when the Trustee incurs expenses or renders services in connection with an Event of Default specified in Section 5.01(6), the expenses (including the reasonable charges and expenses of its counsel) of and the compensation for such services are intended to constitute expenses of administration under any applicable Bankruptcy Law. “Trustee” for the purposes of this Section 6.07 shall include any predecessor Trustee and the Trustee in each of its capacities hereunder and each agent, custodian and other person employed to act hereunder as permitted by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negligence or willful misconduct of any predecessor Trustee hereunder shall not affect the rights of any other successor Trustee hereunder (other than a successor Trustee that is successor by merger or consolidation to such predecessor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6.07 shall survive the satisfaction and discharge of this Indenture and resignation or removal of the Trustee or Notes Collateral Agent,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6.08.           </w:t>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There shall be at all times a Trustee hereunder which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6.08,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6.08, it shall resign immediately in the manner and with the effect hereinafter specified in this Article Six.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6.09.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resignation or removal of the Trustee and no appointment of a successor Trustee pursuant to this Article shall become effective until the acceptance of appointment by the successor Trustee in accordance with the applicable requirements of Section 6.10.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by giving written notice thereof to the Issuer. Upon receiving such notice of resignation, the Issuer shall promptly appoint a successor trustee by written instrument, a copy of which shall be delivered to the resigning Trustee and a copy to the successor Trustee. If the instrument of acceptance by a successor Trustee required by Section 6.10 shall not have been delivered to the Trustee within 30 days after the giving of such notice of resignation, the resigning Trustee may petition, at the expense of the Issuer, any court of competent jurisdiction for the appointment of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be removed at any time by Act of the Holders of not less than a majority in principal amount of the Outstanding Notes, delivered to the Trustee and to the Issuer. If the instrument of acceptance by a successor Trustee required by Section 6.10 shall not have been delivered to the Trustee within 30 days after the giving of such notice of removal, the Trustee being removed may petition, at the expense of the Issuer, any court of competent jurisdiction for the appointment of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Trustee shall resign, be removed or become incapable of acting, or if a vacancy shall occur in the office of Trustee for any cause, the Issuer shall promptly appoint a successor Trustee. If, within one year after such resignation, removal or incapability, or the occurrence of such vacancy, a successor Trustee shall be appointed by Act of the Holders of a majority in principal amount of the Outstanding Notes delivered to the Issuer and the retiring Trustee, the successor Trustee so appointed shall, forthwith upon its acceptance of such appointment, become the successor Trustee and supersede the successor Trustee appointed by the Issuer. If no successor Trustee shall have been so appointed by the Issuer or the Holders and accepted appointment in the manner hereinafter provided, any Holder who has been a bona fide Holder of a Note for at least six months may, on behalf of himself and all others similarly situated, petition any court of competent jurisdiction for the appointment of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give notice of each resignation and each removal of the Trustee and each appointment of a successor Trustee to the Holders in the manner provided for in Section 1.07. Each notice shall include the name of the successor Trustee and the address of its Corporate Trust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6.10.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successor Trustee appointed hereunder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Issuer or the successor Trustee, such retiring Trustee shall, upon payment of its charges and subject to its lien, if any, provided for in Section 6.07,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Issuer shall execute any and all instruments for more fully and certainly vesting in and confirming to such successor Trustee all such rights, powers and trusts.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successor Trustee shall accept its appointment unless at the time of such acceptance such successor Trustee shall be eligible under this Article Six.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6.11.           </w:t>
      </w:r>
      <w:r>
        <w:rPr>
          <w:rFonts w:ascii="Times New Roman;Times;Serif" w:hAnsi="Times New Roman;Times;Serif"/>
          <w:b w:val="false"/>
          <w:i w:val="false"/>
          <w:caps w:val="false"/>
          <w:smallCaps w:val="false"/>
          <w:sz w:val="20"/>
          <w:u w:val="single"/>
        </w:rPr>
        <w:t>Merger, Conversion, Consolidation or Succession to Business</w:t>
      </w:r>
      <w:r>
        <w:rPr>
          <w:rFonts w:ascii="Times New Roman;Times;Serif" w:hAnsi="Times New Roman;Times;Serif"/>
          <w:b w:val="false"/>
          <w:i w:val="false"/>
          <w:caps w:val="false"/>
          <w:smallCaps w:val="false"/>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corporation shall be otherwise eligible under this Article Six,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 In case at that time any of the Notes shall not have been authenticated, any successor Trustee may authenticate such Notes either in the name of any predecessor hereunder or in the name of the successor Trustee. In all such cases such certificates shall have the full force and effect which this Indenture provides for the certificate of authentication of the Trustee shall have;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6.12.           </w:t>
      </w:r>
      <w:r>
        <w:rPr>
          <w:rFonts w:ascii="Times New Roman;Times;Serif" w:hAnsi="Times New Roman;Times;Serif"/>
          <w:b w:val="false"/>
          <w:i w:val="false"/>
          <w:caps w:val="false"/>
          <w:smallCaps w:val="false"/>
          <w:sz w:val="20"/>
          <w:u w:val="single"/>
        </w:rPr>
        <w:t>Appointment of Authenticating Agent</w:t>
      </w:r>
      <w:r>
        <w:rPr>
          <w:rFonts w:ascii="Times New Roman;Times;Serif" w:hAnsi="Times New Roman;Times;Serif"/>
          <w:b w:val="false"/>
          <w:i w:val="false"/>
          <w:caps w:val="false"/>
          <w:smallCaps w:val="false"/>
          <w:sz w:val="20"/>
        </w:rPr>
        <w:t>. At any time when any of the Notes remain Outstanding, the Trustee may appoint one or more agents (each an “</w:t>
      </w:r>
      <w:r>
        <w:rPr>
          <w:rFonts w:ascii="Times New Roman;Times;Serif" w:hAnsi="Times New Roman;Times;Serif"/>
          <w:b w:val="false"/>
          <w:i/>
          <w:caps w:val="false"/>
          <w:smallCaps w:val="false"/>
          <w:sz w:val="20"/>
        </w:rPr>
        <w:t>Authenticating Agent</w:t>
      </w:r>
      <w:r>
        <w:rPr>
          <w:rFonts w:ascii="Times New Roman;Times;Serif" w:hAnsi="Times New Roman;Times;Serif"/>
          <w:b w:val="false"/>
          <w:i w:val="false"/>
          <w:caps w:val="false"/>
          <w:smallCaps w:val="false"/>
          <w:sz w:val="20"/>
        </w:rPr>
        <w:t>”) with respect to the Notes which shall be authorized to act on behalf of the Trustee to authenticate Notes and the Trustee shall give written notice of such appointment to all Holders of Notes with respect to which such Authenticating Agent will serve, in the manner provided for in Section 1.07. Notes so authenticated shall be entitled to the benefits of this Indenture and shall be valid and obligatory for all purposes as if authenticated by the Trustee hereunder. Any such appointment shall be evidenced by an instrument in writing signed by an authorized signatory of the Trustee, and a copy of such instrument shall be promptly furnished to the Issuer.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shall continue to be an Authenticating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corporation shall be otherwise eligible under this Section 6.12, without the execution or filing of any paper or any further act on the part of the Trustee or the Authenticating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6.12, the Trustee may appoint a successor Authenticating Agent which shall be acceptable to the Issuer and shall give written notice of such appointment to all Holders of Notes,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agrees to pay to each Authenticating Agent from time to time such compensation for its services under this Section as shall be agreed in writing between the Issuer and such Authenticating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appointment is made pursuant to this Section 6.12, the Notes may have endorsed thereon, in addition to the Trustee’s certificate of authentication, an alternate certificate of authentication in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4320" w:right="0" w:hanging="0"/>
        <w:jc w:val="left"/>
        <w:rPr>
          <w:caps w:val="false"/>
          <w:smallCaps w:val="false"/>
        </w:rPr>
      </w:pPr>
      <w:r>
        <w:rPr>
          <w:caps w:val="false"/>
          <w:smallCaps w:val="false"/>
        </w:rPr>
        <w:t> </w:t>
      </w:r>
    </w:p>
    <w:tbl>
      <w:tblPr>
        <w:tblW w:w="7239" w:type="dxa"/>
        <w:jc w:val="left"/>
        <w:tblInd w:w="0" w:type="dxa"/>
        <w:tblLayout w:type="fixed"/>
        <w:tblCellMar>
          <w:top w:w="0" w:type="dxa"/>
          <w:left w:w="0" w:type="dxa"/>
          <w:bottom w:w="0" w:type="dxa"/>
          <w:right w:w="0" w:type="dxa"/>
        </w:tblCellMar>
      </w:tblPr>
      <w:tblGrid>
        <w:gridCol w:w="605"/>
        <w:gridCol w:w="60"/>
        <w:gridCol w:w="60"/>
        <w:gridCol w:w="998"/>
        <w:gridCol w:w="5441"/>
        <w:gridCol w:w="75"/>
      </w:tblGrid>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9" w:type="dxa"/>
            <w:gridSpan w:val="2"/>
            <w:tcBorders/>
            <w:vAlign w:val="center"/>
          </w:tcPr>
          <w:p>
            <w:pPr>
              <w:pStyle w:val="TableContents"/>
              <w:bidi w:val="0"/>
              <w:spacing w:before="0" w:after="283"/>
              <w:jc w:val="left"/>
              <w:rPr/>
            </w:pPr>
            <w:r>
              <w:rPr/>
              <w:t>U.S. BANK TRUST COMPANY, NATIONAL ASSOCIATION</w:t>
            </w:r>
          </w:p>
        </w:tc>
        <w:tc>
          <w:tcPr>
            <w:tcW w:w="75" w:type="dxa"/>
            <w:tcBorders/>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9" w:type="dxa"/>
            <w:gridSpan w:val="2"/>
            <w:tcBorders/>
            <w:vAlign w:val="center"/>
          </w:tcPr>
          <w:p>
            <w:pPr>
              <w:pStyle w:val="TableContents"/>
              <w:bidi w:val="0"/>
              <w:spacing w:before="0" w:after="283"/>
              <w:jc w:val="left"/>
              <w:rPr/>
            </w:pPr>
            <w:r>
              <w:rPr/>
              <w:t>as Trustee</w:t>
            </w:r>
          </w:p>
        </w:tc>
        <w:tc>
          <w:tcPr>
            <w:tcW w:w="75" w:type="dxa"/>
            <w:tcBorders/>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Date: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By: </w:t>
            </w:r>
          </w:p>
        </w:tc>
        <w:tc>
          <w:tcPr>
            <w:tcW w:w="544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center"/>
              <w:rPr/>
            </w:pPr>
            <w:r>
              <w:rPr/>
              <w:t> </w:t>
            </w:r>
          </w:p>
        </w:tc>
        <w:tc>
          <w:tcPr>
            <w:tcW w:w="5441" w:type="dxa"/>
            <w:tcBorders/>
            <w:vAlign w:val="center"/>
          </w:tcPr>
          <w:p>
            <w:pPr>
              <w:pStyle w:val="TableContents"/>
              <w:bidi w:val="0"/>
              <w:spacing w:before="0" w:after="283"/>
              <w:jc w:val="center"/>
              <w:rPr/>
            </w:pPr>
            <w:r>
              <w:rPr/>
              <w:t>as Authenticating Agent</w:t>
            </w:r>
          </w:p>
        </w:tc>
        <w:tc>
          <w:tcPr>
            <w:tcW w:w="75" w:type="dxa"/>
            <w:tcBorders/>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left"/>
              <w:rPr/>
            </w:pPr>
            <w:r>
              <w:rPr/>
              <w:t>By: </w:t>
            </w:r>
          </w:p>
        </w:tc>
        <w:tc>
          <w:tcPr>
            <w:tcW w:w="544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center"/>
              <w:rPr/>
            </w:pPr>
            <w:r>
              <w:rPr/>
              <w:t> </w:t>
            </w:r>
          </w:p>
        </w:tc>
        <w:tc>
          <w:tcPr>
            <w:tcW w:w="5441" w:type="dxa"/>
            <w:tcBorders/>
            <w:vAlign w:val="center"/>
          </w:tcPr>
          <w:p>
            <w:pPr>
              <w:pStyle w:val="TableContents"/>
              <w:bidi w:val="0"/>
              <w:spacing w:before="0" w:after="283"/>
              <w:jc w:val="center"/>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6.13.           </w:t>
      </w:r>
      <w:r>
        <w:rPr>
          <w:rFonts w:ascii="Times New Roman;Times;Serif" w:hAnsi="Times New Roman;Times;Serif"/>
          <w:b w:val="false"/>
          <w:i w:val="false"/>
          <w:caps w:val="false"/>
          <w:smallCaps w:val="false"/>
          <w:sz w:val="20"/>
          <w:u w:val="single"/>
        </w:rPr>
        <w:t>Security Documents; Intercreditor Agreements</w:t>
      </w:r>
      <w:r>
        <w:rPr>
          <w:rFonts w:ascii="Times New Roman;Times;Serif" w:hAnsi="Times New Roman;Times;Serif"/>
          <w:b w:val="false"/>
          <w:i w:val="false"/>
          <w:caps w:val="false"/>
          <w:smallCaps w:val="false"/>
          <w:sz w:val="20"/>
        </w:rPr>
        <w:t>. By their acceptance of the Notes, the Holders hereby authorize and direct the Trustee and the Notes Collateral Agent, as the case may be, to execute, deliver and perform all of its express duties provided for in the ABL Intercreditor Agreement Joinder, the Security Agreement, the Pledge Agreement and each other Security Document, including any Security Documents executed and delivered after the Issue Date. It is hereby expressly acknowledged and agreed that, in doing so, the Trustee and the Notes Collateral Agent are not responsible for the terms or contents of such agreements, or for the validity or enforceability thereof, or the sufficiency thereof for any purpose, and agrees that whether or not so expressly stated therein, in entering into, or taking (or forbearing from) any action under, the ABL Intercreditor Agreement, the Security Agreement, the Pledge Agreement or any other Security Documents, the Trustee and the Notes Collateral Agent shall have all of the rights, privileges, protections, immunities, indemnities, benefits and other protections granted to it under this Indenture (in addition to those that may be granted to it under the terms of such other agreement or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Seven</w:t>
        <w:br/>
        <w:br/>
        <w:t>HOLDERS LISTS AND REPORTS BY TRUSTEE AND ISSUER</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7.01.           </w:t>
      </w:r>
      <w:r>
        <w:rPr>
          <w:rFonts w:ascii="Times New Roman;Times;Serif" w:hAnsi="Times New Roman;Times;Serif"/>
          <w:b w:val="false"/>
          <w:i w:val="false"/>
          <w:caps w:val="false"/>
          <w:smallCaps w:val="false"/>
          <w:sz w:val="20"/>
          <w:u w:val="single"/>
        </w:rPr>
        <w:t>Issuer to Furnish Trustee Names and Addresses</w:t>
      </w:r>
      <w:r>
        <w:rPr>
          <w:rFonts w:ascii="Times New Roman;Times;Serif" w:hAnsi="Times New Roman;Times;Serif"/>
          <w:b w:val="false"/>
          <w:i w:val="false"/>
          <w:caps w:val="false"/>
          <w:smallCaps w:val="false"/>
          <w:sz w:val="20"/>
        </w:rPr>
        <w:t>. The Issuer will furnish or cause to be furnished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semiannually, not more than ten days after each Regular Record Date, a list, in such form as the Trustee may reasonably require, of the names and addresses of the Holders as of such Regular Record Date;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such other times as the Trustee may reasonably request in writing, within 30 days after receipt by the Issuer of any such request, a list of similar form and content to that in clause (1) hereof as of a date not more than 15 days prior to the time such list is furnished;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and so long as the Trustee shall be a Note Registrar, no such list need be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7.02.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this Indenture becomes subject to the Trust Indenture Act, within 60 days after December 31 of each year commencing with December 31, 2020, the Trustee shall transmit to the Holders of Notes (with a copy to the Issuer at the address specified in Section 1.06), in the manner and to the extent provided in TIA Section 313(c), a brief report dated as of such December 31 that complies with TIA Section 313(a), if so required by that Section. The Trustee also shall comply with TIA Section 313(b). A copy of each such report shall, at the time of such transmission to Holders, be filed by the Trustee with each stock exchange, if any, upon which the Notes are listed, with the SEC and with the Issuer. The Issuer will promptly notify the Trustee in writing when the Notes are listed on any stock exchange and any delisting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Eight</w:t>
        <w:br/>
        <w:br/>
        <w:t>MERGER, CONSOLIDATION, AMALGAMATION OR SALE</w:t>
        <w:br/>
        <w:t>OF ALL OR SUBSTANTIALLY ALL ASSETS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8.01.           </w:t>
      </w:r>
      <w:r>
        <w:rPr>
          <w:rFonts w:ascii="Times New Roman;Times;Serif" w:hAnsi="Times New Roman;Times;Serif"/>
          <w:b w:val="false"/>
          <w:i w:val="false"/>
          <w:caps w:val="false"/>
          <w:smallCaps w:val="false"/>
          <w:sz w:val="20"/>
          <w:u w:val="single"/>
        </w:rPr>
        <w:t>Issuer May Consolidate, Etc., Only on Certain Terms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merge, consolidate or amalgamate with or into or wind up into (whether or not the Issuer is the surviving Person), or sell, assign, transfer, lease, convey or otherwise dispose of all or substantially all of the properties or assets of the Issuer and its Restricted Subsidiaries, taken as a whole, in one or more related transactions, to any Person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is the surviving Person or the Person formed by or surviving any such merger, consolidation or amalgamation (if other than the Issuer) or to which such sale, assignment, transfer, lease, conveyance or other disposition will have been made is a Person organized or existing under the laws of the jurisdiction of organization of the Issuer or the laws of the United States, any state thereof or the District of Columbia, or any territory thereof (such Person, as the case may be, being herein called the “</w:t>
      </w:r>
      <w:r>
        <w:rPr>
          <w:rFonts w:ascii="Times New Roman;Times;Serif" w:hAnsi="Times New Roman;Times;Serif"/>
          <w:b w:val="false"/>
          <w:i/>
          <w:caps w:val="false"/>
          <w:smallCaps w:val="false"/>
          <w:sz w:val="20"/>
        </w:rPr>
        <w:t>Successor Company</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Successor Company, if other than the Issuer, expressly assumes all the Obligations of the Issuer under this Indenture and the Notes, in each case, pursuant to supplemental indentures, joinders to the Security Documents and the ABL Intercreditor Agreement or other documents or instruments in form reasonably satisfactory to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immediately after such transaction, no Event of Default exists;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immediately after giving pro forma effect to such transaction and any related financing transactions, as if such transactions had occurred at the beginning of the Applicable Measurement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Successor Company or the Issuer would be permitted to incur at least $1.00 of additional Indebtedness under the provisions of Section 10.11(a),</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200" w:after="200"/>
        <w:ind w:left="144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Fixed Charge Coverage Ratio for the Issuer (or the Successor Company, as applicable) and its Restricted Subsidiaries would be equal to or greater than the Fixed Charge Coverage Ratio for the Issuer and its Restricted Subsidiaries for the Applicable Measurement Period immediately prior to such transaction,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Consolidated Total Debt Ratio for the Issuer (or the Successor Company, as applicable) and its Restricted Subsidiaries (x) is equal to or less than the Consolidated Total Debt Ratio for the Issuer and its Restricted Subsidiaries immediately prior to such transaction, or (y) is equal to or less than 2.25 to 1.00;</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Issuer or, if applicable, the Successor Company shall have delivered to the Trustee an Officer’s Certificate and an Opinion of Counsel, each stating that such merger, consolidation, amalgamation, sale, assignment, transfer, lease, conveyance or disposition and such supplemental indentures or other documents or instruments, if any, comply with this Indenture;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the extent any assets of the Person which is merged, consolidated or amalgamated with or into the Successor Company are assets of the type which would constitute Collateral under the Security Documents, the Successor Company will take such action as may be reasonably necessary to cause such property and assets to be made subject to the Lien of the Security Documents in the manner and to the extent required in this Indenture or any of the Security Documents and shall take all reasonably necessary action so that such Lien is perfected to the extent required by the Security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Successor Company will succeed to, and be substituted for the Issuer under this Indenture, the Notes, the ABL Intercreditor Agreement and the other Security Documents, and the Issuer shall automatically be released and discharged from its obligations under this Indenture, the Notes, the ABL Intercreditor Agreement and the other Security Documents. Notwithstanding Section 8.01(a)(3) and (4),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Restricted Subsidiary may merge, consolidate or amalgamate with or into or sell, assign, transfer, lease, convey or otherwise dispose of all or part of its properties and assets to the Issuer or any Restricted Subsidiary;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may merge, consolidate or amalgamate with or into an Affiliate of the Issuer, solely for the purpose of reincorporating the Issuer in the United States, any state thereof or the District of Columbia or any territory thereof so long as the amount of Indebtedness of the Issuer and its Restricted Subsidiaries is not increased thereby.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8.02.           </w:t>
      </w:r>
      <w:r>
        <w:rPr>
          <w:rFonts w:ascii="Times New Roman;Times;Serif" w:hAnsi="Times New Roman;Times;Serif"/>
          <w:b w:val="false"/>
          <w:i w:val="false"/>
          <w:caps w:val="false"/>
          <w:smallCaps w:val="false"/>
          <w:sz w:val="20"/>
          <w:u w:val="single"/>
        </w:rPr>
        <w:t>Guarantors May Consolidate, Etc., Only on Certain Terms</w:t>
      </w:r>
      <w:r>
        <w:rPr>
          <w:rFonts w:ascii="Times New Roman;Times;Serif" w:hAnsi="Times New Roman;Times;Serif"/>
          <w:b w:val="false"/>
          <w:i w:val="false"/>
          <w:caps w:val="false"/>
          <w:smallCaps w:val="false"/>
          <w:sz w:val="20"/>
        </w:rPr>
        <w:t>. Subject to Section 12.08 and the Security Documents governing release of a Guarantee upon the sale, disposition or transfer of the Capital Stock of a Subsidiary of the Issuer that is a Guarantor, no such Guarantor shall, and the Issuer shall not permit any such Guarantor that is a Subsidiary of the Issuer to, merge, consolidate or amalgamate with or into or wind up into (whether or not such Guarantor is the surviving Person), or sell, assign, transfer, lease, convey or otherwise dispose of all or substantially all of its properties or assets, in one or more related transactions, to any Person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such Guarantor is the surviving Person or the Person formed by or surviving any such merger, consolidation, amalgamation (if other than such Guarantor) or to which such sale, assignment, transfer, lease, conveyance or other disposition shall have been made is a Person organized or existing under the laws of the jurisdiction of organization of such Guarantor, as the case may be, or the laws of the United States, any state thereof, the District of Columbia or any territory thereof (such Guarantor or such Person, as the case may be, being herein called the “</w:t>
      </w:r>
      <w:r>
        <w:rPr>
          <w:rFonts w:ascii="Times New Roman;Times;Serif" w:hAnsi="Times New Roman;Times;Serif"/>
          <w:b w:val="false"/>
          <w:i/>
          <w:caps w:val="false"/>
          <w:smallCaps w:val="false"/>
          <w:sz w:val="20"/>
        </w:rPr>
        <w:t>Successor Guarantor</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200" w:after="200"/>
        <w:ind w:left="72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Successor Guarantor, if other than such Guarantor, expressly assumes all the obligations of such Guarantor under this Indenture and such Guarantor’s related Guarantee pursuant to supplemental indentures, joinders to Security Documents, the ABL Intercreditor Agreement or other documents or instruments;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in the case of a merger, consolidation or amalgamation entered into solely for the purpose of reincorporating a Guarantor in another jurisdiction, immediately after such transaction, no Event of Default exists;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any assets of the Person which is merged, consolidated or amalgamated with or into the Successor Guarantor are assets of the type which would constitute Collateral under the Security Documents, the Successor Guarantor will take such action as may be reasonably necessary to cause such property and assets to be made subject to the Lien of the Security Documents in the manner and to the extent required in this Indenture or any of the Security Documents and shall take all reasonably necessary action so that such Lien is perfected to the extent required by the Security Documents;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is not prohibited by Section 10.17.</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12.08, the Successor Guarantor shall succeed to, and be substituted for, such Guarantor under this Indenture, the ABL Intercreditor Agreement and the other Security Documents and such Guarantor’s Guarantee and such Guarantor shall automatically be released and discharged from its obligations under this Indenture, the ABL Intercreditor Agreement and the other Security Documents and such Guarantor’s Guarantee. Notwithstanding the foregoing, any Subsidiary of the Issuer that is a Guarantor may (i) merge, consolidate or amalgamate with or into, wind up into or transfer all or part of its properties and assets to another Guarantor (other than a Parent Guarantor) or the Issuer, (ii) merge, consolidate or amalgamate with or into an Affiliate of the Issuer solely for the purpose of reincorporating or reorganizing such Guarantor in the United States, any state thereof, the District of Columbia or any territory thereof, (iii) convert into a Person organized or existing under the laws of the jurisdiction of organization of such Guarantor or a jurisdiction in the United States, or (iv) liquidate or dissolve or change its legal form if the Board of the Issuer or the senior management of the Issuer determines in good faith that such action is in the best interests of the Issuer and is not materially disadvantageous to the Holders, in each case, without regard to the requirements set forth in this Section 8.02.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8.03.           </w:t>
      </w:r>
      <w:r>
        <w:rPr>
          <w:rFonts w:ascii="Times New Roman;Times;Serif" w:hAnsi="Times New Roman;Times;Serif"/>
          <w:b w:val="false"/>
          <w:i w:val="false"/>
          <w:caps w:val="false"/>
          <w:smallCaps w:val="false"/>
          <w:sz w:val="20"/>
          <w:u w:val="single"/>
        </w:rPr>
        <w:t>Successor Substituted</w:t>
      </w:r>
      <w:r>
        <w:rPr>
          <w:rFonts w:ascii="Times New Roman;Times;Serif" w:hAnsi="Times New Roman;Times;Serif"/>
          <w:b w:val="false"/>
          <w:i w:val="false"/>
          <w:caps w:val="false"/>
          <w:smallCaps w:val="false"/>
          <w:sz w:val="20"/>
        </w:rPr>
        <w:t xml:space="preserve">. Upon any merger, consolidation or amalgamation or any sale, assignment, transfer, lease, conveyance or disposition of all or substantially all of the assets of the Issuer or any Guarantor in accordance with Sections 8.01 and 8.02 hereof, the successor Person formed by such consolidation or into which the Issuer or such Guarantor, as the case may be, is merged or the successor Person to which such sale, assignment, transfer, lease, conveyance or disposition is made, shall succeed to, and be substituted for, and may exercise every right and power of, the Issuer or such Guarantor, as the case may be, under this Indenture or the Guarantees, as the case may be, with the same effect as if such successor Person had been named as the Issuer or such Guarantor, as the case may be, herein or the Guarantees, as the case may be. When a successor Person assumes all obligations of its predecessor hereunder, the Notes or the Guarantees, as the case may be, such predecessor shall be released from all obligations;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event of a transfer or lease, the predecessor shall not be released from the payment of principal and interest or other obligations on the Notes or the Guarantees,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Nine</w:t>
        <w:br/>
        <w:br/>
        <w:t>SUPPLEMENTAL INDENTURES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9.01.           </w:t>
      </w:r>
      <w:r>
        <w:rPr>
          <w:rFonts w:ascii="Times New Roman;Times;Serif" w:hAnsi="Times New Roman;Times;Serif"/>
          <w:b w:val="false"/>
          <w:i w:val="false"/>
          <w:caps w:val="false"/>
          <w:smallCaps w:val="false"/>
          <w:sz w:val="20"/>
          <w:u w:val="single"/>
        </w:rPr>
        <w:t>Amendments or Supplements Without Consent of Holders</w:t>
      </w:r>
      <w:r>
        <w:rPr>
          <w:rFonts w:ascii="Times New Roman;Times;Serif" w:hAnsi="Times New Roman;Times;Serif"/>
          <w:b w:val="false"/>
          <w:i w:val="false"/>
          <w:caps w:val="false"/>
          <w:smallCaps w:val="false"/>
          <w:sz w:val="20"/>
        </w:rPr>
        <w:t>. The Issuer, any Guarantor (with respect to its Guarantee or this Indenture, the ABL Intercreditor Agreement or any other Security Document to which it is a party) and the Trustee and the Notes Collateral Agent, at any time and from time to time, may amend or supplement this Indenture, the Notes, any Guarantee, the ABL Intercreditor Agreement or any other Security Document without the consent of any Holder, for any of the following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cure any ambiguity, omission, mistake, defect or inconsistency;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provide for uncertificated Notes of such series in addition to or in place of certificated Notes or to alter the provisions of this Indenture relating to the form of the Notes (including the related definitions) in a manner that does not materially adversely affect any Holder;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comply with Article Eight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provide for the assumption of the Issuer’s or any Guarantor’s obligations to the Holders pursuant to the terms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make any change that would provide any additional rights or benefits to the Holders or that does not adversely affect the legal rights under this Indenture of any such Holder in any material respect;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add covenants for the benefit of the Holders or to surrender any right or power conferred upon the Issuer or any Guarantor;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provide for the issuance of Additional Notes in accordance with the terms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comply with requirements of the SEC in order to effect or maintain the qualification of this Indenture under the Trust Indenture Act, if applicable;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evidence and provide for the acceptance and appointment under this Indenture of a successor Trustee, a successor Paying Agent or a successor Notes Collateral Agent thereunder pursuant to the requirements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add a Guarantor, a guarantee of a Parent Entity or a co-obligor of the Notes under this Indenture, the ABL Intercreditor Agreement and/or the other Security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comply with the rules of any applicable securities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 conform the text of this Indenture, the Guarantees, the Notes, the ABL Intercreditor Agreement or the other Security Documents to any provision of the “Description of Notes” of the Offering Memorandum to the extent that such provision in the “Description of Notes” was intended to be a verbatim recitation of a provision of this Indenture, the Guarantees, the Notes, the ABL Intercreditor Agreement or the other Security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to make any amendment to the provisions of this Indenture relating to the transfer and legending of Notes as permitted by this Indenture, including, without limitation, to facilitate the issuance and administration of the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however, that such amendment does not materially and adversely affect the rights of Holders to transfer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to add Collateral with respect to the Notes and/or the related Guarantees;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to release any Guarantor from its Guarantee pursuant to this Indenture when permitted or required by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to make any amendment to the provisions of this Indenture, the Guarantees and/or the Notes to eliminate the effect of any Accounting Change or in the application thereof as described in the last paragraph of the definition of “GAAP”;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to enter into any intercreditor agreement having substantially similar terms with respect to the Holders as those set forth in the ABL Intercreditor Agreement, taken as a whole, or any joinder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with respect to the Security Documents and the ABL Intercreditor Agreement, as provided in the relevant Security Document and the ABL Intercreditor Agreement;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to enter into any other intercreditor agreement to the extent contemplated hereby and with such changes as contemplated above or any joinder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avoidance of doubt, the Issuer need not be a party to any supplemental indenture entered into pursuant to Section 10.15 or 12.03. Further, for avoidance of doubt, the Trustee and the Notes Collateral Agent need not be a party to any supplemental indenture entered into pursuant to Section 9.01(10).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9.02.           </w:t>
      </w:r>
      <w:r>
        <w:rPr>
          <w:rFonts w:ascii="Times New Roman;Times;Serif" w:hAnsi="Times New Roman;Times;Serif"/>
          <w:b w:val="false"/>
          <w:i w:val="false"/>
          <w:caps w:val="false"/>
          <w:smallCaps w:val="false"/>
          <w:sz w:val="20"/>
          <w:u w:val="single"/>
        </w:rPr>
        <w:t>Amendments, Supplements or Waivers with Consent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With the consent of the Holders of at least a majority in principal amount of the then Outstanding Notes (including consents obtained in connection with a purchase of, or tender offer or exchange offer for, the Notes), the Issuer, any Guarantor (with respect to its Guarantee or this Indenture, the ABL Intercreditor Agreement or any other Security Document to which it is a party) and the Trustee and the Notes Collateral Agent may amend or supplement this Indenture, the Notes, any Guarantee, the ABL Intercreditor Agreement and the other Security Documents for the purpose of adding any provisions hereto or thereto, changing in any manner or eliminating any of the provisions hereof or thereof or modifying in any manner the rights of the Holders hereunder or thereunder, and any existing Default or Event of Default or compliance with any provision of this Indenture, the Notes, any Guarantee, the ABL Intercreditor Agreement or any other Security Document may be waived with the consent of the Holders of at least a majority in principal amount of the then Outstanding Notes (including consents obtained in connection with a purchase of, or tender offer or exchange offer for,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without the consent of each affected Holder, no such amendment, supplement or waiver shall, with respect to any Notes held by a non-consenting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 the principal amount of such Notes whose Holders must consent to an amendment, supplement or waiver;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reduce the principal of or change the Stated Maturity of any such Note or reduce the premium payable upon the redemption of such Notes or change the time at which such Notes may be redeemed pursuant to Section 11.01;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amendment to the minimum notice requirement may be made with the consent of the Holders of a majority in aggregate principal amount of the then Outstanding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rate of or change the time for payment of interest on any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waive a Default or Event of Default in the payment of principal of or premium, if any, or interest on the Notes, except a rescission of acceleration of the Notes by the Holders of at least a majority in aggregate principal amount of the Outstanding Notes and a waiver of the payment default that resulted from such acceleration, or in respect of a covenant or provision contained in this Indenture or any Guarantee which cannot be amended or modified without the consent of all affected Holders;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 any Note payable in money other than that stated therein;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make any change in Section 5.13 or the rights of Holders to receive payments of principal of or premium, if any, or interest on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make any change in these amendment and waiver provisions;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amend the contractual right of any Holder expressly set forth in this Indenture and the Notes to institute suit for the enforcement of any payment of principal, premium, if any, and interest on such Holder’s Notes on or after the due dates therefor;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make any change to or modify the ranking of the Notes that would adversely affect the Holders;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except as expressly permitted by this Indenture, modify the Guarantees of any Significant Subsidiary in any manner materially adverse to the Holders.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shall not be necessary for the consent of Holders under this Section 9.02 to approve the particular form of any proposed amendment or waiver, and it shall be sufficient if such consent approves the substance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without the consent of the Holders of at least 66 2/3% in aggregate principal amount of the Notes then Outstanding, no amendment or waiver may (A) make any change in the ABL Intercreditor Agreement, any other Security Document or the provisions in this Indenture dealing with Collateral or application of trust proceeds of the Collateral with the effect of releasing the Liens on all or substantially all of the Collateral which secure such Notes Obligations or (B) change or alter the priority of the Liens securing the Notes Obligations in any material portion of the Collateral in any way adverse to the Holders of such Notes in any material respect, other than, in each case, as provided under the terms of the ABL Intercreditor Agreement or any other Security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9.03.           </w:t>
      </w:r>
      <w:r>
        <w:rPr>
          <w:rFonts w:ascii="Times New Roman;Times;Serif" w:hAnsi="Times New Roman;Times;Serif"/>
          <w:b w:val="false"/>
          <w:i w:val="false"/>
          <w:caps w:val="false"/>
          <w:smallCaps w:val="false"/>
          <w:sz w:val="20"/>
          <w:u w:val="single"/>
        </w:rPr>
        <w:t>Execution of Amendments, Supplements or Waivers</w:t>
      </w:r>
      <w:r>
        <w:rPr>
          <w:rFonts w:ascii="Times New Roman;Times;Serif" w:hAnsi="Times New Roman;Times;Serif"/>
          <w:b w:val="false"/>
          <w:i w:val="false"/>
          <w:caps w:val="false"/>
          <w:smallCaps w:val="false"/>
          <w:sz w:val="20"/>
        </w:rPr>
        <w:t>. In executing, or accepting the additional trusts created by, any amendment, supplement or waiver permitted by this Article or the modifications thereby of the trusts created by this Indenture, the Trustee shall be provided with, and shall be fully protected in relying upon, in addition to any documents required by Section 1.03, an Officer’s Certificate and (other than in the case of an amendment or supplement for the purpose of adding a Guarantor or a parent guarantor under this Indenture in accordance with Section 9.01(10)) Opinion of Counsel stating that the execution of such amendment, supplement or waiver is authorized or permitted by this Indenture and that such amendment, supplement or waiver is the legal, valid and binding obligation of the Issuer and any Guarantors party thereto, enforceable against them in accordance with its terms, subject to customary exceptions and qualifications, and complies with the provisions hereof. Guarantors may, but shall not be required to, execute supplemental indentures that do not modify such Guarantor’s Guarantee. The Trustee may, but shall not be obligated to, enter into any such amendment, supplement or waiver which affects the Trustee’s own rights, duties or immunities under this Indenture or otherwise. The Trustee shall have no responsibility or liability with respect to any matters that would have been covered by the Opinions of Counsel that are not permitted by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9.04.           </w:t>
      </w:r>
      <w:r>
        <w:rPr>
          <w:rFonts w:ascii="Times New Roman;Times;Serif" w:hAnsi="Times New Roman;Times;Serif"/>
          <w:b w:val="false"/>
          <w:i w:val="false"/>
          <w:caps w:val="false"/>
          <w:smallCaps w:val="false"/>
          <w:sz w:val="20"/>
          <w:u w:val="single"/>
        </w:rPr>
        <w:t>Effect of Amendments, Supplements or Waivers</w:t>
      </w:r>
      <w:r>
        <w:rPr>
          <w:rFonts w:ascii="Times New Roman;Times;Serif" w:hAnsi="Times New Roman;Times;Serif"/>
          <w:b w:val="false"/>
          <w:i w:val="false"/>
          <w:caps w:val="false"/>
          <w:smallCaps w:val="false"/>
          <w:sz w:val="20"/>
        </w:rPr>
        <w:t>. Upon the execution of any supplemental indenture under this Article Nine, this Indenture shall be modified in accordance therewith, and such amendment, supplement or waiver shall form a part of this Indenture for all purposes; and every Holder of Notes theretofore or thereafter authenticated and delivered hereunder shall be bound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9.06.           </w:t>
      </w:r>
      <w:r>
        <w:rPr>
          <w:rFonts w:ascii="Times New Roman;Times;Serif" w:hAnsi="Times New Roman;Times;Serif"/>
          <w:b w:val="false"/>
          <w:i w:val="false"/>
          <w:caps w:val="false"/>
          <w:smallCaps w:val="false"/>
          <w:sz w:val="20"/>
          <w:u w:val="single"/>
        </w:rPr>
        <w:t>Reference in Notes to Supplemental Indentures</w:t>
      </w:r>
      <w:r>
        <w:rPr>
          <w:rFonts w:ascii="Times New Roman;Times;Serif" w:hAnsi="Times New Roman;Times;Serif"/>
          <w:b w:val="false"/>
          <w:i w:val="false"/>
          <w:caps w:val="false"/>
          <w:smallCaps w:val="false"/>
          <w:sz w:val="20"/>
        </w:rPr>
        <w:t>. Notes authenticated and delivered after the execution of any supplemental indenture pursuant to this Article may, and shall if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authenticated and delivered by the Trustee in exchange for Outstanding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9.07.           </w:t>
      </w:r>
      <w:r>
        <w:rPr>
          <w:rFonts w:ascii="Times New Roman;Times;Serif" w:hAnsi="Times New Roman;Times;Serif"/>
          <w:b w:val="false"/>
          <w:i w:val="false"/>
          <w:caps w:val="false"/>
          <w:smallCaps w:val="false"/>
          <w:sz w:val="20"/>
          <w:u w:val="single"/>
        </w:rPr>
        <w:t>Notice of Supplemental Indentures</w:t>
      </w:r>
      <w:r>
        <w:rPr>
          <w:rFonts w:ascii="Times New Roman;Times;Serif" w:hAnsi="Times New Roman;Times;Serif"/>
          <w:b w:val="false"/>
          <w:i w:val="false"/>
          <w:caps w:val="false"/>
          <w:smallCaps w:val="false"/>
          <w:sz w:val="20"/>
        </w:rPr>
        <w:t xml:space="preserve">. Promptly after the execution by the Issuer, any Guarantor and the Trustee of any supplemental indenture pursuant to the provisions of Section 9.02, the Issuer shall give notice thereof to the Holders of each Outstanding Note affected, in the manner provided for in Section 1.07, setting forth in general terms the substance of such supplemental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failure to give such notice shall not impair the validity of such supplemental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Ten</w:t>
        <w:br/>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10.01.        </w:t>
      </w:r>
      <w:r>
        <w:rPr>
          <w:rFonts w:ascii="Times New Roman;Times;Serif" w:hAnsi="Times New Roman;Times;Serif"/>
          <w:b w:val="false"/>
          <w:i w:val="false"/>
          <w:caps w:val="false"/>
          <w:smallCaps w:val="false"/>
          <w:sz w:val="20"/>
          <w:u w:val="single"/>
        </w:rPr>
        <w:t>Payment of Principal, Premium, if any, and Interest</w:t>
      </w:r>
      <w:r>
        <w:rPr>
          <w:rFonts w:ascii="Times New Roman;Times;Serif" w:hAnsi="Times New Roman;Times;Serif"/>
          <w:b w:val="false"/>
          <w:i w:val="false"/>
          <w:caps w:val="false"/>
          <w:smallCaps w:val="false"/>
          <w:sz w:val="20"/>
        </w:rPr>
        <w:t>. The Issuer covenants and agrees for the benefit of the Holders that it will duly and punctually pay the principal of (and premium, if any) and interest on the Notes in accordance with the terms of the Notes and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at the rate specified therefor in the Notes, and it shall pay interest on overdue installments of interest at the same rate to the extent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The Issuer will maintain in The City of New York, an office or agency where Notes may be presented or surrendered for payment, where Notes may be surrendered for registration of transfer or exchange and where notices and demands to or upon the Issuer in respect of the Notes and this Indenture may be served. The designated office of the Trustee shall be such office or agency of the Issuer in The City of New York, unless the Issuer shall designate and maintain some other office or agency for one or more of such purposes. The Issuer will give prompt written notice to the Trustee of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may also from time to time designate one or more other offices or agencies where the Notes may be presented or surrendered for any or all such purposes and may from time to time rescind any such designation;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such designation or rescission shall in any manner relieve the Issuer of its obligation to maintain an office or agency in The City of New York. The Issuer will give prompt written notice to the Trustee of any such designation or rescission and any change in the location of any such other office or agency.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10.03.        </w:t>
      </w:r>
      <w:r>
        <w:rPr>
          <w:rFonts w:ascii="Times New Roman;Times;Serif" w:hAnsi="Times New Roman;Times;Serif"/>
          <w:b w:val="false"/>
          <w:i w:val="false"/>
          <w:caps w:val="false"/>
          <w:smallCaps w:val="false"/>
          <w:sz w:val="20"/>
          <w:u w:val="single"/>
        </w:rPr>
        <w:t>Money for Notes Payments to Be Held in Trust</w:t>
      </w:r>
      <w:r>
        <w:rPr>
          <w:rFonts w:ascii="Times New Roman;Times;Serif" w:hAnsi="Times New Roman;Times;Serif"/>
          <w:b w:val="false"/>
          <w:i w:val="false"/>
          <w:caps w:val="false"/>
          <w:smallCaps w:val="false"/>
          <w:sz w:val="20"/>
        </w:rPr>
        <w:t>. If the Issuer shall at any time act as its own Paying Agent, it will, on or before each due date of the principal of (or premium, if any) or interest on any of the Notes, segregate and hold in trust for the benefit of the Persons entitled thereto a sum sufficient to pay the principal of (or premium, if any) or interest so becoming due until such sums shall be paid to such Persons or otherwise disposed of as herein provided and will promptly notify the Trustee in writing of its action or failure so to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for the Notes, it will, on or before each due date of the principal of (or premium, if any) or interest on any Notes in accordance with Section 10.01, deposit with a Paying Agent a sum sufficient to pay the principal (and premium, if any) or interest so becoming due, such sum to be held in trust for the benefit of the Persons entitled to such principal, premium or interest, and (unless such Paying Agent is the Trustee) the Issuer will promptly notify the Trustee in writing of such action or any failure so to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Paying Agent agrees: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received by it as Paying Agent for the payment of the principal of or interest on any Notes in trust for the benefit of the Holders or of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notice of any failure by the Issuer to make any payment of the principal of or interest on any Notes and any other payments to be made by or on behalf of the Issuer under this Indenture or the Notes when the same shall be due and payable;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it will pay any such sums so held in trust by it to the Trustee forthwith upon the Trustee’s written request at any time during the continuance of the failure referred to in clause (2) above.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for the purpose of obtaining the satisfaction and discharge of this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sums.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money deposited with the Trustee or any Paying Agent, or then held by the Issuer, in trust for the payment of the principal of (or premium, if any) or interest on any Note and remaining unclaimed for two years after such principal, premium or interest has become due and payable shall be paid to the Issuer on Issuer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Trustee or such Paying Agent, before being required to make any such repayment, may at the expense of the Issuer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30 days from the date of such publication, any unclaimed balance of such money then remaining will be repaid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10.04.        </w:t>
      </w:r>
      <w:r>
        <w:rPr>
          <w:rFonts w:ascii="Times New Roman;Times;Serif" w:hAnsi="Times New Roman;Times;Serif"/>
          <w:b w:val="false"/>
          <w:i w:val="false"/>
          <w:caps w:val="false"/>
          <w:smallCaps w:val="false"/>
          <w:sz w:val="20"/>
          <w:u w:val="single"/>
        </w:rPr>
        <w:t>Organizational Existence</w:t>
      </w:r>
      <w:r>
        <w:rPr>
          <w:rFonts w:ascii="Times New Roman;Times;Serif" w:hAnsi="Times New Roman;Times;Serif"/>
          <w:b w:val="false"/>
          <w:i w:val="false"/>
          <w:caps w:val="false"/>
          <w:smallCaps w:val="false"/>
          <w:sz w:val="20"/>
        </w:rPr>
        <w:t xml:space="preserve">. Subject to Article Eight, the Issuer will do or cause to be done all things necessary to preserve and keep in full force and effect its organizational existence and that of each Restricted Subsidiary and the rights and franchises of the Issuer and each Restricted Subsidiary to conduct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Issuer shall not be required to preserve any such right or franchise if the Board of the Issuer shall determine that the preservation thereof is no longer desirable in the conduct of the business of the Issuer and its Subsidiaries, taken as a whole. For the avoidance of doubt, the Issuer and its Restricted Subsidiaries will be permitted to change their organizational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10.05.        </w:t>
      </w:r>
      <w:r>
        <w:rPr>
          <w:rFonts w:ascii="Times New Roman;Times;Serif" w:hAnsi="Times New Roman;Times;Serif"/>
          <w:b w:val="false"/>
          <w:i w:val="false"/>
          <w:caps w:val="false"/>
          <w:smallCaps w:val="false"/>
          <w:sz w:val="20"/>
          <w:u w:val="single"/>
        </w:rPr>
        <w:t>Payment of Taxes and Other Claims</w:t>
      </w:r>
      <w:r>
        <w:rPr>
          <w:rFonts w:ascii="Times New Roman;Times;Serif" w:hAnsi="Times New Roman;Times;Serif"/>
          <w:b w:val="false"/>
          <w:i w:val="false"/>
          <w:caps w:val="false"/>
          <w:smallCaps w:val="false"/>
          <w:sz w:val="20"/>
        </w:rPr>
        <w:t xml:space="preserve">. The Issuer will pay or discharge or cause to be paid or discharged, before the same shall become delinquent, (1) all taxes, assessments and governmental charges levied or imposed upon the Issuer or any Subsidiary or upon the income, profits or property of the Issuer or any Subsidiary and (2) all lawful claims for labor, materials and supplies, which, if unpaid, might by law become a lien upon the property of the Issuer or any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Issuer shall not be required to pay or discharge or cause to be paid or discharged any such tax, assessment, charge or claim (i) whose amount, applicability or validity is being contested in good faith by appropriate proceedings and for which appropriate reserves, if necessary (in the good faith judgment of management of the Issuer) are being maintained in accordance with GAAP and (ii) to the extent the failure to pay any such taxes would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10.06.        </w:t>
      </w:r>
      <w:r>
        <w:rPr>
          <w:rFonts w:ascii="Times New Roman;Times;Serif" w:hAnsi="Times New Roman;Times;Serif"/>
          <w:b w:val="false"/>
          <w:i w:val="false"/>
          <w:caps w:val="false"/>
          <w:smallCaps w:val="false"/>
          <w:sz w:val="20"/>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10.07.        </w:t>
      </w:r>
      <w:r>
        <w:rPr>
          <w:rFonts w:ascii="Times New Roman;Times;Serif" w:hAnsi="Times New Roman;Times;Serif"/>
          <w:b w:val="false"/>
          <w:i w:val="false"/>
          <w:caps w:val="false"/>
          <w:smallCaps w:val="false"/>
          <w:sz w:val="20"/>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10.08.        </w:t>
      </w:r>
      <w:r>
        <w:rPr>
          <w:rFonts w:ascii="Times New Roman;Times;Serif" w:hAnsi="Times New Roman;Times;Serif"/>
          <w:b w:val="false"/>
          <w:i w:val="false"/>
          <w:caps w:val="false"/>
          <w:smallCaps w:val="false"/>
          <w:sz w:val="20"/>
          <w:u w:val="single"/>
        </w:rPr>
        <w:t>Statement by Officer as to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will deliver to the Trustee within 120 days after the end of each fiscal year, an Officer’s Certificate stating that a review of the activities of the Issuer and its Restricted Subsidiaries during the preceding fiscal year has been made under the supervision of the signing officer with a view to determining whether it has kept, observed, performed and fulfilled, and has caused each of its Restricted Subsidiaries to keep, observe, perform and fulfill its obligations under this Indenture and further stating that, to the best of his or her knowledge, the Issuer during such preceding fiscal year has kept, observed, performed and fulfilled, and has caused each of its Restricted Subsidiaries to keep, observe, perform and fulfill each and every such covenant contained in this Indenture and no Default or Event of Default occurred during such year and at the date of such certificate there is no Default or Event of Default which has occurred and is continuing or, if such signers do know of such Default or Event of Default, the certificate shall describe its status, with particularity and that, to the best of his or her knowledge, no event has occurred and remains by reason of which payments on the account of the principal of or interest, if any, on the Notes is prohibited or if such event has occurred, a description of the event and what action each is taking or proposes to take with respect thereto. The Officer’s Certificate shall also notify the Trustee should the Issuer elect to change the manner in which it fixes its fiscal year-end. For purposes of this Section 10.08(a), such compliance shall be determined without regard to any period of grace or requirement of notice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any Default has occurred and is continuing under this Indenture, the Issuer shall deliver to the Trustee by registered or certified mail or electronic transmission an Officer’s Certificate specifying such event, notice or other action and the steps to cure such Default within 30 days of becoming aware of such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10.09.        </w:t>
      </w:r>
      <w:r>
        <w:rPr>
          <w:rFonts w:ascii="Times New Roman;Times;Serif" w:hAnsi="Times New Roman;Times;Serif"/>
          <w:b w:val="false"/>
          <w:i w:val="false"/>
          <w:caps w:val="false"/>
          <w:smallCaps w:val="false"/>
          <w:sz w:val="20"/>
          <w:u w:val="single"/>
        </w:rPr>
        <w:t>Reports and Other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 long as any Notes are outstanding following the Issue Date, Issuer shall furnish to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(x) all annual and quarterly financial statements substantially in forms that would be required to be contained in a filing with the SEC on Forms 10-K and 10-Q of the Issuer, if the Issuer were required to file such forms, plus a “Management’s Discussion and Analysis of Financial Condition and Results of Operations,” (y) with respect to the annual and quarterly information, a presentation of EBITDA and Adjusted EBITDA of the Issuer substantially consistent with the presentation thereof in the Offering Memorandum and derived from such financial information, and (z) with respect to the annual financial statements only, a report on the annual financial statements by the Issuer’s independent registered public accounting firm;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within ten Business Days after the occurrence of an event required to be therein reported, such other information containing substantially the same information that would be required to be contained in filings with the SEC on Form 8-K under Items 1.01, 1.02, 1.03, 2.01, 2.05, 2.06, 4.01, 4.02, 5.01 and 5.02(b) (only with respect to the principal executive officer, president, principal financial officer, principal accounting officer and principal operating officer) and (c) (other than with respect to information otherwise required or contemplated by Item 402 of Regulation S-K promulgated by the SEC) as in effect on the Issue Date if the Issuer were required to file such reports;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 in no event shall such financial statements, information or reports be required to comply with (w) Rule 3-10 of Regulation S-X promulgated by the SEC (or such other rule or regulation that amends, supplements or replaces such Rule 3-10, including for the avoidance of doubt, Rules 13-01 or 13-02 of Regulation S-X promulgated by the SEC), (x) Rule 3-09 of Regulation S-X (or such other rule or regulation that amends, supplements or replaces such Rule 3-09), (y) Rule 3-16 of Regulation S-X (or such other rule or regulation that amends, supplements or replaces such Rule 3-16) or (z) any requirement to otherwise include any schedules or separate financial statements of any of Subsidiaries of the Issuer or any Parent Entity, Affiliates or equity method investees, (ii) in no event shall such financial statements, information or reports be required to comply with Regulation G under the Exchange Act or Item 10(e) of Regulation S-K promulgated by the SEC with respect to any non-GAAP financial measures contained therein, (iii) no such financial statements, information or reports referenced under clause (2) above shall be required to be furnished if the Issuer determines in its good faith judgment that such event is not material to the Holders or the business, assets, operations or financial position of the Issuer and its Restricted Subsidiaries, taken as a whole, (iv) in no event shall such financial statements, information or reports be required to include any information that is not otherwise similar to information currently included in the Offering Memorandum, other than with respect to information or reports provided under clause (2) above and (v) in no event shall information or reports referenced in clause (2) above be required to include as an exhibit copies of any agreements, financial statements or other items that would be required to be filed as exhibits to a current report on Form 8-K except for (x) agreements evidencing material Indebtedness and (y) historical and pro forma financial statements to the extent reasonably available and, in any case with respect to pro forma financial statements, to include only pro forma revenues, Consolidated EBITDA and capital expenditures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annual information and reports shall be furnished within 90 days after the end of the fiscal year to which they relate, and all such quarterly information and reports shall be furnished within 45 days after the end of the fiscal quarter to which they relate.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that any of the Issuer’s Subsidiaries are Unrestricted Subsidiaries and if any such Unrestricted Subsidiary or group of Unrestricted Subsidiaries, if taken together as one Subsidiary, would constitute a Significant Subsidiary of the Issuer, then the quarterly and annual financial information required by Section 10.09(a) will include a reasonably detailed presentation, either on the face of the financial statements or in the footnotes thereto, or in the “Management’s Discussion and Analysis of Financial Condition and Results of Operations” or other comparable section, of the financial condition and results of operations of the Issuer and Restricted Subsidiaries separate from the financial condition and results of operations of such Unrestricted Subsidiaries of the Issuer.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Issuer shall make available such information and such reports (as well as the details regarding the conference call described below) to any Holder and, upon request, to any beneficial owner of the Notes, in each case by posting such information on its website, on the website of the SEC, on Intralinks or any comparable password-protected online data system which will require a confidentiality acknowledgment, and will make such information readily available to any Holder, any bona fide prospective investor in the Notes (as determined in the Issuer’s sole discretion and which prospective investors shall, in any event, be limited to “qualified institutional buyers” within the meaning of Rule 144A of the Securities Act or non-U.S. persons that certify their status as such to the reasonable satisfaction of the Issuer), any securities analyst (to the extent providing analysis of investment in the Notes) or any market maker in the Notes who agrees to treat such information as confidential or accesses such information on Intralinks or any comparable password-protected online data system which will require a confidentiality acknowledgment;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Issuer shall post such information thereon and make readily available any password or other login information to any such Holder, bona fide prospective investor, securities analyst or market maker; </w:t>
      </w:r>
      <w:r>
        <w:rPr>
          <w:rFonts w:ascii="Times New Roman;Times;Serif" w:hAnsi="Times New Roman;Times;Serif"/>
          <w:b w:val="false"/>
          <w:i/>
          <w:caps w:val="false"/>
          <w:smallCaps w:val="false"/>
          <w:sz w:val="20"/>
        </w:rPr>
        <w:t xml:space="preserve">provided, further, however, </w:t>
      </w:r>
      <w:r>
        <w:rPr>
          <w:rFonts w:ascii="Times New Roman;Times;Serif" w:hAnsi="Times New Roman;Times;Serif"/>
          <w:b w:val="false"/>
          <w:i w:val="false"/>
          <w:caps w:val="false"/>
          <w:smallCaps w:val="false"/>
          <w:sz w:val="20"/>
        </w:rPr>
        <w:t xml:space="preserve">that the Issuer may deny access to any competitively-sensitive information otherwise to be provided pursuant to this paragraph to any such Holder, prospective investor, security analyst or market maker that is a competitor of the Issuer and its Subsidiaries to the extent that the Issuer determines in good faith that the provision of such information to such Person would be competitively harmful to the Issuer and its Subsidiaries;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such Holders, prospective investors, security analysts or market makers shall agree to (i) treat all such reports (and the information contained therein) and information as confidential, (ii) not use such reports and the information contained therein for any purpose other than their investment or potential investment in the Notes and (iii) not publicly disclose any such reports (and the information contained therein). The Issuer (or a Parent Entity) shall hold a quarterly conference call for all Holders and securities analysts (to the extent providing analysis of investment in the Notes) to discuss such financial information (including a customary Q&amp;A session) no later than ten Business Days after distribution of such financial information (which conference call, for the avoidance of doubt, may be held prior to such time that the annual or quarterly financial statements required by Section 10.09(a) for such reporting period are furnished to Holders), which call may be the same as any call for the Issuer’s or any Parent Entity’s equity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provide S&amp;P and Moody’s (and their respective successors) with information on a periodic basis as S&amp;P or Moody’s, as the case may be, shall reasonably require in order to maintain public ratings of the Notes. In addition, to the extent not satisfied by the foregoing, the Issuer shall furnish to prospective investors, upon their request, any information required to be delivered pursuant to Rule 144A(d)(4) under the Securities Act so long as the Notes are not freely transferable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Issuer may satisfy its obligations under this Section 10.09 with respect to the financial information relating to the Issuer by furnishing financial and other information relating to any Parent Entity instead of the Issuer;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such Parent Entity holds assets (other than its direct or indirect interest in the Issuer) that exceeds the lesser of (i) 1% of consolidated revenues of such Parent Entity and (ii) 1% of the total consolidated revenue for the preceding fiscal year of such Parent Entity, then such information related to such Parent Entity shall be accompanied by summary financial information, which may be unaudited and/or in narrative form, that explains in reasonable detail the differences between the information of such Parent Entity, on the one hand, and the information relating to the Issuer and its Subsidiaries on a stand-alone basis,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Issuer shall be deemed to have furnished the financial statements and other information referred to in Section 10.09(a)(1) and (2)  if the Issuer or any Parent Entity has filed reports containing such information (or any such information of a Parent Entity in accordance with Section 10.09(f)) with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the extent any information is not provided within the time periods specified in this Section 10.09 and such information is subsequently provided, the Issuer shall be deemed to have satisfied its obligations with respect thereto at such time and any Default with respect thereto shall be deemed to have been cured.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the Issuer delivers such reports, information and documents to the Trustee, such delivery shall be for informational purposes only and the Trustee’s receipt of such reports, information and documents shall not constitute constructive notice of any information contained therein or determinable from information contained therein, including the Issuer’s compliance with any of its covenants hereunder (as to which the Trustee is entitled to rely exclusively on Officer’s Certificates). Trustee shall have no liability or responsibility for the filing, content or timeliness of any report issued under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10.10.        </w:t>
      </w:r>
      <w:r>
        <w:rPr>
          <w:rFonts w:ascii="Times New Roman;Times;Serif" w:hAnsi="Times New Roman;Times;Serif"/>
          <w:b w:val="false"/>
          <w:i w:val="false"/>
          <w:caps w:val="false"/>
          <w:smallCaps w:val="false"/>
          <w:sz w:val="20"/>
          <w:u w:val="single"/>
        </w:rPr>
        <w:t>Limitation on Restricted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of its Restricted Subsidiaries to, directly or indirectly: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any dividend or make any payment or distribution on account of the Issuer’s or any of its Restricted Subsidiaries’ Equity Interests (in each case, solely to a holder of Equity Interests in such Person’s capacity as a holder of such Equity Interests), including any dividend or distribution payable in connection with any merger, amalgamation or consolidation other than: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payments or distributions by the Issuer payable solely in Equity Interests (other than Disqualified Stock) of the Issuer or in options, warrants or other rights to purchase such Equity Interests;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payments or distributions by a Restricted Subsidiary so long as, in the case of any dividend, payment or distribution payable on or in respect of any class or series of securities issued by a Restricted Subsidiary other than a Wholly-Owned Subsidiary of the Issuer, the Issuer or a Restricted Subsidiary receives at least its pro rata share of such dividend, payment or distribution in accordance with its Equity Interests in such class or series of securities;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purchase, redeem, defease or otherwise acquire or retire for value any Equity Interests of the Issuer or any Parent Entity, including in connection with any merger, amalgamation or consolidation, in each case held by a Person other than the Issuer or a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make any principal payment on, or redeem, repurchase, defease, discharge or otherwise acquire or retire for value in each case, prior to any scheduled repayment, sinking fund payment or maturity, any Subordinated Indebtedness of the Issuer or any Guarantor that is a Subsidiary of the Issuer, other than: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permitted to be incurred or issued under clauses (7), (8) or (9) of Section 10.11(b); or</w:t>
      </w:r>
    </w:p>
    <w:p>
      <w:pPr>
        <w:pStyle w:val="TextBody"/>
        <w:bidi w:val="0"/>
        <w:spacing w:before="0" w:after="0"/>
        <w:ind w:left="1440" w:right="0" w:firstLine="144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redemption, defeasance, purchase, repurchase, discharge or other acquisition of Subordinated Indebtedness purchased in anticipation of satisfying a sinking fund obligation, principal installment or final maturity, in each case due within one year of the date of redemption, defeasance, purchase, repurchase, discharge or acquisition;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Restricted Investment;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payments and other actions set forth in clauses (I) through (IV) above (other than any exceptions thereto) being collectively referred to as “</w:t>
      </w:r>
      <w:r>
        <w:rPr>
          <w:rFonts w:ascii="Times New Roman;Times;Serif" w:hAnsi="Times New Roman;Times;Serif"/>
          <w:b w:val="false"/>
          <w:i/>
          <w:caps w:val="false"/>
          <w:smallCaps w:val="false"/>
          <w:sz w:val="20"/>
        </w:rPr>
        <w:t>Restricted Payments</w:t>
      </w:r>
      <w:r>
        <w:rPr>
          <w:rFonts w:ascii="Times New Roman;Times;Serif" w:hAnsi="Times New Roman;Times;Serif"/>
          <w:b w:val="false"/>
          <w:i w:val="false"/>
          <w:caps w:val="false"/>
          <w:smallCaps w:val="false"/>
          <w:sz w:val="20"/>
        </w:rPr>
        <w:t>”), unless, at the time of such Restricted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the case of a Restricted Payment other than a Restricted Investment, no Event of Default shall have occurred and be continuing or would occur as a consequence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condition shall not apply to amounts attributable to clauses (2)(b), (2)(c), (2)(f) and (2)(g) under this Section 10.10(a);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Restricted Payment, together with the aggregate amount of all other Restricted Payments made by the Issuer and its Restricted Subsidiaries after the Issue Date (excluding all Restricted Payments permitted by Section 10.10(b)), is less than the sum of (without duplication):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100% of the aggregate Consolidated EBITDA of the Issuer for the period (taken as one accounting period) from August 2, 2020 to the end of the Issuer’s most recently ended fiscal quarter for which internal financial statements are available at the time of such Restricted Payment, or, in the case such Consolidated EBITDA for such period is a deficit, minus 100% of such deficit, minus the product of 1.5 times the Issuer’s aggregate Fixed Charges of such period (taken as one accounting period);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4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100% of the aggregate net cash proceeds and the fair market value of marketable securities or other property received by the Issuer and its Restricted Subsidiaries since the Issue Date (other than net cash proceeds to the extent such net cash proceeds have been used to incur Indebtedness or issue Disqualified Stock or Preferred Stock pursuant to Section 10.11(b)(12)(a)) from the issue or sale of:</w:t>
      </w:r>
    </w:p>
    <w:p>
      <w:pPr>
        <w:pStyle w:val="TextBody"/>
        <w:bidi w:val="0"/>
        <w:spacing w:before="0" w:after="0"/>
        <w:ind w:left="2340" w:right="0" w:firstLine="1440"/>
        <w:jc w:val="left"/>
        <w:rPr>
          <w:caps w:val="false"/>
          <w:smallCaps w:val="false"/>
        </w:rPr>
      </w:pPr>
      <w:r>
        <w:rPr>
          <w:caps w:val="false"/>
          <w:smallCaps w:val="false"/>
        </w:rPr>
        <w:t> </w:t>
      </w:r>
    </w:p>
    <w:p>
      <w:pPr>
        <w:pStyle w:val="TextBody"/>
        <w:bidi w:val="0"/>
        <w:spacing w:before="0" w:after="0"/>
        <w:ind w:left="28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Equity Interests of the Issuer, including Treasury Capital Stock (as defined below), but excluding cash proceeds and the fair market value of marketable securities or other property received from the sale of:</w:t>
      </w:r>
    </w:p>
    <w:p>
      <w:pPr>
        <w:pStyle w:val="TextBody"/>
        <w:bidi w:val="0"/>
        <w:spacing w:before="0" w:after="0"/>
        <w:ind w:left="2880" w:right="0" w:firstLine="1440"/>
        <w:jc w:val="both"/>
        <w:rPr>
          <w:caps w:val="false"/>
          <w:smallCaps w:val="false"/>
        </w:rPr>
      </w:pPr>
      <w:r>
        <w:rPr>
          <w:caps w:val="false"/>
          <w:smallCaps w:val="false"/>
        </w:rPr>
        <w:t> </w:t>
      </w:r>
    </w:p>
    <w:p>
      <w:pPr>
        <w:pStyle w:val="TextBody"/>
        <w:bidi w:val="0"/>
        <w:spacing w:before="0" w:after="0"/>
        <w:ind w:left="360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Equity Interests to any future, current or former employees, directors, managers or consultants of the Issuer, its Subsidiaries or any Parent Entity after the Issue Date to the extent such amounts have been applied to Restricted Payments made in accordance with Section 10.10(b)(4); and</w:t>
      </w:r>
    </w:p>
    <w:p>
      <w:pPr>
        <w:pStyle w:val="TextBody"/>
        <w:bidi w:val="0"/>
        <w:spacing w:before="0" w:after="0"/>
        <w:ind w:left="3600" w:right="0" w:firstLine="1440"/>
        <w:jc w:val="both"/>
        <w:rPr>
          <w:caps w:val="false"/>
          <w:smallCaps w:val="false"/>
        </w:rPr>
      </w:pPr>
      <w:r>
        <w:rPr>
          <w:caps w:val="false"/>
          <w:smallCaps w:val="false"/>
        </w:rPr>
        <w:t> </w:t>
      </w:r>
    </w:p>
    <w:p>
      <w:pPr>
        <w:pStyle w:val="TextBody"/>
        <w:bidi w:val="0"/>
        <w:spacing w:before="0" w:after="0"/>
        <w:ind w:left="28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Designated Preferred Stock; and</w:t>
      </w:r>
    </w:p>
    <w:p>
      <w:pPr>
        <w:pStyle w:val="TextBody"/>
        <w:bidi w:val="0"/>
        <w:spacing w:before="0" w:after="0"/>
        <w:ind w:left="2880" w:right="0" w:firstLine="2160"/>
        <w:jc w:val="both"/>
        <w:rPr>
          <w:caps w:val="false"/>
          <w:smallCaps w:val="false"/>
        </w:rPr>
      </w:pPr>
      <w:r>
        <w:rPr>
          <w:caps w:val="false"/>
          <w:smallCaps w:val="false"/>
        </w:rPr>
        <w:t> </w:t>
      </w:r>
    </w:p>
    <w:p>
      <w:pPr>
        <w:pStyle w:val="TextBody"/>
        <w:bidi w:val="0"/>
        <w:spacing w:before="0" w:after="0"/>
        <w:ind w:left="288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Equity Interests of Parent Entities, to the extent such net cash proceeds are actually contributed to the Issuer (excluding contributions of the proceeds from the sale of Designated Preferred Stock of such companies or contributions to the extent such amounts have been applied to Restricted Payments made in accordance with Section 10.10(b)(4)); or</w:t>
      </w:r>
    </w:p>
    <w:p>
      <w:pPr>
        <w:pStyle w:val="TextBody"/>
        <w:bidi w:val="0"/>
        <w:spacing w:before="0" w:after="0"/>
        <w:ind w:left="2880" w:right="0" w:firstLine="1440"/>
        <w:jc w:val="both"/>
        <w:rPr>
          <w:caps w:val="false"/>
          <w:smallCaps w:val="false"/>
        </w:rPr>
      </w:pPr>
      <w:r>
        <w:rPr>
          <w:caps w:val="false"/>
          <w:smallCaps w:val="false"/>
        </w:rPr>
        <w:t> </w:t>
      </w:r>
    </w:p>
    <w:p>
      <w:pPr>
        <w:pStyle w:val="TextBody"/>
        <w:bidi w:val="0"/>
        <w:spacing w:before="0" w:after="0"/>
        <w:ind w:left="28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Indebtedness or Disqualified Stock of the Issuer or any Restricted Subsidiary that has been converted into or exchanged for such Equity Interests (other than Disqualified Stock) of the Issuer or a Parent Entity;</w:t>
      </w:r>
    </w:p>
    <w:p>
      <w:pPr>
        <w:pStyle w:val="TextBody"/>
        <w:bidi w:val="0"/>
        <w:spacing w:before="0" w:after="0"/>
        <w:ind w:left="2880" w:right="0" w:firstLine="1440"/>
        <w:jc w:val="both"/>
        <w:rPr>
          <w:caps w:val="false"/>
          <w:smallCaps w:val="false"/>
        </w:rPr>
      </w:pPr>
      <w:r>
        <w:rPr>
          <w:caps w:val="false"/>
          <w:smallCaps w:val="false"/>
        </w:rPr>
        <w:t> </w:t>
      </w:r>
    </w:p>
    <w:p>
      <w:pPr>
        <w:pStyle w:val="TextBody"/>
        <w:bidi w:val="0"/>
        <w:spacing w:before="0" w:after="0"/>
        <w:ind w:left="23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this clause (b) shall not include the proceeds from (W) Refunding Capital Stock (as defined below), (X) Equity Interests (or Indebtedness that has been converted or exchanged for Equity Interests) of the Issuer sold to a Restricted Subsidiary, (Y) Disqualified Stock (or debt securities that have been converted or exchanged into Disqualified Stock) or (Z) Excluded Contributions; </w:t>
      </w:r>
      <w:r>
        <w:rPr>
          <w:rFonts w:ascii="Times New Roman;Times;Serif" w:hAnsi="Times New Roman;Times;Serif"/>
          <w:b w:val="false"/>
          <w:i/>
          <w:caps w:val="false"/>
          <w:smallCaps w:val="false"/>
          <w:sz w:val="20"/>
        </w:rPr>
        <w:t>plus</w:t>
      </w:r>
    </w:p>
    <w:p>
      <w:pPr>
        <w:pStyle w:val="TextBody"/>
        <w:bidi w:val="0"/>
        <w:spacing w:before="0" w:after="0"/>
        <w:ind w:left="2340" w:right="0" w:hanging="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100% of the aggregate amount of cash and the fair market value of marketable securities or other property contributed to the capital of the Issuer or a Restricted Subsidiary (including the aggregate principal amount of any Pari Passu Indebtedness of the Issuer or a Restricted Subsidiary contributed to the Issuer or a Restricted Subsidiary for cancellation (limited, in the case of such Pari Passu Indebtedness, to the lesser of par and the actual purchase price paid in cash to repurchase such Indebtedness)) or that becomes part of the capital of the Issuer or a Restricted Subsidiary through consolidation or merger following the Issue Date (other than net cash proceeds to the extent such net cash proceeds (i) have been used to incur Indebtedness or issue Disqualified Stock or Preferred Stock pursuant to Section 10.11(b)(12)(a), (ii) are contributed by a Restricted Subsidiary or (iii) constitute Excluded Contributions); </w:t>
      </w:r>
      <w:r>
        <w:rPr>
          <w:rFonts w:ascii="Times New Roman;Times;Serif" w:hAnsi="Times New Roman;Times;Serif"/>
          <w:b w:val="false"/>
          <w:i/>
          <w:caps w:val="false"/>
          <w:smallCaps w:val="false"/>
          <w:sz w:val="20"/>
        </w:rPr>
        <w:t>plus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100% of the aggregate amount received in cash and the fair market value of marketable securities or other property received by the Issuer or a Restricted Subsidiary by means of:</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8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sale or other disposition (other than to the Issuer or a Restricted Subsidiary) of, or other returns on Investment from, Permitted Investments made pursuant to clauses (8) and (13) of the definition thereof (without duplication of amounts permitted to be incurred thereunder) and Restricted Investments made by the Issuer or its Restricted Subsidiaries and repurchases and redemptions of, or cash distributions or cash interest received in respect thereof, such Restricted Investments from the Issuer or its Restricted Subsidiaries and repayments of loans or advances, and releases of guarantees, which constitute Investments made by the Issuer or its Restricted Subsidiaries, in each case, after the Issue Date; or</w:t>
      </w:r>
    </w:p>
    <w:p>
      <w:pPr>
        <w:pStyle w:val="TextBody"/>
        <w:bidi w:val="0"/>
        <w:spacing w:before="0" w:after="0"/>
        <w:ind w:left="2880" w:right="0" w:firstLine="1440"/>
        <w:jc w:val="both"/>
        <w:rPr>
          <w:caps w:val="false"/>
          <w:smallCaps w:val="false"/>
        </w:rPr>
      </w:pPr>
      <w:r>
        <w:rPr>
          <w:caps w:val="false"/>
          <w:smallCaps w:val="false"/>
        </w:rPr>
        <w:t> </w:t>
      </w:r>
    </w:p>
    <w:p>
      <w:pPr>
        <w:pStyle w:val="TextBody"/>
        <w:bidi w:val="0"/>
        <w:spacing w:before="0" w:after="0"/>
        <w:ind w:left="288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sale or other disposition (other than to the Issuer or a Restricted Subsidiary) of the Equity Interests of an Unrestricted Subsidiary or a dividend or distribution from an Unrestricted Subsidiary (other than in each case to the extent the Investment in such Unrestricted Subsidiary constituted a Permitted Investment) or a dividend or distribution from an Unrestricted Subsidiary after the Issue Date; </w:t>
      </w:r>
      <w:r>
        <w:rPr>
          <w:rFonts w:ascii="Times New Roman;Times;Serif" w:hAnsi="Times New Roman;Times;Serif"/>
          <w:b w:val="false"/>
          <w:i/>
          <w:caps w:val="false"/>
          <w:smallCaps w:val="false"/>
          <w:sz w:val="20"/>
        </w:rPr>
        <w:t>plus</w:t>
      </w:r>
    </w:p>
    <w:p>
      <w:pPr>
        <w:pStyle w:val="TextBody"/>
        <w:bidi w:val="0"/>
        <w:spacing w:before="0" w:after="0"/>
        <w:ind w:left="288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the case of the redesignation of an Unrestricted Subsidiary as a Restricted Subsidiary or the merger, amalgamation or consolidation of an Unrestricted Subsidiary into the Issuer or a Restricted Subsidiary or the transfer of all or substantially all of the assets of an Unrestricted Subsidiary to the Issuer or a Restricted Subsidiary after the Issue Date, the fair market value of the Investment in such Unrestricted Subsidiary (or the net assets transferred) at the time of the redesignation of such Unrestricted Subsidiary as a Restricted Subsidiary or at the time of such merger, amalgamation, consolidation or transfer of assets, other than to the extent such Investment constituted a Permitted Investment; </w:t>
      </w:r>
      <w:r>
        <w:rPr>
          <w:rFonts w:ascii="Times New Roman;Times;Serif" w:hAnsi="Times New Roman;Times;Serif"/>
          <w:b w:val="false"/>
          <w:i/>
          <w:caps w:val="false"/>
          <w:smallCaps w:val="false"/>
          <w:sz w:val="20"/>
        </w:rPr>
        <w:t>plus</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greater of (x) $205.0 million and (y) 30.0% of Consolidated EBITDA of the Issuer for the Applicable Measurement Period; </w:t>
      </w:r>
      <w:r>
        <w:rPr>
          <w:rFonts w:ascii="Times New Roman;Times;Serif" w:hAnsi="Times New Roman;Times;Serif"/>
          <w:b w:val="false"/>
          <w:i/>
          <w:caps w:val="false"/>
          <w:smallCaps w:val="false"/>
          <w:sz w:val="20"/>
        </w:rPr>
        <w:t>plus</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23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amount of any Declined Proceeds and any Retained Asset Sale Proceeds.</w:t>
      </w:r>
    </w:p>
    <w:p>
      <w:pPr>
        <w:pStyle w:val="TextBody"/>
        <w:bidi w:val="0"/>
        <w:spacing w:before="0" w:after="0"/>
        <w:ind w:left="234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provisions shall not prohibit: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Indenture (assuming, in the case of a redemption payment, the giving of the notice of such redemption payment would have been deemed to be a Restricted Payment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the prepayment, redemption, repurchase, defeasance, discharge, retirement or other acquisition of any Equity Interests, including any accrued and unpaid dividends thereon (“</w:t>
      </w:r>
      <w:r>
        <w:rPr>
          <w:rFonts w:ascii="Times New Roman;Times;Serif" w:hAnsi="Times New Roman;Times;Serif"/>
          <w:b w:val="false"/>
          <w:i/>
          <w:caps w:val="false"/>
          <w:smallCaps w:val="false"/>
          <w:sz w:val="20"/>
        </w:rPr>
        <w:t>Treasury Capital Stock</w:t>
      </w:r>
      <w:r>
        <w:rPr>
          <w:rFonts w:ascii="Times New Roman;Times;Serif" w:hAnsi="Times New Roman;Times;Serif"/>
          <w:b w:val="false"/>
          <w:i w:val="false"/>
          <w:caps w:val="false"/>
          <w:smallCaps w:val="false"/>
          <w:sz w:val="20"/>
        </w:rPr>
        <w:t>”), or Subordinated Indebtedness of the Issuer or any Restricted Subsidiary or any Equity Interests of any Parent Entity, in exchange for, or in an amount equal to or less than the proceeds of a sale or issuance (other than to a Restricted Subsidiary) of Equity Interests of the Issuer or any Parent Entity to the extent contributed to the Issuer (in each case, other than any Disqualified Stock) (“</w:t>
      </w:r>
      <w:r>
        <w:rPr>
          <w:rFonts w:ascii="Times New Roman;Times;Serif" w:hAnsi="Times New Roman;Times;Serif"/>
          <w:b w:val="false"/>
          <w:i/>
          <w:caps w:val="false"/>
          <w:smallCaps w:val="false"/>
          <w:sz w:val="20"/>
        </w:rPr>
        <w:t>Refunding Capital Stock</w:t>
      </w:r>
      <w:r>
        <w:rPr>
          <w:rFonts w:ascii="Times New Roman;Times;Serif" w:hAnsi="Times New Roman;Times;Serif"/>
          <w:b w:val="false"/>
          <w:i w:val="false"/>
          <w:caps w:val="false"/>
          <w:smallCaps w:val="false"/>
          <w:sz w:val="20"/>
        </w:rPr>
        <w:t>”) made within 120 days of such sale or issuance of Refunding Capital Stock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immediately prior to the retirement of Treasury Capital Stock, the declaration and payment of dividends thereon was permitted under Section 10.10(b)(6), the declaration and payment of dividends on the Refunding Capital Stock (other than Refunding Capital Stock the proceeds of which were used to redeem, repurchase, retire or otherwise acquire any Equity Interests of any Parent Entity) in an aggregate amount per year no greater than the aggregate amount of dividends per annum that were declarable and payable on such Treasury Capital Stock immediately prior to such retirement;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prepayment, redemption, defeasance, repurchase, retirement, discharge, exchange or other acquisition for value of (i) Subordinated Indebtedness of the Issuer or a Guarantor that is a Subsidiary of the Issuer made in exchange for, or in an amount equal to or less than the proceeds of a sale of, new Indebtedness of the Issuer or a Guarantor that is a Subsidiary of the Issuer or Disqualified Stock of the Issuer or a Guarantor that is a Subsidiary of the Issuer made within 120 days of such incurrence or issuance of new Indebtedness or Disqualified Stock or (ii) Disqualified Stock of the Issuer or a Guarantor that is a Subsidiary of the Issuer made in exchange for, or out of the proceeds of a sale of, Disqualified Stock of the Issuer or a Guarantor that is a Subsidiary of the Issuer made within 120 days of such sale of Disqualified Stock, that, in each case is incurred or issued in compliance with Section 10.11 so long as: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amount (or accreted value, if applicable) of such new Indebtedness or the liquidation preference of such new Disqualified Stock does not exceed the principal amount of (or accreted value, if applicable), plus any accrued and unpaid interest on, the Subordinated Indebtedness or the liquidation preference of, plus any accrued and unpaid dividends on, the Disqualified Stock being so prepaid, redeemed, defeased, repurchased, exchanged, discharged, acquired or retired for value, plus the amount of any premium (including tender premiums), defeasance costs, underwriting discounts and any fees, costs and expenses incurred in connection with the issuance of such new Indebtedness or Disqualified Stock and such prepayment, redemption, defeasance, repurchase, exchange, discharge, acquisition or retirement;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new Indebtedness is subordinated to the Notes or the applicable Guarantee at least to the same extent as such Subordinated Indebtedness so prepaid, redeemed, defeased, repurchased, exchanged, discharged, acquired or retired;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new Indebtedness or Disqualified Stock has a final scheduled maturity date or mandatory redemption date, as applicable, equal to or later than the final scheduled maturity date or mandatory redemption date of the Subordinated Indebtedness or Disqualified Stock being so prepaid, redeemed, defeased, repurchased, exchanged, discharged, acquired or retired (or if earlier, such date that is at least 91 days after the maturity date of the Notes);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new Indebtedness or Disqualified Stock has a Weighted Average Life to Maturity equal to or greater than the remaining Weighted Average Life to Maturity of the Subordinated Indebtedness or Disqualified Stock being so prepaid, redeemed, defeased, repurchased, exchanged, discharged, acquired or retired (or requires no or nominal payments in cash (other than interest payments) prior to the date that is 91 days after the maturity date of the Notes);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a Restricted Payment to pay for the repurchase, redemption, retirement or other acquisition of Equity Interests (other than Disqualified Stock) of the Issuer or any Parent Entity held by any future, present or former employee, director, officer, manager or consultant (or any permitted transferee thereof) of the Issuer, any of its Subsidiaries or any Parent Entity pursuant to any management, director, employee and/or advisor equity plan or equity option plan or any other management, director, employee and/or advisor benefit plan or agreement or any equity subscription or equityholder agreement or any termination agreement (including, for the avoidance of doubt, any principal and interest payable on any Indebtedness issued by the Issuer or any Parent Entity in connection with such repurchase, retirement or other acquisition), including any Equity Interests rolled over by management, directors or employees of the Issuer, any of its Subsidiaries or any Parent Entity in connection with any corporate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aggregate Restricted Payments made under this clause (4) do not exceed in any fiscal year the greater of (x) $115.0 million and (y) 17.0% of Consolidated EBITDA of the Issuer for the Applicable Measurement Period (with unused amounts in any fiscal year being carried over to succeeding fiscal years);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such amount in any fiscal year may be increased by an amount not to exceed: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cash proceeds from the sale of Equity Interests (other than Disqualified Stock) of the Issuer and, to the extent contributed to the Issuer, the cash proceeds from the sale of Equity Interests of any Parent Entity (other than Disqualified Stock), in each case to any future, present or former employees, directors, officers, managers or consultants of the Issuer, any of its Subsidiaries or any Parent Entity that occurs after the Issue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amount of such cash proceeds utilized for any such repurchase, retirement or other acquisition for value will not increase the amount available for Restricted Payments under Section 10.10(a)(2); </w:t>
      </w:r>
      <w:r>
        <w:rPr>
          <w:rFonts w:ascii="Times New Roman;Times;Serif" w:hAnsi="Times New Roman;Times;Serif"/>
          <w:b w:val="false"/>
          <w:i/>
          <w:caps w:val="false"/>
          <w:smallCaps w:val="false"/>
          <w:sz w:val="20"/>
        </w:rPr>
        <w:t>plus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cash proceeds of key man life insurance policies received by the Issuer or the Restricted Subsidiaries (or any Parent Entity to the extent contributed to the Issuer) after the Issue Date; </w:t>
      </w:r>
      <w:r>
        <w:rPr>
          <w:rFonts w:ascii="Times New Roman;Times;Serif" w:hAnsi="Times New Roman;Times;Serif"/>
          <w:b w:val="false"/>
          <w:i/>
          <w:caps w:val="false"/>
          <w:smallCaps w:val="false"/>
          <w:sz w:val="20"/>
        </w:rPr>
        <w:t>less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amount of any Restricted Payments previously made with the cash proceeds described in clauses (A) and (B) of this Section 10.10(b)(4);</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Issuer may elect to apply all or any portion of the aggregate increase contemplated by clauses (A) and (B) of this Section 10.10(b)(4) in any fiscal year;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cancellation of Indebtedness owing to the Issuer or any Restricted Subsidiary from any future, present or former employees, directors, officers, managers or consultants (or any permitted transferee thereof) of the Issuer, any Parent Entity or any of the Issuer’s Restricted Subsidiaries in connection with a repurchase of Equity Interests of the Issuer or any Parent Entity will not be deemed to constitute a Restricted Payment for purposes of this Section 10.10 or any other provision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declaration and payment of dividends to holders of any class or series of Disqualified Stock of the Issuer or any of its Restricted Subsidiaries or any class or series of Preferred Stock of any Restricted Subsidiary, in each case issued in accordance with the covenant described under Section 10.11 to the extent such dividends are included in the definition of “Fixed Charges;”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the declaration and payment of dividends to holders of any class or series of Designated Preferred Stock (other than Disqualified Stock) issued by the Issuer or any of its Restricted Subsidiaries after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declaration and payment of dividends to a Parent Entity, the proceeds of which shall be used to fund the payment of dividends to holders of any class or series of Designated Preferred Stock (other than Disqualified Stock) of such Parent Entity issued after the Issue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amount of dividends paid pursuant to this clause (B) shall not exceed the aggregate amount of cash actually contributed to the Issuer from the sale of such Designated Preferred Stock;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declaration and payment of dividends on Refunding Capital Stock that is Preferred Stock in excess of the dividends declarable and payable thereon pursuant to Section 10.10(b)(2);</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in the case of each of clause (A) and clause (C) of this clause (6), that for the Applicable Measurement Period at the date of issuance of such Designated Preferred Stock or the declaration of such dividends on Refunding Capital Stock that is Preferred Stock, after giving effect to such issuance or declaration on a pro forma basis, the Issuer could incur $1.00 of additional Indebtedness under Section 10.11(a);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payments made or expected to be made by the Issuer or any Restricted Subsidiary in respect of withholding or similar taxes payable in connection with the exercise or vesting of Equity Interests or any other equity award by any future, present or former employee, director, officer, manager or consultant (or any permitted transferee thereof) of the Issuer, any Parent Entity or any of the Issuer’s Restricted Subsidiaries and repurchases or withholdings of Equity Interests in connection with the exercise of any stock or other equity options or warrants or other incentive interests or the vesting of equity awards if such Equity Interests represent all or a portion of the exercise price thereof or payments in lieu of the issuance of fractional Equity Interests, or withholding obligation with respect to, such options or warrants or other incentive interests or other Equity Interests or equity awards;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Restricted Payments (or the payment of dividends or distributions, or the making of loans, to any Parent Entity to fund a Restricted Payment), in an amount not to exceed a sum of (A) up to 6.0% per annum of the net cash proceeds received by or contributed to the Issuer in or from any public Equity Offering and (B) an aggregate amount per annum not to exceed 7.0% of Market Capitalization;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Restricted Payments (A) in an amount that does not exceed the aggregate amount of Excluded Contributions received since the Issue Date and (B) without duplication with clause (A), in an amount equal to the net cash proceeds from any sale or disposition of, or distribution in respect of, Investments acquired after the Issue Date, to the extent the acquisition of such Investment was financed in reliance on clause (A)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will not increase the amount available for Restricted Payments under Section 10.10(a)(2);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other Restricted Payments (A) in an aggregate amount taken together with all other Restricted Payments made pursuant to this clause (10), not to exceed the greater of (x) $270.0 million and (y) 40.0% of Consolidated EBITDA of the Issuer for the Applicable Measurement Period at the time of such Restricted Payment and (B) without duplication with clause (A), in an amount equal to the net cash proceeds from any sale or disposition of, or distribution in respect of, Investments acquired after the Issue Date, to the extent the acquisition of such Investment was financed in reliance on clause (A)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amount will not increase the amount available for Restricted Payments under Section 10.10(a)(2);</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any Restricted Payment (A) made in connection with the Refinancing Transactions and the fees and expenses related thereto or (B) used to fund amounts owed to Affiliates (including dividends to any Parent Entity to permit payment by such Parent Entity of such amount) to the extent permitted by Section 10.13;</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the repurchase, redemption, defeasance, discharge, acquisition or retirement of any Subordinated Indebtedness (A) in accordance with provisions similar to those of Section 10.16 and Section 10.17 or (B) from Declined Proceeds;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at or prior to such repurchase, redemption, discharge, defeasance, acquisition or retirement, the Issuer (or a third Person permitted by this Indenture) has made a Change of Control Offer, Asset Sale Offer, Alternate Offer or Advance Offer, as the case may be, with respect to the Notes to the extent required as a result of such Change of Control or Asset Sale, as the case may be, (y) all Notes tendered by Holders in connection with the relevant Change of Control Offer, Asset Sale Offer, Alternate Offer or Advance Offer, as applicable, have been repurchased, redeemed, defeased, acquired or retired or discharged and (z) any portion of Declined Proceeds used to fund purchases pursuant to clause (B) above will not increase the amount available for Restricted Payments under Section 10.10(a)(2);</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declaration and payment of dividends or distributions by the Issuer to, or the making of loans to, any Parent Entity in amounts required for any Parent Entity to pay or cause to be paid, in each case without duplication,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franchise, excise and similar taxes and other fees, taxes and expenses, in each case, required to maintain their corporate or other legal existence, plus $1.0 million per year;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consolidated, combined or similar foreign, federal, state and local income and similar taxes (including if the Issuer is treated as a partnership or an entity disregarded from its owner for United States federal income tax purposes and its taxable income is entirely included on an income tax return of one or more direct or indirect parent companies each of which is treated as a subchapter C corporation), to the extent that such income or similar taxes are attributable to the income, revenue, receipts or capital of the Issuer and the Restricted Subsidiaries and, to the extent of the amount actually received from its Unrestricted Subsidiaries, in amounts required to pay such taxes to the extent attributable to the income, revenue, receipts or capital of such Unrestricted Subsidiaries, and including any interest or penalties related thereto; provided that in each case the amount of such payments with respect to any fiscal year does not exceed the amount that the Issuer, the Restricted Subsidiaries and the Unrestricted Subsidiaries (to the extent described above) would have been required to pay in respect of such foreign, federal, state and local income taxes, including any interest or penalties related thereto, for such fiscal year had the Issuer, the Restricted Subsidiaries and the Unrestricted Subsidiaries (to the extent described above) been a stand-alone taxpayer or stand-alone group (separate from any such direct or indirect parent company of the Issuer) for all fiscal years ending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customary salary, bonus, severance and other benefits payable to, and indemnities provided on behalf of, future, current or former officers, employees, directors, managers and consultants of any Parent Entity to the extent such salaries, bonuses, severance and other benefits and indemnities are attributable to the ownership or operation of the Issuer and the Restricted Subsidiaries, including the Issuer’s or the Restricted Subsidiaries’ proportionate share of such amount relating to such Parent Entity being a Public Company;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general corporate, operating (including, without limitation, expenses related to the maintenance of corporate or other existence and auditing or other accounting or tax reporting matters) and other overhead costs and expenses and listing fees and other costs and expenses attributable to being a Public Company, of any Parent Entity;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fees and expenses related to any equity or debt offering, financing transaction, acquisitions, divestitures, investments or other non-ordinary course transaction (whether or not successful) of such Parent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transaction was in the good faith judgment of the Issuer intended to be for the benefit of the Issuer and its Restricted Subsidiaries;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amounts (including fees and expenses) that would otherwise be permitted to be paid directly by the Issuer or its Restricted Subsidiaries pursuant to clauses (3), (4), (7), (8), (12) or (13) of Section 10.13(b);</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cash payments in lieu of issuing fractional shares in connection with the exercise of warrants, options or other securities convertible into or exchangeable for Equity Interests of the Issuer or any Parent Entity;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finance Investments by a Parent Entity that would otherwise be permitted to be made pursuant to this Section 10.10 if made by the Issuer;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 such Restricted Payment shall be made substantially concurrently with the closing of such Investment, (ii) such Parent Entity shall, immediately following the closing thereof, cause (1) all property acquired (whether assets or Equity Interests) to be contributed to the capital of the Issuer or one of its Restricted Subsidiaries or (2) the merger or amalgamation of the Person formed or acquired into the Issuer or one of its Restricted Subsidiaries (to the extent not prohibited by the covenant described under Article Eight) in order to consummate such Investment, (iii) such Parent Entity and its Affiliates (other than the Issuer or a Restricted Subsidiary) receives no consideration or other payment in connection with such transaction except to the extent the Issuer or a Restricted Subsidiary could have given such consideration or made such payment in compliance with this Indenture, (iv) any property received by the Issuer or a Restricted Subsidiary shall not increase amounts available for Restricted Payments pursuant to Section 10.10(a)(2) or Section 10.10(b)(9), except to the extent the fair market value at the time of such receipt of such property exceeds the Restricted Payment made pursuant to this clause (13), and (v) to the extent constituting an Investment, such Investment shall be deemed to be made by the Issuer or such Restricted Subsidiary pursuant to another provision of this Section 10.10 or Section 10.10(b)(9) or pursuant to the definition of “Permitted Investments” (other than clause (9)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the repurchase, redemption or other acquisition of Equity Interests of the Issuer or any Restricted Subsidiary deemed to occur in connection with paying cash in lieu of fractional shares of such Equity Interests in connection with a share dividend, distribution, share split, reverse share split, merger, consolidation, amalgamation or other business combination of the Issuer or any Restricted Subsidiary, in each case, permitted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the distribution, by dividend or otherwise, of shares of Capital Stock of, or Indebtedness owed to the Issuer or a Restricted Subsidiary by, Unrestricted Subsidiaries (other than Unrestricted Subsidiaries, the primary assets of which are cash and/or Cash Equivalents);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any Restricted 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 a pro forma basis after giving effect to such Restricted Payment, the Consolidated Total Debt Ratio would be equal to or less than 1.25 to 1.00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any Restricted Payment set forth in clause (III) of Section 10.10(a), the Consolidated Total Debt Ratio would be equal to or less than 1.40 to 1.00);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payments or distributions to satisfy dissenters’ or appraisal rights and the settlements of any claims or actions (whether actual, contingent or potential) with respect thereto, pursuant to or in connection with a consolidation, amalgamation, merger or transfer of assets that complies with Article Eight;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distributions or payments of Receivables Fees and purchases of receivables in connection with Permitted Receivables Financing or any repurchase obligation in connection therewith;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any purchase, repurchase, redemption, defeasance or other acquisition or retirement of Subordinated Indebtedness consisting of Acquired Indebtedness;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mandatory redemptions of Disqualified Stock of the Issuer or any of its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at the time of, and after giving effect to, any Restricted Payment permitted under clauses (10) and (16) of this Section 10.10(b), no Event of Default shall have occurred and be continuing or would occur as a consequence thereof.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Section 10.10, in the event that a proposed Restricted Payment or Investment (or a portion thereof) meets the criteria of more than one of the categories of Restricted Payments described in the preceding clauses (1) through (20) of Section 10.10(b) and/or one or more of the clauses contained in the definition of “Permitted Investments,” or is entitled to be made pursuant to Section 10.10(a), the Issuer shall be entitled to divide or classify (or later divide, classify or reclassify in whole or in part in its sole discretion any such previously made Restricted Payment or Permitted Investment based on circumstances existing on the date of such division, classification or reclassification) such Restricted Payment or Investment (or portion thereof) among such clauses (1) through (20) of Section 10.10(b) and/or Section 10.10(a) and/or one or more of the clauses contained in the definition of “Permitted Investments,” in a manner that otherwise complies with Section 10.10. In the event that a Restricted Payment (or any portion thereof) or Permitted Investment (or any portion thereof) is divided, classified or reclassified under clause (16) above or clause (27) of the definition of “Permitted Investments” (such clauses, the “</w:t>
      </w:r>
      <w:r>
        <w:rPr>
          <w:rFonts w:ascii="Times New Roman;Times;Serif" w:hAnsi="Times New Roman;Times;Serif"/>
          <w:b w:val="false"/>
          <w:i/>
          <w:caps w:val="false"/>
          <w:smallCaps w:val="false"/>
          <w:sz w:val="20"/>
        </w:rPr>
        <w:t>Incurrence Clauses</w:t>
      </w:r>
      <w:r>
        <w:rPr>
          <w:rFonts w:ascii="Times New Roman;Times;Serif" w:hAnsi="Times New Roman;Times;Serif"/>
          <w:b w:val="false"/>
          <w:i w:val="false"/>
          <w:caps w:val="false"/>
          <w:smallCaps w:val="false"/>
          <w:sz w:val="20"/>
        </w:rPr>
        <w:t>”), the determination of the amount of such Restricted Payment or Permitted Investment that may be made pursuant to the Incurrence Clauses shall be made without giving pro forma effect to any substantially concurrent incurrence of Indebtedness to finance any other portion of such Restricted Payment or Permitted Investment or any other Restricted Payment or Permitted Investment divided, classified or reclassified under Section 10.10(a) and/or one or more clauses of Section 10.10(b) or one or more clauses of the definition of “Permitted Investments” other than an Incurrence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all Restricted Payments (other than cash) will be the fair market value on the Transaction Test Date, in the case of a Specified Transaction, or the date of the Restricted Payment of the assets or securities proposed to be transferred or issued by the Issuer or any Restricted Subsidiary, as the case may be, pursuant to the Restricted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Issue Date, all of the Issuer’s Subsidiaries will be Restricted Subsidiaries. The Issuer shall not permit any Unrestricted Subsidiary to become a Restricted Subsidiary except pursuant to the penultimate sentence of the definition of “Unrestricted Subsidiary.” For purposes of designating any Restricted Subsidiary as an Unrestricted Subsidiary, all outstanding Investments by the Issuer and the Restricted Subsidiaries (except to the extent repaid) in the Subsidiary so designated shall be deemed to be Restricted Payments or Permitted Investments in an amount determined as set forth in the last sentence of the definition of “Investments.” Such designation shall be permitted only if a Restricted Payment or Permitted Investment in such amount would be permitted at such time, whether pursuant to this Section 10.10 or pursuant to the definition of “Permitted Investments,” and if such Subsidiary otherwise meets the definition of an Unrestricted Subsidiary. Unrestricted Subsidiaries will not be subject to any of the restrictive covenants set forth in this Indenture and will not guarantee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the avoidance of doubt, this Section 10.10 shall not restrict the making of any “AHYDO catch up payment” with respect to, and required by the terms of, any Indebtedness of the Issuer or any of its Restricted Subsidiaries permitted to be incurred under the terms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10.11.        </w:t>
      </w:r>
      <w:r>
        <w:rPr>
          <w:rFonts w:ascii="Times New Roman;Times;Serif" w:hAnsi="Times New Roman;Times;Serif"/>
          <w:b w:val="false"/>
          <w:i w:val="false"/>
          <w:caps w:val="false"/>
          <w:smallCaps w:val="false"/>
          <w:sz w:val="20"/>
          <w:u w:val="single"/>
        </w:rPr>
        <w:t>Limitation on Incurrence of Indebtedness and Issuance of Disqualified Stock and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of its Restricted Subsidiaries to, directly or indirectly, create, incur, issue, assume, guarantee or otherwise become directly or indirectly liable, contingently or otherwise (collectively, “</w:t>
      </w:r>
      <w:r>
        <w:rPr>
          <w:rFonts w:ascii="Times New Roman;Times;Serif" w:hAnsi="Times New Roman;Times;Serif"/>
          <w:b w:val="false"/>
          <w:i/>
          <w:caps w:val="false"/>
          <w:smallCaps w:val="false"/>
          <w:sz w:val="20"/>
        </w:rPr>
        <w:t>incur</w:t>
      </w:r>
      <w:r>
        <w:rPr>
          <w:rFonts w:ascii="Times New Roman;Times;Serif" w:hAnsi="Times New Roman;Times;Serif"/>
          <w:b w:val="false"/>
          <w:i w:val="false"/>
          <w:caps w:val="false"/>
          <w:smallCaps w:val="false"/>
          <w:sz w:val="20"/>
        </w:rPr>
        <w:t>” and collectively, an “</w:t>
      </w:r>
      <w:r>
        <w:rPr>
          <w:rFonts w:ascii="Times New Roman;Times;Serif" w:hAnsi="Times New Roman;Times;Serif"/>
          <w:b w:val="false"/>
          <w:i/>
          <w:caps w:val="false"/>
          <w:smallCaps w:val="false"/>
          <w:sz w:val="20"/>
        </w:rPr>
        <w:t>incurrence</w:t>
      </w:r>
      <w:r>
        <w:rPr>
          <w:rFonts w:ascii="Times New Roman;Times;Serif" w:hAnsi="Times New Roman;Times;Serif"/>
          <w:b w:val="false"/>
          <w:i w:val="false"/>
          <w:caps w:val="false"/>
          <w:smallCaps w:val="false"/>
          <w:sz w:val="20"/>
        </w:rPr>
        <w:t xml:space="preserve">”) with respect to any Indebtedness (including Acquired Indebtedness) and the Issuer shall not issue any shares of Disqualified Stock and shall not permit any Restricted Subsidiary to issue any shares of Disqualified Stock or any Restricted Subsidiary that is not a Guarantor to issue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Issuer may incur Indebtedness (including Acquired Indebtedness) or issue shares of Disqualified Stock, and any of its Restricted Subsidiaries may incur Indebtedness (including Acquired Indebtedness), issue shares of Disqualified Stock and issue shares of Preferred Stock, if either (A) the Fixed Charge Coverage Ratio for the Applicable Measurement Period would have been at least 2.00 to 1.00 or (B) the Consolidated Total Debt Ratio would have been less than or equal to 2.25 to 1.00, in each case, determined on a pro forma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Applicable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limitations shall not apply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incurrence of Indebtedness under (X) Credit Facilities (other than the ABL Credit Agreement) by the Issuer or any of its Restricted Subsidiaries and the issuance and creation of letters of credit and bankers’ acceptances thereunder (with letters of credit and bankers’ acceptances being deemed to have a principal amount equal to the face amount thereof), up to an aggregate principal amount outstanding at any one time not to exceed the sum of (a) $660.0 million,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(b) the greater of (x) $675.0 million and (y) 100.0% of Consolidated EBITDA of the Issuer for the Applicable Measurement Period at the time of any incurrence,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(c) an additional amount, if after giving </w:t>
      </w:r>
      <w:r>
        <w:rPr>
          <w:rFonts w:ascii="Times New Roman;Times;Serif" w:hAnsi="Times New Roman;Times;Serif"/>
          <w:b w:val="false"/>
          <w:i/>
          <w:caps w:val="false"/>
          <w:smallCaps w:val="false"/>
          <w:sz w:val="20"/>
        </w:rPr>
        <w:t xml:space="preserve">pro forma </w:t>
      </w:r>
      <w:r>
        <w:rPr>
          <w:rFonts w:ascii="Times New Roman;Times;Serif" w:hAnsi="Times New Roman;Times;Serif"/>
          <w:b w:val="false"/>
          <w:i w:val="false"/>
          <w:caps w:val="false"/>
          <w:smallCaps w:val="false"/>
          <w:sz w:val="20"/>
        </w:rPr>
        <w:t xml:space="preserve">effect to the incurrence of such Additional First Lien Obligations and the application of the proceeds therefrom, the Consolidated First Lien Debt Ratio would be no greater than 2.00 to 1.00, outstanding at any one time;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purposes of determining the amount that may be incurred under this clause (1)(X)(c), all Indebtedness incurred under this clause (1)(X)(c) shall be deemed to be included in clause (1) of the definition of “Consolidated First Lien Debt Ratio” and (Y) the ABL Credit Agreement by the Issuer or any of its Restricted Subsidiaries and the issuance and creation of letters of credit and bankers’ acceptances thereunder (with letters of credit and bankers’ acceptances being deemed to have a principal amount equal to the face amount thereof), up to an aggregate principal amount outstanding at any one time not to exceed the greater of (a) $1,000.0 million and (b) the Borrowing Base as of the date of such incurrence less the aggregate principal amount of Obligations outstanding under Permitted Receivables Financings;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incurrence by the Issuer and any Guarantor of Indebtedness represented by the Notes (including any Guarantee thereof) (other than any Additional Notes, if any, or guarantees with respect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Indebtedness of the Issuer and the Restricted Subsidiaries in existence on the Issue Date (other than Indebtedness described in clauses (1) and (2) of this Section 10.11(b));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Indebtedness (including Capitalized Lease Obligations and Purchase Money Obligations), Disqualified Stock and Preferred Stock incurred by the Issuer or any of the Restricted Subsidiaries, to finance the purchase, lease, expansion, construction, development, replacement, maintenance, upgrade, installation, replacement, repair or improvement of property (real or personal), equipment or any other asset, whether through the direct purchase of assets or the Capital Stock of any Person owning such assets;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aggregate amount of Indebtedness, Disqualified Stock and Preferred Stock incurred or issued and outstanding pursuant to this clause (4) (other than capital leases (and Capitalized Lease Obligations) that are characterized as such based on subjective acceleration clauses or cross default clauses, without giving effect to any change in GAAP subsequent to December 31, 2014), when aggregated with the outstanding amount of Indebtedness under clause (13) of this Section 10.11(b) incurred to refinance Indebtedness initially incurred in reliance on this clause (4), does not at any time outstanding exceed the greater of (x) $235.0 million and (y) 35.0% of Consolidated EBITDA of the Issuer for the Applicable Measurement Period at the time of any incurrence;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 Indebtedness incurred by the Issuer or any of the Restricted Subsidiaries constituting reimbursement obligations with respect to letters of credit, bankers’ acceptances, bank guarantees, warehouse receipts or similar instruments issued or entered into, or relating to obligations or liabilities incurred, in the ordinary course of business or consistent with past practice, including letters of credit in favor of suppliers or trade creditors or in respect of workers’ compensation claims, performance, completion or surety bonds, health, disability or other employee benefits or property, casualty or liability insurance or self-insurance or other Indebtedness with respect to obligations regarding workers’ compensation claims, performance, completion or surety bonds, health, disability or other employee benefits or property, casualty or liability insurance or self-insurance and (b) Indebtedness of the Issuer or any of its Restricted Subsidiaries as an account party in respect of letters of credit, bank guarantees or similar instruments in favor of suppliers, customers or other creditors issued in the ordinary course of business or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Indebtedness arising from agreements of the Issuer or any of the Restricted Subsidiaries providing for indemnification, adjustment of purchase price, earn-out or similar obligations, in each case, incurred or assumed in connection with the acquisition or disposition of any business, assets, Subsidiary or an Investment, other than guarantees of Indebtedness incurred by any Person acquiring all or any portion of such business, assets or a Subsidiary for the purpose of financing such acquisition;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Indebtedness of the Issuer to a Restricted Subsidiary;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such Indebtedness owing to a Restricted Subsidiary that is not a Guarantor, excluding any Indebtedness in respect of accounts payable incurred in connection with goods and services rendered in the ordinary course of business or consistent with past practice (and not in connection with the borrowing of money), is expressly subordinated in right of payment (to the extent permitted by applicable law and it does not result in material adverse tax consequences) to the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subsequent issuance or transfer (other than the incurrence of a Permitted Lien) of any Capital Stock or any other event which results in any such Restricted Subsidiary ceasing to be a Restricted Subsidiary or any other subsequent transfer of any such Indebtedness (except to the Issuer or another Restricted Subsidiary or any pledge of such Indebtedness constituting a Permitted Lien (but not foreclosure thereon)) shall be deemed, in each case, to be an incurrence of such Indebtedness (to the extent such Indebtedness is then outstanding) not permitted by this clause;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Indebtedness of a Restricted Subsidiary owing to the Issuer or another Restricted Subsidiary;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 Restricted Subsidiary that is a Guarantor incurs such Indebtedness owing to a Restricted Subsidiary that is not a Guarantor, excluding any Indebtedness in respect of accounts payable incurred in connection with goods and services rendered in the ordinary course of business or consistent with past practice (and not in connection with the borrowing of money), such Indebtedness is expressly subordinated in right of payment (to the extent permitted by applicable law and it does not result in material adverse tax consequences) to the Notes or the Guarantee of the Notes of such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subsequent transfer of any such Indebtedness (except to the Issuer or another Restricted Subsidiary or any pledge of such Indebtedness constituting a Permitted Lien (but not foreclosure thereon)) shall be deemed, in each case, to be an incurrence of such Indebtedness (to the extent such Indebtedness is then outstanding) not permitted by this clause;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shares of Preferred Stock or Disqualified Stock of a Restricted Subsidiary issued to the Issuer or another Restricted Subsidiary;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subsequent issuance or transfer of any Capital Stock or any other event that results in any Restricted Subsidiary that holds such Preferred Stock or Disqualified Stock ceasing to be a Restricted Subsidiary or any other subsequent transfer (other than the incurrence of a Permitted Lien) of any such shares of Preferred Stock or Disqualified Stock (except to the Issuer or another Restricted Subsidiary or any pledge of such Capital Stock constituting a Permitted Lien (but not foreclosure thereon)) shall be deemed in each case to be an issuance of such shares of Preferred Stock or Disqualified Stock, as applicable (to the extent such Preferred Stock or Disqualified Stock is then outstanding), not permitted by this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Hedging Obligations (excluding Hedging Obligations entered into for speculative purposes);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obligations in respect of self-insurance and obligations in respect of stays, customs, performance, indemnity, bid, appeal, judgment, and surety and other similar bonds or instruments and performance, bankers’ acceptance facilities and completion guarantees and similar obligations provided by the Issuer or any of the Restricted Subsidiaries or obligations in respect of letters of credit, bank guarantees or similar instruments related thereto, in each case, in the ordinary course of business or consistent with past practice or in connection with judgments that do not result in an Event of Default;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 Indebtedness, Disqualified Stock or Preferred Stock of the Issuer or any of its Restricted Subsidiaries in an aggregate principal amount or liquidation preference up to 200.0% of the net cash proceeds received by the Issuer since the Issue Date from the issue or sale of Equity Interests of the Issuer or cash contributed to the capital of the Issuer (in each case, other than Excluded Contributions or proceeds of Disqualified Stock or sales of Equity Interests to the Issuer or any of its Subsidiaries) as determined in accordance with clauses (2)(b) and (2)(c) of Section 10.10(a) to the extent such net cash proceeds or cash have not been applied pursuant to such clauses to make Restricted Payments or to make other Investments, payments or exchanges pursuant to Section 10.10(b) or to make Permitted Investments (other than Permitted Investments specified in clauses (1), (2) and (3) of the definition thereof) (any Indebtedness, Disqualified Stock or Preferred Stock incurred pursuant to this clause (12)(a), “</w:t>
      </w:r>
      <w:r>
        <w:rPr>
          <w:rFonts w:ascii="Times New Roman;Times;Serif" w:hAnsi="Times New Roman;Times;Serif"/>
          <w:b w:val="false"/>
          <w:i/>
          <w:caps w:val="false"/>
          <w:smallCaps w:val="false"/>
          <w:sz w:val="20"/>
        </w:rPr>
        <w:t>Contribution Debt</w:t>
      </w:r>
      <w:r>
        <w:rPr>
          <w:rFonts w:ascii="Times New Roman;Times;Serif" w:hAnsi="Times New Roman;Times;Serif"/>
          <w:b w:val="false"/>
          <w:i w:val="false"/>
          <w:caps w:val="false"/>
          <w:smallCaps w:val="false"/>
          <w:sz w:val="20"/>
        </w:rPr>
        <w:t>”) and (b) Indebtedness, Disqualified Stock or Preferred Stock of the Issuer or any Restricted Subsidiary in an aggregate principal amount or liquidation preference, which when aggregated with the principal amount and liquidation preference of all other Indebtedness, Disqualified Stock and Preferred Stock then outstanding and incurred or issued pursuant to this clause (12)(b) and any outstanding amount of Indebtedness under Section 10.11(b)(13) incurred to refinance Indebtedness initially incurred in reliance on this clause (12)(b), does not at any one time outstanding exceed the sum of (A) the greater of (x) $340.0 million and (y) 50.0% of Consolidated EBITDA of the Issuer for the Applicable Measurement Period and (B) the amount available under Section 10.10(a)(2) that is not otherwise applied pursuant to such clause as in effect immediately prior to the incurrence of such Indebtedness (it being understood that any Indebtedness, Disqualified Stock or Preferred Stock incurred pursuant to this clause (12)(b) shall (i) solely to the extent incurred pursuant to clause 12(b)(B) and remaining outstanding, reduce on a dollar-for-dollar basis, the available amount under Section 10.10(a)(2) and (ii) cease to be deemed incurred or outstanding for purposes of this clause (12)(b) but shall be deemed incurred pursuant to Section 10.11(a) from and after the first date on which the Issuer or such Restricted Subsidiary could have incurred or issued such Indebtedness, Disqualified Stock or Preferred Stock under Section 10.11(a));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incurrence by the Issuer or any of its Restricted Subsidiaries of Indebtedness or the issuance by the Issuer or any Restricted Subsidiary of Disqualified Stock or Preferred Stock that serves to refund, refinance, replace, renew, extend or defease (collectively, “</w:t>
      </w:r>
      <w:r>
        <w:rPr>
          <w:rFonts w:ascii="Times New Roman;Times;Serif" w:hAnsi="Times New Roman;Times;Serif"/>
          <w:b w:val="false"/>
          <w:i/>
          <w:caps w:val="false"/>
          <w:smallCaps w:val="false"/>
          <w:sz w:val="20"/>
        </w:rPr>
        <w:t>refinance</w:t>
      </w:r>
      <w:r>
        <w:rPr>
          <w:rFonts w:ascii="Times New Roman;Times;Serif" w:hAnsi="Times New Roman;Times;Serif"/>
          <w:b w:val="false"/>
          <w:i w:val="false"/>
          <w:caps w:val="false"/>
          <w:smallCaps w:val="false"/>
          <w:sz w:val="20"/>
        </w:rPr>
        <w:t>” with “</w:t>
      </w:r>
      <w:r>
        <w:rPr>
          <w:rFonts w:ascii="Times New Roman;Times;Serif" w:hAnsi="Times New Roman;Times;Serif"/>
          <w:b w:val="false"/>
          <w:i/>
          <w:caps w:val="false"/>
          <w:smallCaps w:val="false"/>
          <w:sz w:val="20"/>
        </w:rPr>
        <w:t>refinances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refinanced</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refinancing</w:t>
      </w:r>
      <w:r>
        <w:rPr>
          <w:rFonts w:ascii="Times New Roman;Times;Serif" w:hAnsi="Times New Roman;Times;Serif"/>
          <w:b w:val="false"/>
          <w:i w:val="false"/>
          <w:caps w:val="false"/>
          <w:smallCaps w:val="false"/>
          <w:sz w:val="20"/>
        </w:rPr>
        <w:t>” having a correlative meaning) any Indebtedness, Disqualified Stock or Preferred Stock of the Issuer or any of its Restricted Subsidiaries incurred or issued as permitted under Section 10.11(a) and clauses (2), (3), (4) and (12)(b), this clause (13) and clauses (14), (18), (19) and (27) of this Section 10.11(b) or any Indebtedness, Disqualified Stock or Preferred Stock incurred or issued to so refinance such Indebtedness, Disqualified Stock or Preferred Stock including additional Indebtedness, Disqualified Stock or Preferred Stock incurred to pay accrued but unpaid interest, dividends, premiums (including tender premiums), defeasance costs, underwriting discounts, fees, costs and expenses (including original issue discount, upfront fees or similar fees) in connection with such refinancing (the “</w:t>
      </w:r>
      <w:r>
        <w:rPr>
          <w:rFonts w:ascii="Times New Roman;Times;Serif" w:hAnsi="Times New Roman;Times;Serif"/>
          <w:b w:val="false"/>
          <w:i/>
          <w:caps w:val="false"/>
          <w:smallCaps w:val="false"/>
          <w:sz w:val="20"/>
        </w:rPr>
        <w:t>Refinancing Indebtedness</w:t>
      </w:r>
      <w:r>
        <w:rPr>
          <w:rFonts w:ascii="Times New Roman;Times;Serif" w:hAnsi="Times New Roman;Times;Serif"/>
          <w:b w:val="false"/>
          <w:i w:val="false"/>
          <w:caps w:val="false"/>
          <w:smallCaps w:val="false"/>
          <w:sz w:val="20"/>
        </w:rPr>
        <w:t xml:space="preserve">”) on or prior to its respective maturity;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Refinancing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has a Weighted Average Life to Maturity at the time such Refinancing Indebtedness is incurred which is not less than the remaining Weighted Average Life to Maturity of the Indebtedness, Disqualified Stock or Preferred Stock being refinanced (or requires no or nominal payments in cash (other than interest payments) prior to the date that is 91 days after the maturity date of the Notes),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such Refinancing Indebtedness refinances (i) Indebtedness subordinated in right of payment to the Notes or any Guarantee thereof, such Refinancing Indebtedness is subordinated in right of payment to the Notes or such Guarantee at least to the same extent as the Indebtedness being refinanced or (ii) Disqualified Stock or Preferred Stock, such Refinancing Indebtedness must be Disqualified Stock or Preferred Stock, respectively,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shall not include Indebtedness, Disqualified Stock or Preferred Stock of a Subsidiary of the Issuer that is not a Guarantor that refinances Indebtedness or Disqualified Stock of the Issuer or a Subsidiary of the Issuer that is a Guarantor,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such Indebtedness, Disqualified Stock or Preferred Stock refinanced is Secured Indebtedness, the Liens securing such Refinancing Indebtedness, Disqualified Stock or Preferred Stock shall have a lien priority equal to or junior to the Liens securing the Indebtedness being refinanced;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subclause (A) of this clause (13) shall not apply to any refinancing of any Secured Indebtedness;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Indebtedness, Disqualified Stock or Preferred Stock of (x) the Issuer or a Restricted Subsidiary incurred or issued to finance an acquisition or Investment or (y) Persons that are acquired by the Issuer or a Restricted Subsidiary or merged into, amalgamated with or consolidated with the Issuer or a Restricted Subsidiary in accordance with the terms of this Indenture (including designating an Unrestricted Subsidiary a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after giving pro forma effect to such Investment, acquisition, merger, amalgamation or consolidation, either: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the Issuer would be permitted to incur at least $1.00 of additional Indebtedness pursuant to the Fixed Charge Coverage Ratio test set forth under Section 10.11(a), or (b) the Fixed Charge Coverage Ratio of the Issuer and its Restricted Subsidiaries is equal to or greater than immediately prior to such Investment, acquisition, merger, amalgamation or consolidation;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the Consolidated Total Debt Ratio is equal to or less than immediately prior to such Investment, acquisition, merger, amalgamation or consolidation, or (b) the Consolidated Total Debt Ratio is equal to or less than 2.25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(a) Cash Management Obligations, (b) Indebtedness in respect of netting services, overdraft protections and similar arrangements and other Indebtedness arising from the honoring by a bank or other financial institution of a check, draft or similar instrument drawn against insufficient funds in the ordinary course of business, or (c) Indebtedness owed on a short-term basis of no longer than 30 days to banks and other financial institutions incurred in the ordinary course of business or consistent with past practice of the Issuer and its Restricted Subsidiaries with such banks or financial institutions that arises in connection with ordinary banking arrangements to manage cash balances of the Issuer and its Restricted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Indebtedness of the Issuer or any of its Restricted Subsidiaries supported by a letter of credit, bank guarantee or other instrument issued pursuant to any Credit Facility, in a principal amount not in excess of the stated amount of such letter of credit, bank guarantee or such other instrument;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(A) any guarantee by the Issuer or any Restricted Subsidiary of Indebtedness or other obligations of the Issuer or any Restricted Subsidiary so long as the incurrence of such Indebtedness incurred by the Issuer or such Restricted Subsidiary is permitted under the terms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Indebtedness that is being guaranteed is secured on a Junior Lien priority basis, unsecured or subordinated to the Notes, the guarantee shall also be secured on a Junior Lien priority basis, unsecured and/or subordinated to the Notes,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co-issuance by the Issuer or any Restricted Subsidiary of Indebtedness of the Issuer or any Restricted Subsidiary permitted under the terms of this Indenture;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Indebtedness of any Restricted Subsidiary that is not a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principal amount of Indebtedness of which the primary obligor or a guarantor is a Restricted Subsidiary that is not a Guarantor outstanding in reliance on this clause (18) shall not exceed, when aggregated with the outstanding amount of Indebtedness under Section 10.11(b)(13) incurred to refinance Indebtedness initially incurred in reliance on this clause (18), at the time of incurrence thereof and together with any other Indebtedness incurred under this clause (18), the greater of (x) $270.0 million and (y) 40.0% of Consolidated EBITDA of the Issuer for the Applicable Measurement Period (it being understood that any Indebtedness, Disqualified Stock or Preferred Stock incurred pursuant to this clause (18) shall cease to be deemed incurred or outstanding for purposes of this clause (18) but shall be deemed incurred pursuant to Section 10.11(a) from and after the first date on which the Issuer or such Restricted Subsidiary could have incurred or issued such Indebtedness, Disqualified Stock or Preferred Stock under Section 10.11(a));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Indebtedness, Disqualified Stock or Preferred Stock of the Issuer or any of its Restricted Subsidiaries incurred or issued to finance or assumed in connection with an acquisition or Investment in a principal amount not to exceed the greater of (x) $70.0 million and (y) 10.0% of Consolidated EBITDA of the Issuer for the Applicable Measurement Period in the aggregate at any one time outstanding together with all other outstanding Indebtedness, Disqualified Stock or Preferred Stock issued under this clause (19) and any outstanding Indebtedness under Section 10.11(b)(13) incurred to refinance Indebtedness initially incurred in reliance on this clause (19) (it being understood that any Indebtedness, Disqualified Stock or Preferred Stock incurred pursuant to this clause (19) shall cease to be deemed incurred or outstanding for purposes of this clause (19) but shall be deemed incurred pursuant to Section 10.11(a) and after the first date on which the Issuer or such Restricted Subsidiary could have incurred or issued such Indebtedness, Disqualified Stock or Preferred Stock under Section 10.11(a));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Indebtedness of the Issuer or any of its Restricted Subsidiaries consisting of (a) the financing of insurance premiums or (b) take-or-pay obligations contained in supply arrangements in each case, incurred in the ordinary course of business or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Indebtedness consisting of Indebtedness issued by the Issuer or any of its Restricted Subsidiaries to future, current or former officers, directors, employees, managers or consultants thereof (or any permitted transferee thereof) of the Issuer, any Restricted Subsidiary or any Parent Entity, in each case to finance the purchase or redemption of Equity Interests of the Issuer or any Parent Entity to the extent described in Section 10.10(b)(4);</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Indebtedness incurred by the Issuer or any of the Restricted Subsidiaries to the extent that the net proceeds thereof are promptly deposited with the Trustee to satisfy and discharge the Notes or exercise the Issuer’s Legal Defeasance or Covenant Defeasance as described under Article Thirteen, in each case in accordance with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Indebtedness attributable to (but not incurred to finance) the exercise of appraisal rights and the settlement of any claims or actions (whether actual, contingent or potential) with respect thereto, in each case with respect to any acquisition (by merger, consolidation or amalgamation or otherwise) permitted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Indebtedness representing deferred compensation to employees of any Parent Entity, the Issuer or any Restricted Subsidiary incurred in the ordinary course of business or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Indebtedness consisting of obligations under deferred compensation or any other similar arrangements incurred in connection with the Refinancing Transactions, any Permitted Investment or any acquisition (by merger, consolidation or amalgamation or otherwise) permitted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Indebtedness in the form of Capitalized Lease Obligations arising out of any Sale and Lease-Back Transaction;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to the extent constituting Indebtedness, customer deposits and advance payments (including progress premiums) received in the ordinary course of business from customers for goods and services purchased in the ordinary course of business or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unfunded pension fund and other employee benefits plan obligations and liabilities incurred in the ordinary course of business or consistent with past practice;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all premiums (if any), interest (including Post-Petition Interest), fees, expenses, charges and additional or contingent interest on obligations described in clauses (1) through (28) of this Section 10.11(b).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compliance with this Section 10.11,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the event that an item of Indebtedness, Disqualified Stock or Preferred Stock (or any portion thereof) meets the criteria of more than one of the categories of permitted Indebtedness, Disqualified Stock or Preferred Stock described in clauses (1) through (29) (or within any subclauses therein) of Section 10.11(b) or is entitled to be incurred pursuant to Section 10.11(a), the Issuer, in its sole discretion, shall divide, classify or reclassify all or a portion of such item of Indebtedness, Disqualified Stock or Preferred Stock (or any portion thereof) in any manner that complies with this Section 10.11 and will only be required to include the amount and type of such Indebtedness, Disqualified Stock or Preferred Stock (or portion thereof) in one of the above clauses or paragraphs;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all Indebtedness outstanding under the Senior Credit Facilities on the Issue Date will be treated as incurred under Section 10.11(b)(1);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the time of incurrence, the Issuer shall be entitled to divide and classify an item of Indebtedness in more than one of the types of Indebtedness described in Sections 10.11(a) and (b) above;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principal amount of Indebtedness outstanding under any clause of this Section 10.11 shall be determined after giving effect to the application of proceeds of any Indebtedness incurred to refinance any such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Section 10.11. If Indebtedness originally incurred in reliance upon a percentage of Consolidated EBITDA or the Consolidated First Lien Debt Ratio under clause (1) of the preceding paragraph is being refinanced under clause (1) of the preceding paragraph and such refinancing would cause the maximum amount of Indebtedness thereunder to be exceeded at such time, then such refinancing will nevertheless be permitted thereunder and such additional Indebtedness will be deemed to have been incurred under such clause (1), as applicable, so long as the principal amount of such refinancing Indebtedness does not exceed the principal amount of Indebtedness being refinanced plus amounts permitted by the next sentence. Any Indebtedness, Disqualified Stock or Preferred Stock incurred to refinance Indebtedness, Disqualified Stock or Preferred Stock incurred pursuant to clauses (1) and (12)(b) of Section 10.11(b) shall be permitted to include additional Indebtedness, Disqualified Stock or Preferred Stock incurred to pay accrued but unpaid interest, dividends, premiums (including tender premiums), defeasance costs, underwriting discounts, fees, costs and expenses (including original issue discount, upfront fees or similar fees) incurred in connection with such refinancing.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purposes of determining compliance with any U.S. dollar-denominated restriction on the incurrence of Indebtedness, Disqualified Stock or Preferred Stock, the U.S. dollar-equivalent principal amount of Indebtedness, Disqualified Stock or Preferred Stock denominated in a foreign currency shall be calculated based on the relevant currency exchange rate in effect on the date such Indebtedness, Disqualified Stock or Preferred Stock was incurred, in the case of term debt, or first committed, in the case of revolving credit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Indebtedness, Disqualified Stock or Preferred Stock is incurred to refinance other Indebtedness, Disqualified Stock or Preferred Stock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Disqualified Stock or Preferred Stock does not exceed the principal amount of such Indebtedness, Disqualified Stock or Preferred Stock being refinanced, plus the aggregate amount of accrued but unpaid interest, dividends, premiums (including tender premiums), defeasance costs, underwriting discounts, fees, costs and expenses (including original issue discount, upfront fees or similar fees) incurred in connection with such refinancing. The principal amount of any Indebtedness, Disqualified Stock or Preferred Stock incurred to refinance other Indebtedness, Disqualified Stock or Preferred Stock, if incurred in a different currency from the Indebtedness, Disqualified Stock or Preferred Stock being refinanced, shall be calculated based on the currency exchange rate applicable to the currencies in which such respective Indebtedness, Disqualified Stock or Preferred Stock is denominated that is in effect on the date of such refinancing. This Indenture shall not deem (1) unsecured Indebtedness as subordinated or junior to Secured Indebtedness merely because such Indebtedness is unsecured or (2) Senior Indebtedness as subordinated or junior to any other Senior Indebtedness solely because such Indebtedness has a junior priority with respect to shared Collateral or because it is guaranteed by other obligors.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10.12.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The Issuer shall not, and will not permit any Guarantor that is a Subsidiary of the Issuer to, directly or indirectly, create, incur or assume any Lien (except Permitted Liens) (each, a “</w:t>
      </w:r>
      <w:r>
        <w:rPr>
          <w:rFonts w:ascii="Times New Roman;Times;Serif" w:hAnsi="Times New Roman;Times;Serif"/>
          <w:b w:val="false"/>
          <w:i/>
          <w:caps w:val="false"/>
          <w:smallCaps w:val="false"/>
          <w:sz w:val="20"/>
        </w:rPr>
        <w:t>Subject Lien</w:t>
      </w:r>
      <w:r>
        <w:rPr>
          <w:rFonts w:ascii="Times New Roman;Times;Serif" w:hAnsi="Times New Roman;Times;Serif"/>
          <w:b w:val="false"/>
          <w:i w:val="false"/>
          <w:caps w:val="false"/>
          <w:smallCaps w:val="false"/>
          <w:sz w:val="20"/>
        </w:rPr>
        <w:t>”) that secures Obligations under any Indebtedness or any related guarantee of Indebtedness on any asset or property of the Issuer or any Guarantor that is a Subsidiary of the Issuer, unless in the case of Subject Liens on any asset or property that is not Collateral, (i) (x) in the case of Subject Liens securing any of the ABL Obligations, Pari Passu ABL Lien Indebtedness or Pari Passu Notes Lien Indebtedness, the Issuer or such Guarantor, as the case may be, shall, contemporaneously with the incurrence of such Lien, grant at least a first- or second-priority Lien consistent with the relative Lien priority set forth in the Intercreditor Agreements subject to Permitted Liens, upon such property or asset as security for the Notes and the Guarantees pursuant to the Intercreditor Agreements and any other applicable intercreditor agreement, and (y) in the case of Subject Liens securing Junior Lien Obligations, the Issuer or such Guarantor, as the case may be, shall, contemporaneously with the incurrence of such Lien, grant a priority Lien relative to such Junior Lien Obligations subject to Permitted Liens, upon such property or asset as security for the Notes and the Guarantees pursuant to the Junior Lien Intercreditor Agreement or other applicable intercreditor agreement, in each case, until such time as such Obligations are no longer secured by a Lien or (ii) such Subject Lien is a Permitted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Lien created for the benefit of the Holders pursuant to this Section 10.12 shall provide by its terms that such Lien shall be automatically and unconditionally released and discharged upon the release and discharge of the Subject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10.13.        </w:t>
      </w:r>
      <w:r>
        <w:rPr>
          <w:rFonts w:ascii="Times New Roman;Times;Serif" w:hAnsi="Times New Roman;Times;Serif"/>
          <w:b w:val="false"/>
          <w:i w:val="false"/>
          <w:caps w:val="false"/>
          <w:smallCaps w:val="false"/>
          <w:sz w:val="20"/>
          <w:u w:val="single"/>
        </w:rPr>
        <w:t>Limitations on Transactions with Affiliates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Issuer (each of the foregoing, an “</w:t>
      </w:r>
      <w:r>
        <w:rPr>
          <w:rFonts w:ascii="Times New Roman;Times;Serif" w:hAnsi="Times New Roman;Times;Serif"/>
          <w:b w:val="false"/>
          <w:i/>
          <w:caps w:val="false"/>
          <w:smallCaps w:val="false"/>
          <w:sz w:val="20"/>
        </w:rPr>
        <w:t>Affiliate Transaction</w:t>
      </w:r>
      <w:r>
        <w:rPr>
          <w:rFonts w:ascii="Times New Roman;Times;Serif" w:hAnsi="Times New Roman;Times;Serif"/>
          <w:b w:val="false"/>
          <w:i w:val="false"/>
          <w:caps w:val="false"/>
          <w:smallCaps w:val="false"/>
          <w:sz w:val="20"/>
        </w:rPr>
        <w:t>”) involving aggregate payments or consideration in excess of the greater of (x) $45.0 million and (y) 6.5% of Consolidated EBITDA of the Issuer for the Applicable Measurement Period,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Affiliate Transaction is on terms, taken as a whole, that are not materially less favorable to the Issuer or the relevant Restricted Subsidiary than those that would have been obtained in a comparable transaction by the Issuer or such Restricted Subsidiary with an unrelated Person on an arm’s-length basis or, if in the good faith judgment of the Issuer, no comparable transaction is available with which to compare such Affiliate Transaction, such Affiliate Transaction is otherwise fair to the Issuer or such Restricted Subsidiary from a financial point of view and when such transaction is taken in its entirety;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delivers to the Trustee with respect to any Affiliate Transaction or series of related Affiliate Transactions involving aggregate payments or consideration in excess of the greater of (x) $90.0 million and (y) 13.0% of Consolidated EBITDA of the Issuer for the Applicable Measurement Period, a resolution adopted by a majority of the Board of the Issuer approving such Affiliate Transaction, accompanied by an Officer’s Certificate certifying that such Affiliate Transaction complies with clause (1) above.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provisions shall not apply to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transactions between or among the Issuer and a Restricted Subsidiary or between or among Restricted Subsidiaries or, in any case, any entity that becomes a Restricted Subsidiary as a result of such transaction and (b) any merger, amalgamation or consolidation of the Issuer into any Parent Entity;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Parent Entity shall have no material liabilities and no material assets other than cash, Cash Equivalents and the Capital Stock of the Issuer and such merger, amalgamation or consolidation is otherwise consummated in compliance with the terms of this Indenture and effected for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business purpose;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Restricted Payments permitted by Section 10.10 (other than pursuant to Section 10.10(b)(13)(F)) and the definition of “Permitted Investments;”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[reserved];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payment of reasonable and customary fees and compensation paid to, and indemnities and reimbursements and employment and severance arrangements provided to or on behalf of, or for the benefit of, former, current or future officers, directors, managers, employees or consultants (or any permitted transferee) of the Issuer, any Restricted Subsidiary of the Issuer or any Parent Entity;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transactions in which the Issuer or any of its Restricted Subsidiaries, as the case may be, delivers to the Trustee a letter from an Independent Financial Advisor stating that such transaction is fair to the Issuer or such Restricted Subsidiary from a financial point of view or stating that the terms are not materially less favorable, when taken as a whole, to the Issuer or the relevant Restricted Subsidiary than those that would have been obtained in a comparable transaction by the Issuer or such Restricted Subsidiary with an unrelated Person on an arm’s length basis;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agreement or arrangement as in effect or contemplated in the good faith determination of the Issuer as of the Issue Date, or any amendment thereto (so long as any such amendment is not disadvantageous in any material respect in the good faith judgment of the Board of the Issuer or any Parent Entity or the senior management of the Issuer or any Parent Entity to the Holders when taken as a whole as compared to the applicable agreement as in effect on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the existence of, or the performance by the Issuer or any of its Restricted Subsidiaries of its obligations under the terms of, any stockholders agreement or the equivalent (including any registration rights agreement or purchase agreement related thereto) to which it (or any Parent Entity) is a party as of the Issue Date and any similar agreements which it (or any Parent Entity) may enter into thereafter;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existence of, or the performance by the Issuer or any of its Restricted Subsidiaries (or such Parent Entity) of obligations under any future amendment to any such existing agreement or under any similar agreement entered into after the Issue Date shall only be permitted by this clause (7) to the extent that the terms of any such amendment or new agreement are not otherwise disadvantageous in any material respect in the good faith judgment of the Board of the Issuer or any Parent Entity or the senior management of the Issuer or any Parent Entity to the Holders when taken as a whole as compared to the applicable agreement as in effect on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Refinancing Transactions and the payment of all fees and expenses related to the Refinancing Transactions, including the Transaction Expenses;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transactions with customers, vendors, clients, suppliers, contractors, joint venture partners or purchasers or sellers of goods or services that are Affiliates, in each case in the ordinary course of business or that are consistent with past practice and otherwise in compliance with the terms of this Indenture which are fair to the Issuer and its Restricted Subsidiaries, in the reasonable determination of the Board of the Issuer or any Parent Entity or the senior management thereof, or are on terms, taken as a whole, that are not materially less favorable as might reasonably have been obtained at such time from an unaffiliated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issuance or transfer of (a) Equity Interests (other than Disqualified Stock) of the Issuer and the granting and performing of customary registration rights to any Parent Entity or to any Permitted Holder or to any former, current or future director, manager, officer, employee or consultant (or any Affiliate of any of the foregoing, or any permitted transferee thereof) of the Issuer or any of its Subsidiaries or any Parent Entity and (b) directors’ qualifying shares and shares issued to foreign nationals as required by applicable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transactions in connection with Permitted Receivables Financings;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[reserved];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payments, loans, advances or guarantees (or cancellation of loans, advances or guarantees) to future, current or former employees, directors, officers, managers or consultants (or any permitted transferee thereof) of the Issuer, any of its Subsidiaries or any Parent Entity and employment agreements, consulting agreements, indemnification agreements, employee benefit plans, stock option plans and other compensatory or severance arrangements (and any successor plans thereto) and any supplemental executive retirement benefit plans or similar arrangements with any such employees, directors, officers, managers or consultants (or any permitted transferee thereof) (including salary or guaranteed payments and bonuses) which, in each case, are approved by the Board of the Issuer or any Parent Entity or the senior management of the Issuer or any Parent Entity in good faith;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(A) investments by Permitted Holders in securities or loans of the Issuer or any of its Restricted Subsidiaries (and any payment of out-of-pocket expenses incurred by such Permitted Holders in connection therewith) so long as the investment is being offered generally to other investors on the same or more favorable terms, and (B) payments to Permitted Holders in respect of securities or loans of the Issuer or any of its Restricted Subsidiaries contemplated in the foregoing subclause (A) or that were acquired from Persons other than the Issuer and its Restricted Subsidiaries, in each case, in accordance with the terms of such securities or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transactions with a Person that is an Affiliate of the Issuer arising solely because the Issuer or any Restricted Subsidiary owns any Equity Interest in, or controls, such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lease entered into between the Issuer or any Restricted Subsidiary, as lessee and any Affiliate of the Issuer, as lessor, which is approved by the Board of the Issuer or the senior management of the Issuer in good faith;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intellectual property licenses entered into in the ordinary course of business or consistent with past practice;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an agreement between a Person and an Affiliate of such Person existing at the time such Person is acquired by, or merged into, the Issuer or a Restricted Subsidiary and not entered into in contemplation of such acquisition or merger;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acquisition or merger complied with this Section 10.13;</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transactions between the Issuer or any Restricted Subsidiary and any other Person that would constitute an Affiliate Transaction solely because a director of such other Person is also a director of the Issuer or any Parent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director abstains from voting as a director of the Issuer or such Parent Entity, as the case may be, on any matter including such other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pledges of Equity Interests of Unrestricted Subsidiaries;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payments to and from, and transactions with, any joint ventures entered into in the ordinary course of business or consistent with past practice (including, without limitation, any cash management activities related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10.14.        </w:t>
      </w:r>
      <w:r>
        <w:rPr>
          <w:rFonts w:ascii="Times New Roman;Times;Serif" w:hAnsi="Times New Roman;Times;Serif"/>
          <w:b w:val="false"/>
          <w:i w:val="false"/>
          <w:caps w:val="false"/>
          <w:smallCaps w:val="false"/>
          <w:sz w:val="20"/>
          <w:u w:val="single"/>
        </w:rPr>
        <w:t>Limitations on Dividend and Other Payment Restrictions Affecting Restricted Subsidiaries</w:t>
      </w:r>
      <w:r>
        <w:rPr>
          <w:rFonts w:ascii="Times New Roman;Times;Serif" w:hAnsi="Times New Roman;Times;Serif"/>
          <w:b w:val="false"/>
          <w:i w:val="false"/>
          <w:caps w:val="false"/>
          <w:smallCaps w:val="false"/>
          <w:sz w:val="20"/>
        </w:rPr>
        <w:t>. The Issuer shall not, and shall not permit any of its Restricted Subsidiaries that are not Guarantors to, directly or indirectly, create or otherwise cause or suffer to exist or become effective any consensual encumbrance or consensual restriction on the ability of any such Restricted Subsidiary that is not a Guarantor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 pay dividends or make any other distributions to the Issuer or any of its Restricted Subsidiaries that is a Guarantor on its Capital Stock or with respect to any other interest or participation in, or measured by, its profits, or (y) pay any Indebtedness owed to the Issuer or any of its Restricted Subsidiaries that is a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loans or advances to the Issuer or any of its Restricted Subsidiaries that is a Guarantor;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lease or transfer any of its properties or assets to the Issuer or any of its Restricted Subsidiaries that is a Guarantor, except (in each case) for such encumbrances or restrictions existing under or by reason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contractual encumbrances or restrictions in effect on the Issue Date, including pursuant to the Senior Credit Facilities and the related documentation and Hedging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Indenture, the Notes, the Guarantees and the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Purchase Money Obligations and Capitalized Lease Obligations that impose restrictions of the nature discussed in clause (c) of this Section 10.14 on the property so acquired;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applicable law or any applicable rule, regulation or order or any requirement of any regulatory authority having jurisdiction over the Issuer or any Restricted Subsidiary or any of their businesses;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agreement or other instrument of a Person, or relating to Indebtedness or Capital Stock of a Person, which Person is acquired by or merged, consolidated or amalgamated with or into the Issuer or any Restricted Subsidiary (or where such Person is an Unrestricted Subsidiary that is redesignated as a Restricted Subsidiary in accordance with this Indenture), or any other transaction entered into in connection with any such acquisition, merger, consolidation, amalgamation or redesignation, in existence at the time of such acquisition or at the time it merges, consolidates or amalgamates with or into the Issuer or any Restricted Subsidiary or assumed in connection with the acquisition of assets from such Person or at the time it is redesignated (but, in each case, not created in contemplation thereof), which encumbrance or restriction is not applicable to any Person, or the properties or assets of any Person, other than the Person and its Subsidiaries, or the property or assets of the Person and its Subsidiaries, so acquired or redesignated;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contracts, including sale-leaseback agreements, for the sale or disposition of assets, including customary restrictions with respect to a Subsidiary of the Issuer pursuant to an agreement that has been entered into for the sale or disposition of Capital Stock or assets of such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Secured Indebtedness and Liens otherwise permitted to be incurred pursuant to Sections 10.11 and 10.12 that limit the right of the debtor to dispose of the assets securing such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restrictions on cash or other deposits or net worth imposed by customers or other counterparties under contracts entered into in the ordinary course of business or consistent with past practice or restrictions on cash or other deposits permitted under Section 10.12 or arising in connection with any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other Indebtedness, Disqualified Stock or Preferred Stock of Restricted Subsidiaries that are not Guarantors that is permitted to be incurred or issued subsequent to the Issue Date pursuant to Section 10.11;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customary provisions in joint venture agreements or arrangements and other similar agreements or arrangements relating to such joint venture or in shareholder, partnership, limited liability company and other similar agreements in respect of non-wholly owned Restricted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customary provisions contained in leases, subleases, licenses, sublicenses or similar agreements, including with respect to intellectual property and other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restrictions or conditions contained in any trading, netting, operating, construction, service, supply, purchase, sale or other agreement to which the Issuer or any of its Restricted Subsidiaries is a party entered into in the ordinary course of business or consistent with past practice;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agreement prohibits the encumbrance of solely the property or assets of the Issuer or such Restricted Subsidiary that are the subject to such agreement, the payment rights arising thereunder or the proceeds thereof and does not extend to any other asset or property of the Issuer or such Restricted Subsidiary or the assets or property of another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other Indebtedness, Disqualified Stock or Preferred Stock permitted to be incurred subsequent to the Issue Date pursuant to Section 10.11;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in the good faith judgment of the Issuer, such incurrence will not materially impair the Issuer’s ability to make payments under the Notes when due, (B) such encumbrances and restrictions apply only during the continuance of a default in respect of a payment or financial maintenance covenant relating to such Indebtedness or (C) the encumbrances and restrictions in such Indebtedness, Disqualified Stock or Preferred Stock either are not materially more restrictive taken as a whole than those contained in the Senior Credit Facilities or the Notes as in effect on the Issue Date or generally represent market terms at the time of incurrence or issuance and are imposed solely on such Restricted Subsidiary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restrictions contained in any documentation relating to any Permitted Receivables Financing that, in the good faith judgment of the Issuer, are necessary or advisable to effect such Permitted Receivables Financing;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any encumbrances or restrictions of the type referred to in clauses (a), (b) and (c) of this Section 10.14 imposed by any amendments, modifications, restatements, renewals, increases, supplements, refundings, replacements or refinancings of the contracts, instruments or obligations referred to in clauses (1) through (14) above;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amendments, modifications, restatements, renewals, increases, supplements, refundings, replacements or refinancings are, in the good faith judgment of the Issuer, not materially more restrictive with respect to such encumbrance and other restrictions taken as a whole than those prior to such amendment, modification, restatement, renewal, increase, supplement, refunding, replacement or refinancing.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compliance with this Section 10.14, (1) the priority of any Preferred Stock in receiving dividends or liquidating distributions prior to dividends or liquidating distributions being paid on common stock shall not be deemed a restriction on the ability to make distributions on Capital Stock and (2) the subordination of loans and advances made to the Issuer or a Restricted Subsidiary to other Indebtedness incurred by the Issuer or such Restricted Subsidiary shall not be deemed a restriction on the ability to make loans or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10.15.        </w:t>
      </w:r>
      <w:r>
        <w:rPr>
          <w:rFonts w:ascii="Times New Roman;Times;Serif" w:hAnsi="Times New Roman;Times;Serif"/>
          <w:b w:val="false"/>
          <w:i w:val="false"/>
          <w:caps w:val="false"/>
          <w:smallCaps w:val="false"/>
          <w:sz w:val="20"/>
          <w:u w:val="single"/>
        </w:rPr>
        <w:t>Limitation on Guarantees of Indebtedness by Restricted Subsidiaries</w:t>
      </w:r>
      <w:r>
        <w:rPr>
          <w:rFonts w:ascii="Times New Roman;Times;Serif" w:hAnsi="Times New Roman;Times;Serif"/>
          <w:b w:val="false"/>
          <w:i w:val="false"/>
          <w:caps w:val="false"/>
          <w:smallCaps w:val="false"/>
          <w:sz w:val="20"/>
        </w:rPr>
        <w:t>. The Issuer shall not permit any of its Domestic Subsidiaries that is a Wholly-Owned Subsidiary (or any Domestic Subsidiary that is a non-Wholly-Owned Subsidiary if such non-Wholly-Owned Subsidiary guarantees the Senior Credit Facilities or other capital markets debt securities of the Issuer or any Subsidiary of the Issuer that is a Guarantor), other than a Guarantor, a Receivables Subsidiary, a Foreign Subsidiary or a CFC Holding Company to guarantee the payment of (i) any Credit Facility permitted under Section 10.11(b)(1) or (ii) capital markets debt securities of the Issuer or any other Subsidiary of the Issuer that is a Guarantor in an aggregate principal amount in excess of $100.0 million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Restricted Subsidiary within 60 days executes and delivers a supplemental indenture to this Indenture in substantially the form of Exhibit A hereto providing for a Guarantee by such Restricted Subsidiary and joinders to the ABL Intercreditor Agreement and the other Security Documents or new intercreditor agreements and Security Documents, together with any other filings and agreements (subject to customary extension periods) required by the Security Documents to create or perfect the security interests for the benefit of the Holders in the Collateral of such Restricted Subsidiary, except that with respect to a guarantee of Indebtedness of the Issuer or any Subsidiary of the Issuer that is a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Restricted Subsidiary waives and shall not in any manner whatsoever claim or take the benefit or advantage of, any rights of reimbursement, indemnity or subrogation or any other rights against the Issuer or any other Restricted Subsidiary as a result of any payment by such Restricted Subsidiary under its Guarantee;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Section 10.15 shall not be applicable to any guarantee of any Restricted Subsidiary that existed at the time such Person became a Restricted Subsidiary and was not incurred in connection with, or in contemplation of, such Person becoming a Restricted Subsidiary. The Issuer may elect, in its sole discretion, to cause any Subsidiary that is not otherwise required to be a Guarantor to become a Guarantor, in which case such Subsidiary shall not be required to comply with the 60-day period described in clause (1) above.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Subsidiary of Holdings (other than the Issuer or a Subsidiary of the Issuer), which directly or indirectly through a Subsidiary owns or holds any Capital Stock of the Issuer (an “</w:t>
      </w:r>
      <w:r>
        <w:rPr>
          <w:rFonts w:ascii="Times New Roman;Times;Serif" w:hAnsi="Times New Roman;Times;Serif"/>
          <w:b w:val="false"/>
          <w:i/>
          <w:caps w:val="false"/>
          <w:smallCaps w:val="false"/>
          <w:sz w:val="20"/>
        </w:rPr>
        <w:t>Additional Credit Support Party</w:t>
      </w:r>
      <w:r>
        <w:rPr>
          <w:rFonts w:ascii="Times New Roman;Times;Serif" w:hAnsi="Times New Roman;Times;Serif"/>
          <w:b w:val="false"/>
          <w:i w:val="false"/>
          <w:caps w:val="false"/>
          <w:smallCaps w:val="false"/>
          <w:sz w:val="20"/>
        </w:rPr>
        <w:t xml:space="preserve">”), becomes a guarantor of, or otherwise guarantees, any Obligations in respect of any Senior Credit Facility or any other Pari Passu Secured Obligations (other than the Notes Obligations) and/or grants or otherwise provides a Lien on any of its assets to secure any Obligations in respect of any Senior Credit Facility or any other Pari Passu Secured Obligations (other than the Notes Obligations), such Additional Credit Support Party shall also be required to become a Guarantor of the Notes on the same basis as the other Guarantors of the Notes and to grant or otherwise provide a Lien on such assets in favor of the Notes Collateral Agent, for the benefit of the Notes Secured Parties, with the same priority as the Lien on such assets that secure the Obligations in respect of such Senior Credit Facility and/or such Pari Passu Secured Obligations, as the case may be;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Lien on such assets in favor of the Notes Collateral Agent may be of junior priority with respect to assets that secure ABL Obligations so long as such assets would otherwise be deemed to be ABL Priority Collateral if the Additional Credit Support Party were a Subsidiary of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Guarantee shall be released in accordance with the provisions of this Indenture pursuant to Article Twelve.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10.16.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occurs, unless, prior to, or concurrently with, the time the Issuer is required to make a Change of Control Offer (as defined below), the Issuer has previously or concurrently mailed or delivered, or otherwise sent through electronic transmission, a redemption notice with respect to all the Outstanding Notes as described under Section 4.01 or Section 11.06, the Issuer shall make an offer to purchase all of the Notes pursuant to the offer described below (the “</w:t>
      </w:r>
      <w:r>
        <w:rPr>
          <w:rFonts w:ascii="Times New Roman;Times;Serif" w:hAnsi="Times New Roman;Times;Serif"/>
          <w:b w:val="false"/>
          <w:i/>
          <w:caps w:val="false"/>
          <w:smallCaps w:val="false"/>
          <w:sz w:val="20"/>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caps w:val="false"/>
          <w:smallCaps w:val="false"/>
          <w:sz w:val="20"/>
        </w:rPr>
        <w:t>Change of Control Payment</w:t>
      </w:r>
      <w:r>
        <w:rPr>
          <w:rFonts w:ascii="Times New Roman;Times;Serif" w:hAnsi="Times New Roman;Times;Serif"/>
          <w:b w:val="false"/>
          <w:i w:val="false"/>
          <w:caps w:val="false"/>
          <w:smallCaps w:val="false"/>
          <w:sz w:val="20"/>
        </w:rPr>
        <w:t>”) equal to 101% of the aggregate principal amount thereof (or such higher amount as the Issuer may determine (any Change of Control Offer at a higher amount, an “</w:t>
      </w:r>
      <w:r>
        <w:rPr>
          <w:rFonts w:ascii="Times New Roman;Times;Serif" w:hAnsi="Times New Roman;Times;Serif"/>
          <w:b w:val="false"/>
          <w:i/>
          <w:caps w:val="false"/>
          <w:smallCaps w:val="false"/>
          <w:sz w:val="20"/>
        </w:rPr>
        <w:t>Alternate Offer</w:t>
      </w:r>
      <w:r>
        <w:rPr>
          <w:rFonts w:ascii="Times New Roman;Times;Serif" w:hAnsi="Times New Roman;Times;Serif"/>
          <w:b w:val="false"/>
          <w:i w:val="false"/>
          <w:caps w:val="false"/>
          <w:smallCaps w:val="false"/>
          <w:sz w:val="20"/>
        </w:rPr>
        <w:t>”)) plus accrued and unpaid interest, if any, to, but excluding, the date of purchase, subject to the right of Holders of record on the relevant Regular Record Date to receive interest due on the relevant Interest Payment Date falling on or prior to the Change of Control Payment Date (as defined in Section 10.16(a)(2)). Within 30 days following any Change of Control, the Issuer shall send notice of such Change of Control Offer electronically or by first-class mail, with a copy to the Trustee sent in the same manner, to each Holder to the address of such Holder appearing in the Note Register or otherwise in accordance with the procedures of the Depository, with the following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a Change of Control Offer is being made pursuant to this Section 10.16 and that all Notes properly tendered pursuant to such Change of Control Offer shall be accepted for payment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purchase price and the purchase date, which will be no earlier than ten days nor later than 60 days from the date such notice is sent (the “</w:t>
      </w:r>
      <w:r>
        <w:rPr>
          <w:rFonts w:ascii="Times New Roman;Times;Serif" w:hAnsi="Times New Roman;Times;Serif"/>
          <w:b w:val="false"/>
          <w:i/>
          <w:caps w:val="false"/>
          <w:smallCaps w:val="false"/>
          <w:sz w:val="20"/>
        </w:rPr>
        <w:t>Change of Control Payment Date</w:t>
      </w:r>
      <w:r>
        <w:rPr>
          <w:rFonts w:ascii="Times New Roman;Times;Serif" w:hAnsi="Times New Roman;Times;Serif"/>
          <w:b w:val="false"/>
          <w:i w:val="false"/>
          <w:caps w:val="false"/>
          <w:smallCaps w:val="false"/>
          <w:sz w:val="20"/>
        </w:rPr>
        <w:t>”), except in the case of a conditional Change of Control Offer made in advance of a Change of Control pursuant to Section 10.16(e);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any Note not properly tendered shall remain outstanding and continue to accrue interest;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unless the Issuer defaults in the payment of the Change of Control Payment, all Notes accepted for payment pursuant to the Change of Control Offer shall cease to accrue interest on the Change of Control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Holders electing to have any Notes purchased pursuant to a Change of Control Offer will be required to surrender such Notes, with the form entitled “Option of Holder to Elect Purchase” on the reverse of such Notes completed or otherwise in accordance with the procedures of the Depository, to the Paying Agent specified in the notice at the address specified in the notice prior to the close of business on the third Business Day preceding the Change of Control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that if less than all of such Holder’s Notes are tendered for purchase, such Holder will be issued new Notes (or, in the case of global Notes, such Notes shall be reduced by such amount of Notes that the Holder has tendered) and such new Notes will be equal in principal amount to the unpurchased portion of the Notes surrendered;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unpurchased portion of the Notes must be equal to at least $2,000 or an integral multiple of $1,000 in excess of $2,000;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if such notice is sent prior to the occurrence of a Change of Control, stating that the Change of Control Offer is conditional on the occurrence of such Change of Control and describing each such condition, and, if applicable, stating that, in the Issuer’s discretion, the Change of Control Payment Date may be delayed until such time (including more than 60 days after the notice is mailed or delivered, including by electronic transmission) as any or all such conditions shall be satisfied, or that such purchase may not occur and such notice may be rescinded in the event that the Issuer shall determine that any or all such conditions shall not have been, or will not be, satisfied by the Change of Control Payment Date, or by the Change of Control Payment Date as so delayed;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such other instructions, as determined by the Issuer, consistent with this Section 10.16, that a Holder must follow.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While the Notes are in global form and the Issuer makes an offer to purchase all of the Notes pursuant to the Change of Control Offer, a Holder may exercise its option to elect for the purchase of the Notes through the facilities of the Depository, subject to its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shall comply with the requirements of Rule 14e-1 under the Exchange Act and any other securities laws and regulations thereunder to the extent such laws or regulations are applicable in connection with the repurchase of the Notes pursuant to a Change of Control Offer. To the extent that the provisions of any securities laws or regulations conflict with the provisions of this Indenture, the Issuer shall comply with the applicable securities laws and regulations and shall not be deemed to have breached its obligations described in this Indenture by virtue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the Change of Control Payment Date, the Issuer shall, to the extent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accept for payment all Notes or portions thereof properly tendered pursuant to the Change of Control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deposit with the Paying Agent an amount equal to the aggregate Change of Control Payment in respect of all Notes or portions thereof so tendered;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 or cause to be delivered, to the Trustee for cancellation the Notes so accepted together with an Officer’s Certificate to the Trustee stating that such Notes or portions thereof have been tendered to and purchased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not be required to make a Change of Control Offer if a third party makes the Change of Control Offer (including, for the avoidance of doubt, an Alternate Offer) in the manner, at the times and otherwise in compliance with the requirements set forth in this Indenture applicable to a Change of Control Offer made by the Issuer and purchases all Notes validly tendered and not withdrawn under such Change of Control Offer. Notwithstanding anything to the contrary herein, a Change of Control Offer (including, for the avoidance of doubt, an Alternate Offer) may be made in advance of a Change of Control, conditional upon such Change of Control, if a definitive agreement is in place for the Change of Control at the time of the making of such Change of Control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Holders of not less than 90%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or such third party will have the right, upon not less than ten days’ nor more than 60 days’ prior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notice is given not more than 30 days following such purchase pursuant to the Change of Control Offer described above) to redeem (with respect to the Issuer) or purchase (with respect to a third party) all Notes that remain outstanding following such purchase on a date (the “</w:t>
      </w:r>
      <w:r>
        <w:rPr>
          <w:rFonts w:ascii="Times New Roman;Times;Serif" w:hAnsi="Times New Roman;Times;Serif"/>
          <w:b w:val="false"/>
          <w:i/>
          <w:caps w:val="false"/>
          <w:smallCaps w:val="false"/>
          <w:sz w:val="20"/>
        </w:rPr>
        <w:t>Second Change of Control Payment Date</w:t>
      </w:r>
      <w:r>
        <w:rPr>
          <w:rFonts w:ascii="Times New Roman;Times;Serif" w:hAnsi="Times New Roman;Times;Serif"/>
          <w:b w:val="false"/>
          <w:i w:val="false"/>
          <w:caps w:val="false"/>
          <w:smallCaps w:val="false"/>
          <w:sz w:val="20"/>
        </w:rPr>
        <w:t>”) at a price in cash equal to the Change of Control Payment (excluding any early tender premium or similar premium and any accrued and unpaid interest to any Holder in such Change of Control Payment) in respect of the Second Change of Control Payment Date, plus accrued and unpaid interest on the Notes that remain outstanding to, but excluding, the Second Change of Control Payment Date (subject to the right of Holders of record on the relevant record date to receive interest due on an interest payment date that is on or prior to the Second Change of Control Payment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Section 10.16 (including the definition of “</w:t>
      </w:r>
      <w:r>
        <w:rPr>
          <w:rFonts w:ascii="Times New Roman;Times;Serif" w:hAnsi="Times New Roman;Times;Serif"/>
          <w:b w:val="false"/>
          <w:i/>
          <w:caps w:val="false"/>
          <w:smallCaps w:val="false"/>
          <w:sz w:val="20"/>
        </w:rPr>
        <w:t>Change of Control</w:t>
      </w:r>
      <w:r>
        <w:rPr>
          <w:rFonts w:ascii="Times New Roman;Times;Serif" w:hAnsi="Times New Roman;Times;Serif"/>
          <w:b w:val="false"/>
          <w:i w:val="false"/>
          <w:caps w:val="false"/>
          <w:smallCaps w:val="false"/>
          <w:sz w:val="20"/>
        </w:rPr>
        <w:t>”) may be waived or modified at any time with the written consent of the Holders of a majority in aggregate principal amount of the then Outstanding Notes. A Change of Control Offer with respect to the Notes (including, for the avoidance of doubt, an Alternate Offer) may be made at the same time as consents are solicited with respect to an amendment, supplement or waiver of this Indenture, the Notes and/or the Guarantees so long as the offer to purchase a Holder’s Notes in the tender offer is not conditioned upon the delivery of consents by such Holder. In addition, the Issuer or any third party approved in writing by the Issuer that is making the Change of Control Offer (including, for the avoidance of doubt, an Alternate Offer) may increase or decrease the Change of Control Payment (or decline to pay any early tender or similar premium) being offered to Holders at any time in its sole discretion, so long as the Change of Control Payment is at least equal to 101% of the aggregate principal amount of the Notes being repurchased, plus accrued and unpaid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10.17.        </w:t>
      </w:r>
      <w:r>
        <w:rPr>
          <w:rFonts w:ascii="Times New Roman;Times;Serif" w:hAnsi="Times New Roman;Times;Serif"/>
          <w:b w:val="false"/>
          <w:i w:val="false"/>
          <w:caps w:val="false"/>
          <w:smallCaps w:val="false"/>
          <w:sz w:val="20"/>
          <w:u w:val="single"/>
        </w:rPr>
        <w:t>Asset Sales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not, and shall not permit any of its Restricted Subsidiaries to, consummate, directly or indirectly, an Asset Sale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or such Restricted Subsidiary, as the case may be, receives consideration at the time of such Asset Sale at least equal to the fair market value (measured at the time of contractually agreeing to such Asset Sale) of the assets sold or otherwise disposed 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except in the case of a Permitted Asset Swap, if the property or assets sold or otherwise disposed of have a fair market value in excess of the greater of (x) $80.0 million and (y) 1.5% of Total Assets of the Issuer (measured at the time of contractually agreeing to such Asset Sale), at least 75% of the consideration for such Asset Sale (measured at the time of contractually agreeing to such Asset Sale), together with all other Asset Sales since the Issue Date (on a cumulative basis), received by the Issuer or such Restricted Subsidiary, as the case may be, is in the form of cash or Cash Equivalents;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liabilities (as reflected on the Issuer’s or such Restricted Subsidiary’s most recent consolidated balance sheet or in the footnotes thereto, or if incurred, accrued or increased subsequent to the date of such balance sheet, such liabilities that would have been reflected on the Issuer’s or such Restricted Subsidiary’s consolidated balance sheet or in the footnotes thereto if such incurrence, accrual or increase had taken place on or prior to the date of such balance sheet, as determined by the Issuer) of the Issuer or any Restricted Subsidiary, other than liabilities that are by their terms subordinated to the Notes or the Guarantees of the Notes, that are assumed by the transferee of any such assets (or are otherwise extinguished in connection with the transactions relating to such Asset Sale) pursuant to a written agreement which releases the Issuer or such Restricted Subsidiary from such liabilities;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securities, notes or other obligations or assets received by the Issuer or such Restricted Subsidiary from such transferee that are converted by the Issuer or such Restricted Subsidiary into cash or Cash Equivalents, or by their terms are required to be satisfied for cash or Cash Equivalents (to the extent of the cash or Cash Equivalents received), in each case, within 180 days following the closing of such Asset Sale;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Designated Non-cash Consideration received by the Issuer or such Restricted Subsidiary in such Asset Sale having an aggregate fair market value, taken together with all other Designated Non-cash Consideration received pursuant to this clause (C) that is outstanding at such time, not to exceed the greater of (x) $325.0 million and (y) 6.0% of Total Assets of the Issuer at the time of the receipt of such Designated Non-cash Consideration, with the fair market value of each item of Designated Non-cash Consideration being measured at the time received and without giving effect to subsequent changes in value, shall, for purposes of this Section 10.17 (and no other provision of this Indenture), be deemed to be cash or Cash Equivalents;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or such Restricted Subsidiary has complied with the applicable provisions of this Indenture and the Security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540 days after the Issuer’s or any Restricted Subsidiary’s receipt of any Net Proceeds from any Asset Sale (the “</w:t>
      </w:r>
      <w:r>
        <w:rPr>
          <w:rFonts w:ascii="Times New Roman;Times;Serif" w:hAnsi="Times New Roman;Times;Serif"/>
          <w:b w:val="false"/>
          <w:i/>
          <w:caps w:val="false"/>
          <w:smallCaps w:val="false"/>
          <w:sz w:val="20"/>
        </w:rPr>
        <w:t>Asset Sale Proceeds Application Period</w:t>
      </w:r>
      <w:r>
        <w:rPr>
          <w:rFonts w:ascii="Times New Roman;Times;Serif" w:hAnsi="Times New Roman;Times;Serif"/>
          <w:b w:val="false"/>
          <w:i w:val="false"/>
          <w:caps w:val="false"/>
          <w:smallCaps w:val="false"/>
          <w:sz w:val="20"/>
        </w:rPr>
        <w:t>”), the Issuer or such Restricted Subsidiary, at its option, may apply an amount equal to the Applicable Percentage of the Net Proceeds from such Asset Sale (the “</w:t>
      </w:r>
      <w:r>
        <w:rPr>
          <w:rFonts w:ascii="Times New Roman;Times;Serif" w:hAnsi="Times New Roman;Times;Serif"/>
          <w:b w:val="false"/>
          <w:i/>
          <w:caps w:val="false"/>
          <w:smallCaps w:val="false"/>
          <w:sz w:val="20"/>
        </w:rPr>
        <w:t>Applicable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repay: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the assets or property disposed of in the Asset Sale constituted: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ABL Priority Collateral, ABL Obligations or</w:t>
      </w:r>
    </w:p>
    <w:p>
      <w:pPr>
        <w:pStyle w:val="TextBody"/>
        <w:bidi w:val="0"/>
        <w:spacing w:before="0" w:after="0"/>
        <w:ind w:left="3600" w:right="0" w:hanging="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Notes Priority Collateral, Pari Passu Secured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Restricted Subsidiary shall so repay any such Obligations other than the Notes, the Issuer will either (1) reduce Obligations under the Notes on a pro rata basis by, at its option, (A) redeeming the Notes as described under Section 11.01 or (B) purchasing the Notes through open-market purchases or in arm’s-length privately negotiated transactions, or (2) make an offer (in accordance with the procedures set forth below for an Asset Sale Offer) to all Holders to purchase their Notes on a ratable basis with such other Pari Passu Secured Obligations for no less than 100% of the principal amount thereof, plus the amount of accrued but unpaid interest, if any, thereon, and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of (I) and (II), in the case of revolving obligations, to correspondingly reduce commitments with respect thereto (other than obligations in respect of any asset-based credit facility to the extent the assets sold or otherwise disposed of in connection with such Asset Sale constituted “borrowing base assets”), but in each case, other than Indebtedness owed to the Issuer or any Restricted Subsidiary;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the assets or property disposed of in the Asset Sale did not constitute Collateral, Obligations under the Notes or any other Indebtedness (other than Subordinated Indebtedness) of the Issuer or any Restricted Subsidiary (other than Indebtedness owed to the Issuer or any Restricted Subsidiary) and, in the case of other Senior Indebtedness (other than obligations in respect of any asset-based credit facility to the extent the assets sold or otherwise disposed of in connection with such Asset Sale constituted “borrowing base assets”), to correspondingly reduce any outstanding commitments with respect thereto, if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Issuer or any Restricted Subsidiary shall so repay any Senior Indebtedness other than the Notes, the Issuer shall either (1) reduce Obligations under the Notes on a pro rata basis by, at its option, (A) redeeming Notes as described under Section 11.01 or (B) purchasing Notes through open-market purchases or in arm’s-length privately negotiated transactions, or (2) make an offer (in accordance with the procedures set forth below for an Asset Sale Offer) to all Holders to purchase their Notes on a ratable basis with such other Senior Indebtedness for no less than 100% of the principal amount thereof, plus the amount of accrued but unpaid interest, if any, thereon;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Indebtedness of a Restricted Subsidiary that is not a Guarantor, other than Indebtedness owed to the Issuer or another Restricted Subsidiary;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make (A) an Investment in any one or more businesses;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Investment in any business is in the form of the acquisition of Capital Stock and results in the Issuer or a Restricted Subsidiary, as the case may be, owning an amount of the Capital Stock of such business such that it constitutes or continues to constitute a Restricted Subsidiary, (B) capital expenditures or (C) acquisitions of other property or assets (other than Capital Stock), in the case of each of clauses (A), (B) and (C), either (i) that is used or useful in a Similar Business or (ii) that replace the businesses, properties and/or assets that are the subject of such Asset Sale;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combination of the foregoing;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clause (2) above, a binding commitment or letter of intent shall be treated as a permitted application of the Applicable Proceeds from the date of such commitment or letter of intent so long as the Issuer or such Restricted Subsidiary enters into such commitment or letter of intent with the good faith expectation that such Applicable Proceeds will be applied to satisfy such commitment or letter of intent within 180 days of the Asset Sale Proceeds Application Period (an “</w:t>
      </w:r>
      <w:r>
        <w:rPr>
          <w:rFonts w:ascii="Times New Roman;Times;Serif" w:hAnsi="Times New Roman;Times;Serif"/>
          <w:b w:val="false"/>
          <w:i/>
          <w:caps w:val="false"/>
          <w:smallCaps w:val="false"/>
          <w:sz w:val="20"/>
        </w:rPr>
        <w:t>Acceptable Commitment</w:t>
      </w:r>
      <w:r>
        <w:rPr>
          <w:rFonts w:ascii="Times New Roman;Times;Serif" w:hAnsi="Times New Roman;Times;Serif"/>
          <w:b w:val="false"/>
          <w:i w:val="false"/>
          <w:caps w:val="false"/>
          <w:smallCaps w:val="false"/>
          <w:sz w:val="20"/>
        </w:rPr>
        <w:t>”) and such Applicable Proceeds are actually applied in such manner within the later of 540 days from the consummation of the Asset Sale and 180 days from the date of the Acceptable Commitment, and, in the event any Acceptable Commitment is later cancelled or terminated for any reason before the Applicable Proceeds are applied in connection therewith, then such Applicable Proceeds shall constitute Excess Proceeds unless the Issuer or such Restricted Subsidiary enters into another Acceptable Commitment within 180 days of such cancellation or termination (a “</w:t>
      </w:r>
      <w:r>
        <w:rPr>
          <w:rFonts w:ascii="Times New Roman;Times;Serif" w:hAnsi="Times New Roman;Times;Serif"/>
          <w:b w:val="false"/>
          <w:i/>
          <w:caps w:val="false"/>
          <w:smallCaps w:val="false"/>
          <w:sz w:val="20"/>
        </w:rPr>
        <w:t>Second Commitment</w:t>
      </w:r>
      <w:r>
        <w:rPr>
          <w:rFonts w:ascii="Times New Roman;Times;Serif" w:hAnsi="Times New Roman;Times;Serif"/>
          <w:b w:val="false"/>
          <w:i w:val="false"/>
          <w:caps w:val="false"/>
          <w:smallCaps w:val="false"/>
          <w:sz w:val="20"/>
        </w:rPr>
        <w:t xml:space="preserve">”) and such Applicable Proceeds are actually applied in such manner within 180 days from the date of the Second Commitment;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any Second Commitment is later cancelled or terminated for any reason before such Applicable Proceeds are applied, then such Applicable Proceeds shall constitute Excess Proceeds to the extent the Asset Sale Proceeds Application Period has expired.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Applicable Proceeds from an Asset Sale exceed amounts that are invested or applied as provided and within the time period set forth in the preceding paragraph, such excess amount will be deemed to constitute “</w:t>
      </w:r>
      <w:r>
        <w:rPr>
          <w:rFonts w:ascii="Times New Roman;Times;Serif" w:hAnsi="Times New Roman;Times;Serif"/>
          <w:b w:val="false"/>
          <w:i/>
          <w:caps w:val="false"/>
          <w:smallCaps w:val="false"/>
          <w:sz w:val="20"/>
        </w:rPr>
        <w:t>Excess Proceeds</w:t>
      </w:r>
      <w:r>
        <w:rPr>
          <w:rFonts w:ascii="Times New Roman;Times;Serif" w:hAnsi="Times New Roman;Times;Serif"/>
          <w:b w:val="false"/>
          <w:i w:val="false"/>
          <w:caps w:val="false"/>
          <w:smallCaps w:val="false"/>
          <w:sz w:val="20"/>
        </w:rPr>
        <w:t>.” When the aggregate amount of Excess Proceeds exceeds $100.0 million, the Issuer shall make an offer to all Holders and, if required or permitted by the terms of any agreements governing any other First Lien Obligations or, if the assets or property disposed of in the Asset Sale were not Collateral, other Indebtedness that is pari passu in right of payment with the Notes (“</w:t>
      </w:r>
      <w:r>
        <w:rPr>
          <w:rFonts w:ascii="Times New Roman;Times;Serif" w:hAnsi="Times New Roman;Times;Serif"/>
          <w:b w:val="false"/>
          <w:i/>
          <w:caps w:val="false"/>
          <w:smallCaps w:val="false"/>
          <w:sz w:val="20"/>
        </w:rPr>
        <w:t>Pari Passu Indebtedness</w:t>
      </w:r>
      <w:r>
        <w:rPr>
          <w:rFonts w:ascii="Times New Roman;Times;Serif" w:hAnsi="Times New Roman;Times;Serif"/>
          <w:b w:val="false"/>
          <w:i w:val="false"/>
          <w:caps w:val="false"/>
          <w:smallCaps w:val="false"/>
          <w:sz w:val="20"/>
        </w:rPr>
        <w:t>”), to the holders of such First Lien Obligations and/or Pari Passu Indebtedness, as applicable (an “</w:t>
      </w:r>
      <w:r>
        <w:rPr>
          <w:rFonts w:ascii="Times New Roman;Times;Serif" w:hAnsi="Times New Roman;Times;Serif"/>
          <w:b w:val="false"/>
          <w:i/>
          <w:caps w:val="false"/>
          <w:smallCaps w:val="false"/>
          <w:sz w:val="20"/>
        </w:rPr>
        <w:t>Asset Sale Offer</w:t>
      </w:r>
      <w:r>
        <w:rPr>
          <w:rFonts w:ascii="Times New Roman;Times;Serif" w:hAnsi="Times New Roman;Times;Serif"/>
          <w:b w:val="false"/>
          <w:i w:val="false"/>
          <w:caps w:val="false"/>
          <w:smallCaps w:val="false"/>
          <w:sz w:val="20"/>
        </w:rPr>
        <w:t>”), to purchase the maximum aggregate principal amount (or accreted value, as applicable) of the Notes and such First Lien Obligations and/or Pari Passu Indebtedness, as applicable, with respect to the Notes only, that is equal to $2,000 or an integral multiple of $1,000 in excess thereof, that may be purchased out of the Excess Proceeds at an offer price, with respect to the Notes only, in cash in an amount equal to 100% of the principal amount thereof (or accreted value thereof, if less), plus accrued and unpaid interest, if any, to, but excluding, the date fixed for the closing of such offer, in accordance with the procedures set forth in this Indenture and, if applicable, the other documents governing the applicable First Lien Obligations and/or Pari Passu Indebtedness. The Issuer shall commence an Asset Sale Offer with respect to Excess Proceeds within 20 Business Days after the date that Excess Proceeds exceed $100.0 million by transmitting electronically or mailing the notice required pursuant to the terms of this Indenture, with a copy to the Trustee. The Issuer may satisfy the foregoing obligation with respect to such Applicable Proceeds from an Asset Sale by making an Asset Sale Offer prior to the expiration of the Asset Sale Proceeds Application Period (the “</w:t>
      </w:r>
      <w:r>
        <w:rPr>
          <w:rFonts w:ascii="Times New Roman;Times;Serif" w:hAnsi="Times New Roman;Times;Serif"/>
          <w:b w:val="false"/>
          <w:i/>
          <w:caps w:val="false"/>
          <w:smallCaps w:val="false"/>
          <w:sz w:val="20"/>
        </w:rPr>
        <w:t>Advance Offer</w:t>
      </w:r>
      <w:r>
        <w:rPr>
          <w:rFonts w:ascii="Times New Roman;Times;Serif" w:hAnsi="Times New Roman;Times;Serif"/>
          <w:b w:val="false"/>
          <w:i w:val="false"/>
          <w:caps w:val="false"/>
          <w:smallCaps w:val="false"/>
          <w:sz w:val="20"/>
        </w:rPr>
        <w:t>”) with respect to all or a part of the available Applicable Proceeds (the “</w:t>
      </w:r>
      <w:r>
        <w:rPr>
          <w:rFonts w:ascii="Times New Roman;Times;Serif" w:hAnsi="Times New Roman;Times;Serif"/>
          <w:b w:val="false"/>
          <w:i/>
          <w:caps w:val="false"/>
          <w:smallCaps w:val="false"/>
          <w:sz w:val="20"/>
        </w:rPr>
        <w:t>Advance Portion</w:t>
      </w:r>
      <w:r>
        <w:rPr>
          <w:rFonts w:ascii="Times New Roman;Times;Serif" w:hAnsi="Times New Roman;Times;Serif"/>
          <w:b w:val="false"/>
          <w:i w:val="false"/>
          <w:caps w:val="false"/>
          <w:smallCaps w:val="false"/>
          <w:sz w:val="20"/>
        </w:rPr>
        <w:t>”) in advance of being required to do so by this Indenture. To the extent that the aggregate principal amount (or accreted value, as applicable) of Notes and, if applicable, First Lien Obligations and/or Pari Passu Indebtedness, tendered pursuant to an Asset Sale Offer is less than the Excess Proceeds (or, in the case of an Advance Offer, the Advance Portion), the Issuer may use any remaining Excess Proceeds (or, in the case of an Advance Offer, the Advance Portion) (such remaining proceeds, the “</w:t>
      </w:r>
      <w:r>
        <w:rPr>
          <w:rFonts w:ascii="Times New Roman;Times;Serif" w:hAnsi="Times New Roman;Times;Serif"/>
          <w:b w:val="false"/>
          <w:i/>
          <w:caps w:val="false"/>
          <w:smallCaps w:val="false"/>
          <w:sz w:val="20"/>
        </w:rPr>
        <w:t>Declined Proceeds</w:t>
      </w:r>
      <w:r>
        <w:rPr>
          <w:rFonts w:ascii="Times New Roman;Times;Serif" w:hAnsi="Times New Roman;Times;Serif"/>
          <w:b w:val="false"/>
          <w:i w:val="false"/>
          <w:caps w:val="false"/>
          <w:smallCaps w:val="false"/>
          <w:sz w:val="20"/>
        </w:rPr>
        <w:t>”) in any manner not prohibited by this Indenture. If the aggregate principal amount (or accreted value, as applicable) of Notes or the First Lien Obligations and/or the Pari Passu Indebtedness tendered pursuant to an Asset Sale Offer exceeds the amount of Excess Proceeds (or, in the case of an Advance Offer, the Advance Portion), the Trustee shall select the Notes (subject to applicable Depository procedures as to global Notes) and the Issuer or the representative of such First Lien Obligations and/or Pari Passu Indebtedness shall select such First Lien Obligations and/or Pari Passu Indebtedness to be purchased or repaid on a pro rata basis based on the accreted value or aggregate principal amount of the Notes or such First Lien Obligations and/or Pari Passu Indebtedness, tendered with adjustments as necessary so that no Notes or First Lien Obligations and/or Pari Passu Indebtedness, as the case may be, will be repurchased in part in an unauthorized denomination. Upon completion of any such Asset Sale Offer, the amount of Excess Proceeds shall be reset at zero (regardless of whether there are any remaining Excess Proceeds upon such completion), and in the case of an Advance Offer, the amount of Applicable Proceeds the Issuer is offering to apply in such Advance Offer shall be excluded in subsequent calculations of Excess Proceeds. Additionally, upon consummation or expiration of any Advance Offer, any remaining Applicable Proceeds shall not be deemed Excess Proceeds and the Issuer may use such Applicable Proceeds for any purpose not otherwise prohibited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Pending the final application of an amount equal to the Applicable Proceeds pursuant to this Section 10.17, the Issuer or the applicable Restricted Subsidiary may apply such Applicable Proceeds temporarily to reduce Indebtedness outstanding under a revolving credit facility (including under the Senior Credit Facilities) or otherwise apply such Applicable Proceeds in any manner not prohibited by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Issuer shall comply with the requirements of Rule 14e-1 under the Exchange Act and any other securities laws and regulations thereunder to the extent such laws or regulations are applicable in connection with the repurchase of the Notes pursuant to an Asset Sale Offer or an Advance Offer. To the extent that the provisions of any securities laws or regulations conflict with the Asset Sale provisions of this Indenture, the Issuer shall comply with the applicable securities laws and regulations and shall not be deemed to have breached its obligations under the Asset Sale provisions described in this Indenture by virtue of such compliance.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provisions of this Section 10.17 may be waived or modified at any time with the written consent of the Holders of a majority in aggregate principal amount of the then Outstanding Notes. An Asset Sale Offer or Advance Offer may be made at the same time as consents are solicited with respect to an amendment, supplement or waiver of this Indenture, the Notes, the Guarantees, the ABL Intercreditor Agreement and/or the other Security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10.18.        </w:t>
      </w:r>
      <w:r>
        <w:rPr>
          <w:rFonts w:ascii="Times New Roman;Times;Serif" w:hAnsi="Times New Roman;Times;Serif"/>
          <w:b w:val="false"/>
          <w:i w:val="false"/>
          <w:caps w:val="false"/>
          <w:smallCaps w:val="false"/>
          <w:sz w:val="20"/>
          <w:u w:val="single"/>
        </w:rPr>
        <w:t>Suspension of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any date following the Issue Date: (1) the Notes have an Investment Grade Rating from any two of the three Rating Agencies and (2) no Default has occurred and is continuing under this Indenture (the occurrence of the events described in the foregoing clauses (1) and (2) being collectively referred to as a “</w:t>
      </w:r>
      <w:r>
        <w:rPr>
          <w:rFonts w:ascii="Times New Roman;Times;Serif" w:hAnsi="Times New Roman;Times;Serif"/>
          <w:b w:val="false"/>
          <w:i/>
          <w:caps w:val="false"/>
          <w:smallCaps w:val="false"/>
          <w:sz w:val="20"/>
        </w:rPr>
        <w:t>Covenant Suspension Event</w:t>
      </w:r>
      <w:r>
        <w:rPr>
          <w:rFonts w:ascii="Times New Roman;Times;Serif" w:hAnsi="Times New Roman;Times;Serif"/>
          <w:b w:val="false"/>
          <w:i w:val="false"/>
          <w:caps w:val="false"/>
          <w:smallCaps w:val="false"/>
          <w:sz w:val="20"/>
        </w:rPr>
        <w:t>”), then beginning on such date and continuing until the Reversion Date (as defined below), the Issuer and the Restricted Subsidiaries shall not be subject to the following provisions of this Indenture (collectively, the “</w:t>
      </w:r>
      <w:r>
        <w:rPr>
          <w:rFonts w:ascii="Times New Roman;Times;Serif" w:hAnsi="Times New Roman;Times;Serif"/>
          <w:b w:val="false"/>
          <w:i/>
          <w:caps w:val="false"/>
          <w:smallCaps w:val="false"/>
          <w:sz w:val="20"/>
        </w:rPr>
        <w:t>Suspended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clause (4) of Section 8.01(a);</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10.10;</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10.11;</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Section 10.13;</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Section 10.14;</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Section 10.15;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10.17.</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Covenant Suspension Event (the date of such occurrence, the “</w:t>
      </w:r>
      <w:r>
        <w:rPr>
          <w:rFonts w:ascii="Times New Roman;Times;Serif" w:hAnsi="Times New Roman;Times;Serif"/>
          <w:b w:val="false"/>
          <w:i/>
          <w:caps w:val="false"/>
          <w:smallCaps w:val="false"/>
          <w:sz w:val="20"/>
        </w:rPr>
        <w:t>Suspension Date</w:t>
      </w:r>
      <w:r>
        <w:rPr>
          <w:rFonts w:ascii="Times New Roman;Times;Serif" w:hAnsi="Times New Roman;Times;Serif"/>
          <w:b w:val="false"/>
          <w:i w:val="false"/>
          <w:caps w:val="false"/>
          <w:smallCaps w:val="false"/>
          <w:sz w:val="20"/>
        </w:rPr>
        <w:t>”), the amount of Excess Proceeds from any Asset Sale shall be reset at zero. In the event that the Issuer and the Restricted Subsidiaries are not subject to the Suspended Covenants for any period of time as a result of the foregoing, and on any subsequent date (the “</w:t>
      </w:r>
      <w:r>
        <w:rPr>
          <w:rFonts w:ascii="Times New Roman;Times;Serif" w:hAnsi="Times New Roman;Times;Serif"/>
          <w:b w:val="false"/>
          <w:i/>
          <w:caps w:val="false"/>
          <w:smallCaps w:val="false"/>
          <w:sz w:val="20"/>
        </w:rPr>
        <w:t>Reversion Date</w:t>
      </w:r>
      <w:r>
        <w:rPr>
          <w:rFonts w:ascii="Times New Roman;Times;Serif" w:hAnsi="Times New Roman;Times;Serif"/>
          <w:b w:val="false"/>
          <w:i w:val="false"/>
          <w:caps w:val="false"/>
          <w:smallCaps w:val="false"/>
          <w:sz w:val="20"/>
        </w:rPr>
        <w:t>”) any two of the three Rating Agencies withdraw their Investment Grade Rating or downgrade the rating assigned to the Notes below an Investment Grade Rating, then the Issuer and the Restricted Subsidiaries will thereafter again be subject to the Suspended Covenants with respect to future events. The period of time between (and including) the Suspension Date and the Reversion Date (but excluding the Reversion Date) is referred to in this Indenture as the “</w:t>
      </w:r>
      <w:r>
        <w:rPr>
          <w:rFonts w:ascii="Times New Roman;Times;Serif" w:hAnsi="Times New Roman;Times;Serif"/>
          <w:b w:val="false"/>
          <w:i/>
          <w:caps w:val="false"/>
          <w:smallCaps w:val="false"/>
          <w:sz w:val="20"/>
        </w:rPr>
        <w:t>Suspension Period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Guarantees of the Guarantors will be released during the Suspension Period to the extent provided under Section 12.08(F) and subject to the proviso thereto. If the Reversion Date occurs following a Suspension Date, no action taken or omitted to be taken by the Issuer or any of the Restricted Subsidiaries prior to the Reversion Date shall give rise to a Default or Event of Default under this Indenture with respect to the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(1) with respect to Restricted Payments made on or after the Reversion Date, the amount of Restricted Payments made will be calculated as though the provisions of Section 10.10 had been in effect prior to, but not during, the Suspension Period (including with respect to a Limited Condition Transaction or Specified Transaction pursuant to one or more agreements entered into during the Suspension Period), (2) all Indebtedness incurred, or Disqualified Stock or Preferred Stock issued, during the Suspension Period (or deemed incurred or issued in connection with a Limited Condition Transaction or Specified Transaction pursuant to one or more agreements entered into during the Suspension Period) shall be classified to have been incurred or issued pursuant to Section 10.11(b)(3), (3) no Subsidiaries shall be designated as Unrestricted Subsidiaries during any Suspension Period, (4) any Affiliate Transaction entered into on or after the Reversion Date pursuant to an agreement entered into during any Suspension Period shall be deemed to be permitted pursuant to Section 10.13(b)(6), (5) any encumbrance or restriction on the ability of any Restricted Subsidiary that is not a Guarantor to take any action described in clauses (a) through (c) of Section 10.14 that becomes effective during any Suspension Period shall be deemed to be permitted pursuant to Section 10.14(1), (6) no Subsidiary of Holdings shall be required to comply with the covenant described under Section 10.15 on or after the Reversion Date with respect to any guarantee or direct obligation entered into by such Subsidiary during the Suspension Period, and (7) all Liens created, incurred or assumed during the Suspension Period in compliance with this Indenture shall be deemed to have been outstanding on the Issue Date, so that they are classified as permitted under clause (11) of the definition of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Suspension Period, the Issuer and its Restricted Subsidiaries shall be entitled to incur Liens to the extent provided for under Section 10.12 (including, without limitation, Permitted Liens). To the extent such covenant and any Permitted Liens refer to one or more Suspended Covenants, such covenant or definition shall be interpreted as though such applicable Suspended Covenant(s) continued to be applicable during the Suspension Period (but solely for purposes of Section 10.12 and the “Permitted Liens” definition and for no other provision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that the Suspended Covenants may be reinstated on and after the Reversion Date, (1) no Default, Event of Default or breach of any kind shall be deemed to exist under this Indenture, the Notes or the Guarantees with respect to the Suspended Covenants in respect of any actions taken or events occurring during the Suspension Period or any actions taken at any time pursuant to any contractual obligations arising during any Suspension Period, and none of the Issuer or any of its Subsidiaries shall bear any liability for any actions taken or events occurring during the Suspension Period, or any actions taken at any time pursuant to any contractual obligation arising during any Suspension Period, in each case as a result of a failure to comply with the Suspended Covenants during the Suspension Period (or, upon termination of the Suspension Period or after that time based solely on any action taken or event that occurred during the Suspension Period), and (2) on and after the Reversion Date, the Issuer and each Restricted Subsidiary shall be permitted, without causing a Default or Event of Default, to honor, comply with or otherwise perform any contractual commitments or obligations arising during any Suspension Period and to consummate the transactions contemplated thereby. The Issuer shall give the Trustee prompt notice (in the form of an Officer’s Certificate) of the beginning and end of any Suspension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Eleven</w:t>
        <w:br/>
        <w:br/>
        <w:t>REDEMPTION OF NOTES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11.01.        </w:t>
      </w:r>
      <w:r>
        <w:rPr>
          <w:rFonts w:ascii="Times New Roman;Times;Serif" w:hAnsi="Times New Roman;Times;Serif"/>
          <w:b w:val="false"/>
          <w:i w:val="false"/>
          <w:caps w:val="false"/>
          <w:smallCaps w:val="false"/>
          <w:sz w:val="20"/>
          <w:u w:val="single"/>
        </w:rPr>
        <w:t>Right of Redemption</w:t>
      </w:r>
      <w:r>
        <w:rPr>
          <w:rFonts w:ascii="Times New Roman;Times;Serif" w:hAnsi="Times New Roman;Times;Serif"/>
          <w:b w:val="false"/>
          <w:i w:val="false"/>
          <w:caps w:val="false"/>
          <w:smallCaps w:val="false"/>
          <w:sz w:val="20"/>
        </w:rPr>
        <w:t>. At any time prior to May 15, 2028, the Issuer may, at its option and on one or more occasions, redeem all or a part of the Notes, upon notice as set forth in Section 11.06, at a Redemption Price equal to 100% of the principal amount of Notes redeemed plus the Applicable Premium as of, and accrued and unpaid interest, if any, to, but excluding, the date of redemption (any applicable date of redemption hereunder, the “</w:t>
      </w:r>
      <w:r>
        <w:rPr>
          <w:rFonts w:ascii="Times New Roman;Times;Serif" w:hAnsi="Times New Roman;Times;Serif"/>
          <w:b w:val="false"/>
          <w:i/>
          <w:caps w:val="false"/>
          <w:smallCaps w:val="false"/>
          <w:sz w:val="20"/>
        </w:rPr>
        <w:t>Redemption Date</w:t>
      </w:r>
      <w:r>
        <w:rPr>
          <w:rFonts w:ascii="Times New Roman;Times;Serif" w:hAnsi="Times New Roman;Times;Serif"/>
          <w:b w:val="false"/>
          <w:i w:val="false"/>
          <w:caps w:val="false"/>
          <w:smallCaps w:val="false"/>
          <w:sz w:val="20"/>
        </w:rPr>
        <w:t>”), subject to the rights of Holders of record on the relevant Regular Record Date to receive interest due on the relevant Interest Payment Date falling on or prior to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May 15, 2028, the Issuer may, at its option and on one or more occasions, redeem the Notes, in whole or in part, upon notice as set forth in Section 11.06, at the Redemption Prices (expressed as percentages of principal amount of Notes to be redeemed) set forth below, plus accrued and unpaid interest thereon, if any, to, but excluding, the applicable Redemption Date, subject to the right of Holders of record on the relevant Regular Record Date to receive interest due on the relevant Interest Payment Date falling on or prior to the Redemption Date, if redeemed during the twelve-month period beginning on May 15 of each of the years indicated below:</w:t>
      </w:r>
    </w:p>
    <w:p>
      <w:pPr>
        <w:pStyle w:val="TextBody"/>
        <w:bidi w:val="0"/>
        <w:spacing w:before="0" w:after="0"/>
        <w:ind w:left="0" w:right="0" w:firstLine="1440"/>
        <w:jc w:val="both"/>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640"/>
        <w:gridCol w:w="60"/>
        <w:gridCol w:w="1010"/>
      </w:tblGrid>
      <w:tr>
        <w:trPr/>
        <w:tc>
          <w:tcPr>
            <w:tcW w:w="1640" w:type="dxa"/>
            <w:tcBorders>
              <w:bottom w:val="single" w:sz="2" w:space="0" w:color="000000"/>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Year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2" w:space="0" w:color="000000"/>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Percentage </w:t>
            </w:r>
          </w:p>
        </w:tc>
      </w:tr>
      <w:tr>
        <w:trPr/>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2028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102.938%</w:t>
            </w:r>
          </w:p>
        </w:tc>
      </w:tr>
      <w:tr>
        <w:trPr/>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2029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101.469%</w:t>
            </w:r>
          </w:p>
        </w:tc>
      </w:tr>
      <w:tr>
        <w:trPr/>
        <w:tc>
          <w:tcPr>
            <w:tcW w:w="16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2030 and thereafter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1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until May 15, 2028, the Issuer may, at its option, upon notice as set forth in Section 11.06, on one or more occasions redeem up to 40% of the aggregate principal amount of Notes (including Additional Notes) issued under this Indenture at a Redemption Price (as calculated by the Issuer) equal to (i) 105.875% of the aggregate principal amount thereof, with an amount equal to or less than the net cash proceeds from one or more Equity Offerings to the extent such net cash proceeds are received by or contributed to the Issuer,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accrued and unpaid interest thereon, if any, to, but excluding, the applicable Redemption Date, subject to the right of Holders of record on the relevant Regular Record Date to receive interest due on the relevant Interest Payment Date falling on or prior to the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at least 50% of the sum of the aggregate principal amount of Notes originally issued under this Indenture on the Issue Date and any Additional Notes issued under this Indenture after the Issue Date remains outstanding immediately after the occurrence of each such redemption and (b) each such redemption occurs within 180 days of the date of closing of each such Equity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11.03.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 Redemption of Notes at the election of the Issuer or otherwise, as permitted or required by any provision of this Indenture, shall be made in accordance with such provision and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11.04.        </w:t>
      </w:r>
      <w:r>
        <w:rPr>
          <w:rFonts w:ascii="Times New Roman;Times;Serif" w:hAnsi="Times New Roman;Times;Serif"/>
          <w:b w:val="false"/>
          <w:i w:val="false"/>
          <w:caps w:val="false"/>
          <w:smallCaps w:val="false"/>
          <w:sz w:val="20"/>
          <w:u w:val="single"/>
        </w:rPr>
        <w:t>Election to Redeem; Notice to Trustee</w:t>
      </w:r>
      <w:r>
        <w:rPr>
          <w:rFonts w:ascii="Times New Roman;Times;Serif" w:hAnsi="Times New Roman;Times;Serif"/>
          <w:b w:val="false"/>
          <w:i w:val="false"/>
          <w:caps w:val="false"/>
          <w:smallCaps w:val="false"/>
          <w:sz w:val="20"/>
        </w:rPr>
        <w:t xml:space="preserve">. In case of any redemption at the election of the Issuer, the Issuer shall, at least two Business Days before notice of redemption is required to be sent to Holders pursuant to Section 11.06 hereof (unless a shorter notice shall be satisfactory to the Trustee), notify the Trustee of the information contained in Section 11.06 herein and shall deliver to the Trustee such documentation and records as shall enable the Trustee to select the Notes to be redeemed pursuant to Section 11.05;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Opinion of Counsel pursuant to Section 1.03 or otherwise shall be required in connection with the delivery of such notice of redemption or redemption. The Trustee shall have no responsibility or liability with respect to any matters that would have been covered by any Opinion of Counsel that is not permitted by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11.05.        </w:t>
      </w:r>
      <w:r>
        <w:rPr>
          <w:rFonts w:ascii="Times New Roman;Times;Serif" w:hAnsi="Times New Roman;Times;Serif"/>
          <w:b w:val="false"/>
          <w:i w:val="false"/>
          <w:caps w:val="false"/>
          <w:smallCaps w:val="false"/>
          <w:sz w:val="20"/>
          <w:u w:val="single"/>
        </w:rPr>
        <w:t>Selection by Trustee of Notes to Be Redeemed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any partial redemption or purchase of Notes made pursuant to this Indenture, selection of the Notes for redemption or purchase shall be made, in the case of certificated Notes, by the Trustee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basis to the extent applicable or by lot or by such method as the Trustee shall deem fair and appropriate;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Notes are represented by global Notes, interests in the Notes shall be selected for redemption or purchase by the Depository in accordance with its standard procedures therefor;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no Notes of less than $2,000 shall be redeemed or repurchased in part.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redemption or purchase shall be delivered by the Issuer electronically, in accordance with the Depository procedures in the case of global Notes, or mailed by first-class mail, postage prepaid, at least ten days, but except as set forth under Section 11.06, not more than 60 days before the purchase date or Redemption Date to each Holder at such Holder’s registered address or otherwise in accordance with the procedures of the Depository, except that redemption notices may be delivered or mailed more than 60 days prior to a Redemption Date if the notice is issued in connection with a defeasance of the Notes or a satisfaction and discharge of this Indenture. If any Note is to be redeemed or purchased in part only, any notice of redemption or purchase that relates to such Note shall state the portion of the principal amount thereof that has been or is to be redeemed or purchased.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Notes represented by certificated Notes, if any Notes are to be purchased or redeemed in part only, the Issuer will issue a new Note in a principal amount equal to the unredeemed or unpurchased portion of the original Note in the name of the Holder thereof upon cancellation of the original Note;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new Notes will be only issued in denominations of $2,000 and integral multiples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11.06.        </w:t>
      </w:r>
      <w:r>
        <w:rPr>
          <w:rFonts w:ascii="Times New Roman;Times;Serif" w:hAnsi="Times New Roman;Times;Serif"/>
          <w:b w:val="false"/>
          <w:i w:val="false"/>
          <w:caps w:val="false"/>
          <w:smallCaps w:val="false"/>
          <w:sz w:val="20"/>
          <w:u w:val="single"/>
        </w:rPr>
        <w:t>Notice of Redemption</w:t>
      </w:r>
      <w:r>
        <w:rPr>
          <w:rFonts w:ascii="Times New Roman;Times;Serif" w:hAnsi="Times New Roman;Times;Serif"/>
          <w:b w:val="false"/>
          <w:i w:val="false"/>
          <w:caps w:val="false"/>
          <w:smallCaps w:val="false"/>
          <w:sz w:val="20"/>
        </w:rPr>
        <w:t>. The Issuer shall deliver electronically or mail by first-class mail, postage prepaid, notices of redemption at least ten days, but except as set forth in this Section 11.06, not more than 60 days before the purchase date or Redemption Date to each Holder at such Holder’s registered address or otherwise in accordance with the procedures of the Depository, except that redemption notices may be delivered or mailed more than 60 days prior to a Redemption Date if the notice is issued in connection with a defeasance of the Notes or a satisfaction and discharge of this Indenture. Notice of redemption may be conditional.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redemption shall 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Redemption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Price, or if not then ascertainable, the manner of calculation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certificated Notes, if less than all Outstanding Notes are to be redeemed, the identification (and, in the case of a partial redemption, the principal amounts) of the particular Notes to be redeemed,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any Note is to be redeemed or purchased in part only, the portion of the principal amount of that Note that is to be redeemed or purchased and that, after the Redemption Date upon surrender of such Note, a new Note or Notes in principal amount equal to the unredeemed or unpurchased portion of the original Note representing the same indebtedness to the extent not redeemed or purchased will be issued in the name of the Holder thereof upon cancellation of the original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on the Redemption Date, the Redemption Price (and accrued interest, if any, to but not including the Redemption Date payable as provided in Section 11.08) will become due and payable upon each such Note, or the portion thereof, to be redeemed, and that interest thereon will cease to accrue on and after the Redemption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any condition precedent to the redemption,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place or places where such Notes are to be surrendered for payment of the Redemption Price and accrued but unpaid interest, if 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name and address of the Paying Agent,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that Notes called for redemption must be surrendered to the Paying Agent to collect the Redemption Price,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CUSIP, ISIN or “Common Code” number and that no representation is made as to the accuracy or correctness of the CUSIP, ISIN or “Common Code” number, if any, listed in such notice or printed on the Notes,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paragraph of the Notes and/or Section of this Indenture pursuant to which the Notes are to be redeemed.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redemption of Notes to be redeemed at the election of the Issuer shall be given by the Issuer or, at the Issuer’s request and provision of such notice information two Business Days (unless a shorter notice shall be agreed to by the Trustee) prior to the date notice is to be given, by the Trustee in the name and at the expense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of the Notes (including upon an Equity Offering or in connection with another transaction (or series of related transactions) or an event that constitutes a Change of Control) may, at the Issuer’s discretion, be given prior to the completion or the occurrence thereof and any such redemption or notice may, at the Issuer’s discretion, be subject to one or more conditions precedent, including, but not limited to, completion or occurrence of the related Equity Offering or other transaction or event, as the case may be. In addition, if such redemption or purchase is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or such redemption or purchase may not occur and such notice may be rescinded in the event that any or all such conditions shall not have been, or will not be, satisfied or waived by the Redemption Date, or by the Redemption Date as so delayed, or such notice may be rescinded at any time in the Issuer’s discretion if in the good faith judgment of the Issuer any or all of such conditions will not be satisfied or waived. In addition, the Issuer may provide in such notice that payment of the Redemption Price and performance of the Issuer’s obligations with respect to such redemption may be performed by another Person. In no event shall the Trustee be responsible for monitoring, or charged with knowledge of, the maximum aggregate amount of the Notes eligible under this Indenture to be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condition precedent has not been satisfied, the Issuer shall provide written notice to the Trustee thereof. Upon receipt, the Trustee shall provide such notice to each Holder of the Notes in the same manner in which the notice of redemption was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redeem Notes pursuant to one or more of the relevant provisions in this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11.07.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 On or prior to any Redemption Date, the Issuer shall deposit with the Trustee or with a Paying Agent (or, if the Issuer is acting as its own Paying Agent, segregate and hold in trust as provided in Section 10.03) an amount of money sufficient to pay the Redemption Price of, and accrued but unpaid interest, if any, on, all the Notes which are to be redeemed on such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11.08.        </w:t>
      </w:r>
      <w:r>
        <w:rPr>
          <w:rFonts w:ascii="Times New Roman;Times;Serif" w:hAnsi="Times New Roman;Times;Serif"/>
          <w:b w:val="false"/>
          <w:i w:val="false"/>
          <w:caps w:val="false"/>
          <w:smallCaps w:val="false"/>
          <w:sz w:val="20"/>
          <w:u w:val="single"/>
        </w:rPr>
        <w:t>Notes Payable on Redemption Date</w:t>
      </w:r>
      <w:r>
        <w:rPr>
          <w:rFonts w:ascii="Times New Roman;Times;Serif" w:hAnsi="Times New Roman;Times;Serif"/>
          <w:b w:val="false"/>
          <w:i w:val="false"/>
          <w:caps w:val="false"/>
          <w:smallCaps w:val="false"/>
          <w:sz w:val="20"/>
        </w:rPr>
        <w:t xml:space="preserve">. Notice of redemption having been given as aforesaid, the Notes so to be redeemed or purchased shall, on the Redemption Date, become due and payable, unless such redemption or purchase is conditioned on the happening of a future event, at the Redemption Price therein specified, and from and after such Redemption Date (unless the Issuer shall default in the payment of the Redemption Price) such Notes shall cease to bear interest. Upon surrender of any such Note for redemption in accordance with said notice, such Note shall be paid by the Issuer at the Redemption Price and such Notes shall be canceled by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installments of interest whose Stated Maturity is on or prior to the Redemption Date shall be payable to the Holders of such Notes, or one or more Predecessor Notes, registered as such at the close of business on the relevant Regular Record Dates according to their terms and the provisions of Section 3.07.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Note called for redemption shall not be so paid upon surrender thereof for redemption, the principal (and premium, if any) shall, until paid, bear interest from the Redemption Date at the rate borne by the Notes, unless such redemption is conditioned on the happening of a future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11.09.        </w:t>
      </w:r>
      <w:r>
        <w:rPr>
          <w:rFonts w:ascii="Times New Roman;Times;Serif" w:hAnsi="Times New Roman;Times;Serif"/>
          <w:b w:val="false"/>
          <w:i w:val="false"/>
          <w:caps w:val="false"/>
          <w:smallCaps w:val="false"/>
          <w:sz w:val="20"/>
          <w:u w:val="single"/>
        </w:rPr>
        <w:t>Notes Redeemed in Part</w:t>
      </w:r>
      <w:r>
        <w:rPr>
          <w:rFonts w:ascii="Times New Roman;Times;Serif" w:hAnsi="Times New Roman;Times;Serif"/>
          <w:b w:val="false"/>
          <w:i w:val="false"/>
          <w:caps w:val="false"/>
          <w:smallCaps w:val="false"/>
          <w:sz w:val="20"/>
        </w:rPr>
        <w:t>. Any Note which is to be redeemed only in part (pursuant to the provisions of this Article) shall be surrendered at an office or agency of the Issuer maintained for such purpose pursuant to Section 10.02 (with, if the Issuer or the Trustee so requires, due endorsement by, or a written instrument of transfer in form satisfactory to the Issuer and the Trustee duly executed by, the Holder thereof or such Holder’s attorney duly authorized in writing), and the Issuer shall execute, and the Trustee shall authenticate and deliver to the Holder of such Note without service charge, a new Note or Notes, of any authorized denomination as requested by such Holder, in aggregate principal amount equal to and in exchange for the unredeemed portion of the principal of the Note so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11.10.        </w:t>
      </w:r>
      <w:r>
        <w:rPr>
          <w:rFonts w:ascii="Times New Roman;Times;Serif" w:hAnsi="Times New Roman;Times;Serif"/>
          <w:b w:val="false"/>
          <w:i w:val="false"/>
          <w:caps w:val="false"/>
          <w:smallCaps w:val="false"/>
          <w:sz w:val="20"/>
          <w:u w:val="single"/>
        </w:rPr>
        <w:t>Mandatory Redemption; Open Market Purchases</w:t>
      </w:r>
      <w:r>
        <w:rPr>
          <w:rFonts w:ascii="Times New Roman;Times;Serif" w:hAnsi="Times New Roman;Times;Serif"/>
          <w:b w:val="false"/>
          <w:i w:val="false"/>
          <w:caps w:val="false"/>
          <w:smallCaps w:val="false"/>
          <w:sz w:val="20"/>
        </w:rPr>
        <w:t>. The Issuer shall not be required to make any mandatory redemption or sinking fund payments with respect to the Notes. The Issuer and its respective Affiliates may, at their discretion, at any time and from time to time, acquire Notes by means other than a redemption, whether by tender offer, open market purchases, negotiated transactions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11.11.        </w:t>
      </w:r>
      <w:r>
        <w:rPr>
          <w:rFonts w:ascii="Times New Roman;Times;Serif" w:hAnsi="Times New Roman;Times;Serif"/>
          <w:b w:val="false"/>
          <w:i w:val="false"/>
          <w:caps w:val="false"/>
          <w:smallCaps w:val="false"/>
          <w:sz w:val="20"/>
          <w:u w:val="single"/>
        </w:rPr>
        <w:t>Tender Offer Optional Redemption</w:t>
      </w:r>
      <w:r>
        <w:rPr>
          <w:rFonts w:ascii="Times New Roman;Times;Serif" w:hAnsi="Times New Roman;Times;Serif"/>
          <w:b w:val="false"/>
          <w:i w:val="false"/>
          <w:caps w:val="false"/>
          <w:smallCaps w:val="false"/>
          <w:sz w:val="20"/>
        </w:rPr>
        <w:t>. In connection with any tender offer for the Notes (including in connection with any Change of Control Offer, Alternate Offer, Asset Sale Offer or Advance Offer), if Holders of not less than 90% in aggregate principal amount of the Outstanding Notes validly tender and do not withdraw such Notes in such tender offer and the Issuer, or any third party making such tender offer in lieu of the Issuer, purchases all of the Notes validly tendered and not withdrawn by such Holders, the Issuer or such third party will have the right upon not less than ten nor more than 60 days’ prior notice, given not more than 30 days following such purchase date, to redeem (with respect to the Issuer) or purchase (with respect to a third party) all Notes that remain outstanding following such purchase at a price equal to the price paid to each other Holder in such tender offer (which may be less than par) plus, to the extent not included in the tender offer payment, accrued and unpaid interest, if any, thereon, to, but excluding, the Redemption Date or purchase date, subject to the right of Holders of record on the relevant Regular Record Date to receive interest due on the relevant Interest Payment Date falling on or prior to the Redemption Date or purchase date. In determining whether the Holders of at least 90% of the aggregate principal amount of the then Outstanding Notes have validly tendered and not validly withdrawn notes in a tender offer, Change of Control Offer, Alternate Offer, Asset Sale Offer or Advance Offer, as applicable, notes owned by an Affiliate of the Issuer or by funds controlled or managed by an Affiliate of the Issuer, or any successor thereof, shall be deemed to be outstanding for the purposes of, and included in determining the participation in, such tender offer, Change of Control Offer, Alternate Offer, Asset Sale Offer or Advance Offer,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Twelve</w:t>
        <w:br/>
        <w:br/>
        <w:t>GUARANTEES</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12.01.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Subject to this Article Twelve, each Guarantor jointly and severally, fully, unconditionally and irrevocably guarantees on a senior secured basis the Notes and obligations of the Issuer hereunder and thereunder, and guarantees to each Holder of a Note authenticated and delivered by the Trustee, and to the Trustee for itself (as Trustee and as Notes Collateral Agent) and on behalf of such Holder, that: (1) the principal of (and premium, if any) and interest on the Notes will be paid in full when due, whether at Stated Maturity, by acceleration or otherwise (including the amount that would become due but for the operation of the automatic stay under Section 362(a) of the Bankruptcy Law), together with interest on the overdue principal, if any, and interest on any overdue interest, to the extent lawful, and all other obligations of the Issuer to the Holders, the Trustee or the Notes Collateral Agent hereunder or thereunder will be paid in full or performed, all in accordance with the terms hereof and thereof; and (2) in case of any extension of time of payment or renewal of any Notes or of any such other obligations, the same shall be paid in full when due or performed in accordance with the terms of the extension or renewal, whether at Stated Maturity, by acceleration or otherwise, subject, however, in the case of clauses (1) and (2) above, to the limitation set forth in Section 12.04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hereby agrees (to the extent permitted by applicable law) that its obligations hereunder shall be unconditional, irrespective of the validity, regularity or enforceability of the Notes or this Indenture, the absence of any action to enforce the same, any waiver or consent by any Holder with respect to any provisions hereof or thereof, any release of any other Guarantor, the recovery of any judgment against the Issuer, any action to enforce the same or any other circumstance which might otherwise constitute a legal or equitable discharge or defense of a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hereby waives (to the extent permitted by law)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any Note except by complete performance of the obligations contained in such Note, this Indenture and such Guarantee. Each Guarantor acknowledges that the Guarantee is a guarantee of payment, performance and compliance when due and not of collection. Each of the Guarantors hereby agrees that, in the event of a default in payment of principal (or premium, if any) or interest on such Note or in payment of any other obligations hereunder, whether at its Stated Maturity, by acceleration, purchase or otherwise, legal proceedings may be instituted by the Trustee on behalf of itself the Notes Collateral Agent or on behalf of, or by, the Holder of such Note, subject to the terms and conditions set forth in this Indenture, directly against each of the Guarantors to enforce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 upon demand therefor, the amount that would otherwise have been due and payable had such rights and remedies been permitted to be exercised by the Trustee or any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Holder or the Trustee (or Notes Collateral Agent) is required by any court or otherwise to return to the Issuer or any Guarantor, or any custodian, trustee, liquidator or other similar official acting in relation to either the Issuer or any Guarantor, any amount paid by any of them to the Trustee, Notes Collateral Agent or such Holder, the Guarantee of each of the Guarantors, to the extent theretofore discharged, shall be reinstated in full force and effect. Each Guarantor further agrees that, as between each Guarantor, on the one hand, and the Holders and the Trustee on the other hand, (1) subject to this Article Twelve, the Maturity of the obligations guaranteed hereby may be accelerated as provided in Article Five hereof for the purposes of the Guarantee of such Guarantor notwithstanding any stay, injunction or other prohibition preventing such acceleration in respect of the obligations guaranteed hereby, and (2) in the event of any acceleration of such obligation as provided in Article Five hereof, such obligations (whether or not due and payable) shall forthwith become due and payable by each Guarantor for the purpose of the Guarantee of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Guarantee shall remain in full force and effect and continue to be effective should any petition be filed by or against the Issuer for liquidation,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of any Guarantee shall be invalid, illegal or unenforceable, the validity, legality, and enforceability of the remaining provisions shall not in any way be affected or impaired thereby to the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12.03.        </w:t>
      </w:r>
      <w:r>
        <w:rPr>
          <w:rFonts w:ascii="Times New Roman;Times;Serif" w:hAnsi="Times New Roman;Times;Serif"/>
          <w:b w:val="false"/>
          <w:i w:val="false"/>
          <w:caps w:val="false"/>
          <w:smallCaps w:val="false"/>
          <w:sz w:val="20"/>
          <w:u w:val="single"/>
        </w:rPr>
        <w:t>Restricted Subsidiaries</w:t>
      </w:r>
      <w:r>
        <w:rPr>
          <w:rFonts w:ascii="Times New Roman;Times;Serif" w:hAnsi="Times New Roman;Times;Serif"/>
          <w:b w:val="false"/>
          <w:i w:val="false"/>
          <w:caps w:val="false"/>
          <w:smallCaps w:val="false"/>
          <w:sz w:val="20"/>
        </w:rPr>
        <w:t>. The Issuer shall cause any Restricted Subsidiary required to guarantee payment of the Notes pursuant to the terms and provisions of Section 10.15 to execute and deliver to the Trustee a supplement to this Indenture substantially in the form of Exhibit A hereto in accordance with the provisions of Article Nine of this Indenture pursuant to which such Restricted Subsidiary shall guarantee all of the obligations on the Notes, whether for principal, premium, if any, interest (including interest accruing after the filing of, or which would have accrued but for the filing of, a petition by or against the Issuer under any Bankruptcy Law, whether or not such interest is allowed as a claim after such filing in any proceeding under such law) and other amounts due in connection therewith (including any fees, expenses and indemnities), on a secured senior basis. Upon the execution of any such amendment or supplement, the obligations of the Guarantors and any such Restricted Subsidiary under their respective Guarantees shall become joint and several and each reference to the “Guarantor” in this Indenture shall, subject to Section 12.08, be deemed to refer to all Guarantors, including such Restricted Subsidiary. Such Guarantee shall be released in accordance with Article Eight and Section 12.08.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12.04.        </w:t>
      </w:r>
      <w:r>
        <w:rPr>
          <w:rFonts w:ascii="Times New Roman;Times;Serif" w:hAnsi="Times New Roman;Times;Serif"/>
          <w:b w:val="false"/>
          <w:i w:val="false"/>
          <w:caps w:val="false"/>
          <w:smallCaps w:val="false"/>
          <w:sz w:val="20"/>
          <w:u w:val="single"/>
        </w:rPr>
        <w:t>Limitation of Guarantors’ Liability</w:t>
      </w:r>
      <w:r>
        <w:rPr>
          <w:rFonts w:ascii="Times New Roman;Times;Serif" w:hAnsi="Times New Roman;Times;Serif"/>
          <w:b w:val="false"/>
          <w:i w:val="false"/>
          <w:caps w:val="false"/>
          <w:smallCaps w:val="false"/>
          <w:sz w:val="20"/>
        </w:rPr>
        <w:t>. Each Guarantor and by its acceptance hereof each Holder confirms that it is the intention of all such parties that the guarantee by each such Guarantor pursuant to its Guarantee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Holders and each such Guarantor hereby irrevocably agree that the obligations of such Guarantor under its Guarantee shall be limited to the maximum amount that will not, after giving effect to all other contingent and fixed liabilities of such Guarantor and after giving effect to any collections from or payments made by or on behalf of any other Guarantor in respect of the obligations of such other Guarantor under its Guarantee or pursuant to this Section 12.04, result in the obligations of such Guarantor under its Guarantee constituting such fraudulent transfer or conveyance.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12.05.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xml:space="preserve">. In order to provide for just and equitable contribution among the Guarantors, the Guarantors agree,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that in the event any payment or distribution is made by any Guarantor (a “</w:t>
      </w:r>
      <w:r>
        <w:rPr>
          <w:rFonts w:ascii="Times New Roman;Times;Serif" w:hAnsi="Times New Roman;Times;Serif"/>
          <w:b w:val="false"/>
          <w:i/>
          <w:caps w:val="false"/>
          <w:smallCaps w:val="false"/>
          <w:sz w:val="20"/>
        </w:rPr>
        <w:t>Funding Guarantor</w:t>
      </w:r>
      <w:r>
        <w:rPr>
          <w:rFonts w:ascii="Times New Roman;Times;Serif" w:hAnsi="Times New Roman;Times;Serif"/>
          <w:b w:val="false"/>
          <w:i w:val="false"/>
          <w:caps w:val="false"/>
          <w:smallCaps w:val="false"/>
          <w:sz w:val="20"/>
        </w:rPr>
        <w:t xml:space="preserve">”) under a Guarantee, such Funding Guarantor shall be entitled to a contribution from all other Guarantors in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amount based on the Adjusted Net Assets (as defined below) of each Guarantor (including the Funding Guarantor) for all payments, damages and expenses incurred by that Funding Guarantor in discharging the Issuer’s obligations with respect to the Notes or any other Guarantor’s obligations with respect to the Guarantee of such Guarantor. “</w:t>
      </w:r>
      <w:r>
        <w:rPr>
          <w:rFonts w:ascii="Times New Roman;Times;Serif" w:hAnsi="Times New Roman;Times;Serif"/>
          <w:b w:val="false"/>
          <w:i/>
          <w:caps w:val="false"/>
          <w:smallCaps w:val="false"/>
          <w:sz w:val="20"/>
        </w:rPr>
        <w:t>Adjusted Net Assets</w:t>
      </w:r>
      <w:r>
        <w:rPr>
          <w:rFonts w:ascii="Times New Roman;Times;Serif" w:hAnsi="Times New Roman;Times;Serif"/>
          <w:b w:val="false"/>
          <w:i w:val="false"/>
          <w:caps w:val="false"/>
          <w:smallCaps w:val="false"/>
          <w:sz w:val="20"/>
        </w:rPr>
        <w:t>” of such Guarantor at any date shall mean the lesser of (1) the amount by which the fair value of the property of such Guarantor exceeds the total amount of liabilities, including contingent liabilities (after giving effect to all other fixed and contingent liabilities incurred or assumed on such date), but excluding liabilities under the Guarantee of such Guarantor at such date and (2) the amount by which the present fair salable value of the assets of such Guarantor at such date exceeds the amount that will be required to pay the probable liability of such Guarantor on its debts (after giving effect to all other fixed and contingent liabilities incurred or assumed on such date), excluding debt in respect of the Guarantee of such Guarantor, as they become absolute and matured.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12.06.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xml:space="preserve">. Each Guarantor shall be subrogated to all rights of Holders against the Issuer in respect of any amounts paid by any Guarantor pursuant to the provisions of Section 12.01;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Event of Default has occurred and is continuing, no Guarantor shall be entitled to enforce or receive any payments arising out of, or based upon, such right of subrogation until all amounts then due and payable by the Issuer under this Indenture or the Notes shall have been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12.07.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Each Guarantor hereby agrees (and each Person who becomes a Guarantor shall agree) that the Guarantee provided for in Section 12.01 shall continue to be effective or be reinstated, as the case may be, if at any time, payment, or any part thereof, of any obligations or interest thereon is rescinded or must otherwise be restored by a Holder to the Issuer upon the bankruptcy or insolvency of the Issuer or any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12.08.        </w:t>
      </w:r>
      <w:r>
        <w:rPr>
          <w:rFonts w:ascii="Times New Roman;Times;Serif" w:hAnsi="Times New Roman;Times;Serif"/>
          <w:b w:val="false"/>
          <w:i w:val="false"/>
          <w:caps w:val="false"/>
          <w:smallCaps w:val="false"/>
          <w:sz w:val="20"/>
          <w:u w:val="single"/>
        </w:rPr>
        <w:t>Release of a Guarantor</w:t>
      </w:r>
      <w:r>
        <w:rPr>
          <w:rFonts w:ascii="Times New Roman;Times;Serif" w:hAnsi="Times New Roman;Times;Serif"/>
          <w:b w:val="false"/>
          <w:i w:val="false"/>
          <w:caps w:val="false"/>
          <w:smallCaps w:val="false"/>
          <w:sz w:val="20"/>
        </w:rPr>
        <w:t>. Any Guarantee by a Guarantor shall be automatically and unconditionally released and discharged upon: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a Guarantor that is a Subsidiary of the Issuer, any sale, exchange, transfer or other disposition (by merger, consolidation, amalgamation, dividend, distribution or otherwise) of (i) the Capital Stock of such Guarantor (including any sale, exchange or transfer), after which the applicable Guarantor is no longer a Restricted Subsidiary or (ii) all or substantially all of the assets of such Guarantor to a Person that is not the Issuer or a Restricted Subsidiary, in each case, if such sale, exchange, transfer or other disposition is not prohibited by the applicable provisions of this Indenture;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release or discharge of the guarantee by, or direct obligation of, such Guarantor with respect to each of the Senior Credit Facilities, (ii) the release or discharge of such other guarantee or direct obligation that resulted in the creation of such Guarantee or (iii) having the status, at any time, assuming such was not then a Guarantor under this Indenture, such Guarantor would not have been required to guarantee the Notes pursuant to Section 10.15, except, in the case of clauses (i) and (ii), a discharge or release by or as a result of payment under such guarantee or direct obligation (it being understood that a release subject to a contingent reinstatement is still a release);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 Guarantor that is a Subsidiary of the Issuer, the designation of any Restricted Subsidiary that is a Guarantor as an Unrestricted Subsidiary in compliance with the applicable provisions of this Indenture;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Issuer exercising its Legal Defeasance option or Covenant Defeasance option as described under Article Thirteen or if the Issuer’s obligations under this Indenture are being discharged in accordance with the terms of this Indenture;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merger, amalgamation or consolidation of any Guarantor with and into the Issuer or another Guarantor that is the surviving Person in such merger, amalgamation or consolidation, or upon the liquidation of a Guarantor following the transfer of all of its assets to the Issuer or another Guarantor;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occurrence of a Covenant Suspension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Guarantee shall not be released pursuant to this clause (F) for so long as such Guarantor is an obligor with respect to any Indebtedness under the Senior Credit Facilities and (ii) such Guarantee shall be reinstated upon the occurrence of the Reversion Date.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or any Guarantor requires and requests that the Trustee and/or the Notes Collateral Agent, as the case may be, execute and deliver an instrument evidencing a release or discharge of a Guarantor, the Issuer shall provide an Officer’s Certificate and an Opinion of Counsel each stating that all conditions precedent to such release or discharge have been satisfied and that such release or discharge is authorized or permitted by the terms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12.09.        </w:t>
      </w:r>
      <w:r>
        <w:rPr>
          <w:rFonts w:ascii="Times New Roman;Times;Serif" w:hAnsi="Times New Roman;Times;Serif"/>
          <w:b w:val="false"/>
          <w:i w:val="false"/>
          <w:caps w:val="false"/>
          <w:smallCaps w:val="false"/>
          <w:sz w:val="20"/>
          <w:u w:val="single"/>
        </w:rPr>
        <w:t>Benefits Acknowledged</w:t>
      </w:r>
      <w:r>
        <w:rPr>
          <w:rFonts w:ascii="Times New Roman;Times;Serif" w:hAnsi="Times New Roman;Times;Serif"/>
          <w:b w:val="false"/>
          <w:i w:val="false"/>
          <w:caps w:val="false"/>
          <w:smallCaps w:val="false"/>
          <w:sz w:val="20"/>
        </w:rPr>
        <w:t>. Each Guarantor acknowledges that it will receive direct and indirect benefits from the financing arrangements contemplated by this Indenture and from its guarantee and waivers pursuant to its Guarantees under this Article Twelve.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12.10.        </w:t>
      </w:r>
      <w:r>
        <w:rPr>
          <w:rFonts w:ascii="Times New Roman;Times;Serif" w:hAnsi="Times New Roman;Times;Serif"/>
          <w:b w:val="false"/>
          <w:i w:val="false"/>
          <w:caps w:val="false"/>
          <w:smallCaps w:val="false"/>
          <w:sz w:val="20"/>
          <w:u w:val="single"/>
        </w:rPr>
        <w:t>Effectiveness of Guarantees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be effective upon its execution and delivery by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Thirteen</w:t>
        <w:br/>
        <w:br/>
        <w:t>LEGAL DEFEASANCE AND COVENANT DEFEASANCE</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13.01.        </w:t>
      </w:r>
      <w:r>
        <w:rPr>
          <w:rFonts w:ascii="Times New Roman;Times;Serif" w:hAnsi="Times New Roman;Times;Serif"/>
          <w:b w:val="false"/>
          <w:i w:val="false"/>
          <w:caps w:val="false"/>
          <w:smallCaps w:val="false"/>
          <w:sz w:val="20"/>
          <w:u w:val="single"/>
        </w:rPr>
        <w:t>Issuer’s Option to Effect Legal Defeasance or Covenant Defeasance</w:t>
      </w:r>
      <w:r>
        <w:rPr>
          <w:rFonts w:ascii="Times New Roman;Times;Serif" w:hAnsi="Times New Roman;Times;Serif"/>
          <w:b w:val="false"/>
          <w:i w:val="false"/>
          <w:caps w:val="false"/>
          <w:smallCaps w:val="false"/>
          <w:sz w:val="20"/>
        </w:rPr>
        <w:t>. The Issuer may, at its option, at any time, with respect to the Notes, elect to have either Section 13.02 or Section 13.03 be applied to all Outstanding Notes upon compliance with the conditions set forth below in this Article Thirteen.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13.02.        </w:t>
      </w:r>
      <w:r>
        <w:rPr>
          <w:rFonts w:ascii="Times New Roman;Times;Serif" w:hAnsi="Times New Roman;Times;Serif"/>
          <w:b w:val="false"/>
          <w:i w:val="false"/>
          <w:caps w:val="false"/>
          <w:smallCaps w:val="false"/>
          <w:sz w:val="20"/>
          <w:u w:val="single"/>
        </w:rPr>
        <w:t>Legal Defeasance and Discharge</w:t>
      </w:r>
      <w:r>
        <w:rPr>
          <w:rFonts w:ascii="Times New Roman;Times;Serif" w:hAnsi="Times New Roman;Times;Serif"/>
          <w:b w:val="false"/>
          <w:i w:val="false"/>
          <w:caps w:val="false"/>
          <w:smallCaps w:val="false"/>
          <w:sz w:val="20"/>
        </w:rPr>
        <w:t>. Upon the Issuer’s exercise under Section 13.01 of the option applicable to this Section 13.02, each of the Issuer and the Guarantors shall be deemed to have been discharged from its respective obligations with respect to all Outstanding Notes and the Guarantees and have Liens on the Collateral securing the Notes and the Guarantees released and have cured all then existing Events of Default on the date the conditions set forth in Section 13.04 are satisfied (hereinafter, “</w:t>
      </w: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For this purpose, such Legal Defeasance means that each of the Issuer and the Guarantors shall be deemed to have paid and discharged the entire indebtedness represented by the Outstanding Notes, which shall thereafter be deemed to be “Outstanding” only for the purposes of Section 13.05 and the other Sections of this Indenture referred to in (1) and (2) below, and the Guarantees and to have satisfied all its other obligations under such Notes, Guarantees and this Indenture insofar as such Notes are concerned (and the Trustee, at the expense of the Issuer, shall execute proper instruments acknowledging the same), except for the following which shall survive until otherwise terminated or discharged hereunder: (1) the rights of Holders to receive payments in respect of the principal of (and premium, if any, on) and interest on such Notes when such payments are due, solely out of the trust created pursuant to this Indenture, (2) the Issuer’s obligations with respect to such Notes under Sections 3.04, 3.05, 3.06, 10.02 and 10.03, (3) the rights, powers, trusts, duties and immunities of the Trustee and the Notes Collateral Agent hereunder, and the obligations of each of the Guarantors and the Issuer in connection therewith and (4) this Article Thirteen. Subject to compliance with this Article Thirteen, the Issuer may exercise its option under this Section 13.02 notwithstanding the prior exercise of its option under Section 13.03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13.03.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Upon the Issuer’s exercise under Section 13.01 of the option applicable to this Section 13.03, each of the Issuer and the Guarantors shall be released from its respective obligations under any covenant contained in Sections 8.01 and 8.02 and in Sections 10.04 through and including 10.17 with respect to the Outstanding Notes on and after the date the conditions set forth in Section 13.04 are satisfied (hereinafter, “</w:t>
      </w:r>
      <w:r>
        <w:rPr>
          <w:rFonts w:ascii="Times New Roman;Times;Serif" w:hAnsi="Times New Roman;Times;Serif"/>
          <w:b w:val="false"/>
          <w:i/>
          <w:caps w:val="false"/>
          <w:smallCaps w:val="false"/>
          <w:sz w:val="20"/>
        </w:rPr>
        <w:t>Covenant Defeasance</w:t>
      </w:r>
      <w:r>
        <w:rPr>
          <w:rFonts w:ascii="Times New Roman;Times;Serif" w:hAnsi="Times New Roman;Times;Serif"/>
          <w:b w:val="false"/>
          <w:i w:val="false"/>
          <w:caps w:val="false"/>
          <w:smallCaps w:val="false"/>
          <w:sz w:val="20"/>
        </w:rPr>
        <w:t>”), and the Notes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Notes, the Issuer or any Guarantor, as applicable,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5.01(3), and as a result of such Covenant Defeasance, Sections 5.01(4), 5.01(5), and 5.01(7) and, with respect to only any Significant Subsidiary and not the Issuer, Section 5.01(6), shall no longer be in effect but, except as specified above, the remainder of this Indenture and such Notes shall be unaffected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13.04.        </w:t>
      </w:r>
      <w:r>
        <w:rPr>
          <w:rFonts w:ascii="Times New Roman;Times;Serif" w:hAnsi="Times New Roman;Times;Serif"/>
          <w:b w:val="false"/>
          <w:i w:val="false"/>
          <w:caps w:val="false"/>
          <w:smallCaps w:val="false"/>
          <w:sz w:val="20"/>
          <w:u w:val="single"/>
        </w:rPr>
        <w:t>Conditions to Legal Defeasance or Covenant Defeasance</w:t>
      </w:r>
      <w:r>
        <w:rPr>
          <w:rFonts w:ascii="Times New Roman;Times;Serif" w:hAnsi="Times New Roman;Times;Serif"/>
          <w:b w:val="false"/>
          <w:i w:val="false"/>
          <w:caps w:val="false"/>
          <w:smallCaps w:val="false"/>
          <w:sz w:val="20"/>
        </w:rPr>
        <w:t>. The following shall be the conditions to application of either Section 13.02 or Section 13.03 to the Outstanding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Issuer must irrevocably deposit with the Trustee, in trust, for the benefit of the Holders, cash in U.S. dollars, Government Securities, or a combination thereof, in such amounts (including scheduled payments thereon) as will be sufficient (without consideration of any reinvestment of interest), in the opinion of an Independent Financial Advisor, to pay the principal of, premium, if any, and interest due on the Notes on the Stated Maturity or on the Redemption Date, as the case may be, of such principal, premium, if any, or interest on such Notes and the Issuer must specify whether such Notes are being defeased to maturity or to a particular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Redemption Date. Any Applicable Premium Deficit shall be set forth in an Officer’s Certificate delivered to the Trustee simultaneously with the deposit of such Applicable Premium Deficit that confirms that such Applicable Premium Deficit shall be applied toward such redemption;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Legal Defeasance, the Issuer shall have delivered to the Trustee an Opinion of Counsel confirming that, subject to customary assumptions and exclusions,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received from, or there has been published by, the U.S. Internal Revenue Service a ruling,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issuance of the Notes, there has been a change in the applicable U.S. Federal income tax law,</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either case to the effect that, and based thereon such Opinion of Counsel shall confirm that, subject to customary assumptions and exclusions, the Holders or beneficial owners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Covenant Defeasance, the Issuer shall have delivered to the Trustee an Opinion of Counsel confirming that, subject to customary assumptions and exclusions, the Holders or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Default or Event of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such Legal Defeasance or Covenant Defeasance shall not result in a breach or violation of, or constitute a default under any other material agreement or material instrument (other than this Indenture) to which, the Issuer or any Guarantor is a party or by which the Issuer or any Guarantor is bound (other than that resulting from borrowing funds to be applied to make such deposit and any similar and simultaneous deposit relating to other Indebtedness and, in each case, the granting of Liens in connection therewith);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Issuer shall have delivered to the Trustee an Officer’s Certificate stating that the deposit was not made by the Issuer with the intent of defeating, hindering, delaying or defrauding any creditors of the Issuer or any Guarantor or others;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13.05.        </w:t>
      </w:r>
      <w:r>
        <w:rPr>
          <w:rFonts w:ascii="Times New Roman;Times;Serif" w:hAnsi="Times New Roman;Times;Serif"/>
          <w:b w:val="false"/>
          <w:i w:val="false"/>
          <w:caps w:val="false"/>
          <w:smallCaps w:val="false"/>
          <w:sz w:val="20"/>
          <w:u w:val="single"/>
        </w:rPr>
        <w:t>Deposited Money and Government Securities To Be Held in Trust; Other Miscellaneous Provisions</w:t>
      </w:r>
      <w:r>
        <w:rPr>
          <w:rFonts w:ascii="Times New Roman;Times;Serif" w:hAnsi="Times New Roman;Times;Serif"/>
          <w:b w:val="false"/>
          <w:i w:val="false"/>
          <w:caps w:val="false"/>
          <w:smallCaps w:val="false"/>
          <w:sz w:val="20"/>
        </w:rPr>
        <w:t>. Subject to the provisions of the last paragraph of Section 10.03, all cash and Government Securities (including the proceeds thereof) deposited with the Trustee pursuant to Section 13.04 in respect of the Outstanding Notes shall be held in trust and applied by the Trustee, in accordance with the provisions of such Notes and this Indenture, to the payment, either directly or through any Paying Agent (including the Issuer acting as its own Paying Agent) as the Trustee may determine, to the Holders of such Notes of all sums due and to become due thereon in respect of principal (and premium, if any) and interest, but such money or Government Securities need not be segregated from other funds except to the extent required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and indemnify the Trustee against any tax, fee or other charge imposed on or assessed against the Government Securities deposited pursuant to Section 13.04 or the principal and interest received in respect thereof other than any such tax, fee or other charge which by law is for the account of the Holders of the Outstanding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Anything in this Article Thirteen to the contrary notwithstanding, the Trustee shall deliver or pay to the Issuer from time to time upon Issuer Request any money or Government Securities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an equivalent Legal Defeasance or Covenant Defeasance, as applicable, in accordance with this Article Thirteen.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13.06.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any Paying Agent is unable to apply any money or Government Securities in accordance with Section 13.05 by reason of any order or judgment of any court or governmental authority enjoining, restraining or otherwise prohibiting such application, then the Issuer’s and each Guarantor’s obligations under this Indenture and the Outstanding Notes shall be revived and reinstated as though no deposit had occurred pursuant to Section 13.02 or 13.03, as the case may be, until such time as the Trustee or Paying Agent is permitted to apply all such money or Government Securities in accordance with Section 13.05;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Issuer makes any payment of principal of (or premium, if any) or interest on any Note following the reinstatement of its obligations, the Issuer shall be subrogated to the rights of the Holders of such Notes to receive such payment from the money or Government Securities held by the Trustee or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Fourteen</w:t>
        <w:br/>
        <w:br/>
        <w:t>COLLATERAL</w:t>
      </w:r>
    </w:p>
    <w:p>
      <w:pPr>
        <w:pStyle w:val="TextBody"/>
        <w:bidi w:val="0"/>
        <w:spacing w:before="0" w:after="0"/>
        <w:ind w:left="0" w:right="0" w:hanging="0"/>
        <w:jc w:val="center"/>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14.01.        </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From and after the Issue Date and upon the execution and delivery of the ABL Intercreditor Agreement Joinder and the other Security Documents, the due and punctual payment of the principal of, premium, if any, additional interest, if any, or interest on the Notes when and as the same shall be due and payable, whether on an Interest Payment Date, at Stated Maturity thereof, by acceleration, repurchase, redemption or otherwise, and interest on the overdue principal of, premium, if any, or interest on the Notes and performance of all other Obligations of the Issuer and the Guarantors to the Holders, the Trustee or the Notes Collateral Agent under this Indenture, the Notes, the related Guarantees, the Intercreditor Agreements and the other Security Documents, according to the terms hereunder or thereunder, shall be secured as provided in the Security Documents, which define the terms of the Liens that secure the Notes Obligations, subject to the terms of the Intercreditor Agreements. The Trustee, the Issuer and the Guarantors hereby acknowledge and agree that the Notes Collateral Agent holds the Collateral in trust for the benefit of the Notes Secured Parties and pursuant to the terms of the Security Documents. Each Holder, by accepting a Note, consents and agrees to the terms of the Security Documents (including the provisions providing for the possession, use, release and foreclosure of Collateral and the Intercreditor Agreements) as the same may be in effect or may be amended from time to time in accordance with their terms and this Indenture and the Intercreditor Agreements, and authorizes and directs the Notes Collateral Agent to enter into the Security Documents (including the Intercreditor Agreements) or joinders thereto, and at any time after the Issue Date, if applicable, and to perform its obligations and exercise its rights thereunder in accordance therewith. The Issuer shall deliver to the Notes Collateral Agent copies of all documents required to be filed pursuant to the Security Documents and will do or cause to be done all such acts and things as may be reasonably required by the next sentence of this Section 14.01,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The Issuer shall, and shall cause the Guarantors to, take any and all actions and make all filings (including the filing of Uniform Commercial Code financing statements) required to cause the Security Documents to create and maintain, as security for the Notes Obligations, a valid and enforceable perfected Lien and security interest in and on all of the Collateral (subject to the terms of the Intercreditor Agreements and the other Security Documents), in favor of the Notes Collateral Agent for the benefit of the Notes Secured Parties. It is further understood and agreed that there shall be no Security Document (or other security agreements or pledge agreements) governed under the laws of any non-U.S.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14.02.        </w:t>
      </w:r>
      <w:r>
        <w:rPr>
          <w:rFonts w:ascii="Times New Roman;Times;Serif" w:hAnsi="Times New Roman;Times;Serif"/>
          <w:b w:val="false"/>
          <w:i w:val="false"/>
          <w:caps w:val="false"/>
          <w:smallCaps w:val="false"/>
          <w:sz w:val="20"/>
          <w:u w:val="single"/>
        </w:rPr>
        <w:t>Release of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Collateral may be released from the Lien and security interest created by the Security Documents at any time and from time to time with respect to the Notes in accordance with the provisions of the Intercreditor Agreements, the other Security Documents and this Indenture. Notwithstanding anything to the contrary in the Intercreditor Agreements, the other Security Documents and this Indenture, the Issuer and the Guarantors will be entitled to the automatic release of property and other assets constituting Collateral from the Liens securing the Notes and the Notes Obligations under any one or more of the following circumstances (with notice to the Notes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enable the Issuer or any Guarantor to consummate the sale, transfer or other disposition (including by the termination of Capitalized Lease Obligations or the repossession of the leased property in a Capitalized Lease Obligation by the lessor) of such property or assets (other than to the Issuer or any Guarantor) to the extent not prohibited under Section 10.17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 Guarantor that is released from its Guarantee with respect to the Notes pursuant to the terms of this Indenture, with respect to the property and other assets of such Guarantor, upon the release of such Guarantor from its Guarantee;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Collateral that is Capital Stock, upon (i) the dissolution or liquidation of the issuer of that Capital Stock that is not prohibited by the Indenture or (ii) upon the designation by the Issuer of such issuer of Capital Stock as an Unrestricted Subsidiary under the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any Collateral that becomes an “Excluded Asset,” upon it becoming an Excluded Asset;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accordance with the second paragraph of Section 10.12.</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the extent the Liens on the Collateral securing the Obligations are released by the Notes Collateral Agent (other than any release by, or as a result of, payment of the Obligations), upon the release of such Liens;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as described in the Intercreditor Agreements;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as described under Article Nine hereof;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upon the occurrence of a Covenant Suspension Event.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Liens on the Collateral securing the Notes and the related Guarantees shall also automatically and without the need for any further action by any Person be terminated and released: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upon payment in full and discharge of the principal of, together with accrued and unpaid interest on, the Notes and all other Obligations with respect to this Indenture, the related Guarantees and the Security Documents that are due and payable at or prior to the time such principal, together with accrued and unpaid interest, are paid;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upon a Legal Defeasance or Covenant Defeasance under this Indenture as described under Sections 13.02 and 13.03 hereof, respectively, or a satisfaction and discharge of this Indenture as described under Section 4.01 hereof;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pursuant to the applicable provisions of the Intercreditor Agreements or the other Security Documents.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clause (9) above, following the Reversion Date, the Issuer and the Guarantors shall use commercially reasonable efforts to take all actions reasonably necessary to provide to the Notes Collateral Agent for its benefit and the benefit of the Trustee and the Holders valid, perfected, first or second priority (as applicable) security interests (subject to Permitted Liens) in the Collateral within 120 days after such Reversion Date or as soon as reasonably practicable thereafter (but in each case, subject to all limitations and exclusions set forth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release of Collateral or subordination of the security interest related thereto, upon receipt of an Officer’s Certificate (upon which the Trustee and Notes Collateral Agent may conclusively rely) stating that all conditions precedent under this Indenture, the Intercreditor Agreements and the other Security Documents, as applicable, to such release or subordination have been met and that it is permitted for the Trustee and/or the Notes Collateral Agent to execute and deliver the documents requested by the Issuer in connection with such release or subordination and any necessary or proper instruments of termination, satisfaction or release or subordination prepared by the Issuer, the Trustee and the Notes Collateral Agent shall execute, deliver or acknowledge (at the Issuer’s expense) such instruments or releases to evidence the release of any Collateral permitted to be released pursuant to this Indenture, the Intercreditor Agreements and the other Security Documents.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the Notes Collateral Agent shall be liable for any such release undertaken in reliance upon any such Officer’s Certificate, and notwithstanding any term hereof, in any Intercreditor Agreement or any other Security Document to the contrary, the Trustee and the Notes Collateral Agent shall not be under any obligation to release any such Lien and security interest, or execute and deliver any such instrument of release, satisfaction or termination, unless and until it receives such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14.03.        </w:t>
      </w:r>
      <w:r>
        <w:rPr>
          <w:rFonts w:ascii="Times New Roman;Times;Serif" w:hAnsi="Times New Roman;Times;Serif"/>
          <w:b w:val="false"/>
          <w:i w:val="false"/>
          <w:caps w:val="false"/>
          <w:smallCaps w:val="false"/>
          <w:sz w:val="20"/>
          <w:u w:val="single"/>
        </w:rPr>
        <w:t>Suits to Protect the Collateral</w:t>
      </w:r>
      <w:r>
        <w:rPr>
          <w:rFonts w:ascii="Times New Roman;Times;Serif" w:hAnsi="Times New Roman;Times;Serif"/>
          <w:b w:val="false"/>
          <w:i w:val="false"/>
          <w:caps w:val="false"/>
          <w:smallCaps w:val="false"/>
          <w:sz w:val="20"/>
        </w:rPr>
        <w:t>. Subject to the provisions of Article Six, the Intercreditor Agreements and the other Security Documents, the Trustee may or may direct the Notes Collateral Agent to take all actions they determine in order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enforce any of the terms of the Security Documents;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collect and receive any and all amounts payable in respect of the Notes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Intercreditor Agreements and the other Security Documents, the Trustee and the Notes Collateral Agent shall have power to institute and to maintain such suits and proceedings as the Trustee or the Notes Collateral Agent may determine to prevent any impairment of the Collateral by any acts which may be unlawful or in violation of any of the Intercreditor Agreements, the other Security Documents or this Indenture, and such suits and proceedings as the Trustee or the Notes Collateral Agent may determine to preserve or protect its interests and the interests of the Holders of the Notes in the Collateral. Nothing in this Section 14.03 shall be considered to impose any such duty or obligation to act on the part of the Trustee or the Notes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14.04.        </w:t>
      </w:r>
      <w:r>
        <w:rPr>
          <w:rFonts w:ascii="Times New Roman;Times;Serif" w:hAnsi="Times New Roman;Times;Serif"/>
          <w:b w:val="false"/>
          <w:i w:val="false"/>
          <w:caps w:val="false"/>
          <w:smallCaps w:val="false"/>
          <w:sz w:val="20"/>
          <w:u w:val="single"/>
        </w:rPr>
        <w:t>Authorization of Receipt of Funds by the Trustee under the Security Documents</w:t>
      </w:r>
      <w:r>
        <w:rPr>
          <w:rFonts w:ascii="Times New Roman;Times;Serif" w:hAnsi="Times New Roman;Times;Serif"/>
          <w:b w:val="false"/>
          <w:i w:val="false"/>
          <w:caps w:val="false"/>
          <w:smallCaps w:val="false"/>
          <w:sz w:val="20"/>
        </w:rPr>
        <w:t>. Subject to the provisions of the Intercreditor Agreements, the Trustee is authorized to receive any funds for the benefit of the Holders of the Notes distributed under the Security Documents and to make further distributions of such funds to the Holders of such Notes according to the provisions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14.05.        </w:t>
      </w:r>
      <w:r>
        <w:rPr>
          <w:rFonts w:ascii="Times New Roman;Times;Serif" w:hAnsi="Times New Roman;Times;Serif"/>
          <w:b w:val="false"/>
          <w:i w:val="false"/>
          <w:caps w:val="false"/>
          <w:smallCaps w:val="false"/>
          <w:sz w:val="20"/>
          <w:u w:val="single"/>
        </w:rPr>
        <w:t>Purchaser Protected</w:t>
      </w:r>
      <w:r>
        <w:rPr>
          <w:rFonts w:ascii="Times New Roman;Times;Serif" w:hAnsi="Times New Roman;Times;Serif"/>
          <w:b w:val="false"/>
          <w:i w:val="false"/>
          <w:caps w:val="false"/>
          <w:smallCaps w:val="false"/>
          <w:sz w:val="20"/>
        </w:rPr>
        <w:t>. In no event shall any purchaser in good faith of any property purported to be released hereunder be bound to ascertain the authority of the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or rights permitted by this Article Fourteen to be sold be under any obligation to ascertain or inquire into the authority of the Issuer or any Guarantor to make any such sale or other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14.06.        </w:t>
      </w:r>
      <w:r>
        <w:rPr>
          <w:rFonts w:ascii="Times New Roman;Times;Serif" w:hAnsi="Times New Roman;Times;Serif"/>
          <w:b w:val="false"/>
          <w:i w:val="false"/>
          <w:caps w:val="false"/>
          <w:smallCaps w:val="false"/>
          <w:sz w:val="20"/>
          <w:u w:val="single"/>
        </w:rPr>
        <w:t>Powers Exercisable by Receiver or Trustee</w:t>
      </w:r>
      <w:r>
        <w:rPr>
          <w:rFonts w:ascii="Times New Roman;Times;Serif" w:hAnsi="Times New Roman;Times;Serif"/>
          <w:b w:val="false"/>
          <w:i w:val="false"/>
          <w:caps w:val="false"/>
          <w:smallCaps w:val="false"/>
          <w:sz w:val="20"/>
        </w:rPr>
        <w:t>. In case the Collateral shall be in the possession of a receiver or trustee, lawfully appointed, the powers conferred in this Article Fourteen upon the Issuer or a Guarantor with respect to the release, sale or other disposition of such property may be exercised by such receiver or trustee, and an instrument signed by such receiver or trustee shall be deemed the equivalent of any similar instrument of the Issuer or a Guarantor or of any Officer or Officers thereof required by the provisions of this Article Fourteen; and if the Trustee or the Notes Collateral Agent shall be in the possession of the Collateral under any provision of this Indenture, then such powers may be exercised by such Trustee or such Notes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14.07.        </w:t>
      </w:r>
      <w:r>
        <w:rPr>
          <w:rFonts w:ascii="Times New Roman;Times;Serif" w:hAnsi="Times New Roman;Times;Serif"/>
          <w:b w:val="false"/>
          <w:i w:val="false"/>
          <w:caps w:val="false"/>
          <w:smallCaps w:val="false"/>
          <w:sz w:val="20"/>
          <w:u w:val="single"/>
        </w:rPr>
        <w:t>Release Upon Termination of the Issuer’s Obligations</w:t>
      </w:r>
      <w:r>
        <w:rPr>
          <w:rFonts w:ascii="Times New Roman;Times;Serif" w:hAnsi="Times New Roman;Times;Serif"/>
          <w:b w:val="false"/>
          <w:i w:val="false"/>
          <w:caps w:val="false"/>
          <w:smallCaps w:val="false"/>
          <w:sz w:val="20"/>
        </w:rPr>
        <w:t>. In the event that the Issuer delivers to the Trustee an Officer’s Certificate certifying that (i) payment in full of the principal of, together with accrued and unpaid interest, if any, on, the Notes and all other Note Obligations that were due and payable at or prior to the time such principal, together with accrued and unpaid interest, if any, were paid or (ii) the Issuer shall have either (x) exercised its Legal Defeasance option or its Covenant Defeasance option with respect to the Notes, in each case in compliance with the provisions of Article Thirteen hereof or (y) satisfied and discharged this Indenture as to the Notes in compliance with the provisions of Article Four hereof, and in each case of (i) and (ii) above, an Opinion of Counsel stating that all conditions precedent to the release of such Lien on the Collateral by the Trustee and the Notes Collateral Agent have been satisfied, the Trustee and the Notes Collateral Agent shall deliver to the Issuer a release of such Lien on the Collateral with respect to the Notes without recourse, representations or warranties and shall do or cause to be done (at the expense of the Issuer) all acts reasonably requested of them to release such Lien as soon as is reasonably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14.08.        </w:t>
      </w:r>
      <w:r>
        <w:rPr>
          <w:rFonts w:ascii="Times New Roman;Times;Serif" w:hAnsi="Times New Roman;Times;Serif"/>
          <w:b w:val="false"/>
          <w:i w:val="false"/>
          <w:caps w:val="false"/>
          <w:smallCaps w:val="false"/>
          <w:sz w:val="20"/>
          <w:u w:val="single"/>
        </w:rPr>
        <w:t>Notes Collateral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and each of the Holders, by acceptance of the Notes, hereby designate and appoint the Notes Collateral Agent as their agent under this Indenture, the Intercreditor Agreements and the other Security Documents and the Issuer and each of the Holders, by acceptance of the Notes, hereby irrevocably authorize the Notes Collateral Agent to take such action on their behalf under the provisions of this Indenture, the Intercreditor Agreements and the other Security Documents and to exercise such powers and perform such duties as are expressly delegated to the Notes Collateral Agent by the terms of this Indenture, the Intercreditor Agreements and the other Security Documents and consent and agree to the terms of the Intercreditor Agreements and each other Security Document, as the same may be in effect or may be amended, restated, supplemented or otherwise modified from time to time in accordance with their respective terms. The Notes Collateral Agent agrees to act as such on the express conditions contained in this Section 14.08. Each Holder agrees that any action taken by the Notes Collateral Agent in accordance with the provisions of this Indenture, the Intercreditor Agreements and the other Security Documents, and the exercise by the Notes Collateral Agent of any rights or remedies set forth herein and therein shall be authorized and binding upon all Holders. Notwithstanding any provision to the contrary contained elsewhere in this Indenture, the Intercreditor Agreements and the other Security Documents, the duties of the Notes Collateral Agent shall be ministerial and administrative in nature, and the Notes Collateral Agent shall not have any duties or responsibilities, except those expressly set forth herein, in the Intercreditor Agreements and in the other Security Documents to which such Notes Collateral Agent is a party, nor shall the Notes Collateral Agent have or be deemed to have any trust or other fiduciary relationship with the Trustee, any Holder, the Issuer or any Guarantor, and no implied covenants, functions, responsibilities, duties, obligations or liabilities shall be read into this Indenture, the Intercreditor Agreements and the other Security Documents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Collateral Agent may perform any of its duties under this Indenture, the Intercreditor Agreements and the other Security Documents by or through receivers, agents, nominees, collateral trustees, employees, attorneys-in-fact or with respect to any specified Person, such Person’s Affiliates and the respective officers, directors, employees, agents, advisors and attorneys-in-fact of such Person and its Affiliates (each, a “</w:t>
      </w:r>
      <w:r>
        <w:rPr>
          <w:rFonts w:ascii="Times New Roman;Times;Serif" w:hAnsi="Times New Roman;Times;Serif"/>
          <w:b w:val="false"/>
          <w:i/>
          <w:caps w:val="false"/>
          <w:smallCaps w:val="false"/>
          <w:sz w:val="20"/>
        </w:rPr>
        <w:t>Related Person</w:t>
      </w:r>
      <w:r>
        <w:rPr>
          <w:rFonts w:ascii="Times New Roman;Times;Serif" w:hAnsi="Times New Roman;Times;Serif"/>
          <w:b w:val="false"/>
          <w:i w:val="false"/>
          <w:caps w:val="false"/>
          <w:smallCaps w:val="false"/>
          <w:sz w:val="20"/>
        </w:rPr>
        <w:t>”), and shall be entitled to advice of counsel or other relevant experts (as reasonably required) concerning all matters pertaining to such duties, and shall be entitled to act upon, and shall be fully protected in taking action in reliance upon any advice or opinion given by legal counsel or other relevant experts (as reasonably required). The Notes Collateral Agent shall not be responsible for the negligence or misconduct of any receiver, agent, employee, attorney-in-fact or Related Person that it selects as long as such selection was made in good faith and with due care. The Notes Collateral Agent shall not be liable for any error of judgment made in good faith by it, unless it shall be proved that the Notes Collateral Agent was grossly negligent in ascertaining the pertinent facts.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Notes Collateral Agent nor its Related Persons shall (i) be liable for any action taken or omitted to be taken by any of them under or in connection with this Indenture or the transactions contemplated hereby (except for its own gross negligence or willful misconduct) or under or in connection with the Intercreditor Agreements or any other Security Documents or the transactions contemplated thereby (except for its own gross negligence or willful misconduct) or (ii) be responsible in any manner to any of the Trustee or any Holder for any recital, statement, representation, warranty, covenant or agreement made by the Issuer or any Guarantor or Affiliate of the Issuer or any Guarantor, or any Officer or Related Person thereof, contained in this Indenture, the Intercreditor Agreements or the other Security Documents, or in any certificate, report, statement or other document referred to or provided for in, or received by the Notes Collateral Agent under or in connection with, this Indenture, the Intercreditor Agreements or the other Security Documents, or the validity, effectiveness, genuineness, enforceability or sufficiency of this Indenture, the Intercreditor Agreements or the other Security Documents, or for any failure of the Issuer or any Guarantor or any other party to this Indenture, the Intercreditor Agreements or the other Security Documents to perform its obligations hereunder or thereunder. None of the Notes Collateral Agent or any of their respective Related Persons shall be under any obligation to the Trustee or any Holder to ascertain or to inquire as to the observance or performance of any of the agreements contained in, or conditions of, this Indenture, the Intercreditor Agreements or the other Security Documents or to inspect the properties, books or records of the Issuer or any Guarantor or any of the Issuer’s or Guarantor’s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Guarantor),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the Intercreditor Agreements or the other Security Documents unless it shall first receive such advice or concurrence of the Trustee or the Holders of a majority in aggregate principal amount of the then Outstanding Notes as it determines and, if it so requests, it shall first be offered security or indemnity to its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the Intercreditor Agreements or the other Security Documents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Notes Collateral Agent shall not be deemed to have knowledge or notice of the occurrence of any Default or Event of Default, unless a Responsible Officer of such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Article Five or the Holders of a majority in aggregate principal amount of the then Outstanding Notes (subject to this Section 14.08).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Notes Collateral Agent may resign at any time by providing 30 days’ written notice to the Trustee and the Issuer, such resignation to be effective upon the acceptance of a successor agent to its appointment as a Notes Collateral Agent. If a Notes Collateral Agent resigns under this Indenture, the Issuer shall appoint a successor collateral agent. If no successor collateral agent is appointed prior to the intended effective date of the resignation of such Notes Collateral Agent (as stated in the notice of resignation), the Trustee, at the direction of the Holders of a majority of the aggregate principal amount of the then Outstanding Notes, and at the sole expense of the Issuer, may appoint a successor collateral agent, subject to the consent of the Issuer (which consent shall not be unreasonably withheld and which shall not be required during a continuing Event of Default). If no successor collateral agent is appointed and consented to by the Issuer pursuant to the preceding sentence within 30 days after the intended effective date of resignation (as stated in the notice of resignation), the retiring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a Notes Collateral Agent shall be terminated. After the retiring Notes Collateral Agent’s resignation hereunder, the provisions of this Section 14.08 (and Section 6.07 hereof) shall continue to inure to its benefit, and the retiring Notes Collateral Agent shall not by reason of such resignation be deemed to be released from liability as to any actions taken or omitted to be taken by it while it was a Notes Collateral Agent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otherwise explicitly provided herein or in the Intercreditor Agreements or the other Security Documents,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respective officers, directors or employees shall be responsible for any act or failure to act hereunder, except for its own gross negligence or willful misconduct.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Notes Collateral Agent is authorized and directed to (i) enter into the Intercreditor Agreements (including pursuant to joinders thereto), (ii) enter into the other Security Documents to which it is party, whether executed on or after the Issue Date, (iii) bind the Notes Secured Parties on the terms as set forth in the Intercreditor Agreements and the other Security Documents, and (iv) perform and observe its obligations under the Intercreditor Agreements and the other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Article Five, such Trustee shall promptly turn the same over to the Notes Collateral Agent, in kind, and with such endorsements as may be required to negotiate the same to the Notes Collateral Agent; such proceeds to be applied by such Notes Collateral Agent pursuant to the terms of this Indenture, the Intercreditor Agreements and the other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Other than as set forth in the ABL Intercreditor Agreement or any First Lien Intercreditor Agreement (and/or any Collateral Trust Agreement entered into pursuant to the provisions thereof), the Notes Collateral Agent is the party in whose name the security interest, for the benefit of the Holders, shall be perfected, including for assets that can be perfected only by possession in accordance with Article 9 of the UCC. Should the Trustee obtain possession of any such Collateral, upon request from the Issuer, such Trustee shall notify the Notes Collateral Agent thereof and promptly shall deliver such Collateral to the Notes Collateral Agent or otherwise deal with such Collateral in accordance with the Notes Collateral Agent’s instructions.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Notes Collateral Agent shall have no obligation whatsoever to the Trustee or any of the Holders to assure that the Collateral exists or is owned by the Issuer or any Guarantor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the Issuer’s or such Guarantor’s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the Intercreditor Agreements and any other Security Documents other than pursuant to the instructions of the Trustee or the Holders of a majority in aggregate principal amount of the then Outstanding Notes or as otherwise provided in the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If the Issuer or any Guarantor (i) incurs any obligations in respect of First Lien Obligations at any time when no applicable intercreditor agreement is in effect or at any time when Indebtedness constituting First Lien Obligations entitled to the benefit of an existing Intercreditor Agreement is concurrently retired and (ii) delivers to the Notes Collateral Agent an Officer’s Certificate so stating and requesting the Notes Collateral Agent to enter into an intercreditor agreement (on substantially the same terms as the applicable Intercreditor Agreement) in favor of a designated agent or representative for the holders of the First Lien Obligations so incurred, together with an Opinion of Counsel, the Notes Collateral Agent shall (and is hereby authorized and directed to) enter into such intercreditor agreement (at the sole expense and cost of the Issuer, including legal fees and expenses of the Notes Collateral Agent), bind the Holders on the terms set forth therein and perform and observe its obligations thereunder;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an Officer’s Certificate nor an Opinion of Counsel shall be required pursuant to this Section 14.08(l) in connection with the applicable Intercreditor Agreement (including pursuant to a joinder thereto) to be entered into by the Notes Collateral Agent on the Issue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the Issuer or any Guarantor (i) incurs any obligations in respect of Junior Lien Obligations at any time when no applicable intercreditor agreement is in effect or at any time when Indebtedness constituting Junior Lien Obligations entitled to the benefit of an existing Junior Lien Intercreditor Agreement is concurrently retired and (ii) delivers to the Notes Collateral Agent an Officer’s Certificate so stating and requesting the Notes Collateral Agent to enter into an intercreditor agreement (on substantially the same terms as the applicable Junior Lien Intercreditor Agreement) in favor of a designated agent or representative for the holders of the Junior Lien Obligations so incurred, together with an Opinion of Counsel, the Notes Collateral Agent shall (and is hereby authorized and directed to) enter into such intercreditor agreement (at the sole expense and cost of the Issuer, including legal fees and expenses of the Notes Collateral Agent) and perform and observe its obligations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provision of this Indenture, the Intercreditor Agreements or any other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they shall have received indemnity satisfactory to the Notes Collateral Agent and the Trustee against potential costs and liabilities incurred by the Notes Collateral Agent relating thereto. Notwithstanding anything to the contrary contained in this Indenture, the Intercreditor Agreements or the other Security Documents, in the event the Notes Collateral Agent is entitled or required to commence an action to foreclose or otherwise exercise its remedies to acquire control or possession of the Collateral, such Notes Collateral Agent shall not be required to commence any such action or exercise any remedy or to inspect or conduct any studies of any property under the mortgages or take any such other action if such Notes Collateral Agent has determined that such Notes Collateral Agent may incur personal liability as a result of the presence at, or release on or from, the Collateral or such property, of any hazardous substances. The Notes Collateral Agent shall at any time be entitled to cease taking any action described in this clause if it no longer reasonably deems any indemnity, security or undertaking from the Issuer or the Holders to be sufficient.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Notes Collateral Agent (i) shall not be liable for any action taken or omitted to be taken by it in connection with this Indenture, the Intercreditor Agreements and the other Security Documents or instrument referred to herein or therein, except to the extent that any of the foregoing are found by a final, non-appealable judgment of a court of competent jurisdiction to have resulted from their own gross negligence or willful misconduct, (ii) shall not be liable for interest on any money received by it except as the Notes Collateral Agent may agree in writing with the Issuer (and money held in trust by the Notes Collateral Agent need not be segregated from other funds except to the extent required by law) and (iii) may consult with counsel and with accountants, investment bankers and other professionals (as reasonably required), in each case, of its selection and the advice or opinion of such counsel and such accountant, investment banker or other professional shall be full and complete authorization and protection from liability in respect of any action taken, omitted or suffered by it in good faith and in accordance with the advice or opinion of such counsel. The grant of permissive rights, authorizations and powers to the Notes Collateral Agent (including the exercise of any remedies following an Event of Default) shall not be construed to impose duties to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Notes Collateral Agent shall not be liable for delays or failures in performance resulting from acts caused by, directly or indirectly, forces beyond their control. Such acts shall include, but not be limited to, acts of God, strikes, lockouts, riots, acts of war, epidemics, pandemics, governmental regulations superimposed after the fact, fire, communication line failures, computer viruses, power failures, earthquakes or other disasters. The Notes Collateral Agent shall not be liable for any indirect, special, punitive, incidental or consequential damages (including, but not limited to, lost profits) whatsoever, even if they have been informed of the likelihood thereof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Notes Collateral Agent does not assume any responsibility for any failure or delay in the performance or any breach by the Issuer or any Guarantor under this Indenture, the Intercreditor Agreements and the other Security Documents. The Notes Collateral Agent shall not be responsible to the Holders or any other Person for any recitals, statements, information, representations or warranties contained in this Indenture, the Intercreditor Agreements, the other Security Documents or in any certificate, report, statement or other document referred to or provided for in, or received by the Notes Collateral Agent under or in connection with, this Indenture, the Intercreditor Agreements or any other Security Document; the execution, validity, genuineness, effectiveness or enforceability of the Intercreditor Agreements and any other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Intercreditor Agreements and the other Security Documents. The Notes Collateral Agent shall have no obligation to any Holder or any other Person to ascertain or inquire into the existence of any Default or Event of Default, the observance or performance by any obligor of any terms of this Indenture, the Intercreditor Agreements and the other Security Documents or the satisfaction of any conditions precedent contained in this Indenture, the Intercreditor Agreements and any other Security Documents. Neither the Notes Collateral Agent nor the Trustee shall be required to initiate or conduct any litigation or collection or other proceeding under this Indenture, the Intercreditor Agreements and the other Security Documents unless expressly directed to do so by the Holders of a majority in aggregate principal amount of the then Outstanding Notes and adequately indemnified with respect thereto. The Notes Collateral Agent shall have the right at any time to seek instructions from the Holders with respect to the administration of this Indenture, the Intercreditor Agreements and the other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Intercreditor Agreements, the other Security Documents or any actions taken pursuant hereto or thereto. Further, the parties hereto and the Holders hereby agree and acknowledge that in the exercise of its rights under this Indenture, the Intercreditor Agreements and the other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such Notes Collateral Agent’s or such Trustee’s sole discretion may cause the Notes Collateral Agent or the Trustee to be considered an “owner or operator” under the provisions of the Comprehensive Environmental Response, Compensation and Liability Act (“</w:t>
      </w:r>
      <w:r>
        <w:rPr>
          <w:rFonts w:ascii="Times New Roman;Times;Serif" w:hAnsi="Times New Roman;Times;Serif"/>
          <w:b w:val="false"/>
          <w:i/>
          <w:caps w:val="false"/>
          <w:smallCaps w:val="false"/>
          <w:sz w:val="20"/>
        </w:rPr>
        <w:t>CERCLA</w:t>
      </w:r>
      <w:r>
        <w:rPr>
          <w:rFonts w:ascii="Times New Roman;Times;Serif" w:hAnsi="Times New Roman;Times;Serif"/>
          <w:b w:val="false"/>
          <w:i w:val="false"/>
          <w:caps w:val="false"/>
          <w:smallCaps w:val="false"/>
          <w:sz w:val="20"/>
        </w:rPr>
        <w:t>”), 42 U.S.C. §9601, et seq., or otherwise cause the Notes Collateral Agent or the Trustee to incur liability under CERCLA or any other federal, state, provincial or local law, the Notes Collateral Agent and the Trustee reserves the right, instead of taking such action, to either resign as a Notes Collateral Agent or a Trustee or arrange for the transfer of the title or control of the asset to a court-appointed receiver. Neither the Notes Collateral Agent nor the Trustee shall be liable to the Issuer, the Guarantors or any other Person for any environmental claims or contribution actions under any federal, state, provincial or local law, rule or regulation by reason of such Notes Collateral Agent’s or such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the Issuer or the Guarantors, Holders of a majority in aggregate principal amount of the then Outstanding Notes shall direct the Notes Collateral Agent or the Trustee to appoint an appropriately qualified Person (excluding the Notes Collateral Agent or the Trustee) who they shall designate to possess, own, operate or manage, as the case may be, the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Upon the receipt by the Notes Collateral Agent of a written request of the Issuer signed by an Officer (a “</w:t>
      </w:r>
      <w:r>
        <w:rPr>
          <w:rFonts w:ascii="Times New Roman;Times;Serif" w:hAnsi="Times New Roman;Times;Serif"/>
          <w:b w:val="false"/>
          <w:i/>
          <w:caps w:val="false"/>
          <w:smallCaps w:val="false"/>
          <w:sz w:val="20"/>
        </w:rPr>
        <w:t>Security Document Order</w:t>
      </w:r>
      <w:r>
        <w:rPr>
          <w:rFonts w:ascii="Times New Roman;Times;Serif" w:hAnsi="Times New Roman;Times;Serif"/>
          <w:b w:val="false"/>
          <w:i w:val="false"/>
          <w:caps w:val="false"/>
          <w:smallCaps w:val="false"/>
          <w:sz w:val="20"/>
        </w:rPr>
        <w:t>”), such Notes Collateral Agent is hereby authorized to execute and enter into, and shall execute and enter into, without the further consent of any Holder or the Trustee, any Security Document or amendment or supplement thereto, to be executed after the Issue Date. Such Security Document Order shall (i) state that it is being delivered to the Notes Collateral Agent pursuant to, and is a Security Document Order referred to in, this Section 14.08(s), and (ii) instruct such Notes Collateral Agent to execute and enter into such Security Document or amendment or supplement thereto. Any such execution of a Security Document or amendment or supplement thereto shall be at the direction and expense of the Issuer, upon delivery to the Notes Collateral Agent of an Officer’s Certificate and Opinion of Counsel stating that all conditions precedent to the execution and delivery of the Security Document or amendment or supplement thereto have been satisfied and execution and delivery of the Security Document or amendment or supplement thereto is authorized or permitted by the terms of the Indenture and the Security Document The Holders, by their acceptance of the Notes, hereby authorize and direct the Notes Collateral Agent to execute such Security Documents or amendment or supplement thereto. The foregoing provisions are intended as an inducement to the lenders under the Senior Credit Facilities to extend credit and such lenders are intended third party beneficiaries of such provisions and the provisions of the Intercreditor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Subject to the provisions of the applicable Intercreditor Agreements and other Security Documents, each Holder, by acceptance of the Notes, agrees that the Notes Collateral Agent shall execute and deliver the Intercreditor Agreements and the other Security Documents to which they are parties and all agreements, documents and instruments incidental thereto, and act in accordance with the terms thereof. For the avoidance of doubt, the Notes Collateral Agent shall have no discretion under this Indenture, the Intercreditor Agreements or the other Security Documents and shall not be required to make or give any determination, consent, approval, request or direction without the written direction of the Holders of a majority in aggregate principal amount of the then Outstanding Notes or the Trustee,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After the occurrence and continuance of an Event of Default, the Trustee, acting at the direction of the Holders of a majority of the aggregate principal amount of the then Outstanding Notes, may direct the Notes Collateral Agent in connection with any action required or permitted by this Indenture, the Intercreditor Agreements or the other Security Documents. For purposes of clarity, (i) the Trustee shall have no obligation to provide any such direction to the Notes Collateral Agent (or any other collateral agent or collateral trustee) in the absence of such direction from the Holders of a majority of the aggregate principal amount of the then Outstanding Notes and the Trustee’s receipt of satisfactory indemnity and (ii) any indemnity required to be provided to the Notes Collateral Agent (or any other collateral agent or collateral trustee) in connection with such direction shall be an obligation of such Holders and not of the Trustee. No Notes Collateral Agent shall be deemed to have knowledge or notice of the occurrence of any Default or Event of Default, unless a Responsible Officer of such Notes Collateral Agent shall have received written notice from the Trustee or the Issuer referring to this Indenture, describing such Default or Event of Default and stating that such notice is a “notice of default.” Such Notes Collateral Agent shall take such action with respect to such Default or Event of Default as may be requested by the Trustee in accordance with Article Five or the Holders of a majority in aggregate principal amount of the then Outstanding Notes (subject to this Section 14.08).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Notes Collateral Agent is authorized to receive any funds for the benefit of itself, the Trustee and the Holders distributed under the Intercreditor Agreements and the other Security Documents and, to the extent not prohibited under the Intercreditor Agreements, for turnover to the Trustee to make further distributions of such funds to itself, the Trustee and the Holders in accordance with the provisions of Section 5.06 and the other provisions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 each case that the Notes Collateral Agent may or is required hereunder or under the Intercreditor Agreements or any other Security Document to take any action (an “</w:t>
      </w:r>
      <w:r>
        <w:rPr>
          <w:rFonts w:ascii="Times New Roman;Times;Serif" w:hAnsi="Times New Roman;Times;Serif"/>
          <w:b w:val="false"/>
          <w:i/>
          <w:caps w:val="false"/>
          <w:smallCaps w:val="false"/>
          <w:sz w:val="20"/>
        </w:rPr>
        <w:t>Action</w:t>
      </w:r>
      <w:r>
        <w:rPr>
          <w:rFonts w:ascii="Times New Roman;Times;Serif" w:hAnsi="Times New Roman;Times;Serif"/>
          <w:b w:val="false"/>
          <w:i w:val="false"/>
          <w:caps w:val="false"/>
          <w:smallCaps w:val="false"/>
          <w:sz w:val="20"/>
        </w:rPr>
        <w:t>”), including without limitation to make any determination, to give consents, to exercise rights, powers or remedies, to release or sell Collateral or otherwise to act hereunder or under the Intercreditor Agreements or any other Security Document, such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 Outstanding Notes with respect to any Action, such Notes Collateral Agent shall be entitled to refrain from such Action unless and until such Notes Collateral Agent shall have received direction from the Holders of a majority in aggregate principal amount of the then Outstanding Notes and, if deemed necessary by the Notes Collateral Agent, adequate indemnity, and such Notes Collateral Agent shall not incur liability to any Person by reason of so refraining.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Notwithstanding anything to the contrary in this Indenture, in the Intercreditor Agreements or in any other Security Document, in no event shall the Notes Collateral Agent or the Trustee be responsible for, or have any duty or obligation with respect to, the recording, filing, registering, perfection, protection or maintenance of the security interests or Liens intended to be created by this Indenture, the Intercreditor Agreements or the other Security Documents (including, without limitation, the filing, continuation or renewal of any Uniform Commercial Code financing statement), nor shall the Notes Collateral Agent or the Trustee be responsible for, and neither the Notes Collateral Agent nor the Trustee make any representation regarding, the validity, effectiveness or priority of any of the Security Documents or the security interests or Liens intended to be created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Before the Notes Collateral Agent acts or refrains from acting in each case at the request or direction of the Issuer or the Guarantors, it may require an Officer’s Certificate and an Opinion of Counsel, which shall conform to the provisions of this Section 14.08.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Notwithstanding anything to the contrary contained herein, the Notes Collateral Agent shall act pursuant to the instructions of the Holders and the Trustee solely with respect to the Security Documents and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The rights, privileges, benefits, immunities, indemnities and other protections given to the Trustee are extended to, and shall be enforceable by, the Notes Collateral Agent as if the Notes Collateral Agent was named as a Trustee herein and the Security Documents were named in this Indenture 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(i) a Notes Collateral Agent shall only be liable to the extent of its gross negligence, willful misconduct or bad faith; and (ii) in and during an Event of Default, only the Trustee, and not any Notes Collateral Agent, shall be subject to the prudent person standard.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Subject to the provisions of the Intercreditor Agreements and the other Security Documents, each Holder, by acceptance of the Notes, agrees that the Notes Collateral Agent shall execute and deliver the Intercreditor Agreements and the other Security Documents to which it is a party and all agreements, documents and instruments incidental thereto (including any releases permitted hereunder), and act in accordance with the terms thereof. For the avoidance of doubt, the Notes Collateral Agent shall not be required to exercise discretion under this Indenture, the Intercreditor Agreements and the other Security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Security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For purposes of clarity, phrases such as “satisfactory to the Notes Collateral Agent”, “approved by the Notes Collateral Agent”, “acceptable to the Notes Collateral Agent”, “as determined by the Notes Collateral Agent”, “in the Notes Collateral Agent's discretion”, “selected by the Notes Collateral Agent”, “requested by the Notes Collateral Agent” and phrases of similar import authorize and permit the Notes Collateral Agent to approve, disapprove, determine, act or decline to act in its reasonable discretion. The Notes Collateral Agent shall not be required to take any action that, in its reasonable opinion, which may be the opinion of its counsel, may expose the Notes Collateral Agent to liability or that is contrary to this Indenture, any Security Document or applicable law, including for the avoidance of doubt any action that may be in violation of the automatic stay under any bankruptcy or insolvency law. The Notes Collateral Agent is authorized to receive any funds for the benefit of itself, the Trustee and the Holders distributed under the Security Documents and to the extent not prohibited under the Intercreditor Agreements for turnover to the Trustee to make further distributions of such funds to itself, the other Notes Collateral Agent, the Trustee and the Holders in accordance with the provisions of Section 5.06 hereof and the other provisions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Issuer shall pay compensation to, reimburse expenses of and indemnify the Notes Collateral Agent in accordance with Section 6.07. Accordingly, the reference to the “Trustee” in Section 6.07 shall be deemed to include the reference to the Notes Collateral Agent; provided, however, with respect to the Notes Collateral Agent, references to “negligence” shall be deemed referenced to “gross negligence.”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In the event of any dispute between or conflicting claims among any the Issuer, Guarantors, or any party to the Security Documents and any other person or entity with respect to any Collateral, the Notes Collateral Agent shall be entitled, in its sole discretion, to refuse to comply with any and all claims, demands or instructions with respect to such Collateral so long as such dispute or conflict shall continue, and the Notes Collateral Agent shall not be or become liable in any way to the Issuer, any Guarantor, any party to the Security Documents or any other Secured Party (as such term is defined in the Security Agreement) for failure or refusal to comply with such conflicting claims, demands or instructions. The Notes Collateral Agent shall be entitled to refuse to act until, in its sole discretion, either (i) such conflicting or adverse claims or demands shall have been determined by a final order, judgment or decree of a court of competent jurisdiction, which order, judgment or decree is not subject to appeal, or settled by agreement between the conflicting parties as evidenced in a writing satisfactory to the Notes Collateral Agent or (ii) the Notes Collateral Agent shall have received security or an indemnity satisfactory to it sufficient to hold it harmless from and against any and all losses which it may incur by reason of so acting. The Notes Collateral Agent may, in addition, elect, in its sole discretion, to commence an interpleader action or seek other judicial relief or orders as it may deem, in its sole discretion, necessary. The costs and expenses (including reasonable attorneys’ fees and expenses) incurred in connection with such proceeding shall be paid by, and shall be deemed a joint and several obligation of, the Issuer and the other Guarantors to the extent provided for in Section 6.07. The Notes Collateral Agent shall have no responsibility for the contents of any writing of any arbitrators or any third party contemplated in any Security Documents as a means to resolve disputes and may conclusively rely without any liability upon the contents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The Notes Collateral Agent shall incur no liability as a result of the sale (whether public or private) of the Collateral or any part thereof at any sale pursuant to this Agreement conducted in a commercially reasonable manner. Each of the Issuer, the Guarantors and the Notes Secured Parties hereby waive any claims against the Notes Collateral Agent arising by reason of the fact that the price at which the Collateral may have been sold at such sale (whether public or private) was less than the price that might have been obtained otherwise, even if the Notes Collateral Agent accepts the first offer received and does not offer the Collateral to more than one offeree, so long as such sale is conducted in a commercially reasonable manner. Each of the Issuer, the Guarantors and the Notes Secured Parties hereby agree that in respect of any sale of any of the Collateral pursuant to the terms hereof, Notes Collateral Agent is hereby authorized to comply with any limitation or restriction in connection with such sale as it may be advised by counsel is necessary in order to avoid any violation of applicable laws, or in order to obtain any required approval of the sale or of the purchaser by any governmental authority or official, and the Issuer, the Guarantors an the Notes Secured Parties further agree that such compliance shall not, in and of itself, result in such sale being considered or deemed not to have been made in a commercially reasonable manner, nor shall the Notes Collateral Agent be liable or accountable to the Issuer, the Guarantors or the Notes Secured Parties for any discount allowed by reason of the fact that the Collateral or any part thereof is sold in compliance with any such limitation or restriction.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14.09.        </w:t>
      </w:r>
      <w:r>
        <w:rPr>
          <w:rFonts w:ascii="Times New Roman;Times;Serif" w:hAnsi="Times New Roman;Times;Serif"/>
          <w:b w:val="false"/>
          <w:i w:val="false"/>
          <w:caps w:val="false"/>
          <w:smallCaps w:val="false"/>
          <w:sz w:val="20"/>
          <w:u w:val="single"/>
        </w:rPr>
        <w:t>Other Limitations and Protections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required to be granted from time to time pursuant to this Indenture shall be subject to exceptions and limitations set forth in the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expressly set forth in the Security Documents, no additional actions shall be required with respect to any assets that are located outside of the United States or assets that require action under the law of any non-U.S. jurisdiction to create or perfect a security interest in such assets; it being understood, for the avoidance of doubt, that there shall be no requirement to execute any security agreement or pledge agreement governed by the laws of any non-U.S.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providing any direction to the Notes Collateral Agent hereunder, the Trustee shall be entitled to first obtain direction from the requisite Holders to the extent required under this Indenture or the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14.10.        </w:t>
      </w:r>
      <w:r>
        <w:rPr>
          <w:rFonts w:ascii="Times New Roman;Times;Serif" w:hAnsi="Times New Roman;Times;Serif"/>
          <w:b w:val="false"/>
          <w:i w:val="false"/>
          <w:caps w:val="false"/>
          <w:smallCaps w:val="false"/>
          <w:sz w:val="20"/>
          <w:u w:val="single"/>
        </w:rPr>
        <w:t>Further Assurances; Maintenance of Properties; Compliance with Laws;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and each of the Guarantors shall undertake, or cause to be undertaken, all acts and things that may be required, or that the Notes Collateral Agent from time to time may reasonably request, to assure and confirm that the Notes Collateral Agent holds, for the benefit of the Notes Secured Parties, duly created and enforceable and perfected Liens upon the Collateral (including any property or assets that are acquired or otherwise become Collateral after the Notes are issued), in each case, as contemplated by, and with the Lien priority required under, the Security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reasonable request of the Notes Collateral Agent at any time and from time to time, the Issuer and each of the Guarantors shall promptly execute, acknowledge and deliver such Security Documents, instruments, certificates, notices and other documents, and take such other actions as may be reasonably required, or that the Notes Collateral Agent may reasonably request, to create, perfect, protect, assure or enforce the Liens and benefits intended to be conferred, in each case as contemplated by the Note Documents for the benefit of the Notes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Issuer and the Guarantors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keep their properties adequately insured at all times by financially sound and reputable insurers;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maintain such other insurance, to such extent and against such risks, as is customary with companies in the same or similar businesses operating in the same or similar locations;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maintain such other insurance as may be required by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acquisition by any of the Issuer or the Guarantors after the Issue Date of any assets (other than Excluded Assets), the Issuer or such Guarantor shall execute and deliver such mortgages, security instruments, financing statements or analogous filings and such certificates, title insurance policies, surveys, and opinions as are required under this Indenture or any Security Document to vest in the Notes Collateral Agent a perfected security interest, with the priority required by this Indenture, the Intercreditor Agreements and the other Security Documents, subject only to Permitted Liens, in such after-acquired property and to have such after-acquired property added to the Collateral, and thereupon all provisions of this Indenture, the Intercreditor Agreements and the other Security Documents relating to the Collateral shall be deemed to relate to such after-acquired property to the same extent and with the same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-156-</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1440"/>
        <w:jc w:val="both"/>
        <w:rPr>
          <w:caps w:val="false"/>
          <w:smallCaps w:val="false"/>
        </w:rPr>
      </w:pPr>
      <w:r>
        <w:rPr>
          <w:caps w:val="false"/>
          <w:smallCaps w:val="false"/>
        </w:rPr>
        <w:t> </w:t>
      </w:r>
    </w:p>
    <w:tbl>
      <w:tblPr>
        <w:tblW w:w="5614" w:type="dxa"/>
        <w:jc w:val="left"/>
        <w:tblInd w:w="0" w:type="dxa"/>
        <w:tblLayout w:type="fixed"/>
        <w:tblCellMar>
          <w:top w:w="0" w:type="dxa"/>
          <w:left w:w="0" w:type="dxa"/>
          <w:bottom w:w="0" w:type="dxa"/>
          <w:right w:w="0" w:type="dxa"/>
        </w:tblCellMar>
      </w:tblPr>
      <w:tblGrid>
        <w:gridCol w:w="75"/>
        <w:gridCol w:w="341"/>
        <w:gridCol w:w="5123"/>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Academy Managing Co., L.L.C.,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Carl Ford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Carl Ford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and Chief Financial Officer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each entity named in Schedule I hereto, as a Guarantor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Carl Ford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Carl Ford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1" w:type="dxa"/>
            <w:tcBorders/>
            <w:vAlign w:val="center"/>
          </w:tcPr>
          <w:p>
            <w:pPr>
              <w:pStyle w:val="TableContents"/>
              <w:bidi w:val="0"/>
              <w:spacing w:before="0" w:after="283"/>
              <w:jc w:val="left"/>
              <w:rPr>
                <w:caps w:val="false"/>
                <w:smallCaps w:val="false"/>
              </w:rPr>
            </w:pPr>
            <w:r>
              <w:rPr>
                <w:caps w:val="false"/>
                <w:smallCaps w:val="false"/>
              </w:rPr>
              <w:t> </w:t>
            </w:r>
          </w:p>
        </w:tc>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and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act as Trustee, Notes Collateral Agent, Paying Agent, Note Registrar and Transfer Agent:</w:t>
      </w:r>
    </w:p>
    <w:p>
      <w:pPr>
        <w:pStyle w:val="TextBody"/>
        <w:bidi w:val="0"/>
        <w:spacing w:before="0" w:after="0"/>
        <w:jc w:val="left"/>
        <w:rPr>
          <w:caps w:val="false"/>
          <w:smallCaps w:val="false"/>
        </w:rPr>
      </w:pPr>
      <w:r>
        <w:rPr>
          <w:caps w:val="false"/>
          <w:smallCaps w:val="false"/>
        </w:rPr>
        <w:t> </w:t>
      </w:r>
    </w:p>
    <w:tbl>
      <w:tblPr>
        <w:tblW w:w="5119" w:type="dxa"/>
        <w:jc w:val="left"/>
        <w:tblInd w:w="0" w:type="dxa"/>
        <w:tblLayout w:type="fixed"/>
        <w:tblCellMar>
          <w:top w:w="0" w:type="dxa"/>
          <w:left w:w="0" w:type="dxa"/>
          <w:bottom w:w="0" w:type="dxa"/>
          <w:right w:w="0" w:type="dxa"/>
        </w:tblCellMar>
      </w:tblPr>
      <w:tblGrid>
        <w:gridCol w:w="75"/>
        <w:gridCol w:w="574"/>
        <w:gridCol w:w="4395"/>
        <w:gridCol w:w="75"/>
      </w:tblGrid>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 and as Notes Collateral Agent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43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K. Herberger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4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Michael K. Herberger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74" w:type="dxa"/>
            <w:tcBorders/>
            <w:vAlign w:val="center"/>
          </w:tcPr>
          <w:p>
            <w:pPr>
              <w:pStyle w:val="TableContents"/>
              <w:bidi w:val="0"/>
              <w:spacing w:before="0" w:after="283"/>
              <w:jc w:val="left"/>
              <w:rPr/>
            </w:pPr>
            <w:r>
              <w:rPr/>
              <w:t> </w:t>
            </w:r>
          </w:p>
        </w:tc>
        <w:tc>
          <w:tcPr>
            <w:tcW w:w="43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Managing Co., L.L.C.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Associated Investors, L.L.C.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Academy Holding Company, LLC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Procurement Co., LLC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1 - Rule 144A / Regulation S Appendix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RELATING TO INITIAL NOTES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Appendix the following terms shall have the meanings indicated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Procedures” means, with respect to any transfer or transaction involving a Temporary Regulation S Global Note or beneficial interest therein, the rules and procedures of the Depository for such a Temporary Regulation S Global Note, to the extent applicable to such transaction and as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Definitive Note” means a certificated Note bearing, if required, the appropriate restricted notes legend set forth in Section 2.3(d).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Depository” means The Depository Trust Company, its nominees and their respective successors.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Distribution Compliance Period”, with respect to any Notes, means the period of 40 consecutive days beginning on and including the latest of the Issue Date, the original issue date of the issuance of any Additional Notes and the date on which any such Notes (or any predecessor of such Notes) were first offered to persons other than distributors (as defined in rule 902 of Regulation S) in reliance on Regulation 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Initial Purchasers” means (1) with respect to the Notes issued on the Issue Date, Wells Fargo Securities, LLC, J.P. Morgan Securities LLC, BofA Securities, Inc., PNC Capital Markets LLC, U.S. Bancorp Investments, Inc. and Regions Securities LLC, (2) with respect to each issuance of Additional Notes, the Persons purchasing such Additional Notes under the related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non-U.S. Person” means a Person who is not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Notes” means (1) $500,000,000 aggregate principal amount of 5.875% Senior Secured Notes Due 2031 issued on the Issue Date and (2) Additional Notes, if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Notes Custodian” means the custodian with respect to a Global Notes (as appointed by the Depository), or any successor Person thereto and shall initially be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Purchase Agreement” means (1) with respect to the Notes issued on the Issue Date, the Purchase Agreement dated May 4, 2026, among the Issuer, the Guarantors and the Representative on behalf of the Initial Purchasers, and (2) with respect to each issuance of Additional Notes, the purchase agreement among the Issuer, the Guarantors and the Persons purchasing such Additional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QIB” means a “qualified institutional buyer” as defined in Rule 144A.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Representative” means Wells Fargo Securities, LLC as representative of the Initial Purchasers.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Restricted Notes” means Notes that bear or are required to bear the legend relating to restrictions on transfer relating to the Securities Act set forth in Section 2.3(d)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5020" w:type="dxa"/>
        <w:jc w:val="left"/>
        <w:tblInd w:w="0" w:type="dxa"/>
        <w:tblLayout w:type="fixed"/>
        <w:tblCellMar>
          <w:top w:w="0" w:type="dxa"/>
          <w:left w:w="0" w:type="dxa"/>
          <w:bottom w:w="28" w:type="dxa"/>
          <w:right w:w="0" w:type="dxa"/>
        </w:tblCellMar>
      </w:tblPr>
      <w:tblGrid>
        <w:gridCol w:w="3305"/>
        <w:gridCol w:w="60"/>
        <w:gridCol w:w="1655"/>
      </w:tblGrid>
      <w:tr>
        <w:trPr/>
        <w:tc>
          <w:tcPr>
            <w:tcW w:w="3305" w:type="dxa"/>
            <w:tcBorders>
              <w:bottom w:val="single" w:sz="2" w:space="0" w:color="000000"/>
            </w:tcBorders>
            <w:vAlign w:val="center"/>
          </w:tcPr>
          <w:p>
            <w:pPr>
              <w:pStyle w:val="TableContents"/>
              <w:bidi w:val="0"/>
              <w:spacing w:before="0" w:after="283"/>
              <w:ind w:left="18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Term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5" w:type="dxa"/>
            <w:tcBorders>
              <w:bottom w:val="single" w:sz="2"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Defined in Section: </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Agent Members”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2.1(b)</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Global Notes”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Permanent Regulation S Global Note”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Regulation S”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Regulation S Global Note”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Rule 144A”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Rule 144A Global Note”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r>
      <w:tr>
        <w:trPr/>
        <w:tc>
          <w:tcPr>
            <w:tcW w:w="33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Temporary Regulation S Global Note”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2.1(a)</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The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(a)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 The Notes will be offered and sold by the Issuer pursuant to a Purchase Agreement. The Notes will be resold initially only to (i) QIBs in reliance on Rule 144A under the Securities Act (“Rule 144A”) and (ii) Persons other than U.S. Persons (as defined in Regulation S) outside the United States in reliance on Regulation S under the Securities Act (“Regulation S”). Notes may thereafter be transferred to, among others, QIBs and purchasers in reliance on Regulation S, subject to the restrictions on transfer set forth herein. Notes initially resold pursuant to Rule 144A shall be issued initially in the form of one or more permanent global notes in fully registered form (collectively, the “Rule 144A Global Note”); and Notes initially resold pursuant to Regulation S shall be issued initially in the form of one or more temporary global notes in fully registered form (collectively, the “Temporary Regulation S Global Note”), in each case without interest coupons and with the global notes legend and the applicable restricted notes legend set forth in Exhibit 1 hereto, which shall be deposited on behalf of the purchasers of the Notes represented thereby with the Notes Custodian and registered in the name of the Depository, duly executed by the Issuer and authenticated by the Trustee as provided in this Indenture. Except as set forth in this Section 2.1(a), beneficial ownership interests in the Temporary Regulation S Global Note will not be exchangeable for interests in a Rule 144A Global Note, a permanent global note (the “Permanent Regulation S Global Note”, and together with the Temporary Regulation S Global Note, the “Regulation S Global Note”) or any other Note prior to the expiration of the Distribution Compliance Period and then, after the expiration of the Distribution Compliance Period, may be exchanged for interests in a Rule 144A Global Note, the Permanent Regulation S Global Note or a Definitive Note only (i) upon certification in form reasonably satisfactory to the Issuer and the Trustee that beneficial ownership interests in such Temporary Regulation S Global Note are owned either by non-U.S. persons or U.S. persons who purchased such interests in a transaction that did not require registration under the Securities Act, and (ii) in the case of an exchange for a Definitive Note, in compliance with the requirements of Section 2.4(a)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Temporary Regulation S Global Notes may be exchanged for interests in Rule 144A Global Notes if (1) such exchange occurs in connection with a transfer of Notes in compliance with Rule 144A and (2) the transferor of the beneficial interest in the Temporary Regulation S Global Note first delivers to the Trustee a written certificate (in a form satisfactory to the Issuer and the Trustee) to the effect that the beneficial interest in the Temporary Regulation S Global Note is being transferred to a Person (a) whom the transferor reasonably believes to be a QIB, (b) purchasing for its own account or the account of a QIB in a transaction meeting the requirements of Rule 144A, and (c) in accordance with all applicable securities laws of the States of the United States and other jurisdictions.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interests in a Rule 144A Global Note may be transferred to a Person who takes delivery in the form of an interest in a Regulation S Global Note, whether before or after the expiration of the Distribution Compliance Period, only if the transferor first delivers to the Trustee a written certificate (in a form satisfactory to the Issuer and the Trustee) to the effect that such transfer is being made in accordance with Rule 903 or 904 of Regulation 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144A Global Note, the Temporary Regulation S Global Note and the Permanent Regulation S Global Note are collectively referred to herein as “Global Notes”. The aggregate principal amount of the Global Notes may from time to time be increased or decreased by adjustments made on the records of the Trustee and the Depository or its nominee as hereinafter provided.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Book-Entry Provisions</w:t>
      </w:r>
      <w:r>
        <w:rPr>
          <w:rFonts w:ascii="Times New Roman;Times;Serif" w:hAnsi="Times New Roman;Times;Serif"/>
          <w:b w:val="false"/>
          <w:i w:val="false"/>
          <w:caps w:val="false"/>
          <w:smallCaps w:val="false"/>
          <w:sz w:val="20"/>
        </w:rPr>
        <w:t>. This Section 2.1(b) shall apply only to a Global Note deposited with or on behalf of the Depository.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execute and the Trustee shall, in accordance with Section 2.2 below and 2.02 of this Indenture, authenticate and deliver initially one or more Global Notes that (a) shall be registered in the name of the Depository and (b) shall be delivered by the Trustee to such Depository or pursuant to such Depository’s instructions or held by the Trustee as custodian for the Depository.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or participants in the Depository (“Agent Members”) shall have no rights under this Indenture with respect to any Global Note held on their behalf by the Depository or by the Trustee as the custodian of the Depository or under such Global Note, and the Issuer, the Trustee and any agent of the Issuer or the Trustee shall be entitled to treat the Depository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Depository or impair as between the Depository and its Agent Members, the operation of customary practices of such Depository governing the exercise of the rights of a holder of a beneficial interest in any Global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 Except as provided in this Section 2.1, 2.3 or 2.4, owners of beneficial interests in Global Notes shall not be entitled to receive physical delivery of Definitive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Authentication</w:t>
      </w:r>
      <w:r>
        <w:rPr>
          <w:rFonts w:ascii="Times New Roman;Times;Serif" w:hAnsi="Times New Roman;Times;Serif"/>
          <w:b w:val="false"/>
          <w:i w:val="false"/>
          <w:caps w:val="false"/>
          <w:smallCaps w:val="false"/>
          <w:sz w:val="20"/>
        </w:rPr>
        <w:t>. The Trustee shall authenticate and deliver: (1) on the Issue Date, $500,000,000 aggregate principal amount of 5.875% Senior Secured Notes Due 2031 and (2) any Additional Notes for an original issue, in each case, in an aggregate principal amount specified in an Issuer Order pursuant to Section 2.02 of this Indenture. Such Issuer Order shall specify the amount of the Notes to be authenticated and the date on which the original issue of Notes is to be authenticated and, in the case of any issuance of Additional Notes pursuant to Section 3.13 of this Indenture, shall certify that such issuance is in compliance with Section 10.11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and Exchange of Definitive Notes</w:t>
      </w:r>
      <w:r>
        <w:rPr>
          <w:rFonts w:ascii="Times New Roman;Times;Serif" w:hAnsi="Times New Roman;Times;Serif"/>
          <w:b w:val="false"/>
          <w:i w:val="false"/>
          <w:caps w:val="false"/>
          <w:smallCaps w:val="false"/>
          <w:sz w:val="20"/>
        </w:rPr>
        <w:t>. When Definitive Notes are presented to the Note Registrar with a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register the transfer of such Definitive Notes;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to exchange such Definitive Notes for an equal principal amount of Definitive Notes of other authorized denominations,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 Registrar shall register the transfer or make the exchange as requested if its reasonable requirements for such transaction are met;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Definitive Notes surrendered for transfer or exchange: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shall be duly endorsed or accompanied by a written instrument of transfer in form reasonably satisfactory to the Issuer and the Note Registrar, duly executed by the Holder thereof or its attorney duly authorized in writing;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Definitive Notes are required to bear a restricted notes legend, they are being transferred or exchanged pursuant to an effective registration statement under the Securities Act, pursuant to Section 2.3(b) or pursuant to clause (A), (B) or (C) below, and are accompanied by the following additional information and documents,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such Definitive Notes are being delivered to the Note Registrar by a Holder for registration in the name of such Holder, without transfer, a certification from such Holder to that effect;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Definitive Notes are being transferred to the Issuer, a certification to that effect;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such Definitive Notes are being transferred (x) pursuant to an exemption from registration in accordance with Rule 144A or Regulation S; or (y) in reliance upon another exemption from the requirements of the Securities Act: (i) a certification to that effect (in the form set forth on the reverse of the Note) and (ii) if the Issuer so requests, an opinion of counsel or other evidence reasonably satisfactory to it as to the compliance with the restrictions set forth in the legend set forth in Section 2.3(d).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Restrictions on Transfer of a Definitive Note for a Beneficial Interest in a Global Note</w:t>
      </w:r>
      <w:r>
        <w:rPr>
          <w:rFonts w:ascii="Times New Roman;Times;Serif" w:hAnsi="Times New Roman;Times;Serif"/>
          <w:b w:val="false"/>
          <w:i w:val="false"/>
          <w:caps w:val="false"/>
          <w:smallCaps w:val="false"/>
          <w:sz w:val="20"/>
        </w:rPr>
        <w:t>. A Definitive Note may not be exchanged for a beneficial interest in a Rule 144A Global Note or a Regulation S Global Note except upon satisfaction of the requirements set forth below. Upon receipt by the Trustee of a Definitive Note, duly endorsed or accompanied by appropriate instruments of transfer, in form satisfactory to the Trustee, together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certification, in the form set forth on the reverse of the Note, that such Definitive Note is either (A) being transferred to a QIB in accordance with Rule 144A or (B) being transferred after expiration of the Distribution Compliance Period by a Person who initially purchased such Note in reliance on Regulation S to a buyer who elects to hold its interest in such Note in the form of a beneficial interest in the Regulation S Global Note;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written instructions directing the Trustee to make, or to direct the Notes Custodian to make, an adjustment on its books and records with respect to such Rule 144A Global Note (in the case of a transfer pursuant to clause (b)(i)(A)) or Regulation S Global Note (in the case of a transfer pursuant to clause (b)(i)(B)) to reflect an increase in the aggregate principal amount of the Notes represented by the Rule 144A Global Note or Regulation S Global Note, as applicable, such instructions to contain information regarding the Agent Member account to be credited with such increase,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Trustee shall cancel such Definitive Note and cause, or direct the Notes Custodian to cause, in accordance with the standing instructions and procedures of the Depository and the Notes Custodian, the aggregate principal amount of Notes represented by the Rule 144A Global Note or Regulation S Global Note, as applicable, to be increased by the aggregate principal amount of the Definitive Note to be exchanged and shall credit or cause to be credited to the account of the Person specified in such instructions a beneficial interest in the Rule 144A Global Note or Regulation S Global Note, as applicable, equal to the principal amount of the Definitive Note so canceled. If no Rule 144A Global Notes or Regulation S Global Notes, as applicable, are then outstanding, the Issuer shall issue and the Trustee shall authenticate, upon written order of the Issuer in the form of an Officer’s Certificate of the Issuer, a new Rule 144A Global Note or Regulation S Global Note, as applicable, in the appropriate principal amount.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Transfer and Exchange of Global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transfer and exchange of Global Notes or beneficial interests therein shall be effected through the Depository, in accordance with this Indenture (including applicable restrictions on transfer set forth herein, if any) and the procedures of the Depository therefor. A transferor of a beneficial interest in a Global Note shall deliver to the Note Registrar a written order given in accordance with the Depository’s procedures containing information regarding the participant account of the Depository to be credited with a beneficial interest in the Global Note. The Note Registrar shall, in accordance with such instructions instruct the Depository to credit to the account of the Person specified in such instructions a beneficial interest in the Global Note and to debit the account of the Person making the transfer the beneficial interest in the Global Note being transferred. The Note Registrar shall have no responsibilities with respect to transfers of beneficial interests within a single Global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proposed transfer is a transfer of a beneficial interest in one Global Note to a beneficial interest in another Global Note, the Note Registrar shall reflect on its books and records the date and an increase in the principal amount of the Global Note to which such interest is being transferred in an amount equal to the principal amount of the interest to be so transferred, and the Note Registrar shall reflect on its books and records the date and a corresponding decrease in the principal amount of the Global Note from which such interest is being transferred.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 other provisions of this Appendix (other than the provisions set forth in Section 2.4),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event that a Global Note is exchanged for a Definitive Note pursuant to Section 2.4 of this Appendix, such Notes may be exchanged only in accordance with such procedures as are substantially consistent with the provisions of this Section 2.3 (including the certification requirements set forth on the reverse of the Notes intended to ensure that such transfers comply with Rule 144A, Regulation S or another applicable exemption under the Securities Act, as the case may be) and such other procedures as may from time to time be adopted by the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During the Distribution Compliance Period, beneficial ownership interests in Temporary Regulation S Global Notes may only be sold, pledged or transferred in accordance with the Applicable Procedures and only (i) to the Issuer, (ii) in an offshore transaction in accordance with Regulation S (other than a transaction resulting in an exchange for an interest in a Permanent Regulation S Global Note) or (iii) pursuant to an effective registration statement under the Securities Act, in each case in accordance with any applicable securities laws of any State of the United States.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Note certificate evidencing the Global Notes (and all Notes issued in exchange therefor or in substitution thereof) shall bear a legend in substantially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 THE HOLDER OF THIS SECURITY, BY ITS ACCEPTANCE HEREOF, (1) REPRESENTS THAT (A) IT IS A “QUALIFIED INSTITUTIONAL BUYER” (AS DEFINED IN RULE 144A UNDER THE SECURITIES ACT (“RULE 144A”)) OR (B) IT IS NOT A U.S. PERSON AND IS ACQUIRING THIS SECURITY IN AN “OFFSHORE TRANSACTION” PURSUANT TO RULE 903 OR RULE 904 OF REGULATION S UNDER THE SECURITIES ACT (“REGULATION S”) AND (2) AGREES ON ITS OWN BEHALF AND ON BEHALF OF ANY INVESTOR ACCOUNT FOR WHICH IT HAS PURCHASED SECURITIES, TO OFFER, SELL, PLEDGE OR OTHERWISE TRANSFER SUCH SECURITY, ONLY (A) TO THE ISSUER OR ANY SUBSIDIARY THEREOF, (B) PURSUANT TO A REGISTRATION STATEMENT THAT HAS BECOME OR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UNDER THE SECURITIES ACT, (D) PURSUANT TO OFFERS AND SALES THAT OCCUR OUTSIDE THE UNITED STATES IN ACCORDANCE WITH REGULATION S UNDER THE SECURITIES ACT, OR (E) PURSUANT TO ANOTHER AVAILABLE EXEMPTION FROM THE REGISTRATION REQUIREMENTS OF THE SECURITIES ACT (OTHER THAN PURSUANT TO RULE 144), SUBJECT TO THE ISSUER’S AND THE TRUSTEE’S RIGHT PRIOR TO ANY SUCH OFFER, SALE OR TRANSFER PURSUANT TO CLAUSES (D) OR (E) TO REQUIRE THE DELIVERY OF AN OPINION OF COUNSEL, CERTIFICATION AND/ OR OTHER INFORMATION SATISFACTORY TO EACH OF THEM.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being sold pursuant to Regulation S shall also bear an additional legend substantially to the following effect: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THE SECURITIES LAWS OF ANY STATE OR OTHER JURISDICTION, AND MAY NOT BE OFFERED, SOLD OR DELIVERED IN THE UNITED STATES OR TO, OR FOR THE ACCOUNT OR BENEFIT OF, ANY U.S. PERSON, UNLESS SUCH NOTES ARE REGISTERED UNDER THE SECURITIES ACT OR AN EXEMPTION FROM THE REGISTRATION REQUIREMENTS THEREOF IS AVAILABLE. THIS LEGEND WILL BE REMOVED AFTER THE EXPIRATION OF FORTY DAYS FROM THE LATER OF (i) THE DATE ON WHICH THESE NOTES WERE FIRST OFFERED AND (ii) THE DATE OF ISSUE OF THESE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Definitive Note shall also bear the following additional legend: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THE HOLDER WILL DELIVER TO THE REGISTRAR AND TRANSFER AGENT SUCH CERTIFICATES AND OTHER INFORMATION AS SUCH TRANSFER AGENT MAY REASONABLY REQUIRE TO CONFIRM THAT THE TRANSFER COMPLIES WITH THE FOREGOING RESTRICTIONS.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Cancellation or Adjustment of Global Note</w:t>
      </w:r>
      <w:r>
        <w:rPr>
          <w:rFonts w:ascii="Times New Roman;Times;Serif" w:hAnsi="Times New Roman;Times;Serif"/>
          <w:b w:val="false"/>
          <w:i w:val="false"/>
          <w:caps w:val="false"/>
          <w:smallCaps w:val="false"/>
          <w:sz w:val="20"/>
        </w:rPr>
        <w:t>. At such time as all beneficial interests in a Global Note have either been exchanged for Definitive Notes, redeemed, purchased or canceled, such Global Note shall be returned to the Depository for cancellation or retained and canceled by the Trustee. At any time prior to such cancellation, if any beneficial interest in a Global Note is exchanged for certificated Notes, redeemed, 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Obligation of the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responsibility or obligation to any beneficial owner of a Global Note, a member of, or a participant in the Depository or other Person with respect to the accuracy of the records of the Depository or its nominee or of any participant or member thereof, with respect to any ownership interest in the Notes or with respect to the delivery to any participant, member, beneficial owner or other Person (other than the Depository) of any notice (including any notice of redemption) or the payment of any amount, under or with respect to such Notes. All notices and communications to be given to the Holders and all payments to be made to Holders under the Notes shall be given or made only to or upon the order of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members, participants and any beneficial owners.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the Depository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Global Note deposited with the Depository or with the Trustee as Notes Custodian for the Depository pursuant to Section 2.1 shall be transferred to the beneficial owners thereof in the form of Definitive Notes in an aggregate principal amount equal to the principal amount of such Global Note, in exchange for such Global Note, only if such transfer complies with Section 2.3 hereof and (i) the Depository notifies the Issuer that it is unwilling or unable to continue as Depository for such Global Note or if at any time such Depository ceases to be a “clearing agency” registered under the Exchange Act and, in each case, a successor depository is not appointed by the Issuer within 90 days of such notice, or of its becoming aware of such cessation, or (ii) a Default has occurred and is continuing or (iii) the Issuer, in its sole discretion, and subject to the procedures of the Depository, notifies the Trustee in writing that it elects to cause the issuance of Definitive Notes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Global Note that is transferable to the beneficial owners thereof pursuant to this Section 2.4 shall be surrendered by the Depository to the Trustee located at its principal Corporate Trust Office in the Borough of Manhattan, The City of New York,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2.4 shall be executed, authenticated and delivered only in denominations of $2,000 principal amount and any integral multiple of $1,000 in excess thereof and registered in such names as the Depository shall direct. Any Definitive Note delivered in exchange for an interest in the Transfer Restricted Note shall bear the applicable restricted notes legend and definitive notes legend set forth in Exhibit 1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registered Holder of a Global Note shall be entitled to grant proxies and otherwise authorize any Person, including Agent Members and Persons that may hold interests through Agent Members, to take any action which a Holder is entitled to take under this Indenture or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the occurrence of one of the events specified in Section 2.4(a) hereof, the Issuer shall promptly make available to the Trustee a reasonable supply of Definitive Notes in definitive, fully registered form without interest coupons. In the event that such Definitive Notes are not issued, the Issuer expressly acknowledges, with respect to the right of any Holder to pursue a remedy pursuant to this Indenture, including pursuant to Section 5.07, the right of any beneficial owner of Notes to pursue such remedy with respect to the portion of the Global Note that represents such beneficial owner’s Notes as if such Definitive Notes had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br/>
        <w:t>to Annex 1</w:t>
      </w:r>
    </w:p>
    <w:p>
      <w:pPr>
        <w:pStyle w:val="TextBody"/>
        <w:bidi w:val="0"/>
        <w:spacing w:before="0" w:after="0"/>
        <w:ind w:left="0" w:right="0" w:firstLine="144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INITIAL NOTE]</w:t>
        <w:br/>
        <w:t>[Global Notes Legend]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THE DEPOSITORY, TO NOMINEES OF THE DEPOSITORY OR TO A SUCCESSOR THEREOF OR SUCH SUCCESSOR’S NOMINEE AND TRANSFERS OF PORTIONS OF THIS GLOBAL SECURITY SHALL BE LIMITED TO TRANSFERS MADE IN ACCORDANCE WITH THE RESTRICTIONS SET FORTH IN THE INDENTURE REFERRED TO ON THE REVERSE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Notes Legend]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 THE HOLDER OF THIS SECURITY, BY ITS ACCEPTANCE HEREOF, (1) REPRESENTS THAT (A) IT IS A “QUALIFIED INSTITUTIONAL BUYER” (AS DEFINED IN RULE 144A UNDER THE SECURITIES ACT (“RULE 144A”)) OR (B) IT IS NOT A U.S. PERSON AND IS ACQUIRING THIS SECURITY IN AN “OFFSHORE TRANSACTION” PURSUANT TO RULE 903 OR RULE 904 OF REGULATION S UNDER THE SECURITIES ACT (“REGULATION S”) AND (2) AGREES ON ITS OWN BEHALF AND ON BEHALF OF ANY INVESTOR ACCOUNT FOR WHICH IT HAS PURCHASED SECURITIES, TO OFFER, SELL, PLEDGE OR OTHERWISE TRANSFER SUCH SECURITY, ONLY (A) TO THE ISSUER OR ANY SUBSIDIARY THEREOF, (B) PURSUANT TO A REGISTRATION STATEMENT THAT HAS BECOME OR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UNDER THE SECURITIES ACT, (D) PURSUANT TO OFFERS AND SALES THAT OCCUR OUTSIDE THE UNITED STATES IN ACCORDANCE WITH REGULATION S UNDER THE SECURITIES ACT, OR (E) PURSUANT TO ANOTHER AVAILABLE EXEMPTION FROM THE REGISTRATION REQUIREMENTS OF THE SECURITIES ACT (OTHER THAN PURSUANT TO RULE 144), SUBJECT TO THE ISSUER’S AND THE TRUSTEE’S RIGHT PRIOR TO ANY SUCH OFFER, SALE OR TRANSFER PURSUANT TO CLAUSES (D) OR (E) TO REQUIRE THE DELIVERY OF AN OPINION OF COUNSEL, CERTIFICATION AND/ OR OTHER INFORMATION SATISFACTORY TO EACH OF THEM.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pPr>
      <w:r>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Regulation S Restricted Notes Legend]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OR THE SECURITIES LAWS OF ANY STATE OR OTHER JURISDICTION, AND MAY NOT BE OFFERED, SOLD OR DELIVERED IN THE UNITED STATES OR TO, OR FOR THE ACCOUNT OR BENEFIT OF, ANY U.S. PERSON, UNLESS SUCH NOTES ARE REGISTERED UNDER THE SECURITIES ACT OR AN EXEMPTION FROM THE REGISTRATION REQUIREMENTS THEREOF IS AVAILABLE. THIS LEGEND WILL BE REMOVED AFTER THE EXPIRATION OF FORTY DAYS FROM THE LATER OF (i) THE DATE ON WHICH THESE NOTES WERE FIRST OFFERED AND (ii) THE DATE OF ISSUE OF THESE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Notes Legend]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THE HOLDER WILL DELIVER TO THE REGISTRAR AND TRANSFER AGENT SUCH CERTIFICATES AND OTHER INFORMATION AS SUCH TRANSFER AGENT MAY REASONABLY REQUIRE TO CONFIRM THAT THE TRANSFER COMPLIES WITH THE FOREGOING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2" w:name="A5.875SeniorSecuredNoteDu"/>
      <w:bookmarkEnd w:id="2"/>
      <w:r>
        <w:rPr>
          <w:rFonts w:ascii="Times New Roman;Times;Serif" w:hAnsi="Times New Roman;Times;Serif"/>
          <w:b w:val="false"/>
          <w:i w:val="false"/>
          <w:caps w:val="false"/>
          <w:smallCaps w:val="false"/>
          <w:sz w:val="20"/>
        </w:rPr>
        <w:t>5.875% Senior Secured Note Due 2031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   ]</w:t>
      </w:r>
    </w:p>
    <w:p>
      <w:pPr>
        <w:pStyle w:val="TextBody"/>
        <w:bidi w:val="0"/>
        <w:spacing w:before="0" w:after="0"/>
        <w:jc w:val="left"/>
        <w:rPr>
          <w:caps w:val="false"/>
          <w:smallCaps w:val="false"/>
        </w:rPr>
      </w:pPr>
      <w:r>
        <w:rPr>
          <w:caps w:val="false"/>
          <w:smallCaps w:val="false"/>
        </w:rPr>
        <w:t> </w:t>
      </w:r>
    </w:p>
    <w:tbl>
      <w:tblPr>
        <w:tblW w:w="2825" w:type="dxa"/>
        <w:jc w:val="left"/>
        <w:tblInd w:w="0" w:type="dxa"/>
        <w:tblLayout w:type="fixed"/>
        <w:tblCellMar>
          <w:top w:w="0" w:type="dxa"/>
          <w:left w:w="0" w:type="dxa"/>
          <w:bottom w:w="0" w:type="dxa"/>
          <w:right w:w="0" w:type="dxa"/>
        </w:tblCellMar>
      </w:tblPr>
      <w:tblGrid>
        <w:gridCol w:w="75"/>
        <w:gridCol w:w="2750"/>
      </w:tblGrid>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144A CUSIP No. 00401Y AB6</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144A ISIN No. US00401YAB65</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 S CUSIP No. U0044E AB0</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 S ISIN No. USU0044EAB03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Ltd. (the “Issuer”), a Texas limited partnership, promises to pay to [________], or registered assigns, the principal sum set forth on the Schedule of Increases or Decreases in the Global Note attached hereto on May 15, 2031.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November 15 and May 15 (commencing on November 15,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Dates: November 1 and May 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other side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ACADEMY,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Academy Managing Co., L.L.C., its General Partner</w:t>
      </w:r>
    </w:p>
    <w:p>
      <w:pPr>
        <w:pStyle w:val="TextBody"/>
        <w:bidi w:val="0"/>
        <w:spacing w:before="0" w:after="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335"/>
        <w:gridCol w:w="54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jc w:val="center"/>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t>, as Trustee</w:t>
      </w:r>
    </w:p>
    <w:p>
      <w:pPr>
        <w:pStyle w:val="TextBody"/>
        <w:bidi w:val="0"/>
        <w:spacing w:before="0" w:after="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SIDE OF INITIAL NOTE]</w:t>
        <w:br/>
        <w:t>5.875% Senior Secured Note Due 2031</w:t>
      </w:r>
    </w:p>
    <w:p>
      <w:pPr>
        <w:pStyle w:val="TextBody"/>
        <w:bidi w:val="0"/>
        <w:spacing w:before="0" w:after="0"/>
        <w:jc w:val="center"/>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Principal and Interest</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pay the principal of this Note on May 15, 2031.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promises to pay interest on the principal amount of this Note on each Interest Payment Date, as set forth below, at the rate of 5.875% per annum.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will be payable semi-annually in arrears (to the Holders of record at the close of business (if applicable) on the November 1 or May 1 (whether or not a Business Day) immediately preceding the Interest Payment Date) on each Interest Payment Date, commencing November 15,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on this Note will accrue from the most recent date to which interest has been paid or duly provided for or, if no interest has been paid or duly provided for, from May 14, 2026;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there is no existing default in the payment of interest and if this Note is authenticated between a Regular Record Date referred to on the face hereof and the next succeeding Interest Payment Date, interest shall accrue from such Interest Payment Date. Interest will be computed on the basis of a 360-day year of twelve 30-day months.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overdue principal and premium, if any, and interest on overdue installments of interest, to the extent lawful, at a rate per annum equal to the rate of interest borne by the Notes.</w:t>
      </w:r>
    </w:p>
    <w:p>
      <w:pPr>
        <w:pStyle w:val="TextBody"/>
        <w:bidi w:val="0"/>
        <w:spacing w:before="0" w:after="0"/>
        <w:ind w:left="0" w:right="0" w:firstLine="144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Method of Payment</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will pay interest (except Defaulted Interest) on the principal amount of the Notes on each November 15 and May 15 (commencing on November 15, 2026) to the Persons who are Holders (as reflected in the Note Register at the close of business (if applicable) on the November 1 and May 1 (whether or not a Business Day) immediately preceding the Interest Payment Date), in each case, even if the Note is cancelled on registration of transfer or registration of exchange after such Regular Record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with respect to the payment of principal or premium, if any, the Issuer will make payment to the Holder that surrenders this Note to the Paying Agent on or after the date such principal or premium is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pay principal (and premium, if any) and interest in U.S. dollars. However, the Issuer may pay principal (and premium, if any) and interest by its check payable in such money. The Issuer may pay interest on the Notes either (a) by mailing a check for such interest to a Holder’s registered address (as reflected in the Note Register) or (b) subject to the provisions of the Indenture, by wire transfer to an account located in the United States maintained by the payee. If a payment date is a date other than a Business Day at a place of payment, payment may be made at that place on the next succeeding day that is a Business Day and no interest shall accrue for the intervening period.</w:t>
      </w:r>
    </w:p>
    <w:p>
      <w:pPr>
        <w:pStyle w:val="TextBody"/>
        <w:bidi w:val="0"/>
        <w:spacing w:before="0" w:after="0"/>
        <w:ind w:left="0" w:right="0" w:firstLine="1440"/>
        <w:jc w:val="both"/>
        <w:rPr>
          <w:caps w:val="false"/>
          <w:smallCaps w:val="false"/>
        </w:rPr>
      </w:pPr>
      <w:r>
        <w:rPr>
          <w:caps w:val="false"/>
          <w:smallCaps w:val="false"/>
        </w:rPr>
        <w:t> </w:t>
      </w:r>
    </w:p>
    <w:tbl>
      <w:tblPr>
        <w:tblW w:w="2958" w:type="dxa"/>
        <w:jc w:val="left"/>
        <w:tblInd w:w="0" w:type="dxa"/>
        <w:tblLayout w:type="fixed"/>
        <w:tblCellMar>
          <w:top w:w="0" w:type="dxa"/>
          <w:left w:w="0" w:type="dxa"/>
          <w:bottom w:w="0" w:type="dxa"/>
          <w:right w:w="0" w:type="dxa"/>
        </w:tblCellMar>
      </w:tblPr>
      <w:tblGrid>
        <w:gridCol w:w="38"/>
        <w:gridCol w:w="17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Paying Agent and Note Registrar</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U.S. Bank Trust Company, National Association, in New York as Paying Agent and Note Registrar. The Issuer may change any Paying Agent or Note Registrar upon written notice thereto. The Issuer or any of its Affiliates may act as Paying Agent, Note Registrar or co-registrar.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170"/>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Indenture</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the Notes under an Indenture, dated as of May 14, 2026 (the “Indenture”), among the Issuer, the Guarantors, the Trustee and the Notes Collateral Agent. Capitalized terms herein are used as defined in the Indenture unless otherwise indicated. The terms of the Notes include those stated in the Indenture. The Notes are subject to all such terms, and Holders are referred to the Indenture for a statement of all such terms. To the extent permitted by applicable law, in the event of any inconsistency between the terms of this Note and the terms of the Indenture, the terms of the Indenture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secured senior obligations of the Issuer. The Indenture does not limit the aggregate principal amount of the Notes.</w:t>
      </w:r>
    </w:p>
    <w:p>
      <w:pPr>
        <w:pStyle w:val="TextBody"/>
        <w:bidi w:val="0"/>
        <w:spacing w:before="0" w:after="0"/>
        <w:ind w:left="0" w:right="0" w:firstLine="144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17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Redemption</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At any time prior to May 15, 2028, the Issuer may, at its option and on one or more occasions, redeem all or a part of the Notes, upon notice as described in Section 11.06 of the Indenture, at a Redemption Price equal to 100% of the principal amount of Notes redeemed plus the Applicable Premium as of, and accrued and unpaid interest, if any, to, but excluding, the Redemption Date, subject to the rights of Holders of record on the relevant Regular Record Date to receive interest due on the relevant Interest Payment Date falling on or prior to the Redemption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May 15, 2028, the Issuer may, at its option and on one or more occasions, redeem the Notes, in whole or in part, upon notice as described in Section 11.06 of the Indenture, at the Redemption Prices (expressed as percentages of principal amount of the Notes to be redeemed) set forth below, plus accrued and unpaid interest, if any, to, but excluding, the applicable Redemption Date, subject to the right of Holders of record on the relevant Regular Record Date to receive interest due on the relevant Interest Payment Date falling on or prior to the Redemption Date, if redeemed during the twelve-month period beginning on May 15 of each of the years indicated below:</w:t>
      </w:r>
    </w:p>
    <w:p>
      <w:pPr>
        <w:pStyle w:val="TextBody"/>
        <w:bidi w:val="0"/>
        <w:spacing w:before="0" w:after="0"/>
        <w:ind w:left="0" w:right="0" w:firstLine="1440"/>
        <w:jc w:val="both"/>
        <w:rPr>
          <w:caps w:val="false"/>
          <w:smallCaps w:val="false"/>
        </w:rPr>
      </w:pPr>
      <w:r>
        <w:rPr>
          <w:caps w:val="false"/>
          <w:smallCaps w:val="false"/>
        </w:rPr>
        <w:t> </w:t>
      </w:r>
    </w:p>
    <w:tbl>
      <w:tblPr>
        <w:tblW w:w="2740" w:type="dxa"/>
        <w:jc w:val="left"/>
        <w:tblInd w:w="0" w:type="dxa"/>
        <w:tblLayout w:type="fixed"/>
        <w:tblCellMar>
          <w:top w:w="0" w:type="dxa"/>
          <w:left w:w="0" w:type="dxa"/>
          <w:bottom w:w="28" w:type="dxa"/>
          <w:right w:w="0" w:type="dxa"/>
        </w:tblCellMar>
      </w:tblPr>
      <w:tblGrid>
        <w:gridCol w:w="1655"/>
        <w:gridCol w:w="60"/>
        <w:gridCol w:w="1025"/>
      </w:tblGrid>
      <w:tr>
        <w:trPr/>
        <w:tc>
          <w:tcPr>
            <w:tcW w:w="1655" w:type="dxa"/>
            <w:tcBorders>
              <w:bottom w:val="single" w:sz="2" w:space="0" w:color="000000"/>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Year </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2" w:space="0" w:color="000000"/>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Percentage </w:t>
            </w:r>
          </w:p>
        </w:tc>
      </w:tr>
      <w:tr>
        <w:trPr/>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2028 </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102.938%</w:t>
            </w:r>
          </w:p>
        </w:tc>
      </w:tr>
      <w:tr>
        <w:trPr/>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2029 </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101.469%</w:t>
            </w:r>
          </w:p>
        </w:tc>
      </w:tr>
      <w:tr>
        <w:trPr/>
        <w:tc>
          <w:tcPr>
            <w:tcW w:w="16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2030 and thereafter </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100.000%</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until May 15, 2028, the Issuer may, at its option, upon notice as described in Section 11.06 of the Indenture, on one or more occasions redeem up to 40% of the aggregate principal amount of Notes (including Additional Notes) issued under the Indenture at a Redemption Price (as calculated by the Issuer) equal to (i) 105.875% of the aggregate principal amount thereof, with an amount equal to or less than the net cash proceeds from one or more Equity Offerings to the extent such net cash proceeds are received by or contributed to the Issuer,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accrued and unpaid interest thereon, if any, to, but excluding, the applicable Redemption Date, subject to the right of Holders of record on the relevant Regular Record Date to receive interest due on the relevant Interest Payment Date falling on or prior to the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at least 50% of the sum of the aggregate principal amount of Notes originally issued under the Indenture on the Issue Date and any Additional Notes issued under the Indenture after the Issue Date remains outstanding immediately after the occurrence of each such redemption and (b) each such redemption occurs within 180 days of the date of closing of each such Equity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170"/>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Repurchase upon a Change of Control and Asset Sales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a Change of Control, the Holders will have the right to require that the Issuer purchase such Holder’s Outstanding Notes, in whole or in part, at a purchase price of 101% of the aggregate principal amount thereof, plus accrued and unpaid interest, if any, to, but excluding, the date of purchase and (b) Asset Sales, the Issuer may be obligated to make offers to purchase Notes and Senior Indebtedness of the Issuer with a portion of the Net Proceeds of such Asset Sales at a Redemption Price of 100% of the aggregate principal amount thereof plus accrued and unpaid interest, if any, to, but excluding, the date of purchase.</w:t>
      </w:r>
    </w:p>
    <w:p>
      <w:pPr>
        <w:pStyle w:val="TextBody"/>
        <w:bidi w:val="0"/>
        <w:spacing w:before="0" w:after="0"/>
        <w:ind w:left="0" w:right="0" w:firstLine="144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Denominations; Transfer; Exchange</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in registered form without coupons in minimum denominations of $2,000 principal amount and integral multiples of $1,000 in excess thereof. A Holder may transfer or exchange Notes in accordance with the Indenture. The Note Registrar and the Issuer may require a Holder, among other things, to furnish appropriate endorsements and transfer documents and to pay any taxes and fees required by law or permitted by the Indenture. The Note Registrar and the Issuer need not register the transfer or exchange of any Notes selected for redemption (except, in the case of a Note to be redeemed in part, the portion of the Note not to be redeemed) or any Notes tendered (and not withdrawn) for repurchase in connection with a Change of Control Offer, an Asset Sale Offer or other tender offer. Also, the Note Registrar and the Issuer need not register the transfer or exchange of any Notes for a period of ten days before delivering a notice of redemption of Notes to be redeemed.</w:t>
      </w:r>
    </w:p>
    <w:p>
      <w:pPr>
        <w:pStyle w:val="TextBody"/>
        <w:bidi w:val="0"/>
        <w:spacing w:before="0" w:after="0"/>
        <w:ind w:left="0" w:right="0" w:firstLine="1440"/>
        <w:jc w:val="both"/>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7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Persons Deemed Owners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registered Holder may be treated as the owner of a Note for all purposes.</w:t>
      </w:r>
    </w:p>
    <w:p>
      <w:pPr>
        <w:pStyle w:val="TextBody"/>
        <w:bidi w:val="0"/>
        <w:spacing w:before="0" w:after="0"/>
        <w:ind w:left="0" w:right="0" w:firstLine="144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Unclaimed Money</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(premium, if any) or interest remains unclaimed for two years, the Trustee and the Paying Agent will pay the money back to the Issuer at its written request. After that, Holders entitled to the money must look to the Issuer for payment, unless an abandoned property law designates another Person, and all liability of the Trustee and such Paying Agent with respect to such money shall cease.</w:t>
      </w:r>
    </w:p>
    <w:p>
      <w:pPr>
        <w:pStyle w:val="TextBody"/>
        <w:bidi w:val="0"/>
        <w:spacing w:before="0" w:after="0"/>
        <w:ind w:left="0" w:right="0" w:firstLine="144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7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Discharge and Defeasance Prior to Redemption or Maturity</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irrevocably deposits, or causes to be deposited, with the Trustee money or Government Securities sufficient to pay the then outstanding principal of (premium, if any) and accrued but unpaid interest on the Notes to the Redemption Date or Stated Maturity, the Issuer will be discharged from its obligations under the Indenture and the Notes, except in certain circumstances for certain covenants thereof, or will be discharged from certain covenants set forth in the Indenture.</w:t>
      </w:r>
    </w:p>
    <w:p>
      <w:pPr>
        <w:pStyle w:val="TextBody"/>
        <w:bidi w:val="0"/>
        <w:spacing w:before="0" w:after="0"/>
        <w:ind w:left="0" w:right="0" w:firstLine="144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27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8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Amendment; Supplement; Waiver</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Indenture, the Notes, any Guarantee, the ABL Intercreditor Agreement and the Security Documents may be amended or supplemented with the consent of the Holders of at least a majority in aggregate principal amount of the then Outstanding Notes, and any existing Default or Event of Default or compliance with any provision of the Indenture, the Notes, any Guarantee, the ABL Intercreditor Agreement and the other Security Documents may be waived with the consent of the Holders of at least a majority in aggregate principal amount of the then Outstanding Notes. Without notice to or the consent of any Holder, the parties thereto may amend or supplement the Indenture, the Notes or the Guarantees to, among other things, cure any ambiguity, omission, mistake, defect or inconsistency and make any change that does not adversely affect the legal rights under the Indenture of any Holder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27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Restrictive Covenants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certain covenants, including covenants with respect to the following matters: (i) Restricted Payments; (ii) incurrence of Indebtedness and Issuance of Disqualified Stock and Preferred Stock; (iii) Liens; (iv) transactions with Affiliates; (v) dividend and other payment restrictions affecting Restricted Subsidiaries; (vi) guarantees of Indebtedness by Restricted Subsidiaries; (vii) merger and certain transfers of assets; (viii) purchase of Notes upon a Change in Control; and (ix) disposition of proceeds of Asset Sales. Within 120 days after the end of each fiscal year, the Issuer must report to the Trustee on compliance with such limitations.</w:t>
      </w:r>
    </w:p>
    <w:p>
      <w:pPr>
        <w:pStyle w:val="TextBody"/>
        <w:bidi w:val="0"/>
        <w:spacing w:before="0" w:after="0"/>
        <w:ind w:left="0" w:right="0" w:firstLine="1440"/>
        <w:jc w:val="both"/>
        <w:rPr>
          <w:caps w:val="false"/>
          <w:smallCaps w:val="false"/>
        </w:rPr>
      </w:pPr>
      <w:r>
        <w:rPr>
          <w:caps w:val="false"/>
          <w:smallCaps w:val="false"/>
        </w:rPr>
        <w:t> </w:t>
      </w:r>
    </w:p>
    <w:tbl>
      <w:tblPr>
        <w:tblW w:w="1848" w:type="dxa"/>
        <w:jc w:val="left"/>
        <w:tblInd w:w="0" w:type="dxa"/>
        <w:tblLayout w:type="fixed"/>
        <w:tblCellMar>
          <w:top w:w="0" w:type="dxa"/>
          <w:left w:w="0" w:type="dxa"/>
          <w:bottom w:w="0" w:type="dxa"/>
          <w:right w:w="0" w:type="dxa"/>
        </w:tblCellMar>
      </w:tblPr>
      <w:tblGrid>
        <w:gridCol w:w="38"/>
        <w:gridCol w:w="27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Successor Persons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successor Person or other entity assumes all the obligations of its predecessor under the Notes or the Guarantees and the Indenture, the predecessor Person will be released from those obligations.</w:t>
      </w:r>
    </w:p>
    <w:p>
      <w:pPr>
        <w:pStyle w:val="TextBody"/>
        <w:bidi w:val="0"/>
        <w:spacing w:before="0" w:after="0"/>
        <w:ind w:left="0" w:right="0" w:firstLine="144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75"/>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Remedies for Events of Default</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as defined in the Indenture, occurs and is continuing, the Trustee by notice to the Issuer or the Holders of at least 30% in aggregate principal amount of the then Outstanding Notes may declare the principal, premium, if any, interest and any other monetary obligations on all the then Outstanding Notes to be due and payable immediately by a notice in writing to the Issuer and the Trustee. Subject to the provisions of the Indenture relating to the duties of the Trustee, in case an Event of Default occurs and is continuing, the Trustee shall be under no obligation to exercise any rights or powers under the Indenture at the request or direction of any of the Holders unless such Holders have offered indemnity or security against any loss, liability or expense satisfactory to the Trustee. Subject to certain restrictions, the Holders of a majority in principal amount of the Outstanding Notes are given the right to direct the time, method and place of conducting any proceeding for any remedy available to the Trustee or of exercising any trust or power conferred on the Trustee. The Trustee, however, may refuse to follow any direction that conflicts with law or the Indenture or that the Trustee determines is unduly prejudicial to the rights of any other Holder of a Note or that would involve the Trustee in personal liability.</w:t>
      </w:r>
    </w:p>
    <w:p>
      <w:pPr>
        <w:pStyle w:val="TextBody"/>
        <w:bidi w:val="0"/>
        <w:spacing w:before="0" w:after="0"/>
        <w:ind w:left="0" w:right="0" w:firstLine="144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275"/>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Guarantees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Issuer’s obligations under the Notes are fully, irrevocably and unconditionally guaranteed on a senior secured basis, to the extent set forth in the Indenture, by each of the Guarantors.</w:t>
      </w:r>
    </w:p>
    <w:p>
      <w:pPr>
        <w:pStyle w:val="TextBody"/>
        <w:bidi w:val="0"/>
        <w:spacing w:before="0" w:after="0"/>
        <w:ind w:left="0" w:right="0" w:firstLine="144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75"/>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Trustee Dealings with Issuer</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under the Indenture, in its individual or any other capacity, may become the owner or pledgee of Notes and may make loans to, accept deposits from, perform services for, and otherwise deal with, the Issuer and its Affiliates as if it were not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7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Authentication</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until the Trustee manually signs the certificate of authentication on the other side of this Note.</w:t>
      </w:r>
    </w:p>
    <w:p>
      <w:pPr>
        <w:pStyle w:val="TextBody"/>
        <w:bidi w:val="0"/>
        <w:spacing w:before="0" w:after="0"/>
        <w:ind w:left="0" w:right="0" w:firstLine="1440"/>
        <w:jc w:val="both"/>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7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1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Abbreviations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pStyle w:val="TextBody"/>
        <w:bidi w:val="0"/>
        <w:spacing w:before="0" w:after="0"/>
        <w:ind w:left="0" w:right="0" w:firstLine="144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75"/>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CUSIP or ISIN Numbers</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recommendation promulgated by the Committee on Uniform Security Identification Procedures, the Issuer has caused CUSIP or ISIN numbers to be printed on the Notes and the Trustee may use CUSIP or ISIN numbers in notices as a convenience to Holders. No representation is made as to the accuracy of such numbers either as printed on the Notes or as contained in any notice and reliance may be placed only on the other identification numbers placed thereon.</w:t>
      </w:r>
    </w:p>
    <w:p>
      <w:pPr>
        <w:pStyle w:val="TextBody"/>
        <w:bidi w:val="0"/>
        <w:spacing w:before="0" w:after="0"/>
        <w:ind w:left="0" w:right="0" w:firstLine="144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Governing Law</w:t>
            </w:r>
            <w:r>
              <w:rPr>
                <w:rFonts w:ascii="Times New Roman;Times;Serif" w:hAnsi="Times New Roman;Times;Serif"/>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SHALL BE GOVERNED BY, AND CONSTRUED IN ACCORDANCE WITH, THE LAWS OF THE STATE OF NEW YORK. THE ISSUER AGREES TO SUBMIT TO THE JURISDICTION OF ANY UNITED STATES FEDERAL OR STATE COURT LOCATED IN THE BOROUGH OF MANHATTAN, IN THE CITY OF NEW YORK IN ANY ACTION OR PROCEEDING ARISING OUT OF OR RELATING TO THIS NOTE OR THE INDENTURE.</w:t>
      </w:r>
    </w:p>
    <w:p>
      <w:pPr>
        <w:pStyle w:val="TextBody"/>
        <w:bidi w:val="0"/>
        <w:spacing w:before="0" w:after="0"/>
        <w:ind w:left="0" w:right="0" w:firstLine="1440"/>
        <w:jc w:val="both"/>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75"/>
        <w:gridCol w:w="7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Security</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related guarantees shall be secured by the Collateral on the terms and subject to the conditions set forth in the Indenture, the Intercreditor Agreements and the Security Documents. Reference is made to the Indenture and the Security Documents for terms relating to such security, including the release, termination and discharge thereof. Enforcement of the Security Documents is subject to the Intercreditor Agreements and the Security Documents. The Issuer shall not be required to make any notation on this Note to reflect any grant of such security or any such release, termination or discharge.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will furnish to any Holder upon written request and without charge a copy of the Indenture. Requests may be made to Academy, Ltd., 1800 North Mason Road, Katy, Texas 77449, Attention: Chief Legal Officer.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but not defined herein shall have the meanings given to such terms in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 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___________________ agent to transfer this Note on the books of the Issuer. The agent may substitute another to act for him.</w:t>
      </w:r>
    </w:p>
    <w:p>
      <w:pPr>
        <w:pStyle w:val="TextBody"/>
        <w:bidi w:val="0"/>
        <w:spacing w:before="0" w:after="0"/>
        <w:jc w:val="left"/>
        <w:rPr>
          <w:caps w:val="false"/>
          <w:smallCaps w:val="false"/>
        </w:rPr>
      </w:pPr>
      <w:r>
        <w:rPr>
          <w:caps w:val="false"/>
          <w:smallCaps w:val="false"/>
        </w:rPr>
        <w:t> </w:t>
      </w:r>
    </w:p>
    <w:p>
      <w:pPr>
        <w:pStyle w:val="TextBody"/>
        <w:bidi w:val="0"/>
        <w:spacing w:before="60" w:after="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470"/>
        <w:gridCol w:w="60"/>
        <w:gridCol w:w="60"/>
        <w:gridCol w:w="1775"/>
        <w:gridCol w:w="75"/>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xml:space="preserve">Your Signature: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Note.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any of the Notes evidenced by this certificate occurring prior to the date that is one year after the later of the date of original issuance of such Notes and the last date, if any, on which such Notes were owned by the Issuer or any “Affiliate” of the Issuer within the meaning of the Securities Act of 1933, as amended (the “Securities Act”), the undersigned confirms that such Notes are being transferred in accordance with its terms: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BOX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 the Issuer; or</w:t>
      </w:r>
    </w:p>
    <w:p>
      <w:pPr>
        <w:pStyle w:val="TextBody"/>
        <w:bidi w:val="0"/>
        <w:spacing w:before="0" w:after="0"/>
        <w:jc w:val="left"/>
        <w:rPr>
          <w:caps w:val="false"/>
          <w:smallCaps w:val="false"/>
        </w:rPr>
      </w:pPr>
      <w:r>
        <w:rPr>
          <w:caps w:val="false"/>
          <w:smallCaps w:val="false"/>
        </w:rPr>
        <w:t> </w:t>
      </w:r>
    </w:p>
    <w:tbl>
      <w:tblPr>
        <w:tblW w:w="7448" w:type="dxa"/>
        <w:jc w:val="left"/>
        <w:tblInd w:w="0" w:type="dxa"/>
        <w:tblLayout w:type="fixed"/>
        <w:tblCellMar>
          <w:top w:w="0" w:type="dxa"/>
          <w:left w:w="0" w:type="dxa"/>
          <w:bottom w:w="0" w:type="dxa"/>
          <w:right w:w="0" w:type="dxa"/>
        </w:tblCellMar>
      </w:tblPr>
      <w:tblGrid>
        <w:gridCol w:w="38"/>
        <w:gridCol w:w="245"/>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9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pursuant to an effective registration statement under the Securities Act;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230"/>
        <w:gridCol w:w="973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7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inside the United States to a “qualified institutional buyer” (as defined in Rule 144A under the Securities Act) that purchases for its own account or for the account of a qualified institutional buyer to whom notice is given that such transfer is being made in reliance on Rule 144A, in each case pursuant to and in compliance with Rule 144A under the Securities Act;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264"/>
        <w:gridCol w:w="9684"/>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64"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6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outside the United States in an offshore transaction within the meaning of Regulation S under the Securities Act in compliance with Rule 904 under the Securities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one of the boxes is checked, the Trustee will refuse to register any of the Notes evidenced by this certificate in the name of any person other than the registered holder thereof.</w:t>
      </w:r>
    </w:p>
    <w:p>
      <w:pPr>
        <w:pStyle w:val="TextBody"/>
        <w:bidi w:val="0"/>
        <w:spacing w:before="0" w:after="0"/>
        <w:jc w:val="left"/>
        <w:rPr>
          <w:caps w:val="false"/>
          <w:smallCaps w:val="false"/>
        </w:rPr>
      </w:pPr>
      <w:r>
        <w:rPr>
          <w:caps w:val="false"/>
          <w:smallCaps w:val="false"/>
        </w:rPr>
        <w:t> </w:t>
      </w:r>
    </w:p>
    <w:tbl>
      <w:tblPr>
        <w:tblW w:w="3475" w:type="dxa"/>
        <w:jc w:val="left"/>
        <w:tblInd w:w="0" w:type="dxa"/>
        <w:tblLayout w:type="fixed"/>
        <w:tblCellMar>
          <w:top w:w="0" w:type="dxa"/>
          <w:left w:w="0" w:type="dxa"/>
          <w:bottom w:w="28" w:type="dxa"/>
          <w:right w:w="0" w:type="dxa"/>
        </w:tblCellMar>
      </w:tblPr>
      <w:tblGrid>
        <w:gridCol w:w="2480"/>
        <w:gridCol w:w="60"/>
        <w:gridCol w:w="935"/>
      </w:tblGrid>
      <w:tr>
        <w:trPr/>
        <w:tc>
          <w:tcPr>
            <w:tcW w:w="248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24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24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248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8" w:space="0" w:color="000000"/>
            </w:tcBorders>
            <w:vAlign w:val="center"/>
          </w:tcPr>
          <w:p>
            <w:pPr>
              <w:pStyle w:val="TableContents"/>
              <w:bidi w:val="0"/>
              <w:spacing w:before="0" w:after="283"/>
              <w:jc w:val="left"/>
              <w:rPr/>
            </w:pPr>
            <w:r>
              <w:rPr/>
              <w:t> </w:t>
            </w:r>
          </w:p>
        </w:tc>
      </w:tr>
      <w:tr>
        <w:trPr/>
        <w:tc>
          <w:tcPr>
            <w:tcW w:w="24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r>
      <w:tr>
        <w:trPr/>
        <w:tc>
          <w:tcPr>
            <w:tcW w:w="2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Signature must be guaranteed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Note Registrar, which requirements include membership or participation in the Security Transfer Agent Medallion Program (“STAMP”) or such other “signature guarantee program” as may be determined by the Note Registrar in addition to, or in substitution for, STAMP, all in accordance with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COMPLETED BY PURCHASER IF (2) ABOVE IS CHECKED.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pStyle w:val="TextBody"/>
        <w:bidi w:val="0"/>
        <w:spacing w:before="0" w:after="0"/>
        <w:ind w:left="0" w:right="0" w:firstLine="144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65"/>
        <w:gridCol w:w="60"/>
        <w:gridCol w:w="60"/>
        <w:gridCol w:w="3875"/>
      </w:tblGrid>
      <w:tr>
        <w:trPr/>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be executed by an executive officer</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 TO GLOBAL NOTES]</w:t>
        <w:br/>
        <w:br/>
        <w:t>SCHEDULE OF INCREASES OR DECREASES IN GLOBAL NOTE</w:t>
        <w:br/>
        <w:t>The initial principal amount of this Global Note is $</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 The following increases or decreases in this Global Note have been made:</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47"/>
        <w:gridCol w:w="60"/>
        <w:gridCol w:w="2087"/>
        <w:gridCol w:w="60"/>
        <w:gridCol w:w="2078"/>
        <w:gridCol w:w="60"/>
        <w:gridCol w:w="2465"/>
        <w:gridCol w:w="60"/>
        <w:gridCol w:w="2288"/>
      </w:tblGrid>
      <w:tr>
        <w:trPr/>
        <w:tc>
          <w:tcPr>
            <w:tcW w:w="1047"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60" w:type="dxa"/>
            <w:tcBorders/>
            <w:tcMar>
              <w:bottom w:w="0" w:type="dxa"/>
            </w:tcMar>
            <w:vAlign w:val="center"/>
          </w:tcPr>
          <w:p>
            <w:pPr>
              <w:pStyle w:val="TableContents"/>
              <w:bidi w:val="0"/>
              <w:spacing w:before="0" w:after="283"/>
              <w:jc w:val="left"/>
              <w:rPr/>
            </w:pPr>
            <w:r>
              <w:rPr/>
              <w:t> </w:t>
            </w:r>
          </w:p>
        </w:tc>
        <w:tc>
          <w:tcPr>
            <w:tcW w:w="2087" w:type="dxa"/>
            <w:tcBorders>
              <w:bottom w:val="single" w:sz="8" w:space="0" w:color="000000"/>
            </w:tcBorders>
            <w:vAlign w:val="center"/>
          </w:tcPr>
          <w:p>
            <w:pPr>
              <w:pStyle w:val="TableContents"/>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decrease in Principal amount of this Global Note </w:t>
            </w:r>
          </w:p>
        </w:tc>
        <w:tc>
          <w:tcPr>
            <w:tcW w:w="60" w:type="dxa"/>
            <w:tcBorders/>
            <w:tcMar>
              <w:bottom w:w="0" w:type="dxa"/>
            </w:tcMar>
            <w:vAlign w:val="center"/>
          </w:tcPr>
          <w:p>
            <w:pPr>
              <w:pStyle w:val="TableContents"/>
              <w:bidi w:val="0"/>
              <w:spacing w:before="0" w:after="283"/>
              <w:jc w:val="left"/>
              <w:rPr/>
            </w:pPr>
            <w:r>
              <w:rPr/>
              <w:t> </w:t>
            </w:r>
          </w:p>
        </w:tc>
        <w:tc>
          <w:tcPr>
            <w:tcW w:w="2078" w:type="dxa"/>
            <w:tcBorders>
              <w:bottom w:val="single" w:sz="8" w:space="0" w:color="000000"/>
            </w:tcBorders>
            <w:vAlign w:val="center"/>
          </w:tcPr>
          <w:p>
            <w:pPr>
              <w:pStyle w:val="TableContents"/>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increase in Principal amount of this Global Note </w:t>
            </w:r>
          </w:p>
        </w:tc>
        <w:tc>
          <w:tcPr>
            <w:tcW w:w="60" w:type="dxa"/>
            <w:tcBorders/>
            <w:tcMar>
              <w:bottom w:w="0" w:type="dxa"/>
            </w:tcMar>
            <w:vAlign w:val="center"/>
          </w:tcPr>
          <w:p>
            <w:pPr>
              <w:pStyle w:val="TableContents"/>
              <w:bidi w:val="0"/>
              <w:spacing w:before="0" w:after="283"/>
              <w:jc w:val="left"/>
              <w:rPr/>
            </w:pPr>
            <w:r>
              <w:rPr/>
              <w:t> </w:t>
            </w:r>
          </w:p>
        </w:tc>
        <w:tc>
          <w:tcPr>
            <w:tcW w:w="2465" w:type="dxa"/>
            <w:tcBorders>
              <w:bottom w:val="single" w:sz="8" w:space="0" w:color="000000"/>
            </w:tcBorders>
            <w:vAlign w:val="center"/>
          </w:tcPr>
          <w:p>
            <w:pPr>
              <w:pStyle w:val="TableContents"/>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this Global Note following such decrease or increase </w:t>
            </w:r>
          </w:p>
        </w:tc>
        <w:tc>
          <w:tcPr>
            <w:tcW w:w="60" w:type="dxa"/>
            <w:tcBorders/>
            <w:tcMar>
              <w:bottom w:w="0" w:type="dxa"/>
            </w:tcMar>
            <w:vAlign w:val="center"/>
          </w:tcPr>
          <w:p>
            <w:pPr>
              <w:pStyle w:val="TableContents"/>
              <w:bidi w:val="0"/>
              <w:spacing w:before="0" w:after="283"/>
              <w:jc w:val="left"/>
              <w:rPr/>
            </w:pPr>
            <w:r>
              <w:rPr/>
              <w:t> </w:t>
            </w:r>
          </w:p>
        </w:tc>
        <w:tc>
          <w:tcPr>
            <w:tcW w:w="2288" w:type="dxa"/>
            <w:tcBorders>
              <w:bottom w:val="single" w:sz="8" w:space="0" w:color="000000"/>
            </w:tcBorders>
            <w:vAlign w:val="center"/>
          </w:tcPr>
          <w:p>
            <w:pPr>
              <w:pStyle w:val="TableContents"/>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Trustee or Notes Custodian</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OF HOLDER TO ELECT PURCHASE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this Note purchased by the Issuer pursuant to Section 10.16 or 10.17 of the Indenture, check the box: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you want to elect to have only part of this Note purchased by the Issuer pursuant to Section 10.16 or 10.17 of the Indenture, state the amount in principal amount: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 or integral multiples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unpurchased portion of a Note must be in a minimum principal amount of $2,000)</w:t>
      </w:r>
    </w:p>
    <w:p>
      <w:pPr>
        <w:pStyle w:val="TextBody"/>
        <w:bidi w:val="0"/>
        <w:spacing w:before="0" w:after="0"/>
        <w:ind w:left="0" w:right="0" w:hanging="0"/>
        <w:jc w:val="both"/>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470"/>
        <w:gridCol w:w="60"/>
        <w:gridCol w:w="60"/>
        <w:gridCol w:w="1535"/>
        <w:gridCol w:w="6245"/>
      </w:tblGrid>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Your Signature:</w:t>
            </w:r>
          </w:p>
        </w:tc>
        <w:tc>
          <w:tcPr>
            <w:tcW w:w="62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 exactly as your name appears on the other side of this Note)</w:t>
            </w:r>
          </w:p>
        </w:tc>
      </w:tr>
    </w:tbl>
    <w:p>
      <w:pPr>
        <w:pStyle w:val="TextBody"/>
        <w:bidi w:val="0"/>
        <w:spacing w:before="0" w:after="0"/>
        <w:ind w:left="5040" w:right="0" w:hanging="504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2090"/>
        <w:gridCol w:w="2555"/>
      </w:tblGrid>
      <w:tr>
        <w:trPr/>
        <w:tc>
          <w:tcPr>
            <w:tcW w:w="20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Signature Guarantee: </w:t>
            </w:r>
          </w:p>
        </w:tc>
        <w:tc>
          <w:tcPr>
            <w:tcW w:w="25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 must be guaranteed)</w:t>
            </w:r>
          </w:p>
        </w:tc>
      </w:tr>
    </w:tbl>
    <w:p>
      <w:pPr>
        <w:pStyle w:val="TextBody"/>
        <w:bidi w:val="0"/>
        <w:spacing w:before="0" w:after="0"/>
        <w:ind w:left="5040" w:right="0" w:hanging="50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meeting the requirements of the Note Registrar, which requirements include membership or participation in the Security Transfer Agent Medallion Program (“STAMP”) or such other “signature guarantee program” as may be determined by the Note Registrar in addition to, or in substitution for, STAMP, all in accordance with the Securities Exchange Act of 1934,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right"/>
        <w:rPr>
          <w:caps w:val="false"/>
          <w:smallCaps w:val="false"/>
        </w:rPr>
      </w:pPr>
      <w:r>
        <w:rPr>
          <w:caps w:val="false"/>
          <w:smallCaps w:val="false"/>
        </w:rPr>
        <w:t> </w:t>
      </w:r>
    </w:p>
    <w:p>
      <w:pPr>
        <w:pStyle w:val="TextBody"/>
        <w:bidi w:val="0"/>
        <w:spacing w:before="0" w:after="0"/>
        <w:ind w:left="0" w:right="0" w:firstLine="14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firstLine="144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w:t>
        <w:br/>
        <w:t>TO BE DELIVERED BY SUBSEQUENT GUARANTORS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(this “Supplemental Indenture”), dated as of ________________, 20__, by __________________ (the “Guaranteeing Subsidiary”), a subsidiary of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heretofore executed and delivered to U.S. Bank Trust Company, National Association, as trustee under the Indenture referred to below (the “Trustee”) an indenture (the “Indenture”), dated as of May 14, 2026, providing for the issuance of 5.875% Senior Secured Notes due 2031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“Guarantee”);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Guaranteeing Subsidiary and the Trustee mutually covenant and agree for the equal and ratable benefit of the Holders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CAPITALIZED TERMS. Capitalized terms used herein without definition shall have the meanings assigned to them in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AGREEMENT TO GUARANTEE. The Guaranteeing Subsidiary hereby agrees to provide an unconditional Guarantee on the terms and subject to the conditions set forth in the Indenture including but not limited to Article Twelve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RECOURSE AGAINST OTHERS. No past, present or future director, officer, employee, incorporator, stockholder or agent of the Guaranteeing Subsidiary, as such, shall have any liability for any obligations of the Issuer or any Guaranteeing Subsidiary under the Notes, any Guarantees, the ABL Intercreditor Agreement, any Security Document,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GOVERNING LAW. THIS SUPPLEMENTAL INDENTURE SHALL BE GOVERNED BY AND CONSTRUED IN ACCORDANCE WITH THE LAWS OF THE STATE OF NEW YORK. THE PARTIES HERETO AGREE TO SUBMIT TO THE JURISDICTION OF ANY UNITED STATES FEDERAL OR STATE COURT LOCATED IN THE BOROUGH OF MANHATTAN, IN THE CITY OF NEW YORK IN ANY ACTION OR PROCEEDING ARISING OUT OF OR RELATING TO THIS SUPPLEMENTAL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COUNTERPARTS. The parties may sign any number of copies of this Supplemental Indenture. Each signed copy shall be an original, but all of them together represent the same agreement. The exchange of copies of the Supplemental Indenture and of signature pages by facsimile or PDF transmission shall constitute effective execution and delivery of the Supplemental Indenture as to the parties hereto and may be used in lieu of the original Supplemental Indenture for all purposes. Signatures of the parties hereto transmitted by facsimile or PDF shall be deemed to be their original signatures for all purposes. The words “execution,” “signed,” “signature,” “delivery,” and words of like import in or relating to this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Counterparts may be delivered via facsimile, electronic mail (including any electronic signature covered by the Electronic Signatures in Global and National Commerce Act of 2000, Uniform Electronic Transactions Act, the Electronic Signatures and Records Act or other applicable law (e.g., www.docusign.com)) or other transmission method and any counterpart so delivered shall be deemed to have been duly and validly delivered and be legally valid, effective and enforceable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EFFECT OF HEADINGS. The Section headings herein are for convenience or reference only and are not intended to be considered a part hereof and shall not affect the construction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The Trustee shall not be responsible in any manner whatsoever for or in respect of the validity or sufficiency of this Supplemental Indenture or for or in respect of the recitals contained herein, all of which recitals are made solely by the Guaranteeing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[party][parties] hereto [has][have] caused this Supplemental Indenture to be duly executed, all as of the date first above written.</w:t>
      </w:r>
    </w:p>
    <w:p>
      <w:pPr>
        <w:pStyle w:val="TextBody"/>
        <w:bidi w:val="0"/>
        <w:spacing w:before="0" w:after="0"/>
        <w:ind w:left="432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1000"/>
        <w:gridCol w:w="1869"/>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[GUARANTEEING SUBSIDIARY],</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tcBorders/>
            <w:vAlign w:val="center"/>
          </w:tcPr>
          <w:p>
            <w:pPr>
              <w:pStyle w:val="TableContents"/>
              <w:bidi w:val="0"/>
              <w:spacing w:before="0" w:after="283"/>
              <w:jc w:val="left"/>
              <w:rPr>
                <w:caps w:val="false"/>
                <w:smallCaps w:val="false"/>
              </w:rPr>
            </w:pPr>
            <w:r>
              <w:rPr>
                <w:caps w:val="false"/>
                <w:smallCaps w:val="false"/>
              </w:rPr>
              <w:t> </w:t>
            </w:r>
          </w:p>
        </w:tc>
        <w:tc>
          <w:tcPr>
            <w:tcW w:w="186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tcBorders/>
            <w:vAlign w:val="center"/>
          </w:tcPr>
          <w:p>
            <w:pPr>
              <w:pStyle w:val="TableContents"/>
              <w:bidi w:val="0"/>
              <w:spacing w:before="0" w:after="283"/>
              <w:jc w:val="left"/>
              <w:rPr>
                <w:caps w:val="false"/>
                <w:smallCaps w:val="false"/>
              </w:rPr>
            </w:pPr>
            <w:r>
              <w:rPr>
                <w:caps w:val="false"/>
                <w:smallCaps w:val="false"/>
              </w:rPr>
              <w:t> </w:t>
            </w:r>
          </w:p>
        </w:tc>
        <w:tc>
          <w:tcPr>
            <w:tcW w:w="1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00" w:type="dxa"/>
            <w:tcBorders/>
            <w:vAlign w:val="center"/>
          </w:tcPr>
          <w:p>
            <w:pPr>
              <w:pStyle w:val="TableContents"/>
              <w:bidi w:val="0"/>
              <w:spacing w:before="0" w:after="283"/>
              <w:jc w:val="left"/>
              <w:rPr>
                <w:caps w:val="false"/>
                <w:smallCaps w:val="false"/>
              </w:rPr>
            </w:pPr>
            <w:r>
              <w:rPr>
                <w:caps w:val="false"/>
                <w:smallCaps w:val="false"/>
              </w:rPr>
              <w:t> </w:t>
            </w:r>
          </w:p>
        </w:tc>
        <w:tc>
          <w:tcPr>
            <w:tcW w:w="18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right"/>
        <w:rPr>
          <w:caps w:val="false"/>
          <w:smallCaps w:val="false"/>
        </w:rPr>
      </w:pPr>
      <w:r>
        <w:rPr>
          <w:caps w:val="false"/>
          <w:smallCaps w:val="false"/>
        </w:rPr>
        <w:t> </w:t>
      </w:r>
    </w:p>
    <w:p>
      <w:pPr>
        <w:pStyle w:val="TextBody"/>
        <w:bidi w:val="0"/>
        <w:spacing w:before="0" w:after="0"/>
        <w:ind w:left="0" w:right="0" w:firstLine="14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firstLine="144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INCUMBENCY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____________, being the ____________ of ____________ (the “Issuer”) does hereby certify that the individuals listed below are qualified and acting officers of the Issuer as set forth in the right column opposite their respective names and the signatures appearing in the extreme right column opposite the name of each such officer is a true specimen of the genuine signature of such officer and such individuals have the authority to execute documents to be delivered to, or upon the request of, U.S. Bank Trust Company, National Association, as Trustee under the Indenture, dated as of May 14, 2026, by and among the Issuer, the Guarantors party thereto and U.S. Bank Trust Company, National Association as Trustee and as Notes Collateral Agent.</w:t>
      </w:r>
    </w:p>
    <w:p>
      <w:pPr>
        <w:pStyle w:val="TextBody"/>
        <w:bidi w:val="0"/>
        <w:spacing w:before="0" w:after="0"/>
        <w:ind w:left="0" w:right="0" w:firstLine="1440"/>
        <w:jc w:val="both"/>
        <w:rPr>
          <w:caps w:val="false"/>
          <w:smallCaps w:val="false"/>
        </w:rPr>
      </w:pPr>
      <w:r>
        <w:rPr>
          <w:caps w:val="false"/>
          <w:smallCaps w:val="false"/>
        </w:rPr>
        <w:t> </w:t>
      </w:r>
    </w:p>
    <w:tbl>
      <w:tblPr>
        <w:tblW w:w="1994" w:type="dxa"/>
        <w:jc w:val="left"/>
        <w:tblInd w:w="0" w:type="dxa"/>
        <w:tblLayout w:type="fixed"/>
        <w:tblCellMar>
          <w:top w:w="0" w:type="dxa"/>
          <w:left w:w="0" w:type="dxa"/>
          <w:bottom w:w="0" w:type="dxa"/>
          <w:right w:w="0" w:type="dxa"/>
        </w:tblCellMar>
      </w:tblPr>
      <w:tblGrid>
        <w:gridCol w:w="277"/>
        <w:gridCol w:w="223"/>
        <w:gridCol w:w="60"/>
        <w:gridCol w:w="257"/>
        <w:gridCol w:w="257"/>
        <w:gridCol w:w="60"/>
        <w:gridCol w:w="382"/>
        <w:gridCol w:w="478"/>
      </w:tblGrid>
      <w:tr>
        <w:trPr/>
        <w:tc>
          <w:tcPr>
            <w:tcW w:w="500" w:type="dxa"/>
            <w:gridSpan w:val="2"/>
            <w:tcBorders/>
            <w:vAlign w:val="center"/>
          </w:tcPr>
          <w:p>
            <w:pPr>
              <w:pStyle w:val="TableContents"/>
              <w:pBdr>
                <w:bottom w:val="single" w:sz="4"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514" w:type="dxa"/>
            <w:gridSpan w:val="2"/>
            <w:tcBorders/>
            <w:vAlign w:val="center"/>
          </w:tcPr>
          <w:p>
            <w:pPr>
              <w:pStyle w:val="TableContents"/>
              <w:pBdr>
                <w:bottom w:val="single" w:sz="4"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pBdr>
                <w:bottom w:val="single" w:sz="4" w:space="1" w:color="000000"/>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w:t>
            </w:r>
          </w:p>
        </w:tc>
      </w:tr>
      <w:tr>
        <w:trPr/>
        <w:tc>
          <w:tcPr>
            <w:tcW w:w="2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pPr>
            <w:r>
              <w:rPr/>
              <w:t> </w:t>
            </w:r>
          </w:p>
        </w:tc>
      </w:tr>
      <w:tr>
        <w:trPr/>
        <w:tc>
          <w:tcPr>
            <w:tcW w:w="2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pPr>
            <w:r>
              <w:rPr/>
              <w:t> </w:t>
            </w:r>
          </w:p>
        </w:tc>
      </w:tr>
      <w:tr>
        <w:trPr/>
        <w:tc>
          <w:tcPr>
            <w:tcW w:w="27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8"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duly executed and delivered this Certificate as of the ____ day of ________, 20__.</w:t>
      </w:r>
    </w:p>
    <w:p>
      <w:pPr>
        <w:pStyle w:val="TextBody"/>
        <w:bidi w:val="0"/>
        <w:spacing w:before="0" w:after="0"/>
        <w:ind w:left="0" w:right="0" w:firstLine="1440"/>
        <w:jc w:val="both"/>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665"/>
      </w:tblGrid>
      <w:tr>
        <w:trPr/>
        <w:tc>
          <w:tcPr>
            <w:tcW w:w="75"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r>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p>
      <w:pPr>
        <w:pStyle w:val="HorizontalLine"/>
        <w:pBdr>
          <w:bottom w:val="single" w:sz="12" w:space="0" w:color="808080"/>
        </w:pBdr>
        <w:bidi w:val="0"/>
        <w:spacing w:before="200" w:after="200"/>
        <w:jc w:val="center"/>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rPr>
      </w:pPr>
      <w:r>
        <w:rPr>
          <w:caps/>
        </w:rPr>
        <w:t> </w:t>
      </w:r>
    </w:p>
    <w:p>
      <w:pPr>
        <w:pStyle w:val="TextBody"/>
        <w:bidi w:val="0"/>
        <w:spacing w:before="0" w:after="0"/>
        <w:jc w:val="right"/>
        <w:rPr>
          <w:rFonts w:ascii="Times New Roman;Times;Serif" w:hAnsi="Times New Roman;Times;Serif"/>
          <w:b/>
          <w:i w:val="false"/>
          <w:caps/>
          <w:sz w:val="20"/>
        </w:rPr>
      </w:pPr>
      <w:r>
        <w:rPr>
          <w:rFonts w:ascii="Times New Roman;Times;Serif" w:hAnsi="Times New Roman;Times;Serif"/>
          <w:b/>
          <w:i w:val="false"/>
          <w:caps/>
          <w:sz w:val="20"/>
        </w:rPr>
        <w:t>Exhibit C</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 xml:space="preserve">Form of Net Short Representation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w:t>
      </w:r>
      <w:r>
        <w:rPr>
          <w:rFonts w:ascii="Times New Roman;Times;Serif" w:hAnsi="Times New Roman;Times;Serif"/>
          <w:b w:val="false"/>
          <w:i w:val="false"/>
          <w:caps w:val="false"/>
          <w:smallCaps w:val="false"/>
          <w:sz w:val="20"/>
          <w:u w:val="single"/>
        </w:rPr>
        <w:t>____________</w:t>
      </w:r>
      <w:r>
        <w:rPr>
          <w:rFonts w:ascii="Times New Roman;Times;Serif" w:hAnsi="Times New Roman;Times;Serif"/>
          <w:b w:val="false"/>
          <w:i w:val="false"/>
          <w:caps w:val="false"/>
          <w:smallCaps w:val="false"/>
          <w:sz w:val="20"/>
        </w:rPr>
        <w:t>, and U.S. Bank Trust Company, National Association, as trustee (the “Trustee”) have heretofore executed an indenture, dated as of May 14, 2026 (as amended, supplemented or otherwise modified, the “Indenture”), providing for the issuance of the Issuer’s 5.875% Senior Secured Notes due 2031 (the “Notes”). All terms used herein and not otherwise defined shall have the meaning ascribed to such term under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constitutes a Position Representation in connection with a Noteholder Direction delivered pursuant to Section 6.02 of the Indenture, whereby the undersigned as Directing Holder, represents to each of the Issuer and the Trustee that [it is] [its beneficial owners are] not Net Short.</w:t>
      </w:r>
    </w:p>
    <w:p>
      <w:pPr>
        <w:pStyle w:val="TextBody"/>
        <w:bidi w:val="0"/>
        <w:spacing w:before="0" w:after="0"/>
        <w:ind w:left="0" w:right="0" w:firstLine="144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365"/>
        <w:gridCol w:w="128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[Holder]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rPr>
      </w:pPr>
      <w:r>
        <w:rPr>
          <w:rFonts w:ascii="Times New Roman;Times;Serif" w:hAnsi="Times New Roman;Times;Serif"/>
        </w:rPr>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C-1</w:t>
      </w:r>
    </w:p>
    <w:p>
      <w:pPr>
        <w:pStyle w:val="HorizontalLine"/>
        <w:pBdr>
          <w:bottom w:val="single" w:sz="12" w:space="0" w:color="808080"/>
        </w:pBdr>
        <w:bidi w:val="0"/>
        <w:jc w:val="left"/>
        <w:rPr/>
      </w:pPr>
      <w:r>
        <w:rPr/>
      </w:r>
    </w:p>
    <w:p>
      <w:pPr>
        <w:pStyle w:val="TextBody"/>
        <w:bidi w:val="0"/>
        <w:jc w:val="left"/>
        <w:rPr>
          <w:caps w:val="false"/>
          <w:smallCaps w:val="false"/>
          <w:bdr w:val="single" w:sz="32" w:space="1" w:color="000000"/>
        </w:rPr>
      </w:pPr>
      <w:bookmarkStart w:id="3" w:name="ef20073235_ex10-1.htm"/>
      <w:bookmarkStart w:id="4" w:name="ksef20073235_ex101"/>
      <w:bookmarkEnd w:id="3"/>
      <w:bookmarkEnd w:id="4"/>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NO.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5 TO FIRST AMENDED AND RESTATED ABL CREDIT AGREEMENT, dated as of May 14,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is entered into among </w:t>
      </w:r>
      <w:r>
        <w:rPr>
          <w:rFonts w:ascii="Times New Roman;Times;Serif" w:hAnsi="Times New Roman;Times;Serif"/>
          <w:b/>
          <w:i w:val="false"/>
          <w:caps/>
          <w:sz w:val="20"/>
        </w:rPr>
        <w:t>Academy, Ltd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 Texas limited partnership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other Credit Parties party hereto, the lenders party hereto (including in their respective capacities as letter of credit issuers,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JP</w:t>
      </w:r>
      <w:r>
        <w:rPr>
          <w:rFonts w:ascii="Times New Roman;Times;Serif" w:hAnsi="Times New Roman;Times;Serif"/>
          <w:b/>
          <w:i w:val="false"/>
          <w:caps/>
          <w:sz w:val="20"/>
        </w:rPr>
        <w:t>Morgan CHASE BANK, N.A</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administrative agent (in such capacity, together with its successors,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swingline lender (the “</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the Guarantors party thereto, the lenders from time to time party thereto, including the Lenders, and JPMorgan Chase Bank, N.A., as Administrative Agent and collateral agent, are party to the First Amended and Restated ABL Credit Agreement, dated as of July 2, 2015 (as further amended, modified, extended, restated, replaced or supplemented from time to time prior to the date hereof,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the Existing Credit Agreement as amended by this Agreement and as may be further amended, modified, extended, restated, amended and restated, replaced or supplemented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Administrative Agent and each of the Lenders have agreed to amend certain provisions of the Credit Agreement as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Capitalized terms used herein but not otherwise defined herein shall have the meanings provided to such terms in the Credit Agreement, as amended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Credit Agreement is hereby amended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bdr w:val="single" w:sz="8" w:space="1" w:color="0000FF"/>
        </w:rPr>
        <w:t>double-underlined text</w:t>
      </w:r>
      <w:r>
        <w:rPr>
          <w:rFonts w:ascii="Times New Roman;Times;Serif" w:hAnsi="Times New Roman;Times;Serif"/>
          <w:b w:val="false"/>
          <w:i w:val="false"/>
          <w:caps w:val="false"/>
          <w:smallCaps w:val="false"/>
          <w:sz w:val="20"/>
        </w:rPr>
        <w:t>) as set forth in the pages attached as Exhibit A hereto;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Schedule 8.13 and Schedule 13.2 to the Credit Agreement (collectively, “</w:t>
      </w:r>
      <w:r>
        <w:rPr>
          <w:rFonts w:ascii="Times New Roman;Times;Serif" w:hAnsi="Times New Roman;Times;Serif"/>
          <w:b w:val="false"/>
          <w:i w:val="false"/>
          <w:caps w:val="false"/>
          <w:smallCaps w:val="false"/>
          <w:sz w:val="20"/>
          <w:u w:val="single"/>
        </w:rPr>
        <w:t>Certain Disclosure Schedules</w:t>
      </w:r>
      <w:r>
        <w:rPr>
          <w:rFonts w:ascii="Times New Roman;Times;Serif" w:hAnsi="Times New Roman;Times;Serif"/>
          <w:b w:val="false"/>
          <w:i w:val="false"/>
          <w:caps w:val="false"/>
          <w:smallCaps w:val="false"/>
          <w:sz w:val="20"/>
        </w:rPr>
        <w:t>”) are hereby amended and restated in their entirety to read as set forth in the pages attached as Exhibit B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Borrower agrees to pay or reimburse the Administrative Agent for all reasonable and documented fees, charges and disbursements of the Administrative Agent in connection with the preparation, execution and delivery of this Agreement, including all reasonable and documented fees, charges and disbursements of counsel to the Administrative Agent (the “</w:t>
      </w:r>
      <w:r>
        <w:rPr>
          <w:rFonts w:ascii="Times New Roman;Times;Serif" w:hAnsi="Times New Roman;Times;Serif"/>
          <w:b w:val="false"/>
          <w:i w:val="false"/>
          <w:caps w:val="false"/>
          <w:smallCaps w:val="false"/>
          <w:sz w:val="20"/>
          <w:u w:val="single"/>
        </w:rPr>
        <w:t>Counsel Fees</w:t>
      </w:r>
      <w:r>
        <w:rPr>
          <w:rFonts w:ascii="Times New Roman;Times;Serif" w:hAnsi="Times New Roman;Times;Serif"/>
          <w:b w:val="false"/>
          <w:i w:val="false"/>
          <w:caps w:val="false"/>
          <w:smallCaps w:val="false"/>
          <w:sz w:val="20"/>
        </w:rPr>
        <w:t>”), in each case, to the extent contemplated by Section 13.5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The effectiveness of this Agreement is subject to the satisfaction, or waiver in accordance with Section 13.1 of the Credit Agreement, of each of the following conditions (the date of the satisfaction or waiver of all such conditions,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(or its counsel) shall have received from the Borrower, either (i) a counterpart of this Agreement signed on behalf of each Credit Party party hereto and each Lender or (ii) written evidence reasonably satisfactory to the Administrative Agent (which may include delivery of a signed signature page of this Agreement by facsimile or other means of electronic transmission (e.g., “pdf”)) that the Borrower, the Lenders and the other Credit Parties party hereto have signed a counterpart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and the Lenders shall have received all fees and other amounts due and payable in connection with this Agreement or any other Credit Document on or prior to the Amendment Effective Date, in each case (other than the Counsel Fees) required to be paid on the Amendment Effective Date and, in the case of the Counsel Fees, to the extent such Counsel Fees are invoiced to the Borrower at least three (3) Business Days prior to the Amendment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(or its counsel) shall have received a certificate of the Secretary or any Assistant Secretary (or other officer with analogous duties) of Holdings, the Borrower and each other Guarantor (or their general partner, as applicable), as applicable, attaching the (i) resolutions of the board of directors or other managing entity of Holdings, the Borrower and the other Guarantors (or a duly authorized committee thereof) authorizing (A) the execution, delivery, and performance of this Agreement (and any agreements relating hereto) to which it is a party and (B) in the case of the Borrower, the extensions of credit contemplated by the Existing Credit Agreement, as amended by this Agreement, (ii) the Certificate of Incorporation and By-Laws, Certificate of Formation and Operating Agreement or other comparable organizational documents, as applicable, of Holdings, the Borrower and the other Guarantors, and (iii) signature and incumbency certificates (or other comparable documents evidencing the same) of the Authorized Officers of Holdings, the Borrower and the other Guarantors (or their general partner, as applicable) executing this Agreement and the other Credit Documents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Administrative Agent shall have received a certificate of an Authorized Officer of the Borrower (or its general partner, as applicable) certifying as to the satisfaction of the conditions contained in </w:t>
      </w:r>
      <w:r>
        <w:rPr>
          <w:rFonts w:ascii="Times New Roman;Times;Serif" w:hAnsi="Times New Roman;Times;Serif"/>
          <w:b w:val="false"/>
          <w:i w:val="false"/>
          <w:caps w:val="false"/>
          <w:smallCaps w:val="false"/>
          <w:sz w:val="20"/>
          <w:u w:val="single"/>
        </w:rPr>
        <w:t>Section 4(h)</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(or its counsel) shall have received an executed legal opinion, in customary form, of Gibson, Dunn &amp; Crutcher LLP, special New York counsel to the Credit Parties. The Borrower hereby instructs and agrees to instruct the other Credit Parties to have such counsel deliver such legal opinions.</w:t>
      </w:r>
    </w:p>
    <w:p>
      <w:pPr>
        <w:pStyle w:val="TextBody"/>
        <w:bidi w:val="0"/>
        <w:spacing w:before="200" w:after="200"/>
        <w:ind w:left="0" w:right="0" w:firstLine="144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Administrative Agent shall have received a Borrowing Base Certificate prepared as of the last day of the most recent month ended at least fifteen (15) Business Days prior to the Amendment Effective Date;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such Borrowing Base Certificate shall have been deemed as delivered with the delivery of the Borrowing Base Certificate provided for the period ending on January 31,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a certificate, dated the Amendment Effective Date, from the Chief Executive Officer, the President, the Chief Financial Officer, the Treasurer, the Vice President-Finance, a Director, a Manager, or any other senior financial officer of the Borrower (or its general partner, as applicable) to the effect that after giving effect to this Agreement and any Credit Event on the Amendment Effective Date, the Borrower on a consolidated basis with the Restricted Subsidiaries is Solvent.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As of the Amendment Effective Date, (i) no Default or Event of Default shall have occurred and be continuing and (ii) all representations and warranties made by any Credit Party contained in the Credit Agreement or in the other Credit Documents shall be true and correct in all material respects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such representations and warranties which are qualified by materiality, material adverse effect or similar language shall be true and correct in all respects) with the same effect as though such representations and warranties had been made on and as of the Amendment Effective Date (except where such representations and warranties expressly relate to an earlier date, in which case such representations and warranties shall have been true and correct in all material respects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such representations and warranties which are qualified by materiality, material adverse effect or similar language shall be true and correct in all respects)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shall have received (i) all documentation and other information that is required by regulatory authorities under applicable “know your customer” and anti-money-laundering rules and regulations, including, without limitation, the Patriot Act and (ii) to the extent the Borrower qualifies as a “legal entity customer” under the Beneficial Ownership Regulation, at least three (3) Business Days prior to the Amendment Effective Date, any Lender that has requested, in a written notice to the Borrower at least ten (10) Business Days prior to the Amendment Effective Date, a Beneficial Ownership Certification in relation to the Borrower shall have received such Beneficial Ownership Certification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upon the execution and delivery by such Lender of its signature page to this Agreement, the condition set forth in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shall be deemed to be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Administrative Agent shall have received as of a recent date prior to the Amendment Effective Date (i) the certificate of good standing of Holdings, the Borrower and each Guarantor of the appropriate agencies for each jurisdiction where such entity is formed or incorporated and (ii) the certificate of account status of the Borrower and each Guarantor formed or incorporated in the State of Texas from the Texas Comptroller of Public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Administrative Agent shall have received evidence, in form and substance reasonably satisfactory to the Administrative Agent, of the repayment in full of all obligations (other than contingent indemnification obligations for which no claim has been made) under the Term Loan Credit Agreement, the termination and release of all guarantees provided by the Borrower and its Subsidiaries thereunder, and the termination and release of all Liens on the assets of the Borrower and its Subsidiaries securing the obligations thereunder.</w:t>
      </w:r>
    </w:p>
    <w:p>
      <w:pPr>
        <w:pStyle w:val="TextBody"/>
        <w:bidi w:val="0"/>
        <w:spacing w:before="200" w:after="200"/>
        <w:ind w:left="0" w:right="0" w:firstLine="144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5.           </w:t>
      </w:r>
      <w:r>
        <w:rPr>
          <w:rFonts w:ascii="Times New Roman;Times;Serif" w:hAnsi="Times New Roman;Times;Serif"/>
          <w:b w:val="false"/>
          <w:i w:val="false"/>
          <w:caps w:val="false"/>
          <w:smallCaps w:val="false"/>
          <w:sz w:val="20"/>
          <w:u w:val="single"/>
          <w:shd w:fill="FFFFFF" w:val="clear"/>
        </w:rPr>
        <w:t>Reaffirmation; Reference to and Effect on the Credit Documents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Amendment Effective Date, each reference in the Credit Agreement to “hereunder,” “hereof,” “this Agreement” or words of like import and each reference in the other Credit Documents to “Credit Agreement,” “thereunder,” “thereof” or words of like import shall, unless the context otherwise requires, mean and be a reference to the Existing Credit Agreement as amended by this Agreement. This Agreement is a Credit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Credit Documents, and the obligations of the Borrower and the Guarantors under the Credit Documents, are hereby ratified and confirmed and shall remain in full force and effect according to their terms. This Agreement is not intended by the parties to be, and shall not be construed to be, a novation of the Credit Agreement or any other Credit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each Guarantor (i) acknowledges and consents to all of the terms and conditions of this Agreement, (ii) affirms all of its obligations under the Credit Documents, (iii) agrees that this Agreement and all documents executed in connection herewith do not operate to reduce or discharge its obligations under the Credit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pursuant to the Security Documents remain and continue in full force and effect in respect of, and to secure,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delivery and effectiveness of this Agreement shall not, except as expressly provided herein, operate as a waiver of any right, power or remedy of any Lender or the Administrative Agent under any of the Credit Documents, nor constitute a waiver of any provision of any of the Credit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of any conflict between the terms of this Agreement and the terms of the Credit Agreement or the other Credit Documents, the terms hereof shall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Governing Law; Jurisdiction; Consent to Service of Process; Waiver of Jury Trial,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construed in accordance with and governed by the law of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EACH PARTY HERETO HEREBY AGREES AS SET FORTH IN SECTIONS 13.13 AND 13.15 OF THE CREDIT AGREEMENT AS IF SUCH SECTIONS WERE SET FORTH IN FULL HEREIN</w:t>
      </w:r>
      <w:r>
        <w:rPr>
          <w:rFonts w:ascii="Times New Roman;Times;Serif" w:hAnsi="Times New Roman;Times;Serif"/>
          <w:b w:val="false"/>
          <w:i w:val="false"/>
          <w:caps w:val="false"/>
          <w:smallCaps w:val="false"/>
          <w:sz w:val="20"/>
        </w:rPr>
        <w:t>.</w:t>
      </w:r>
    </w:p>
    <w:p>
      <w:pPr>
        <w:pStyle w:val="TextBody"/>
        <w:bidi w:val="0"/>
        <w:spacing w:before="200" w:after="200"/>
        <w:ind w:left="0" w:right="0" w:firstLine="144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Amendments; Headings; Severability</w:t>
      </w:r>
      <w:r>
        <w:rPr>
          <w:rFonts w:ascii="Times New Roman;Times;Serif" w:hAnsi="Times New Roman;Times;Serif"/>
          <w:b w:val="false"/>
          <w:i w:val="false"/>
          <w:caps w:val="false"/>
          <w:smallCaps w:val="false"/>
          <w:sz w:val="20"/>
        </w:rPr>
        <w:t>. This Agreement may not be amended nor may any provision hereof be waived except in accordance with Section 13.1 of the Credit Agreement.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hereunder shall be given in accordance with the provisions of Section 13.2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200" w:after="200"/>
        <w:ind w:left="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has caused a counterpart of this Agreement to be duly executed and delivered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9744" w:type="dxa"/>
        <w:jc w:val="left"/>
        <w:tblInd w:w="0" w:type="dxa"/>
        <w:tblLayout w:type="fixed"/>
        <w:tblCellMar>
          <w:top w:w="0" w:type="dxa"/>
          <w:left w:w="0" w:type="dxa"/>
          <w:bottom w:w="0" w:type="dxa"/>
          <w:right w:w="0" w:type="dxa"/>
        </w:tblCellMar>
      </w:tblPr>
      <w:tblGrid>
        <w:gridCol w:w="4055"/>
        <w:gridCol w:w="1257"/>
        <w:gridCol w:w="4357"/>
        <w:gridCol w:w="75"/>
      </w:tblGrid>
      <w:tr>
        <w:trPr/>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BORROWER</w:t>
            </w:r>
            <w:r>
              <w:rPr>
                <w:rFonts w:ascii="Times New Roman;Times;Serif" w:hAnsi="Times New Roman;Times;Serif"/>
              </w:rPr>
              <w:t>:</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ACADEMY, LTD.</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Academy Managing Co., L.L.C., its General Partner</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Carl Ford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Carl Ford</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Executive Vice President and Chief Financial Officer</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HOLDINGS</w:t>
            </w:r>
            <w:r>
              <w:rPr>
                <w:rFonts w:ascii="Times New Roman;Times;Serif" w:hAnsi="Times New Roman;Times;Serif"/>
              </w:rPr>
              <w:t xml:space="preserve">: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ACADEMY HOLDING COMPANY, LLC</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Carl Ford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Carl Ford</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Executive Vice President and Chief Financial Officer</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rFonts w:ascii="Times New Roman;Times;Serif" w:hAnsi="Times New Roman;Times;Serif"/>
                <w:caps/>
                <w:u w:val="single"/>
              </w:rPr>
            </w:pPr>
            <w:r>
              <w:rPr>
                <w:rFonts w:ascii="Times New Roman;Times;Serif" w:hAnsi="Times New Roman;Times;Serif"/>
                <w:caps/>
                <w:u w:val="single"/>
              </w:rPr>
              <w:t xml:space="preserve">Texas intermediate holdcos: </w:t>
            </w:r>
          </w:p>
        </w:tc>
        <w:tc>
          <w:tcPr>
            <w:tcW w:w="5614" w:type="dxa"/>
            <w:gridSpan w:val="2"/>
            <w:tcBorders/>
            <w:vAlign w:val="center"/>
          </w:tcPr>
          <w:p>
            <w:pPr>
              <w:pStyle w:val="TableContents"/>
              <w:bidi w:val="0"/>
              <w:spacing w:before="0" w:after="283"/>
              <w:jc w:val="left"/>
              <w:rPr>
                <w:rFonts w:ascii="Times New Roman;Times;Serif" w:hAnsi="Times New Roman;Times;Serif"/>
                <w:caps/>
              </w:rPr>
            </w:pPr>
            <w:r>
              <w:rPr>
                <w:rFonts w:ascii="Times New Roman;Times;Serif" w:hAnsi="Times New Roman;Times;Serif"/>
                <w:caps/>
              </w:rPr>
              <w:t>ACADEMY MANAGING CO., L.L.C.</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Carl Ford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Carl Ford</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Executive Vice President and Chief Financial Officer</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89"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ASSOCIATED INVESTORS, L.L.C.</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Carl Ford </w:t>
            </w:r>
          </w:p>
        </w:tc>
        <w:tc>
          <w:tcPr>
            <w:tcW w:w="75"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561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Carl Ford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and Chief Financial Officer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5]</w:t>
      </w:r>
    </w:p>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2"/>
        <w:gridCol w:w="1167"/>
        <w:gridCol w:w="5999"/>
        <w:gridCol w:w="77"/>
      </w:tblGrid>
      <w:tr>
        <w:trPr/>
        <w:tc>
          <w:tcPr>
            <w:tcW w:w="29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ADMINISTRATIVE AGENT</w:t>
            </w:r>
            <w:r>
              <w:rPr>
                <w:rFonts w:ascii="Times New Roman;Times;Serif" w:hAnsi="Times New Roman;Times;Serif"/>
              </w:rPr>
              <w:t>:</w:t>
            </w:r>
          </w:p>
        </w:tc>
        <w:tc>
          <w:tcPr>
            <w:tcW w:w="7166"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JPMORGAN CHASE BANK, N.A.,</w:t>
            </w:r>
          </w:p>
        </w:tc>
        <w:tc>
          <w:tcPr>
            <w:tcW w:w="77" w:type="dxa"/>
            <w:tcBorders/>
            <w:vAlign w:val="center"/>
          </w:tcPr>
          <w:p>
            <w:pPr>
              <w:pStyle w:val="TableContents"/>
              <w:bidi w:val="0"/>
              <w:spacing w:before="0" w:after="283"/>
              <w:jc w:val="left"/>
              <w:rPr/>
            </w:pPr>
            <w:r>
              <w:rPr/>
              <w:t> </w:t>
            </w:r>
          </w:p>
        </w:tc>
      </w:tr>
      <w:tr>
        <w:trPr/>
        <w:tc>
          <w:tcPr>
            <w:tcW w:w="2962" w:type="dxa"/>
            <w:tcBorders/>
            <w:vAlign w:val="center"/>
          </w:tcPr>
          <w:p>
            <w:pPr>
              <w:pStyle w:val="TableContents"/>
              <w:bidi w:val="0"/>
              <w:spacing w:before="0" w:after="283"/>
              <w:jc w:val="left"/>
              <w:rPr/>
            </w:pPr>
            <w:r>
              <w:rPr/>
              <w:t> </w:t>
            </w:r>
          </w:p>
        </w:tc>
        <w:tc>
          <w:tcPr>
            <w:tcW w:w="7166"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Administrative Agent, Lender, a Letter of Credit Issuer and the Swingline Lender</w:t>
            </w:r>
          </w:p>
        </w:tc>
        <w:tc>
          <w:tcPr>
            <w:tcW w:w="77" w:type="dxa"/>
            <w:tcBorders/>
            <w:vAlign w:val="center"/>
          </w:tcPr>
          <w:p>
            <w:pPr>
              <w:pStyle w:val="TableContents"/>
              <w:bidi w:val="0"/>
              <w:spacing w:before="0" w:after="283"/>
              <w:jc w:val="left"/>
              <w:rPr/>
            </w:pPr>
            <w:r>
              <w:rPr/>
              <w:t> </w:t>
            </w:r>
          </w:p>
        </w:tc>
      </w:tr>
      <w:tr>
        <w:trPr/>
        <w:tc>
          <w:tcPr>
            <w:tcW w:w="2962"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pPr>
            <w:r>
              <w:rPr/>
              <w:t> </w:t>
            </w:r>
          </w:p>
        </w:tc>
        <w:tc>
          <w:tcPr>
            <w:tcW w:w="5999"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2962" w:type="dxa"/>
            <w:tcBorders/>
            <w:vAlign w:val="center"/>
          </w:tcPr>
          <w:p>
            <w:pPr>
              <w:pStyle w:val="TableContents"/>
              <w:bidi w:val="0"/>
              <w:spacing w:before="0" w:after="283"/>
              <w:jc w:val="left"/>
              <w:rPr/>
            </w:pPr>
            <w:r>
              <w:rPr/>
              <w:t> </w:t>
            </w:r>
          </w:p>
        </w:tc>
        <w:tc>
          <w:tcPr>
            <w:tcW w:w="11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59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Scott W. Downs </w:t>
            </w:r>
          </w:p>
        </w:tc>
        <w:tc>
          <w:tcPr>
            <w:tcW w:w="77" w:type="dxa"/>
            <w:tcBorders/>
            <w:vAlign w:val="center"/>
          </w:tcPr>
          <w:p>
            <w:pPr>
              <w:pStyle w:val="TableContents"/>
              <w:bidi w:val="0"/>
              <w:spacing w:before="0" w:after="283"/>
              <w:jc w:val="left"/>
              <w:rPr/>
            </w:pPr>
            <w:r>
              <w:rPr/>
              <w:t> </w:t>
            </w:r>
          </w:p>
        </w:tc>
      </w:tr>
      <w:tr>
        <w:trPr/>
        <w:tc>
          <w:tcPr>
            <w:tcW w:w="2962" w:type="dxa"/>
            <w:tcBorders/>
            <w:vAlign w:val="center"/>
          </w:tcPr>
          <w:p>
            <w:pPr>
              <w:pStyle w:val="TableContents"/>
              <w:bidi w:val="0"/>
              <w:spacing w:before="0" w:after="283"/>
              <w:jc w:val="left"/>
              <w:rPr/>
            </w:pPr>
            <w:r>
              <w:rPr/>
              <w:t> </w:t>
            </w:r>
          </w:p>
        </w:tc>
        <w:tc>
          <w:tcPr>
            <w:tcW w:w="7166"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Scott W. Downs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5]</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200" w:after="200"/>
        <w:ind w:left="360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caps w:val="false"/>
          <w:smallCaps w:val="false"/>
        </w:rPr>
      </w:pPr>
      <w:r>
        <w:rPr>
          <w:caps w:val="false"/>
          <w:smallCaps w:val="false"/>
        </w:rPr>
        <w:t> </w:t>
      </w:r>
    </w:p>
    <w:tbl>
      <w:tblPr>
        <w:tblW w:w="6924" w:type="dxa"/>
        <w:jc w:val="left"/>
        <w:tblInd w:w="0" w:type="dxa"/>
        <w:tblLayout w:type="fixed"/>
        <w:tblCellMar>
          <w:top w:w="0" w:type="dxa"/>
          <w:left w:w="0" w:type="dxa"/>
          <w:bottom w:w="0" w:type="dxa"/>
          <w:right w:w="0" w:type="dxa"/>
        </w:tblCellMar>
      </w:tblPr>
      <w:tblGrid>
        <w:gridCol w:w="1205"/>
        <w:gridCol w:w="1119"/>
        <w:gridCol w:w="4525"/>
        <w:gridCol w:w="75"/>
      </w:tblGrid>
      <w:tr>
        <w:trPr/>
        <w:tc>
          <w:tcPr>
            <w:tcW w:w="1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LENDERS</w:t>
            </w:r>
            <w:r>
              <w:rPr>
                <w:rFonts w:ascii="Times New Roman;Times;Serif" w:hAnsi="Times New Roman;Times;Serif"/>
              </w:rPr>
              <w:t>:</w:t>
            </w:r>
          </w:p>
        </w:tc>
        <w:tc>
          <w:tcPr>
            <w:tcW w:w="564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WELLS FARGO BANK, NATIONAL ASSOCIATION,</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564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Lender and Letter of Credit Issuer</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left"/>
              <w:rPr/>
            </w:pPr>
            <w:r>
              <w:rPr/>
              <w:t> </w:t>
            </w:r>
          </w:p>
        </w:tc>
        <w:tc>
          <w:tcPr>
            <w:tcW w:w="45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Alex Parent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5644" w:type="dxa"/>
            <w:gridSpan w:val="2"/>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Alex Parent</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Credit Product Portfolio Specialist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5]</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200" w:after="200"/>
        <w:ind w:left="360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tbl>
      <w:tblPr>
        <w:tblW w:w="4764" w:type="dxa"/>
        <w:jc w:val="left"/>
        <w:tblInd w:w="0" w:type="dxa"/>
        <w:tblLayout w:type="fixed"/>
        <w:tblCellMar>
          <w:top w:w="0" w:type="dxa"/>
          <w:left w:w="0" w:type="dxa"/>
          <w:bottom w:w="0" w:type="dxa"/>
          <w:right w:w="0" w:type="dxa"/>
        </w:tblCellMar>
      </w:tblPr>
      <w:tblGrid>
        <w:gridCol w:w="1205"/>
        <w:gridCol w:w="453"/>
        <w:gridCol w:w="3031"/>
        <w:gridCol w:w="75"/>
      </w:tblGrid>
      <w:tr>
        <w:trPr/>
        <w:tc>
          <w:tcPr>
            <w:tcW w:w="1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LENDERS</w:t>
            </w:r>
            <w:r>
              <w:rPr>
                <w:rFonts w:ascii="Times New Roman;Times;Serif" w:hAnsi="Times New Roman;Times;Serif"/>
              </w:rPr>
              <w:t>:</w:t>
            </w:r>
          </w:p>
        </w:tc>
        <w:tc>
          <w:tcPr>
            <w:tcW w:w="348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OF AMERICA, N.A.,</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Lender and Letter of Credit Issuer</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Geoffrey V. Reisbeck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Geoffrey V. Reisbeck</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5]</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4764" w:type="dxa"/>
        <w:jc w:val="left"/>
        <w:tblInd w:w="0" w:type="dxa"/>
        <w:tblLayout w:type="fixed"/>
        <w:tblCellMar>
          <w:top w:w="0" w:type="dxa"/>
          <w:left w:w="0" w:type="dxa"/>
          <w:bottom w:w="0" w:type="dxa"/>
          <w:right w:w="0" w:type="dxa"/>
        </w:tblCellMar>
      </w:tblPr>
      <w:tblGrid>
        <w:gridCol w:w="1205"/>
        <w:gridCol w:w="566"/>
        <w:gridCol w:w="2918"/>
        <w:gridCol w:w="75"/>
      </w:tblGrid>
      <w:tr>
        <w:trPr/>
        <w:tc>
          <w:tcPr>
            <w:tcW w:w="1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LENDERS</w:t>
            </w:r>
            <w:r>
              <w:rPr>
                <w:rFonts w:ascii="Times New Roman;Times;Serif" w:hAnsi="Times New Roman;Times;Serif"/>
              </w:rPr>
              <w:t>:</w:t>
            </w:r>
          </w:p>
        </w:tc>
        <w:tc>
          <w:tcPr>
            <w:tcW w:w="348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PNC Bank, National Association,</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Lender and Letter of Credit Issuer</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left"/>
              <w:rPr/>
            </w:pPr>
            <w:r>
              <w:rPr/>
              <w:t> </w:t>
            </w:r>
          </w:p>
        </w:tc>
        <w:tc>
          <w:tcPr>
            <w:tcW w:w="29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91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Paul L. Starman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Paul L. Starman</w:t>
            </w:r>
          </w:p>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5]</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5589" w:type="dxa"/>
        <w:jc w:val="left"/>
        <w:tblInd w:w="0" w:type="dxa"/>
        <w:tblLayout w:type="fixed"/>
        <w:tblCellMar>
          <w:top w:w="0" w:type="dxa"/>
          <w:left w:w="0" w:type="dxa"/>
          <w:bottom w:w="0" w:type="dxa"/>
          <w:right w:w="0" w:type="dxa"/>
        </w:tblCellMar>
      </w:tblPr>
      <w:tblGrid>
        <w:gridCol w:w="1205"/>
        <w:gridCol w:w="700"/>
        <w:gridCol w:w="3609"/>
        <w:gridCol w:w="75"/>
      </w:tblGrid>
      <w:tr>
        <w:trPr/>
        <w:tc>
          <w:tcPr>
            <w:tcW w:w="1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LENDERS</w:t>
            </w:r>
            <w:r>
              <w:rPr>
                <w:rFonts w:ascii="Times New Roman;Times;Serif" w:hAnsi="Times New Roman;Times;Serif"/>
              </w:rPr>
              <w:t>:</w:t>
            </w:r>
          </w:p>
        </w:tc>
        <w:tc>
          <w:tcPr>
            <w:tcW w:w="430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BANK NATIONAL ASSOCIATION,</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Lender and Letter of Credit Issuer</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360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6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David Lawrence</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430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David Lawrence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5]</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caps w:val="false"/>
          <w:smallCaps w:val="false"/>
        </w:rPr>
      </w:pPr>
      <w:r>
        <w:rPr>
          <w:caps w:val="false"/>
          <w:smallCaps w:val="false"/>
        </w:rPr>
        <w:t> </w:t>
      </w:r>
    </w:p>
    <w:tbl>
      <w:tblPr>
        <w:tblW w:w="3540" w:type="dxa"/>
        <w:jc w:val="left"/>
        <w:tblInd w:w="0" w:type="dxa"/>
        <w:tblLayout w:type="fixed"/>
        <w:tblCellMar>
          <w:top w:w="0" w:type="dxa"/>
          <w:left w:w="0" w:type="dxa"/>
          <w:bottom w:w="0" w:type="dxa"/>
          <w:right w:w="0" w:type="dxa"/>
        </w:tblCellMar>
      </w:tblPr>
      <w:tblGrid>
        <w:gridCol w:w="1205"/>
        <w:gridCol w:w="365"/>
        <w:gridCol w:w="1895"/>
        <w:gridCol w:w="75"/>
      </w:tblGrid>
      <w:tr>
        <w:trPr/>
        <w:tc>
          <w:tcPr>
            <w:tcW w:w="1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u w:val="single"/>
              </w:rPr>
              <w:t>LENDERS</w:t>
            </w:r>
            <w:r>
              <w:rPr>
                <w:rFonts w:ascii="Times New Roman;Times;Serif" w:hAnsi="Times New Roman;Times;Serif"/>
              </w:rPr>
              <w:t>:</w:t>
            </w:r>
          </w:p>
        </w:tc>
        <w:tc>
          <w:tcPr>
            <w:tcW w:w="226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REGIONS BANK,</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Lender</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 Alberto Casasus </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Alberto Casasus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1.1(b)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AMENDED AND RESTATED ABL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 2015</w:t>
        <w:br/>
        <w:t>as amended by Amendment No. 1 on May 22, 2018 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further amended by Amendment No. 2 on November 6, 2020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further amended by Amendment No. 3 on March 30, 2023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further amended by Amendment No. 4 on March 8, 2024 </w:t>
      </w:r>
      <w:r>
        <w:rPr>
          <w:rFonts w:ascii="Times New Roman;Times;Serif" w:hAnsi="Times New Roman;Times;Serif"/>
          <w:b w:val="false"/>
          <w:i w:val="false"/>
          <w:caps w:val="false"/>
          <w:smallCaps w:val="false"/>
          <w:color w:val="0000FF"/>
          <w:sz w:val="20"/>
          <w:u w:val="single"/>
          <w:bdr w:val="single" w:sz="8" w:space="1" w:color="0000FF"/>
        </w:rPr>
        <w:t>and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FF"/>
          <w:sz w:val="20"/>
          <w:u w:val="single"/>
          <w:bdr w:val="single" w:sz="8" w:space="1" w:color="0000FF"/>
        </w:rPr>
      </w:pPr>
      <w:r>
        <w:rPr>
          <w:rFonts w:ascii="Times New Roman;Times;Serif" w:hAnsi="Times New Roman;Times;Serif"/>
          <w:b w:val="false"/>
          <w:i w:val="false"/>
          <w:caps w:val="false"/>
          <w:smallCaps w:val="false"/>
          <w:color w:val="0000FF"/>
          <w:sz w:val="20"/>
          <w:u w:val="single"/>
          <w:bdr w:val="single" w:sz="8" w:space="1" w:color="0000FF"/>
        </w:rPr>
        <w:t>as further amended by Amendment No. 5 on May 14, 2026</w:t>
      </w:r>
    </w:p>
    <w:p>
      <w:pPr>
        <w:pStyle w:val="TextBody"/>
        <w:bidi w:val="0"/>
        <w:spacing w:before="0" w:after="0"/>
        <w:ind w:left="0" w:right="0" w:hanging="0"/>
        <w:jc w:val="center"/>
        <w:rPr>
          <w:caps w:val="false"/>
          <w:smallCaps w:val="false"/>
          <w:color w:val="0000FF"/>
        </w:rPr>
      </w:pPr>
      <w:r>
        <w:rPr>
          <w:caps w:val="false"/>
          <w:smallCaps w:val="false"/>
          <w:color w:val="0000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LTD.,</w:t>
        <w:br/>
        <w:t>as the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ACADEMY HOLDING COMPANY, LLC,</w:t>
        <w:br/>
        <w:t>as Holdings,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ASSOCIATED INVESTORS, L.L.C.,</w:t>
        <w:br/>
        <w:t>and</w:t>
        <w:br/>
        <w:t>ACADEMY MANAGING CO., L.L.C.,</w:t>
        <w:br/>
        <w:t>as Texas Intermediate Holdcos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Lenders</w:t>
        <w:br/>
        <w:t>from Time to Time Parties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br/>
        <w:t>as the Administrative Agent, Collateral Agent, Letter of Credit Issuer</w:t>
        <w:br/>
        <w:t>and Swingline Lender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JPMORGAN CHASE BANK, 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Wells fargo bank,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Bank of america, 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PNC BANK,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U.s. bank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Joint Lead Arrangers and Bookrunners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Wells fargo bank,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Bank of america, 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PNC BANK,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U.s. bank national association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Co-Syndication Agents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669" w:type="dxa"/>
        <w:jc w:val="left"/>
        <w:tblInd w:w="0" w:type="dxa"/>
        <w:tblLayout w:type="fixed"/>
        <w:tblCellMar>
          <w:top w:w="0" w:type="dxa"/>
          <w:left w:w="0" w:type="dxa"/>
          <w:bottom w:w="0" w:type="dxa"/>
          <w:right w:w="0" w:type="dxa"/>
        </w:tblCellMar>
      </w:tblPr>
      <w:tblGrid>
        <w:gridCol w:w="141"/>
        <w:gridCol w:w="838"/>
        <w:gridCol w:w="7055"/>
        <w:gridCol w:w="635"/>
      </w:tblGrid>
      <w:tr>
        <w:trPr/>
        <w:tc>
          <w:tcPr>
            <w:tcW w:w="141"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u w:val="single"/>
              </w:rPr>
            </w:pPr>
            <w:r>
              <w:rPr>
                <w:u w:val="single"/>
              </w:rPr>
              <w:t>Page</w:t>
            </w:r>
          </w:p>
        </w:tc>
      </w:tr>
      <w:tr>
        <w:trPr/>
        <w:tc>
          <w:tcPr>
            <w:tcW w:w="141"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r>
      <w:tr>
        <w:trPr/>
        <w:tc>
          <w:tcPr>
            <w:tcW w:w="979" w:type="dxa"/>
            <w:gridSpan w:val="2"/>
            <w:tcBorders/>
            <w:vAlign w:val="center"/>
          </w:tcPr>
          <w:p>
            <w:pPr>
              <w:pStyle w:val="TableContents"/>
              <w:bidi w:val="0"/>
              <w:spacing w:before="0" w:after="283"/>
              <w:jc w:val="left"/>
              <w:rPr/>
            </w:pPr>
            <w:r>
              <w:rPr/>
              <w:t>Section 1.</w:t>
            </w:r>
          </w:p>
        </w:tc>
        <w:tc>
          <w:tcPr>
            <w:tcW w:w="7055" w:type="dxa"/>
            <w:tcBorders/>
            <w:vAlign w:val="center"/>
          </w:tcPr>
          <w:p>
            <w:pPr>
              <w:pStyle w:val="TableContents"/>
              <w:bidi w:val="0"/>
              <w:spacing w:before="0" w:after="283"/>
              <w:jc w:val="left"/>
              <w:rPr/>
            </w:pPr>
            <w:r>
              <w:rPr/>
              <w:t>Definitions</w:t>
            </w:r>
          </w:p>
        </w:tc>
        <w:tc>
          <w:tcPr>
            <w:tcW w:w="635" w:type="dxa"/>
            <w:tcBorders/>
            <w:vAlign w:val="center"/>
          </w:tcPr>
          <w:p>
            <w:pPr>
              <w:pStyle w:val="TableContents"/>
              <w:bidi w:val="0"/>
              <w:spacing w:before="0" w:after="283"/>
              <w:ind w:left="0" w:right="0" w:hanging="0"/>
              <w:jc w:val="right"/>
              <w:rPr/>
            </w:pPr>
            <w:r>
              <w:rPr/>
              <w:t>7</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1.1</w:t>
            </w:r>
          </w:p>
        </w:tc>
        <w:tc>
          <w:tcPr>
            <w:tcW w:w="7055" w:type="dxa"/>
            <w:tcBorders/>
            <w:vAlign w:val="center"/>
          </w:tcPr>
          <w:p>
            <w:pPr>
              <w:pStyle w:val="TableContents"/>
              <w:bidi w:val="0"/>
              <w:spacing w:before="0" w:after="283"/>
              <w:ind w:left="0" w:right="0" w:hanging="0"/>
              <w:jc w:val="left"/>
              <w:rPr/>
            </w:pPr>
            <w:r>
              <w:rPr/>
              <w:t>Defined Terms</w:t>
            </w:r>
          </w:p>
        </w:tc>
        <w:tc>
          <w:tcPr>
            <w:tcW w:w="635" w:type="dxa"/>
            <w:tcBorders/>
            <w:vAlign w:val="center"/>
          </w:tcPr>
          <w:p>
            <w:pPr>
              <w:pStyle w:val="TableContents"/>
              <w:bidi w:val="0"/>
              <w:spacing w:before="0" w:after="283"/>
              <w:ind w:left="0" w:right="0" w:hanging="0"/>
              <w:jc w:val="right"/>
              <w:rPr/>
            </w:pPr>
            <w:r>
              <w:rPr/>
              <w:t>7</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1.2</w:t>
            </w:r>
          </w:p>
        </w:tc>
        <w:tc>
          <w:tcPr>
            <w:tcW w:w="7055" w:type="dxa"/>
            <w:tcBorders/>
            <w:vAlign w:val="center"/>
          </w:tcPr>
          <w:p>
            <w:pPr>
              <w:pStyle w:val="TableContents"/>
              <w:bidi w:val="0"/>
              <w:spacing w:before="0" w:after="283"/>
              <w:ind w:left="0" w:right="0" w:hanging="0"/>
              <w:jc w:val="left"/>
              <w:rPr/>
            </w:pPr>
            <w:r>
              <w:rPr/>
              <w:t>Other Interpretive Provisions</w:t>
            </w:r>
          </w:p>
        </w:tc>
        <w:tc>
          <w:tcPr>
            <w:tcW w:w="635" w:type="dxa"/>
            <w:tcBorders/>
            <w:vAlign w:val="center"/>
          </w:tcPr>
          <w:p>
            <w:pPr>
              <w:pStyle w:val="TableContents"/>
              <w:bidi w:val="0"/>
              <w:spacing w:before="0" w:after="283"/>
              <w:ind w:left="0" w:right="0" w:hanging="0"/>
              <w:jc w:val="right"/>
              <w:rPr/>
            </w:pPr>
            <w:r>
              <w:rPr>
                <w:strike/>
                <w:color w:val="FF0000"/>
              </w:rPr>
              <w:t>66</w:t>
            </w:r>
            <w:r>
              <w:rPr>
                <w:color w:val="0000FF"/>
                <w:u w:val="single"/>
                <w:bdr w:val="single" w:sz="8" w:space="1" w:color="0000FF"/>
              </w:rPr>
              <w:t>73</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1.3</w:t>
            </w:r>
          </w:p>
        </w:tc>
        <w:tc>
          <w:tcPr>
            <w:tcW w:w="7055" w:type="dxa"/>
            <w:tcBorders/>
            <w:vAlign w:val="center"/>
          </w:tcPr>
          <w:p>
            <w:pPr>
              <w:pStyle w:val="TableContents"/>
              <w:bidi w:val="0"/>
              <w:spacing w:before="0" w:after="283"/>
              <w:ind w:left="0" w:right="0" w:hanging="0"/>
              <w:jc w:val="left"/>
              <w:rPr/>
            </w:pPr>
            <w:r>
              <w:rPr/>
              <w:t>Accounting Terms</w:t>
            </w:r>
          </w:p>
        </w:tc>
        <w:tc>
          <w:tcPr>
            <w:tcW w:w="635" w:type="dxa"/>
            <w:tcBorders/>
            <w:vAlign w:val="center"/>
          </w:tcPr>
          <w:p>
            <w:pPr>
              <w:pStyle w:val="TableContents"/>
              <w:bidi w:val="0"/>
              <w:spacing w:before="0" w:after="283"/>
              <w:ind w:left="0" w:right="0" w:hanging="0"/>
              <w:jc w:val="right"/>
              <w:rPr/>
            </w:pPr>
            <w:r>
              <w:rPr>
                <w:strike/>
                <w:color w:val="FF0000"/>
              </w:rPr>
              <w:t>67</w:t>
            </w:r>
            <w:r>
              <w:rPr>
                <w:color w:val="0000FF"/>
                <w:u w:val="single"/>
                <w:bdr w:val="single" w:sz="8" w:space="1" w:color="0000FF"/>
              </w:rPr>
              <w:t>73</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1.4</w:t>
            </w:r>
          </w:p>
        </w:tc>
        <w:tc>
          <w:tcPr>
            <w:tcW w:w="7055" w:type="dxa"/>
            <w:tcBorders/>
            <w:vAlign w:val="center"/>
          </w:tcPr>
          <w:p>
            <w:pPr>
              <w:pStyle w:val="TableContents"/>
              <w:bidi w:val="0"/>
              <w:spacing w:before="0" w:after="283"/>
              <w:ind w:left="0" w:right="0" w:hanging="0"/>
              <w:jc w:val="left"/>
              <w:rPr/>
            </w:pPr>
            <w:r>
              <w:rPr/>
              <w:t>Rounding</w:t>
            </w:r>
          </w:p>
        </w:tc>
        <w:tc>
          <w:tcPr>
            <w:tcW w:w="635" w:type="dxa"/>
            <w:tcBorders/>
            <w:vAlign w:val="center"/>
          </w:tcPr>
          <w:p>
            <w:pPr>
              <w:pStyle w:val="TableContents"/>
              <w:bidi w:val="0"/>
              <w:spacing w:before="0" w:after="283"/>
              <w:ind w:left="0" w:right="0" w:hanging="0"/>
              <w:jc w:val="right"/>
              <w:rPr/>
            </w:pPr>
            <w:r>
              <w:rPr>
                <w:strike/>
                <w:color w:val="FF0000"/>
              </w:rPr>
              <w:t>67</w:t>
            </w:r>
            <w:r>
              <w:rPr>
                <w:color w:val="0000FF"/>
                <w:u w:val="single"/>
                <w:bdr w:val="single" w:sz="8" w:space="1" w:color="0000FF"/>
              </w:rPr>
              <w:t>74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1.5</w:t>
            </w:r>
          </w:p>
        </w:tc>
        <w:tc>
          <w:tcPr>
            <w:tcW w:w="7055" w:type="dxa"/>
            <w:tcBorders/>
            <w:vAlign w:val="center"/>
          </w:tcPr>
          <w:p>
            <w:pPr>
              <w:pStyle w:val="TableContents"/>
              <w:bidi w:val="0"/>
              <w:spacing w:before="0" w:after="283"/>
              <w:ind w:left="0" w:right="0" w:hanging="0"/>
              <w:jc w:val="left"/>
              <w:rPr/>
            </w:pPr>
            <w:r>
              <w:rPr/>
              <w:t>References to Agreements, Laws, Etc.</w:t>
            </w:r>
          </w:p>
        </w:tc>
        <w:tc>
          <w:tcPr>
            <w:tcW w:w="635" w:type="dxa"/>
            <w:tcBorders/>
            <w:vAlign w:val="center"/>
          </w:tcPr>
          <w:p>
            <w:pPr>
              <w:pStyle w:val="TableContents"/>
              <w:bidi w:val="0"/>
              <w:spacing w:before="0" w:after="283"/>
              <w:ind w:left="0" w:right="0" w:hanging="0"/>
              <w:jc w:val="right"/>
              <w:rPr/>
            </w:pPr>
            <w:r>
              <w:rPr>
                <w:strike/>
                <w:color w:val="FF0000"/>
              </w:rPr>
              <w:t>67</w:t>
            </w:r>
            <w:r>
              <w:rPr>
                <w:color w:val="0000FF"/>
                <w:u w:val="single"/>
                <w:bdr w:val="single" w:sz="8" w:space="1" w:color="0000FF"/>
              </w:rPr>
              <w:t>74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1.6</w:t>
            </w:r>
          </w:p>
        </w:tc>
        <w:tc>
          <w:tcPr>
            <w:tcW w:w="7055" w:type="dxa"/>
            <w:tcBorders/>
            <w:vAlign w:val="center"/>
          </w:tcPr>
          <w:p>
            <w:pPr>
              <w:pStyle w:val="TableContents"/>
              <w:bidi w:val="0"/>
              <w:spacing w:before="0" w:after="283"/>
              <w:ind w:left="0" w:right="0" w:hanging="0"/>
              <w:jc w:val="left"/>
              <w:rPr/>
            </w:pPr>
            <w:r>
              <w:rPr/>
              <w:t>Exchange Rates</w:t>
            </w:r>
          </w:p>
        </w:tc>
        <w:tc>
          <w:tcPr>
            <w:tcW w:w="635" w:type="dxa"/>
            <w:tcBorders/>
            <w:vAlign w:val="center"/>
          </w:tcPr>
          <w:p>
            <w:pPr>
              <w:pStyle w:val="TableContents"/>
              <w:bidi w:val="0"/>
              <w:spacing w:before="0" w:after="283"/>
              <w:ind w:left="0" w:right="0" w:hanging="0"/>
              <w:jc w:val="right"/>
              <w:rPr/>
            </w:pPr>
            <w:r>
              <w:rPr/>
              <w:t>74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1.7</w:t>
            </w:r>
          </w:p>
        </w:tc>
        <w:tc>
          <w:tcPr>
            <w:tcW w:w="7055" w:type="dxa"/>
            <w:tcBorders/>
            <w:vAlign w:val="center"/>
          </w:tcPr>
          <w:p>
            <w:pPr>
              <w:pStyle w:val="TableContents"/>
              <w:bidi w:val="0"/>
              <w:spacing w:before="0" w:after="283"/>
              <w:ind w:left="0" w:right="0" w:hanging="0"/>
              <w:jc w:val="left"/>
              <w:rPr/>
            </w:pPr>
            <w:r>
              <w:rPr/>
              <w:t>Rates</w:t>
            </w:r>
          </w:p>
        </w:tc>
        <w:tc>
          <w:tcPr>
            <w:tcW w:w="635" w:type="dxa"/>
            <w:tcBorders/>
            <w:vAlign w:val="center"/>
          </w:tcPr>
          <w:p>
            <w:pPr>
              <w:pStyle w:val="TableContents"/>
              <w:bidi w:val="0"/>
              <w:spacing w:before="0" w:after="283"/>
              <w:ind w:left="0" w:right="0" w:hanging="0"/>
              <w:jc w:val="right"/>
              <w:rPr/>
            </w:pPr>
            <w:r>
              <w:rPr/>
              <w:t>74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1.8</w:t>
            </w:r>
          </w:p>
        </w:tc>
        <w:tc>
          <w:tcPr>
            <w:tcW w:w="7055" w:type="dxa"/>
            <w:tcBorders/>
            <w:vAlign w:val="center"/>
          </w:tcPr>
          <w:p>
            <w:pPr>
              <w:pStyle w:val="TableContents"/>
              <w:bidi w:val="0"/>
              <w:spacing w:before="0" w:after="283"/>
              <w:ind w:left="0" w:right="0" w:hanging="0"/>
              <w:jc w:val="left"/>
              <w:rPr/>
            </w:pPr>
            <w:r>
              <w:rPr/>
              <w:t>Times of Day</w:t>
            </w:r>
          </w:p>
        </w:tc>
        <w:tc>
          <w:tcPr>
            <w:tcW w:w="635" w:type="dxa"/>
            <w:tcBorders/>
            <w:vAlign w:val="center"/>
          </w:tcPr>
          <w:p>
            <w:pPr>
              <w:pStyle w:val="TableContents"/>
              <w:bidi w:val="0"/>
              <w:spacing w:before="0" w:after="283"/>
              <w:ind w:left="0" w:right="0" w:hanging="0"/>
              <w:jc w:val="right"/>
              <w:rPr/>
            </w:pPr>
            <w:r>
              <w:rPr/>
              <w:t>74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1.9</w:t>
            </w:r>
          </w:p>
        </w:tc>
        <w:tc>
          <w:tcPr>
            <w:tcW w:w="7055" w:type="dxa"/>
            <w:tcBorders/>
            <w:vAlign w:val="center"/>
          </w:tcPr>
          <w:p>
            <w:pPr>
              <w:pStyle w:val="TableContents"/>
              <w:bidi w:val="0"/>
              <w:spacing w:before="0" w:after="283"/>
              <w:ind w:left="0" w:right="0" w:hanging="0"/>
              <w:jc w:val="left"/>
              <w:rPr/>
            </w:pPr>
            <w:r>
              <w:rPr/>
              <w:t>Timing of Payment or Performance</w:t>
            </w:r>
          </w:p>
        </w:tc>
        <w:tc>
          <w:tcPr>
            <w:tcW w:w="635" w:type="dxa"/>
            <w:tcBorders/>
            <w:vAlign w:val="center"/>
          </w:tcPr>
          <w:p>
            <w:pPr>
              <w:pStyle w:val="TableContents"/>
              <w:bidi w:val="0"/>
              <w:spacing w:before="0" w:after="283"/>
              <w:ind w:left="0" w:right="0" w:hanging="0"/>
              <w:jc w:val="right"/>
              <w:rPr/>
            </w:pPr>
            <w:r>
              <w:rPr/>
              <w:t>74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1.10</w:t>
            </w:r>
          </w:p>
        </w:tc>
        <w:tc>
          <w:tcPr>
            <w:tcW w:w="7055" w:type="dxa"/>
            <w:tcBorders/>
            <w:vAlign w:val="center"/>
          </w:tcPr>
          <w:p>
            <w:pPr>
              <w:pStyle w:val="TableContents"/>
              <w:bidi w:val="0"/>
              <w:spacing w:before="0" w:after="283"/>
              <w:ind w:left="0" w:right="0" w:hanging="0"/>
              <w:jc w:val="left"/>
              <w:rPr/>
            </w:pPr>
            <w:r>
              <w:rPr/>
              <w:t>Certifications</w:t>
            </w:r>
          </w:p>
        </w:tc>
        <w:tc>
          <w:tcPr>
            <w:tcW w:w="635" w:type="dxa"/>
            <w:tcBorders/>
            <w:vAlign w:val="center"/>
          </w:tcPr>
          <w:p>
            <w:pPr>
              <w:pStyle w:val="TableContents"/>
              <w:bidi w:val="0"/>
              <w:spacing w:before="0" w:after="283"/>
              <w:ind w:left="0" w:right="0" w:hanging="0"/>
              <w:jc w:val="right"/>
              <w:rPr/>
            </w:pPr>
            <w:r>
              <w:rPr>
                <w:strike/>
                <w:color w:val="FF0000"/>
              </w:rPr>
              <w:t>68</w:t>
            </w:r>
            <w:r>
              <w:rPr>
                <w:color w:val="0000FF"/>
                <w:u w:val="single"/>
                <w:bdr w:val="single" w:sz="8" w:space="1" w:color="0000FF"/>
              </w:rPr>
              <w:t>74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1.11</w:t>
            </w:r>
          </w:p>
        </w:tc>
        <w:tc>
          <w:tcPr>
            <w:tcW w:w="7055" w:type="dxa"/>
            <w:tcBorders/>
            <w:vAlign w:val="center"/>
          </w:tcPr>
          <w:p>
            <w:pPr>
              <w:pStyle w:val="TableContents"/>
              <w:bidi w:val="0"/>
              <w:spacing w:before="0" w:after="283"/>
              <w:ind w:left="0" w:right="0" w:hanging="0"/>
              <w:jc w:val="left"/>
              <w:rPr/>
            </w:pPr>
            <w:r>
              <w:rPr/>
              <w:t>Compliance with Certain Sections</w:t>
            </w:r>
          </w:p>
        </w:tc>
        <w:tc>
          <w:tcPr>
            <w:tcW w:w="635" w:type="dxa"/>
            <w:tcBorders/>
            <w:vAlign w:val="center"/>
          </w:tcPr>
          <w:p>
            <w:pPr>
              <w:pStyle w:val="TableContents"/>
              <w:bidi w:val="0"/>
              <w:spacing w:before="0" w:after="283"/>
              <w:ind w:left="0" w:right="0" w:hanging="0"/>
              <w:jc w:val="right"/>
              <w:rPr/>
            </w:pPr>
            <w:r>
              <w:rPr>
                <w:strike/>
                <w:color w:val="FF0000"/>
              </w:rPr>
              <w:t>68</w:t>
            </w:r>
            <w:r>
              <w:rPr>
                <w:color w:val="0000FF"/>
                <w:u w:val="single"/>
                <w:bdr w:val="single" w:sz="8" w:space="1" w:color="0000FF"/>
              </w:rPr>
              <w:t>75</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1.12</w:t>
            </w:r>
          </w:p>
        </w:tc>
        <w:tc>
          <w:tcPr>
            <w:tcW w:w="7055" w:type="dxa"/>
            <w:tcBorders/>
            <w:vAlign w:val="center"/>
          </w:tcPr>
          <w:p>
            <w:pPr>
              <w:pStyle w:val="TableContents"/>
              <w:bidi w:val="0"/>
              <w:spacing w:before="0" w:after="283"/>
              <w:ind w:left="0" w:right="0" w:hanging="0"/>
              <w:jc w:val="left"/>
              <w:rPr/>
            </w:pPr>
            <w:r>
              <w:rPr/>
              <w:t>Pro Forma and Other Calculations</w:t>
            </w:r>
          </w:p>
        </w:tc>
        <w:tc>
          <w:tcPr>
            <w:tcW w:w="635" w:type="dxa"/>
            <w:tcBorders/>
            <w:vAlign w:val="center"/>
          </w:tcPr>
          <w:p>
            <w:pPr>
              <w:pStyle w:val="TableContents"/>
              <w:bidi w:val="0"/>
              <w:spacing w:before="0" w:after="283"/>
              <w:ind w:left="0" w:right="0" w:hanging="0"/>
              <w:jc w:val="right"/>
              <w:rPr/>
            </w:pPr>
            <w:r>
              <w:rPr>
                <w:strike/>
                <w:color w:val="FF0000"/>
              </w:rPr>
              <w:t>68</w:t>
            </w:r>
            <w:r>
              <w:rPr>
                <w:color w:val="0000FF"/>
                <w:u w:val="single"/>
                <w:bdr w:val="single" w:sz="8" w:space="1" w:color="0000FF"/>
              </w:rPr>
              <w:t>75</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1.13</w:t>
            </w:r>
          </w:p>
        </w:tc>
        <w:tc>
          <w:tcPr>
            <w:tcW w:w="7055" w:type="dxa"/>
            <w:tcBorders/>
            <w:vAlign w:val="center"/>
          </w:tcPr>
          <w:p>
            <w:pPr>
              <w:pStyle w:val="TableContents"/>
              <w:bidi w:val="0"/>
              <w:spacing w:before="0" w:after="283"/>
              <w:ind w:left="0" w:right="0" w:hanging="0"/>
              <w:jc w:val="left"/>
              <w:rPr/>
            </w:pPr>
            <w:r>
              <w:rPr/>
              <w:t>Divisions</w:t>
            </w:r>
          </w:p>
        </w:tc>
        <w:tc>
          <w:tcPr>
            <w:tcW w:w="635" w:type="dxa"/>
            <w:tcBorders/>
            <w:vAlign w:val="center"/>
          </w:tcPr>
          <w:p>
            <w:pPr>
              <w:pStyle w:val="TableContents"/>
              <w:bidi w:val="0"/>
              <w:spacing w:before="0" w:after="283"/>
              <w:ind w:left="0" w:right="0" w:hanging="0"/>
              <w:jc w:val="right"/>
              <w:rPr/>
            </w:pPr>
            <w:r>
              <w:rPr>
                <w:strike/>
                <w:color w:val="FF0000"/>
              </w:rPr>
              <w:t>70</w:t>
            </w:r>
            <w:r>
              <w:rPr>
                <w:color w:val="0000FF"/>
                <w:u w:val="single"/>
                <w:bdr w:val="single" w:sz="8" w:space="1" w:color="0000FF"/>
              </w:rPr>
              <w:t>77</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1.14</w:t>
            </w:r>
          </w:p>
        </w:tc>
        <w:tc>
          <w:tcPr>
            <w:tcW w:w="7055" w:type="dxa"/>
            <w:tcBorders/>
            <w:vAlign w:val="center"/>
          </w:tcPr>
          <w:p>
            <w:pPr>
              <w:pStyle w:val="TableContents"/>
              <w:bidi w:val="0"/>
              <w:spacing w:before="0" w:after="283"/>
              <w:ind w:left="0" w:right="0" w:hanging="0"/>
              <w:jc w:val="left"/>
              <w:rPr/>
            </w:pPr>
            <w:r>
              <w:rPr/>
              <w:t>Interest Rates; Benchmark Notifications</w:t>
            </w:r>
          </w:p>
        </w:tc>
        <w:tc>
          <w:tcPr>
            <w:tcW w:w="635" w:type="dxa"/>
            <w:tcBorders/>
            <w:vAlign w:val="center"/>
          </w:tcPr>
          <w:p>
            <w:pPr>
              <w:pStyle w:val="TableContents"/>
              <w:bidi w:val="0"/>
              <w:spacing w:before="0" w:after="283"/>
              <w:ind w:left="0" w:right="0" w:hanging="0"/>
              <w:jc w:val="right"/>
              <w:rPr/>
            </w:pPr>
            <w:r>
              <w:rPr>
                <w:strike/>
                <w:color w:val="FF0000"/>
              </w:rPr>
              <w:t>70</w:t>
            </w:r>
            <w:r>
              <w:rPr>
                <w:color w:val="0000FF"/>
                <w:u w:val="single"/>
                <w:bdr w:val="single" w:sz="8" w:space="1" w:color="0000FF"/>
              </w:rPr>
              <w:t>77</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 </w:t>
            </w:r>
          </w:p>
        </w:tc>
        <w:tc>
          <w:tcPr>
            <w:tcW w:w="7055"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jc w:val="right"/>
              <w:rPr/>
            </w:pPr>
            <w:r>
              <w:rPr/>
              <w:t> </w:t>
            </w:r>
          </w:p>
        </w:tc>
      </w:tr>
      <w:tr>
        <w:trPr/>
        <w:tc>
          <w:tcPr>
            <w:tcW w:w="979" w:type="dxa"/>
            <w:gridSpan w:val="2"/>
            <w:tcBorders/>
            <w:vAlign w:val="center"/>
          </w:tcPr>
          <w:p>
            <w:pPr>
              <w:pStyle w:val="TableContents"/>
              <w:bidi w:val="0"/>
              <w:spacing w:before="0" w:after="283"/>
              <w:jc w:val="left"/>
              <w:rPr/>
            </w:pPr>
            <w:r>
              <w:rPr/>
              <w:t>Section 2.</w:t>
            </w:r>
          </w:p>
        </w:tc>
        <w:tc>
          <w:tcPr>
            <w:tcW w:w="7055" w:type="dxa"/>
            <w:tcBorders/>
            <w:vAlign w:val="center"/>
          </w:tcPr>
          <w:p>
            <w:pPr>
              <w:pStyle w:val="TableContents"/>
              <w:bidi w:val="0"/>
              <w:spacing w:before="0" w:after="283"/>
              <w:jc w:val="left"/>
              <w:rPr/>
            </w:pPr>
            <w:r>
              <w:rPr/>
              <w:t>Amount and Terms of Credit</w:t>
            </w:r>
          </w:p>
        </w:tc>
        <w:tc>
          <w:tcPr>
            <w:tcW w:w="635" w:type="dxa"/>
            <w:tcBorders/>
            <w:vAlign w:val="center"/>
          </w:tcPr>
          <w:p>
            <w:pPr>
              <w:pStyle w:val="TableContents"/>
              <w:bidi w:val="0"/>
              <w:spacing w:before="0" w:after="283"/>
              <w:jc w:val="right"/>
              <w:rPr/>
            </w:pPr>
            <w:r>
              <w:rPr/>
              <w:t>77</w:t>
            </w:r>
          </w:p>
        </w:tc>
      </w:tr>
      <w:tr>
        <w:trPr/>
        <w:tc>
          <w:tcPr>
            <w:tcW w:w="979" w:type="dxa"/>
            <w:gridSpan w:val="2"/>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ind w:left="0" w:right="0" w:hanging="0"/>
              <w:jc w:val="right"/>
              <w:rPr/>
            </w:pPr>
            <w:r>
              <w:rPr/>
              <w:t> </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w:t>
            </w:r>
          </w:p>
        </w:tc>
        <w:tc>
          <w:tcPr>
            <w:tcW w:w="7055" w:type="dxa"/>
            <w:tcBorders/>
            <w:vAlign w:val="center"/>
          </w:tcPr>
          <w:p>
            <w:pPr>
              <w:pStyle w:val="TableContents"/>
              <w:bidi w:val="0"/>
              <w:spacing w:before="0" w:after="283"/>
              <w:ind w:left="0" w:right="0" w:hanging="0"/>
              <w:jc w:val="left"/>
              <w:rPr/>
            </w:pPr>
            <w:r>
              <w:rPr/>
              <w:t>Commitments</w:t>
            </w:r>
          </w:p>
        </w:tc>
        <w:tc>
          <w:tcPr>
            <w:tcW w:w="635" w:type="dxa"/>
            <w:tcBorders/>
            <w:vAlign w:val="center"/>
          </w:tcPr>
          <w:p>
            <w:pPr>
              <w:pStyle w:val="TableContents"/>
              <w:bidi w:val="0"/>
              <w:spacing w:before="0" w:after="283"/>
              <w:ind w:left="0" w:right="0" w:hanging="0"/>
              <w:jc w:val="right"/>
              <w:rPr/>
            </w:pPr>
            <w:r>
              <w:rPr/>
              <w:t>77</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2.2</w:t>
            </w:r>
          </w:p>
        </w:tc>
        <w:tc>
          <w:tcPr>
            <w:tcW w:w="7055" w:type="dxa"/>
            <w:tcBorders/>
            <w:vAlign w:val="center"/>
          </w:tcPr>
          <w:p>
            <w:pPr>
              <w:pStyle w:val="TableContents"/>
              <w:bidi w:val="0"/>
              <w:spacing w:before="0" w:after="283"/>
              <w:ind w:left="0" w:right="0" w:hanging="0"/>
              <w:jc w:val="left"/>
              <w:rPr/>
            </w:pPr>
            <w:r>
              <w:rPr/>
              <w:t>Minimum Amount of Each Borrowing; Maximum Number of Borrowings</w:t>
            </w:r>
          </w:p>
        </w:tc>
        <w:tc>
          <w:tcPr>
            <w:tcW w:w="635" w:type="dxa"/>
            <w:tcBorders/>
            <w:vAlign w:val="center"/>
          </w:tcPr>
          <w:p>
            <w:pPr>
              <w:pStyle w:val="TableContents"/>
              <w:bidi w:val="0"/>
              <w:spacing w:before="0" w:after="283"/>
              <w:ind w:left="0" w:right="0" w:hanging="0"/>
              <w:jc w:val="right"/>
              <w:rPr/>
            </w:pPr>
            <w:r>
              <w:rPr>
                <w:strike/>
                <w:color w:val="FF0000"/>
              </w:rPr>
              <w:t>72</w:t>
            </w:r>
            <w:r>
              <w:rPr>
                <w:color w:val="0000FF"/>
                <w:u w:val="single"/>
                <w:bdr w:val="single" w:sz="8" w:space="1" w:color="0000FF"/>
              </w:rPr>
              <w:t>79</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2.3</w:t>
            </w:r>
          </w:p>
        </w:tc>
        <w:tc>
          <w:tcPr>
            <w:tcW w:w="7055" w:type="dxa"/>
            <w:tcBorders/>
            <w:vAlign w:val="center"/>
          </w:tcPr>
          <w:p>
            <w:pPr>
              <w:pStyle w:val="TableContents"/>
              <w:bidi w:val="0"/>
              <w:spacing w:before="0" w:after="283"/>
              <w:ind w:left="0" w:right="0" w:hanging="0"/>
              <w:jc w:val="left"/>
              <w:rPr/>
            </w:pPr>
            <w:r>
              <w:rPr/>
              <w:t>Notice of Borrowing</w:t>
            </w:r>
          </w:p>
        </w:tc>
        <w:tc>
          <w:tcPr>
            <w:tcW w:w="635" w:type="dxa"/>
            <w:tcBorders/>
            <w:vAlign w:val="center"/>
          </w:tcPr>
          <w:p>
            <w:pPr>
              <w:pStyle w:val="TableContents"/>
              <w:bidi w:val="0"/>
              <w:spacing w:before="0" w:after="283"/>
              <w:ind w:left="0" w:right="0" w:hanging="0"/>
              <w:jc w:val="right"/>
              <w:rPr/>
            </w:pPr>
            <w:r>
              <w:rPr/>
              <w:t>79</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2.4</w:t>
            </w:r>
          </w:p>
        </w:tc>
        <w:tc>
          <w:tcPr>
            <w:tcW w:w="7055" w:type="dxa"/>
            <w:tcBorders/>
            <w:vAlign w:val="center"/>
          </w:tcPr>
          <w:p>
            <w:pPr>
              <w:pStyle w:val="TableContents"/>
              <w:bidi w:val="0"/>
              <w:spacing w:before="0" w:after="283"/>
              <w:ind w:left="0" w:right="0" w:hanging="0"/>
              <w:jc w:val="left"/>
              <w:rPr/>
            </w:pPr>
            <w:r>
              <w:rPr/>
              <w:t>Disbursement of Funds</w:t>
            </w:r>
          </w:p>
        </w:tc>
        <w:tc>
          <w:tcPr>
            <w:tcW w:w="635" w:type="dxa"/>
            <w:tcBorders/>
            <w:vAlign w:val="center"/>
          </w:tcPr>
          <w:p>
            <w:pPr>
              <w:pStyle w:val="TableContents"/>
              <w:bidi w:val="0"/>
              <w:spacing w:before="0" w:after="283"/>
              <w:ind w:left="0" w:right="0" w:hanging="0"/>
              <w:jc w:val="right"/>
              <w:rPr/>
            </w:pPr>
            <w:r>
              <w:rPr>
                <w:strike/>
                <w:color w:val="FF0000"/>
              </w:rPr>
              <w:t>73</w:t>
            </w:r>
            <w:r>
              <w:rPr>
                <w:color w:val="0000FF"/>
                <w:u w:val="single"/>
                <w:bdr w:val="single" w:sz="8" w:space="1" w:color="0000FF"/>
              </w:rPr>
              <w:t>80</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2.5</w:t>
            </w:r>
          </w:p>
        </w:tc>
        <w:tc>
          <w:tcPr>
            <w:tcW w:w="7055" w:type="dxa"/>
            <w:tcBorders/>
            <w:vAlign w:val="center"/>
          </w:tcPr>
          <w:p>
            <w:pPr>
              <w:pStyle w:val="TableContents"/>
              <w:bidi w:val="0"/>
              <w:spacing w:before="0" w:after="283"/>
              <w:ind w:left="0" w:right="0" w:hanging="0"/>
              <w:jc w:val="left"/>
              <w:rPr/>
            </w:pPr>
            <w:r>
              <w:rPr/>
              <w:t>Repayment of Loans; Evidence of Debt</w:t>
            </w:r>
          </w:p>
        </w:tc>
        <w:tc>
          <w:tcPr>
            <w:tcW w:w="635" w:type="dxa"/>
            <w:tcBorders/>
            <w:vAlign w:val="center"/>
          </w:tcPr>
          <w:p>
            <w:pPr>
              <w:pStyle w:val="TableContents"/>
              <w:bidi w:val="0"/>
              <w:spacing w:before="0" w:after="283"/>
              <w:ind w:left="0" w:right="0" w:hanging="0"/>
              <w:jc w:val="right"/>
              <w:rPr/>
            </w:pPr>
            <w:r>
              <w:rPr>
                <w:strike/>
                <w:color w:val="FF0000"/>
              </w:rPr>
              <w:t>74</w:t>
            </w:r>
            <w:r>
              <w:rPr>
                <w:color w:val="0000FF"/>
                <w:u w:val="single"/>
                <w:bdr w:val="single" w:sz="8" w:space="1" w:color="0000FF"/>
              </w:rPr>
              <w:t>80</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2.6</w:t>
            </w:r>
          </w:p>
        </w:tc>
        <w:tc>
          <w:tcPr>
            <w:tcW w:w="7055" w:type="dxa"/>
            <w:tcBorders/>
            <w:vAlign w:val="center"/>
          </w:tcPr>
          <w:p>
            <w:pPr>
              <w:pStyle w:val="TableContents"/>
              <w:bidi w:val="0"/>
              <w:spacing w:before="0" w:after="283"/>
              <w:ind w:left="0" w:right="0" w:hanging="0"/>
              <w:jc w:val="left"/>
              <w:rPr/>
            </w:pPr>
            <w:r>
              <w:rPr/>
              <w:t>Conversions and Continuations</w:t>
            </w:r>
          </w:p>
        </w:tc>
        <w:tc>
          <w:tcPr>
            <w:tcW w:w="635" w:type="dxa"/>
            <w:tcBorders/>
            <w:vAlign w:val="center"/>
          </w:tcPr>
          <w:p>
            <w:pPr>
              <w:pStyle w:val="TableContents"/>
              <w:bidi w:val="0"/>
              <w:spacing w:before="0" w:after="283"/>
              <w:ind w:left="0" w:right="0" w:hanging="0"/>
              <w:jc w:val="right"/>
              <w:rPr/>
            </w:pPr>
            <w:r>
              <w:rPr/>
              <w:t>81</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2.7</w:t>
            </w:r>
          </w:p>
        </w:tc>
        <w:tc>
          <w:tcPr>
            <w:tcW w:w="7055" w:type="dxa"/>
            <w:tcBorders/>
            <w:vAlign w:val="center"/>
          </w:tcPr>
          <w:p>
            <w:pPr>
              <w:pStyle w:val="TableContents"/>
              <w:bidi w:val="0"/>
              <w:spacing w:before="0" w:after="283"/>
              <w:ind w:left="0" w:right="0" w:hanging="0"/>
              <w:jc w:val="left"/>
              <w:rPr/>
            </w:pPr>
            <w:r>
              <w:rPr/>
              <w:t>Pro Rata Borrowings</w:t>
            </w:r>
          </w:p>
        </w:tc>
        <w:tc>
          <w:tcPr>
            <w:tcW w:w="635" w:type="dxa"/>
            <w:tcBorders/>
            <w:vAlign w:val="center"/>
          </w:tcPr>
          <w:p>
            <w:pPr>
              <w:pStyle w:val="TableContents"/>
              <w:bidi w:val="0"/>
              <w:spacing w:before="0" w:after="283"/>
              <w:ind w:left="0" w:right="0" w:hanging="0"/>
              <w:jc w:val="right"/>
              <w:rPr/>
            </w:pPr>
            <w:r>
              <w:rPr/>
              <w:t>82</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2.8</w:t>
            </w:r>
          </w:p>
        </w:tc>
        <w:tc>
          <w:tcPr>
            <w:tcW w:w="7055" w:type="dxa"/>
            <w:tcBorders/>
            <w:vAlign w:val="center"/>
          </w:tcPr>
          <w:p>
            <w:pPr>
              <w:pStyle w:val="TableContents"/>
              <w:bidi w:val="0"/>
              <w:spacing w:before="0" w:after="283"/>
              <w:ind w:left="0" w:right="0" w:hanging="0"/>
              <w:jc w:val="left"/>
              <w:rPr/>
            </w:pPr>
            <w:r>
              <w:rPr/>
              <w:t>Interest</w:t>
            </w:r>
          </w:p>
        </w:tc>
        <w:tc>
          <w:tcPr>
            <w:tcW w:w="635" w:type="dxa"/>
            <w:tcBorders/>
            <w:vAlign w:val="center"/>
          </w:tcPr>
          <w:p>
            <w:pPr>
              <w:pStyle w:val="TableContents"/>
              <w:bidi w:val="0"/>
              <w:spacing w:before="0" w:after="283"/>
              <w:ind w:left="0" w:right="0" w:hanging="0"/>
              <w:jc w:val="right"/>
              <w:rPr/>
            </w:pPr>
            <w:r>
              <w:rPr/>
              <w:t>82</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2.9</w:t>
            </w:r>
          </w:p>
        </w:tc>
        <w:tc>
          <w:tcPr>
            <w:tcW w:w="7055" w:type="dxa"/>
            <w:tcBorders/>
            <w:vAlign w:val="center"/>
          </w:tcPr>
          <w:p>
            <w:pPr>
              <w:pStyle w:val="TableContents"/>
              <w:bidi w:val="0"/>
              <w:spacing w:before="0" w:after="283"/>
              <w:ind w:left="0" w:right="0" w:hanging="0"/>
              <w:jc w:val="left"/>
              <w:rPr/>
            </w:pPr>
            <w:r>
              <w:rPr/>
              <w:t>Interest Periods</w:t>
            </w:r>
          </w:p>
        </w:tc>
        <w:tc>
          <w:tcPr>
            <w:tcW w:w="635" w:type="dxa"/>
            <w:tcBorders/>
            <w:vAlign w:val="center"/>
          </w:tcPr>
          <w:p>
            <w:pPr>
              <w:pStyle w:val="TableContents"/>
              <w:bidi w:val="0"/>
              <w:spacing w:before="0" w:after="283"/>
              <w:ind w:left="0" w:right="0" w:hanging="0"/>
              <w:jc w:val="right"/>
              <w:rPr/>
            </w:pPr>
            <w:r>
              <w:rPr>
                <w:strike/>
                <w:color w:val="FF0000"/>
              </w:rPr>
              <w:t>76</w:t>
            </w:r>
            <w:r>
              <w:rPr>
                <w:color w:val="0000FF"/>
                <w:u w:val="single"/>
                <w:bdr w:val="single" w:sz="8" w:space="1" w:color="0000FF"/>
              </w:rPr>
              <w:t>83</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2.10</w:t>
            </w:r>
          </w:p>
        </w:tc>
        <w:tc>
          <w:tcPr>
            <w:tcW w:w="7055" w:type="dxa"/>
            <w:tcBorders/>
            <w:vAlign w:val="center"/>
          </w:tcPr>
          <w:p>
            <w:pPr>
              <w:pStyle w:val="TableContents"/>
              <w:bidi w:val="0"/>
              <w:spacing w:before="0" w:after="283"/>
              <w:ind w:left="0" w:right="0" w:hanging="0"/>
              <w:jc w:val="left"/>
              <w:rPr/>
            </w:pPr>
            <w:r>
              <w:rPr/>
              <w:t>Increased Costs, Illegality, Etc.</w:t>
            </w:r>
          </w:p>
        </w:tc>
        <w:tc>
          <w:tcPr>
            <w:tcW w:w="635" w:type="dxa"/>
            <w:tcBorders/>
            <w:vAlign w:val="center"/>
          </w:tcPr>
          <w:p>
            <w:pPr>
              <w:pStyle w:val="TableContents"/>
              <w:bidi w:val="0"/>
              <w:spacing w:before="0" w:after="283"/>
              <w:ind w:left="0" w:right="0" w:hanging="0"/>
              <w:jc w:val="right"/>
              <w:rPr/>
            </w:pPr>
            <w:r>
              <w:rPr/>
              <w:t>83</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2.11</w:t>
            </w:r>
          </w:p>
        </w:tc>
        <w:tc>
          <w:tcPr>
            <w:tcW w:w="7055" w:type="dxa"/>
            <w:tcBorders/>
            <w:vAlign w:val="center"/>
          </w:tcPr>
          <w:p>
            <w:pPr>
              <w:pStyle w:val="TableContents"/>
              <w:bidi w:val="0"/>
              <w:spacing w:before="0" w:after="283"/>
              <w:ind w:left="0" w:right="0" w:hanging="0"/>
              <w:jc w:val="left"/>
              <w:rPr/>
            </w:pPr>
            <w:r>
              <w:rPr/>
              <w:t>Compensation</w:t>
            </w:r>
          </w:p>
        </w:tc>
        <w:tc>
          <w:tcPr>
            <w:tcW w:w="635" w:type="dxa"/>
            <w:tcBorders/>
            <w:vAlign w:val="center"/>
          </w:tcPr>
          <w:p>
            <w:pPr>
              <w:pStyle w:val="TableContents"/>
              <w:bidi w:val="0"/>
              <w:spacing w:before="0" w:after="283"/>
              <w:ind w:left="0" w:right="0" w:hanging="0"/>
              <w:jc w:val="right"/>
              <w:rPr/>
            </w:pPr>
            <w:r>
              <w:rPr/>
              <w:t>85</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2.12</w:t>
            </w:r>
          </w:p>
        </w:tc>
        <w:tc>
          <w:tcPr>
            <w:tcW w:w="7055" w:type="dxa"/>
            <w:tcBorders/>
            <w:vAlign w:val="center"/>
          </w:tcPr>
          <w:p>
            <w:pPr>
              <w:pStyle w:val="TableContents"/>
              <w:bidi w:val="0"/>
              <w:spacing w:before="0" w:after="283"/>
              <w:ind w:left="0" w:right="0" w:hanging="0"/>
              <w:jc w:val="left"/>
              <w:rPr/>
            </w:pPr>
            <w:r>
              <w:rPr/>
              <w:t>Change of Lending Office</w:t>
            </w:r>
          </w:p>
        </w:tc>
        <w:tc>
          <w:tcPr>
            <w:tcW w:w="635" w:type="dxa"/>
            <w:tcBorders/>
            <w:vAlign w:val="center"/>
          </w:tcPr>
          <w:p>
            <w:pPr>
              <w:pStyle w:val="TableContents"/>
              <w:bidi w:val="0"/>
              <w:spacing w:before="0" w:after="283"/>
              <w:ind w:left="0" w:right="0" w:hanging="0"/>
              <w:jc w:val="right"/>
              <w:rPr/>
            </w:pPr>
            <w:r>
              <w:rPr>
                <w:strike/>
                <w:color w:val="FF0000"/>
              </w:rPr>
              <w:t>79</w:t>
            </w:r>
            <w:r>
              <w:rPr>
                <w:color w:val="0000FF"/>
                <w:u w:val="single"/>
                <w:bdr w:val="single" w:sz="8" w:space="1" w:color="0000FF"/>
              </w:rPr>
              <w:t>86</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2.13</w:t>
            </w:r>
          </w:p>
        </w:tc>
        <w:tc>
          <w:tcPr>
            <w:tcW w:w="7055" w:type="dxa"/>
            <w:tcBorders/>
            <w:vAlign w:val="center"/>
          </w:tcPr>
          <w:p>
            <w:pPr>
              <w:pStyle w:val="TableContents"/>
              <w:bidi w:val="0"/>
              <w:spacing w:before="0" w:after="283"/>
              <w:ind w:left="0" w:right="0" w:hanging="0"/>
              <w:jc w:val="left"/>
              <w:rPr/>
            </w:pPr>
            <w:r>
              <w:rPr/>
              <w:t>Notice of Certain Costs</w:t>
            </w:r>
          </w:p>
        </w:tc>
        <w:tc>
          <w:tcPr>
            <w:tcW w:w="635" w:type="dxa"/>
            <w:tcBorders/>
            <w:vAlign w:val="center"/>
          </w:tcPr>
          <w:p>
            <w:pPr>
              <w:pStyle w:val="TableContents"/>
              <w:bidi w:val="0"/>
              <w:spacing w:before="0" w:after="283"/>
              <w:ind w:left="0" w:right="0" w:hanging="0"/>
              <w:jc w:val="right"/>
              <w:rPr/>
            </w:pPr>
            <w:r>
              <w:rPr>
                <w:strike/>
                <w:color w:val="FF0000"/>
              </w:rPr>
              <w:t>79</w:t>
            </w:r>
            <w:r>
              <w:rPr>
                <w:color w:val="0000FF"/>
                <w:u w:val="single"/>
                <w:bdr w:val="single" w:sz="8" w:space="1" w:color="0000FF"/>
              </w:rPr>
              <w:t>86</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2.14</w:t>
            </w:r>
          </w:p>
        </w:tc>
        <w:tc>
          <w:tcPr>
            <w:tcW w:w="7055" w:type="dxa"/>
            <w:tcBorders/>
            <w:vAlign w:val="center"/>
          </w:tcPr>
          <w:p>
            <w:pPr>
              <w:pStyle w:val="TableContents"/>
              <w:bidi w:val="0"/>
              <w:spacing w:before="0" w:after="283"/>
              <w:ind w:left="0" w:right="0" w:hanging="0"/>
              <w:jc w:val="left"/>
              <w:rPr/>
            </w:pPr>
            <w:r>
              <w:rPr/>
              <w:t>Alternate Rate of Interest</w:t>
            </w:r>
          </w:p>
        </w:tc>
        <w:tc>
          <w:tcPr>
            <w:tcW w:w="635" w:type="dxa"/>
            <w:tcBorders/>
            <w:vAlign w:val="center"/>
          </w:tcPr>
          <w:p>
            <w:pPr>
              <w:pStyle w:val="TableContents"/>
              <w:bidi w:val="0"/>
              <w:spacing w:before="0" w:after="283"/>
              <w:ind w:left="0" w:right="0" w:hanging="0"/>
              <w:jc w:val="right"/>
              <w:rPr/>
            </w:pPr>
            <w:r>
              <w:rPr>
                <w:strike/>
                <w:color w:val="FF0000"/>
              </w:rPr>
              <w:t>79</w:t>
            </w:r>
            <w:r>
              <w:rPr>
                <w:color w:val="0000FF"/>
                <w:u w:val="single"/>
                <w:bdr w:val="single" w:sz="8" w:space="1" w:color="0000FF"/>
              </w:rPr>
              <w:t>86</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2.15</w:t>
            </w:r>
          </w:p>
        </w:tc>
        <w:tc>
          <w:tcPr>
            <w:tcW w:w="7055" w:type="dxa"/>
            <w:tcBorders/>
            <w:vAlign w:val="center"/>
          </w:tcPr>
          <w:p>
            <w:pPr>
              <w:pStyle w:val="TableContents"/>
              <w:bidi w:val="0"/>
              <w:spacing w:before="0" w:after="283"/>
              <w:ind w:left="0" w:right="0" w:hanging="0"/>
              <w:jc w:val="left"/>
              <w:rPr/>
            </w:pPr>
            <w:r>
              <w:rPr/>
              <w:t>Incremental Facilities</w:t>
            </w:r>
          </w:p>
        </w:tc>
        <w:tc>
          <w:tcPr>
            <w:tcW w:w="635" w:type="dxa"/>
            <w:tcBorders/>
            <w:vAlign w:val="center"/>
          </w:tcPr>
          <w:p>
            <w:pPr>
              <w:pStyle w:val="TableContents"/>
              <w:bidi w:val="0"/>
              <w:spacing w:before="0" w:after="283"/>
              <w:ind w:left="0" w:right="0" w:hanging="0"/>
              <w:jc w:val="right"/>
              <w:rPr/>
            </w:pPr>
            <w:r>
              <w:rPr/>
              <w:t>88</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2.16</w:t>
            </w:r>
          </w:p>
        </w:tc>
        <w:tc>
          <w:tcPr>
            <w:tcW w:w="7055" w:type="dxa"/>
            <w:tcBorders/>
            <w:vAlign w:val="center"/>
          </w:tcPr>
          <w:p>
            <w:pPr>
              <w:pStyle w:val="TableContents"/>
              <w:bidi w:val="0"/>
              <w:spacing w:before="0" w:after="283"/>
              <w:ind w:left="0" w:right="0" w:hanging="0"/>
              <w:jc w:val="left"/>
              <w:rPr/>
            </w:pPr>
            <w:r>
              <w:rPr/>
              <w:t>Protective Advances and Overadvances</w:t>
            </w:r>
          </w:p>
        </w:tc>
        <w:tc>
          <w:tcPr>
            <w:tcW w:w="635" w:type="dxa"/>
            <w:tcBorders/>
            <w:vAlign w:val="center"/>
          </w:tcPr>
          <w:p>
            <w:pPr>
              <w:pStyle w:val="TableContents"/>
              <w:bidi w:val="0"/>
              <w:spacing w:before="0" w:after="283"/>
              <w:ind w:left="0" w:right="0" w:hanging="0"/>
              <w:jc w:val="right"/>
              <w:rPr/>
            </w:pPr>
            <w:r>
              <w:rPr>
                <w:strike/>
                <w:color w:val="FF0000"/>
              </w:rPr>
              <w:t>83</w:t>
            </w:r>
            <w:r>
              <w:rPr>
                <w:color w:val="0000FF"/>
                <w:u w:val="single"/>
                <w:bdr w:val="single" w:sz="8" w:space="1" w:color="0000FF"/>
              </w:rPr>
              <w:t>89</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2.17</w:t>
            </w:r>
          </w:p>
        </w:tc>
        <w:tc>
          <w:tcPr>
            <w:tcW w:w="7055" w:type="dxa"/>
            <w:tcBorders/>
            <w:vAlign w:val="center"/>
          </w:tcPr>
          <w:p>
            <w:pPr>
              <w:pStyle w:val="TableContents"/>
              <w:bidi w:val="0"/>
              <w:spacing w:before="0" w:after="283"/>
              <w:ind w:left="0" w:right="0" w:hanging="0"/>
              <w:jc w:val="left"/>
              <w:rPr/>
            </w:pPr>
            <w:r>
              <w:rPr/>
              <w:t>Defaulting Lenders</w:t>
            </w:r>
          </w:p>
        </w:tc>
        <w:tc>
          <w:tcPr>
            <w:tcW w:w="635" w:type="dxa"/>
            <w:tcBorders/>
            <w:vAlign w:val="center"/>
          </w:tcPr>
          <w:p>
            <w:pPr>
              <w:pStyle w:val="TableContents"/>
              <w:bidi w:val="0"/>
              <w:spacing w:before="0" w:after="283"/>
              <w:ind w:left="0" w:right="0" w:hanging="0"/>
              <w:jc w:val="right"/>
              <w:rPr/>
            </w:pPr>
            <w:r>
              <w:rPr/>
              <w:t>90</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2.18</w:t>
            </w:r>
          </w:p>
        </w:tc>
        <w:tc>
          <w:tcPr>
            <w:tcW w:w="7055" w:type="dxa"/>
            <w:tcBorders/>
            <w:vAlign w:val="center"/>
          </w:tcPr>
          <w:p>
            <w:pPr>
              <w:pStyle w:val="TableContents"/>
              <w:bidi w:val="0"/>
              <w:spacing w:before="0" w:after="283"/>
              <w:ind w:left="0" w:right="0" w:hanging="0"/>
              <w:jc w:val="left"/>
              <w:rPr/>
            </w:pPr>
            <w:r>
              <w:rPr/>
              <w:t>Reserves; Change in Reserves; Decisions by Agent</w:t>
            </w:r>
          </w:p>
        </w:tc>
        <w:tc>
          <w:tcPr>
            <w:tcW w:w="635" w:type="dxa"/>
            <w:tcBorders/>
            <w:vAlign w:val="center"/>
          </w:tcPr>
          <w:p>
            <w:pPr>
              <w:pStyle w:val="TableContents"/>
              <w:bidi w:val="0"/>
              <w:spacing w:before="0" w:after="283"/>
              <w:ind w:left="0" w:right="0" w:hanging="0"/>
              <w:jc w:val="right"/>
              <w:rPr/>
            </w:pPr>
            <w:r>
              <w:rPr>
                <w:strike/>
                <w:color w:val="FF0000"/>
              </w:rPr>
              <w:t>85</w:t>
            </w:r>
            <w:r>
              <w:rPr>
                <w:color w:val="0000FF"/>
                <w:u w:val="single"/>
                <w:bdr w:val="single" w:sz="8" w:space="1" w:color="0000FF"/>
              </w:rPr>
              <w:t>92</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 </w:t>
            </w:r>
          </w:p>
        </w:tc>
        <w:tc>
          <w:tcPr>
            <w:tcW w:w="7055" w:type="dxa"/>
            <w:tcBorders/>
            <w:vAlign w:val="center"/>
          </w:tcPr>
          <w:p>
            <w:pPr>
              <w:pStyle w:val="TableContents"/>
              <w:bidi w:val="0"/>
              <w:spacing w:before="0" w:after="283"/>
              <w:ind w:left="0" w:right="0" w:hanging="0"/>
              <w:jc w:val="left"/>
              <w:rPr/>
            </w:pPr>
            <w:r>
              <w:rPr/>
              <w:t> </w:t>
            </w:r>
          </w:p>
        </w:tc>
        <w:tc>
          <w:tcPr>
            <w:tcW w:w="635" w:type="dxa"/>
            <w:tcBorders/>
            <w:vAlign w:val="center"/>
          </w:tcPr>
          <w:p>
            <w:pPr>
              <w:pStyle w:val="TableContents"/>
              <w:bidi w:val="0"/>
              <w:spacing w:before="0" w:after="283"/>
              <w:jc w:val="right"/>
              <w:rPr/>
            </w:pPr>
            <w:r>
              <w:rPr/>
              <w:t> </w:t>
            </w:r>
          </w:p>
        </w:tc>
      </w:tr>
      <w:tr>
        <w:trPr/>
        <w:tc>
          <w:tcPr>
            <w:tcW w:w="979" w:type="dxa"/>
            <w:gridSpan w:val="2"/>
            <w:tcBorders/>
            <w:vAlign w:val="center"/>
          </w:tcPr>
          <w:p>
            <w:pPr>
              <w:pStyle w:val="TableContents"/>
              <w:bidi w:val="0"/>
              <w:spacing w:before="0" w:after="283"/>
              <w:jc w:val="left"/>
              <w:rPr/>
            </w:pPr>
            <w:r>
              <w:rPr/>
              <w:t>Section 3.</w:t>
            </w:r>
          </w:p>
        </w:tc>
        <w:tc>
          <w:tcPr>
            <w:tcW w:w="7055" w:type="dxa"/>
            <w:tcBorders/>
            <w:vAlign w:val="center"/>
          </w:tcPr>
          <w:p>
            <w:pPr>
              <w:pStyle w:val="TableContents"/>
              <w:bidi w:val="0"/>
              <w:spacing w:before="0" w:after="283"/>
              <w:jc w:val="left"/>
              <w:rPr/>
            </w:pPr>
            <w:r>
              <w:rPr/>
              <w:t>Letters of Credit</w:t>
            </w:r>
          </w:p>
        </w:tc>
        <w:tc>
          <w:tcPr>
            <w:tcW w:w="635" w:type="dxa"/>
            <w:tcBorders/>
            <w:vAlign w:val="center"/>
          </w:tcPr>
          <w:p>
            <w:pPr>
              <w:pStyle w:val="TableContents"/>
              <w:bidi w:val="0"/>
              <w:spacing w:before="0" w:after="283"/>
              <w:jc w:val="right"/>
              <w:rPr/>
            </w:pPr>
            <w:r>
              <w:rPr>
                <w:strike/>
                <w:color w:val="FF0000"/>
              </w:rPr>
              <w:t>86</w:t>
            </w:r>
            <w:r>
              <w:rPr>
                <w:color w:val="0000FF"/>
                <w:u w:val="single"/>
                <w:bdr w:val="single" w:sz="8" w:space="1" w:color="0000FF"/>
              </w:rPr>
              <w:t>92</w:t>
            </w:r>
          </w:p>
        </w:tc>
      </w:tr>
      <w:tr>
        <w:trPr/>
        <w:tc>
          <w:tcPr>
            <w:tcW w:w="979" w:type="dxa"/>
            <w:gridSpan w:val="2"/>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ind w:left="0" w:right="0" w:hanging="0"/>
              <w:jc w:val="right"/>
              <w:rPr/>
            </w:pPr>
            <w:r>
              <w:rPr/>
              <w:t> </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3.1</w:t>
            </w:r>
          </w:p>
        </w:tc>
        <w:tc>
          <w:tcPr>
            <w:tcW w:w="7055" w:type="dxa"/>
            <w:tcBorders/>
            <w:vAlign w:val="center"/>
          </w:tcPr>
          <w:p>
            <w:pPr>
              <w:pStyle w:val="TableContents"/>
              <w:bidi w:val="0"/>
              <w:spacing w:before="0" w:after="283"/>
              <w:ind w:left="0" w:right="0" w:hanging="0"/>
              <w:jc w:val="left"/>
              <w:rPr/>
            </w:pPr>
            <w:r>
              <w:rPr/>
              <w:t>Letters of Credit</w:t>
            </w:r>
          </w:p>
        </w:tc>
        <w:tc>
          <w:tcPr>
            <w:tcW w:w="635" w:type="dxa"/>
            <w:tcBorders/>
            <w:vAlign w:val="center"/>
          </w:tcPr>
          <w:p>
            <w:pPr>
              <w:pStyle w:val="TableContents"/>
              <w:bidi w:val="0"/>
              <w:spacing w:before="0" w:after="283"/>
              <w:ind w:left="0" w:right="0" w:hanging="0"/>
              <w:jc w:val="right"/>
              <w:rPr/>
            </w:pPr>
            <w:r>
              <w:rPr>
                <w:strike/>
                <w:color w:val="FF0000"/>
              </w:rPr>
              <w:t>86</w:t>
            </w:r>
            <w:r>
              <w:rPr>
                <w:color w:val="0000FF"/>
                <w:u w:val="single"/>
                <w:bdr w:val="single" w:sz="8" w:space="1" w:color="0000FF"/>
              </w:rPr>
              <w:t>92</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3.2</w:t>
            </w:r>
          </w:p>
        </w:tc>
        <w:tc>
          <w:tcPr>
            <w:tcW w:w="7055" w:type="dxa"/>
            <w:tcBorders/>
            <w:vAlign w:val="center"/>
          </w:tcPr>
          <w:p>
            <w:pPr>
              <w:pStyle w:val="TableContents"/>
              <w:bidi w:val="0"/>
              <w:spacing w:before="0" w:after="283"/>
              <w:ind w:left="0" w:right="0" w:hanging="0"/>
              <w:jc w:val="left"/>
              <w:rPr/>
            </w:pPr>
            <w:r>
              <w:rPr/>
              <w:t>Letter of Credit Requests</w:t>
            </w:r>
          </w:p>
        </w:tc>
        <w:tc>
          <w:tcPr>
            <w:tcW w:w="635" w:type="dxa"/>
            <w:tcBorders/>
            <w:vAlign w:val="center"/>
          </w:tcPr>
          <w:p>
            <w:pPr>
              <w:pStyle w:val="TableContents"/>
              <w:bidi w:val="0"/>
              <w:spacing w:before="0" w:after="283"/>
              <w:ind w:left="0" w:right="0" w:hanging="0"/>
              <w:jc w:val="right"/>
              <w:rPr/>
            </w:pPr>
            <w:r>
              <w:rPr>
                <w:strike/>
                <w:color w:val="FF0000"/>
              </w:rPr>
              <w:t>87</w:t>
            </w:r>
            <w:r>
              <w:rPr>
                <w:color w:val="0000FF"/>
                <w:u w:val="single"/>
                <w:bdr w:val="single" w:sz="8" w:space="1" w:color="0000FF"/>
              </w:rPr>
              <w:t>94</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3.3</w:t>
            </w:r>
          </w:p>
        </w:tc>
        <w:tc>
          <w:tcPr>
            <w:tcW w:w="7055" w:type="dxa"/>
            <w:tcBorders/>
            <w:vAlign w:val="center"/>
          </w:tcPr>
          <w:p>
            <w:pPr>
              <w:pStyle w:val="TableContents"/>
              <w:bidi w:val="0"/>
              <w:spacing w:before="0" w:after="283"/>
              <w:ind w:left="0" w:right="0" w:hanging="0"/>
              <w:jc w:val="left"/>
              <w:rPr/>
            </w:pPr>
            <w:r>
              <w:rPr/>
              <w:t>Letter of Credit Participations</w:t>
            </w:r>
          </w:p>
        </w:tc>
        <w:tc>
          <w:tcPr>
            <w:tcW w:w="635" w:type="dxa"/>
            <w:tcBorders/>
            <w:vAlign w:val="center"/>
          </w:tcPr>
          <w:p>
            <w:pPr>
              <w:pStyle w:val="TableContents"/>
              <w:bidi w:val="0"/>
              <w:spacing w:before="0" w:after="283"/>
              <w:ind w:left="0" w:right="0" w:hanging="0"/>
              <w:jc w:val="right"/>
              <w:rPr/>
            </w:pPr>
            <w:r>
              <w:rPr/>
              <w:t>95</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3.4</w:t>
            </w:r>
          </w:p>
        </w:tc>
        <w:tc>
          <w:tcPr>
            <w:tcW w:w="7055" w:type="dxa"/>
            <w:tcBorders/>
            <w:vAlign w:val="center"/>
          </w:tcPr>
          <w:p>
            <w:pPr>
              <w:pStyle w:val="TableContents"/>
              <w:bidi w:val="0"/>
              <w:spacing w:before="0" w:after="283"/>
              <w:ind w:left="0" w:right="0" w:hanging="0"/>
              <w:jc w:val="left"/>
              <w:rPr/>
            </w:pPr>
            <w:r>
              <w:rPr/>
              <w:t>Agreement to Repay Letter of Credit Drawings</w:t>
            </w:r>
          </w:p>
        </w:tc>
        <w:tc>
          <w:tcPr>
            <w:tcW w:w="635" w:type="dxa"/>
            <w:tcBorders/>
            <w:vAlign w:val="center"/>
          </w:tcPr>
          <w:p>
            <w:pPr>
              <w:pStyle w:val="TableContents"/>
              <w:bidi w:val="0"/>
              <w:spacing w:before="0" w:after="283"/>
              <w:ind w:left="0" w:right="0" w:hanging="0"/>
              <w:jc w:val="right"/>
              <w:rPr/>
            </w:pPr>
            <w:r>
              <w:rPr>
                <w:strike/>
                <w:color w:val="FF0000"/>
              </w:rPr>
              <w:t>90</w:t>
            </w:r>
            <w:r>
              <w:rPr>
                <w:color w:val="0000FF"/>
                <w:u w:val="single"/>
                <w:bdr w:val="single" w:sz="8" w:space="1" w:color="0000FF"/>
              </w:rPr>
              <w:t>97</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3.5</w:t>
            </w:r>
          </w:p>
        </w:tc>
        <w:tc>
          <w:tcPr>
            <w:tcW w:w="7055" w:type="dxa"/>
            <w:tcBorders/>
            <w:vAlign w:val="center"/>
          </w:tcPr>
          <w:p>
            <w:pPr>
              <w:pStyle w:val="TableContents"/>
              <w:bidi w:val="0"/>
              <w:spacing w:before="0" w:after="283"/>
              <w:ind w:left="0" w:right="0" w:hanging="0"/>
              <w:jc w:val="left"/>
              <w:rPr/>
            </w:pPr>
            <w:r>
              <w:rPr/>
              <w:t>Increased Costs</w:t>
            </w:r>
          </w:p>
        </w:tc>
        <w:tc>
          <w:tcPr>
            <w:tcW w:w="635" w:type="dxa"/>
            <w:tcBorders/>
            <w:vAlign w:val="center"/>
          </w:tcPr>
          <w:p>
            <w:pPr>
              <w:pStyle w:val="TableContents"/>
              <w:bidi w:val="0"/>
              <w:spacing w:before="0" w:after="283"/>
              <w:ind w:left="0" w:right="0" w:hanging="0"/>
              <w:jc w:val="right"/>
              <w:rPr/>
            </w:pPr>
            <w:r>
              <w:rPr>
                <w:strike/>
                <w:color w:val="FF0000"/>
              </w:rPr>
              <w:t>91</w:t>
            </w:r>
            <w:r>
              <w:rPr>
                <w:color w:val="0000FF"/>
                <w:u w:val="single"/>
                <w:bdr w:val="single" w:sz="8" w:space="1" w:color="0000FF"/>
              </w:rPr>
              <w:t>98</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3.6</w:t>
            </w:r>
          </w:p>
        </w:tc>
        <w:tc>
          <w:tcPr>
            <w:tcW w:w="7055" w:type="dxa"/>
            <w:tcBorders/>
            <w:vAlign w:val="center"/>
          </w:tcPr>
          <w:p>
            <w:pPr>
              <w:pStyle w:val="TableContents"/>
              <w:bidi w:val="0"/>
              <w:spacing w:before="0" w:after="283"/>
              <w:ind w:left="0" w:right="0" w:hanging="0"/>
              <w:jc w:val="left"/>
              <w:rPr/>
            </w:pPr>
            <w:r>
              <w:rPr/>
              <w:t>New or Successor Letter of Credit Issuer</w:t>
            </w:r>
          </w:p>
        </w:tc>
        <w:tc>
          <w:tcPr>
            <w:tcW w:w="635" w:type="dxa"/>
            <w:tcBorders/>
            <w:vAlign w:val="center"/>
          </w:tcPr>
          <w:p>
            <w:pPr>
              <w:pStyle w:val="TableContents"/>
              <w:bidi w:val="0"/>
              <w:spacing w:before="0" w:after="283"/>
              <w:ind w:left="0" w:right="0" w:hanging="0"/>
              <w:jc w:val="right"/>
              <w:rPr/>
            </w:pPr>
            <w:r>
              <w:rPr>
                <w:strike/>
                <w:color w:val="FF0000"/>
              </w:rPr>
              <w:t>92</w:t>
            </w:r>
            <w:r>
              <w:rPr>
                <w:color w:val="0000FF"/>
                <w:u w:val="single"/>
                <w:bdr w:val="single" w:sz="8" w:space="1" w:color="0000FF"/>
              </w:rPr>
              <w:t>99</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3.7</w:t>
            </w:r>
          </w:p>
        </w:tc>
        <w:tc>
          <w:tcPr>
            <w:tcW w:w="7055" w:type="dxa"/>
            <w:tcBorders/>
            <w:vAlign w:val="center"/>
          </w:tcPr>
          <w:p>
            <w:pPr>
              <w:pStyle w:val="TableContents"/>
              <w:bidi w:val="0"/>
              <w:spacing w:before="0" w:after="283"/>
              <w:ind w:left="0" w:right="0" w:hanging="0"/>
              <w:jc w:val="left"/>
              <w:rPr/>
            </w:pPr>
            <w:r>
              <w:rPr/>
              <w:t>Role of Letter of Credit Issuer</w:t>
            </w:r>
          </w:p>
        </w:tc>
        <w:tc>
          <w:tcPr>
            <w:tcW w:w="635" w:type="dxa"/>
            <w:tcBorders/>
            <w:vAlign w:val="center"/>
          </w:tcPr>
          <w:p>
            <w:pPr>
              <w:pStyle w:val="TableContents"/>
              <w:bidi w:val="0"/>
              <w:spacing w:before="0" w:after="283"/>
              <w:ind w:left="0" w:right="0" w:hanging="0"/>
              <w:jc w:val="right"/>
              <w:rPr/>
            </w:pPr>
            <w:r>
              <w:rPr>
                <w:strike/>
                <w:color w:val="FF0000"/>
              </w:rPr>
              <w:t>93</w:t>
            </w:r>
            <w:r>
              <w:rPr>
                <w:color w:val="0000FF"/>
                <w:u w:val="single"/>
                <w:bdr w:val="single" w:sz="8" w:space="1" w:color="0000FF"/>
              </w:rPr>
              <w:t>100</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3.8</w:t>
            </w:r>
          </w:p>
        </w:tc>
        <w:tc>
          <w:tcPr>
            <w:tcW w:w="7055" w:type="dxa"/>
            <w:tcBorders/>
            <w:vAlign w:val="center"/>
          </w:tcPr>
          <w:p>
            <w:pPr>
              <w:pStyle w:val="TableContents"/>
              <w:bidi w:val="0"/>
              <w:spacing w:before="0" w:after="283"/>
              <w:ind w:left="0" w:right="0" w:hanging="0"/>
              <w:jc w:val="left"/>
              <w:rPr/>
            </w:pPr>
            <w:r>
              <w:rPr/>
              <w:t>Cash Collateral</w:t>
            </w:r>
          </w:p>
        </w:tc>
        <w:tc>
          <w:tcPr>
            <w:tcW w:w="635" w:type="dxa"/>
            <w:tcBorders/>
            <w:vAlign w:val="center"/>
          </w:tcPr>
          <w:p>
            <w:pPr>
              <w:pStyle w:val="TableContents"/>
              <w:bidi w:val="0"/>
              <w:spacing w:before="0" w:after="283"/>
              <w:ind w:left="0" w:right="0" w:hanging="0"/>
              <w:jc w:val="right"/>
              <w:rPr/>
            </w:pPr>
            <w:r>
              <w:rPr>
                <w:strike/>
                <w:color w:val="FF0000"/>
              </w:rPr>
              <w:t>93</w:t>
            </w:r>
            <w:r>
              <w:rPr>
                <w:color w:val="0000FF"/>
                <w:u w:val="single"/>
                <w:bdr w:val="single" w:sz="8" w:space="1" w:color="0000FF"/>
              </w:rPr>
              <w:t>100</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3.9</w:t>
            </w:r>
          </w:p>
        </w:tc>
        <w:tc>
          <w:tcPr>
            <w:tcW w:w="7055" w:type="dxa"/>
            <w:tcBorders/>
            <w:vAlign w:val="center"/>
          </w:tcPr>
          <w:p>
            <w:pPr>
              <w:pStyle w:val="TableContents"/>
              <w:bidi w:val="0"/>
              <w:spacing w:before="0" w:after="283"/>
              <w:ind w:left="0" w:right="0" w:hanging="0"/>
              <w:jc w:val="left"/>
              <w:rPr/>
            </w:pPr>
            <w:r>
              <w:rPr/>
              <w:t>Applicability of ISP and UCP</w:t>
            </w:r>
          </w:p>
        </w:tc>
        <w:tc>
          <w:tcPr>
            <w:tcW w:w="635" w:type="dxa"/>
            <w:tcBorders/>
            <w:vAlign w:val="center"/>
          </w:tcPr>
          <w:p>
            <w:pPr>
              <w:pStyle w:val="TableContents"/>
              <w:bidi w:val="0"/>
              <w:spacing w:before="0" w:after="283"/>
              <w:ind w:left="0" w:right="0" w:hanging="0"/>
              <w:jc w:val="right"/>
              <w:rPr/>
            </w:pPr>
            <w:r>
              <w:rPr>
                <w:strike/>
                <w:color w:val="FF0000"/>
              </w:rPr>
              <w:t>94</w:t>
            </w:r>
            <w:r>
              <w:rPr>
                <w:color w:val="0000FF"/>
                <w:u w:val="single"/>
                <w:bdr w:val="single" w:sz="8" w:space="1" w:color="0000FF"/>
              </w:rPr>
              <w:t>101</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3.10</w:t>
            </w:r>
          </w:p>
        </w:tc>
        <w:tc>
          <w:tcPr>
            <w:tcW w:w="7055" w:type="dxa"/>
            <w:tcBorders/>
            <w:vAlign w:val="center"/>
          </w:tcPr>
          <w:p>
            <w:pPr>
              <w:pStyle w:val="TableContents"/>
              <w:bidi w:val="0"/>
              <w:spacing w:before="0" w:after="283"/>
              <w:ind w:left="0" w:right="0" w:hanging="0"/>
              <w:jc w:val="left"/>
              <w:rPr/>
            </w:pPr>
            <w:r>
              <w:rPr/>
              <w:t>Conflict with Issuer Documents</w:t>
            </w:r>
          </w:p>
        </w:tc>
        <w:tc>
          <w:tcPr>
            <w:tcW w:w="635" w:type="dxa"/>
            <w:tcBorders/>
            <w:vAlign w:val="center"/>
          </w:tcPr>
          <w:p>
            <w:pPr>
              <w:pStyle w:val="TableContents"/>
              <w:bidi w:val="0"/>
              <w:spacing w:before="0" w:after="283"/>
              <w:ind w:left="0" w:right="0" w:hanging="0"/>
              <w:jc w:val="right"/>
              <w:rPr/>
            </w:pPr>
            <w:r>
              <w:rPr>
                <w:strike/>
                <w:color w:val="FF0000"/>
              </w:rPr>
              <w:t>94</w:t>
            </w:r>
            <w:r>
              <w:rPr>
                <w:color w:val="0000FF"/>
                <w:u w:val="single"/>
                <w:bdr w:val="single" w:sz="8" w:space="1" w:color="0000FF"/>
              </w:rPr>
              <w:t>101</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3.11</w:t>
            </w:r>
          </w:p>
        </w:tc>
        <w:tc>
          <w:tcPr>
            <w:tcW w:w="7055" w:type="dxa"/>
            <w:tcBorders/>
            <w:vAlign w:val="center"/>
          </w:tcPr>
          <w:p>
            <w:pPr>
              <w:pStyle w:val="TableContents"/>
              <w:bidi w:val="0"/>
              <w:spacing w:before="0" w:after="283"/>
              <w:ind w:left="0" w:right="0" w:hanging="0"/>
              <w:jc w:val="left"/>
              <w:rPr/>
            </w:pPr>
            <w:r>
              <w:rPr/>
              <w:t>Letters of Credit Issued for Restricted Subsidiaries</w:t>
            </w:r>
          </w:p>
        </w:tc>
        <w:tc>
          <w:tcPr>
            <w:tcW w:w="635" w:type="dxa"/>
            <w:tcBorders/>
            <w:vAlign w:val="center"/>
          </w:tcPr>
          <w:p>
            <w:pPr>
              <w:pStyle w:val="TableContents"/>
              <w:bidi w:val="0"/>
              <w:spacing w:before="0" w:after="283"/>
              <w:ind w:left="0" w:right="0" w:hanging="0"/>
              <w:jc w:val="right"/>
              <w:rPr/>
            </w:pPr>
            <w:r>
              <w:rPr>
                <w:strike/>
                <w:color w:val="FF0000"/>
              </w:rPr>
              <w:t>94</w:t>
            </w:r>
            <w:r>
              <w:rPr>
                <w:color w:val="0000FF"/>
                <w:u w:val="single"/>
                <w:bdr w:val="single" w:sz="8" w:space="1" w:color="0000FF"/>
              </w:rPr>
              <w:t>101</w:t>
            </w:r>
          </w:p>
        </w:tc>
      </w:tr>
      <w:tr>
        <w:trPr/>
        <w:tc>
          <w:tcPr>
            <w:tcW w:w="141" w:type="dxa"/>
            <w:tcBorders/>
            <w:vAlign w:val="center"/>
          </w:tcPr>
          <w:p>
            <w:pPr>
              <w:pStyle w:val="TableContents"/>
              <w:bidi w:val="0"/>
              <w:spacing w:before="0" w:after="283"/>
              <w:ind w:left="0" w:right="0" w:hanging="0"/>
              <w:jc w:val="left"/>
              <w:rPr/>
            </w:pPr>
            <w:r>
              <w:rPr/>
              <w:t> </w:t>
            </w:r>
          </w:p>
        </w:tc>
        <w:tc>
          <w:tcPr>
            <w:tcW w:w="838" w:type="dxa"/>
            <w:tcBorders/>
            <w:vAlign w:val="center"/>
          </w:tcPr>
          <w:p>
            <w:pPr>
              <w:pStyle w:val="TableContents"/>
              <w:bidi w:val="0"/>
              <w:spacing w:before="0" w:after="283"/>
              <w:ind w:left="0" w:right="0" w:hanging="0"/>
              <w:jc w:val="left"/>
              <w:rPr/>
            </w:pPr>
            <w:r>
              <w:rPr/>
              <w:t>3.12</w:t>
            </w:r>
          </w:p>
        </w:tc>
        <w:tc>
          <w:tcPr>
            <w:tcW w:w="7055" w:type="dxa"/>
            <w:tcBorders/>
            <w:vAlign w:val="center"/>
          </w:tcPr>
          <w:p>
            <w:pPr>
              <w:pStyle w:val="TableContents"/>
              <w:bidi w:val="0"/>
              <w:spacing w:before="0" w:after="283"/>
              <w:ind w:left="0" w:right="0" w:hanging="0"/>
              <w:jc w:val="left"/>
              <w:rPr/>
            </w:pPr>
            <w:r>
              <w:rPr/>
              <w:t>Provisions Related to Extended Revolving Credit Commitments</w:t>
            </w:r>
          </w:p>
        </w:tc>
        <w:tc>
          <w:tcPr>
            <w:tcW w:w="635" w:type="dxa"/>
            <w:tcBorders/>
            <w:vAlign w:val="center"/>
          </w:tcPr>
          <w:p>
            <w:pPr>
              <w:pStyle w:val="TableContents"/>
              <w:bidi w:val="0"/>
              <w:spacing w:before="0" w:after="283"/>
              <w:jc w:val="right"/>
              <w:rPr/>
            </w:pPr>
            <w:r>
              <w:rPr>
                <w:strike/>
                <w:color w:val="FF0000"/>
              </w:rPr>
              <w:t>94</w:t>
            </w:r>
            <w:r>
              <w:rPr>
                <w:color w:val="0000FF"/>
                <w:u w:val="single"/>
                <w:bdr w:val="single" w:sz="8" w:space="1" w:color="0000FF"/>
              </w:rPr>
              <w:t>101</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
        <w:gridCol w:w="813"/>
        <w:gridCol w:w="8498"/>
        <w:gridCol w:w="757"/>
      </w:tblGrid>
      <w:tr>
        <w:trPr/>
        <w:tc>
          <w:tcPr>
            <w:tcW w:w="13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u w:val="single"/>
              </w:rPr>
            </w:pPr>
            <w:r>
              <w:rPr>
                <w:u w:val="single"/>
              </w:rPr>
              <w:t>Page</w:t>
            </w:r>
          </w:p>
        </w:tc>
      </w:tr>
      <w:tr>
        <w:trPr/>
        <w:tc>
          <w:tcPr>
            <w:tcW w:w="137"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 </w:t>
            </w:r>
          </w:p>
        </w:tc>
      </w:tr>
      <w:tr>
        <w:trPr/>
        <w:tc>
          <w:tcPr>
            <w:tcW w:w="950" w:type="dxa"/>
            <w:gridSpan w:val="2"/>
            <w:tcBorders/>
            <w:vAlign w:val="center"/>
          </w:tcPr>
          <w:p>
            <w:pPr>
              <w:pStyle w:val="TableContents"/>
              <w:bidi w:val="0"/>
              <w:spacing w:before="0" w:after="283"/>
              <w:jc w:val="left"/>
              <w:rPr/>
            </w:pPr>
            <w:r>
              <w:rPr/>
              <w:t>Section 4.</w:t>
            </w:r>
          </w:p>
        </w:tc>
        <w:tc>
          <w:tcPr>
            <w:tcW w:w="8498" w:type="dxa"/>
            <w:tcBorders/>
            <w:vAlign w:val="center"/>
          </w:tcPr>
          <w:p>
            <w:pPr>
              <w:pStyle w:val="TableContents"/>
              <w:bidi w:val="0"/>
              <w:spacing w:before="0" w:after="283"/>
              <w:jc w:val="left"/>
              <w:rPr/>
            </w:pPr>
            <w:r>
              <w:rPr/>
              <w:t>Fees</w:t>
            </w:r>
          </w:p>
        </w:tc>
        <w:tc>
          <w:tcPr>
            <w:tcW w:w="757" w:type="dxa"/>
            <w:tcBorders/>
            <w:vAlign w:val="center"/>
          </w:tcPr>
          <w:p>
            <w:pPr>
              <w:pStyle w:val="TableContents"/>
              <w:bidi w:val="0"/>
              <w:spacing w:before="0" w:after="283"/>
              <w:ind w:left="0" w:right="0" w:hanging="0"/>
              <w:jc w:val="right"/>
              <w:rPr/>
            </w:pPr>
            <w:r>
              <w:rPr>
                <w:strike/>
                <w:color w:val="FF0000"/>
              </w:rPr>
              <w:t>95</w:t>
            </w:r>
            <w:r>
              <w:rPr>
                <w:color w:val="0000FF"/>
                <w:u w:val="single"/>
                <w:bdr w:val="single" w:sz="8" w:space="1" w:color="0000FF"/>
              </w:rPr>
              <w:t>102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4.1</w:t>
            </w:r>
          </w:p>
        </w:tc>
        <w:tc>
          <w:tcPr>
            <w:tcW w:w="8498" w:type="dxa"/>
            <w:tcBorders/>
            <w:vAlign w:val="center"/>
          </w:tcPr>
          <w:p>
            <w:pPr>
              <w:pStyle w:val="TableContents"/>
              <w:bidi w:val="0"/>
              <w:spacing w:before="0" w:after="283"/>
              <w:ind w:left="0" w:right="0" w:hanging="0"/>
              <w:jc w:val="left"/>
              <w:rPr/>
            </w:pPr>
            <w:r>
              <w:rPr/>
              <w:t>Fees</w:t>
            </w:r>
          </w:p>
        </w:tc>
        <w:tc>
          <w:tcPr>
            <w:tcW w:w="757" w:type="dxa"/>
            <w:tcBorders/>
            <w:vAlign w:val="center"/>
          </w:tcPr>
          <w:p>
            <w:pPr>
              <w:pStyle w:val="TableContents"/>
              <w:bidi w:val="0"/>
              <w:spacing w:before="0" w:after="283"/>
              <w:ind w:left="0" w:right="0" w:hanging="0"/>
              <w:jc w:val="right"/>
              <w:rPr/>
            </w:pPr>
            <w:r>
              <w:rPr>
                <w:strike/>
                <w:color w:val="FF0000"/>
              </w:rPr>
              <w:t>95</w:t>
            </w:r>
            <w:r>
              <w:rPr>
                <w:color w:val="0000FF"/>
                <w:u w:val="single"/>
                <w:bdr w:val="single" w:sz="8" w:space="1" w:color="0000FF"/>
              </w:rPr>
              <w:t>102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4.2</w:t>
            </w:r>
          </w:p>
        </w:tc>
        <w:tc>
          <w:tcPr>
            <w:tcW w:w="8498" w:type="dxa"/>
            <w:tcBorders/>
            <w:vAlign w:val="center"/>
          </w:tcPr>
          <w:p>
            <w:pPr>
              <w:pStyle w:val="TableContents"/>
              <w:bidi w:val="0"/>
              <w:spacing w:before="0" w:after="283"/>
              <w:ind w:left="0" w:right="0" w:hanging="0"/>
              <w:jc w:val="left"/>
              <w:rPr/>
            </w:pPr>
            <w:r>
              <w:rPr/>
              <w:t>Voluntary Reduction of Revolving Credit Commitments</w:t>
            </w:r>
          </w:p>
        </w:tc>
        <w:tc>
          <w:tcPr>
            <w:tcW w:w="757" w:type="dxa"/>
            <w:tcBorders/>
            <w:vAlign w:val="center"/>
          </w:tcPr>
          <w:p>
            <w:pPr>
              <w:pStyle w:val="TableContents"/>
              <w:bidi w:val="0"/>
              <w:spacing w:before="0" w:after="283"/>
              <w:ind w:left="0" w:right="0" w:hanging="0"/>
              <w:jc w:val="right"/>
              <w:rPr/>
            </w:pPr>
            <w:r>
              <w:rPr>
                <w:strike/>
                <w:color w:val="FF0000"/>
              </w:rPr>
              <w:t>96</w:t>
            </w:r>
            <w:r>
              <w:rPr>
                <w:color w:val="0000FF"/>
                <w:u w:val="single"/>
                <w:bdr w:val="single" w:sz="8" w:space="1" w:color="0000FF"/>
              </w:rPr>
              <w:t>102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4.3</w:t>
            </w:r>
          </w:p>
        </w:tc>
        <w:tc>
          <w:tcPr>
            <w:tcW w:w="8498" w:type="dxa"/>
            <w:tcBorders/>
            <w:vAlign w:val="center"/>
          </w:tcPr>
          <w:p>
            <w:pPr>
              <w:pStyle w:val="TableContents"/>
              <w:bidi w:val="0"/>
              <w:spacing w:before="0" w:after="283"/>
              <w:ind w:left="0" w:right="0" w:hanging="0"/>
              <w:jc w:val="left"/>
              <w:rPr/>
            </w:pPr>
            <w:r>
              <w:rPr/>
              <w:t>Mandatory Termination of Commitments</w:t>
            </w:r>
          </w:p>
        </w:tc>
        <w:tc>
          <w:tcPr>
            <w:tcW w:w="757" w:type="dxa"/>
            <w:tcBorders/>
            <w:vAlign w:val="center"/>
          </w:tcPr>
          <w:p>
            <w:pPr>
              <w:pStyle w:val="TableContents"/>
              <w:bidi w:val="0"/>
              <w:spacing w:before="0" w:after="283"/>
              <w:ind w:left="0" w:right="0" w:hanging="0"/>
              <w:jc w:val="right"/>
              <w:rPr/>
            </w:pPr>
            <w:r>
              <w:rPr>
                <w:strike/>
                <w:color w:val="FF0000"/>
              </w:rPr>
              <w:t>96</w:t>
            </w:r>
            <w:r>
              <w:rPr>
                <w:color w:val="0000FF"/>
                <w:u w:val="single"/>
                <w:bdr w:val="single" w:sz="8" w:space="1" w:color="0000FF"/>
              </w:rPr>
              <w:t>103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 </w:t>
            </w:r>
          </w:p>
        </w:tc>
        <w:tc>
          <w:tcPr>
            <w:tcW w:w="8498" w:type="dxa"/>
            <w:tcBorders/>
            <w:vAlign w:val="center"/>
          </w:tcPr>
          <w:p>
            <w:pPr>
              <w:pStyle w:val="TableContents"/>
              <w:bidi w:val="0"/>
              <w:spacing w:before="0" w:after="283"/>
              <w:ind w:left="0" w:right="0" w:hanging="0"/>
              <w:jc w:val="left"/>
              <w:rPr/>
            </w:pPr>
            <w:r>
              <w:rPr/>
              <w:t> </w:t>
            </w:r>
          </w:p>
        </w:tc>
        <w:tc>
          <w:tcPr>
            <w:tcW w:w="757" w:type="dxa"/>
            <w:tcBorders/>
            <w:vAlign w:val="center"/>
          </w:tcPr>
          <w:p>
            <w:pPr>
              <w:pStyle w:val="TableContents"/>
              <w:bidi w:val="0"/>
              <w:spacing w:before="0" w:after="283"/>
              <w:jc w:val="right"/>
              <w:rPr/>
            </w:pPr>
            <w:r>
              <w:rPr/>
              <w:t> </w:t>
            </w:r>
          </w:p>
        </w:tc>
      </w:tr>
      <w:tr>
        <w:trPr/>
        <w:tc>
          <w:tcPr>
            <w:tcW w:w="950" w:type="dxa"/>
            <w:gridSpan w:val="2"/>
            <w:tcBorders/>
            <w:vAlign w:val="center"/>
          </w:tcPr>
          <w:p>
            <w:pPr>
              <w:pStyle w:val="TableContents"/>
              <w:bidi w:val="0"/>
              <w:spacing w:before="0" w:after="283"/>
              <w:jc w:val="left"/>
              <w:rPr/>
            </w:pPr>
            <w:r>
              <w:rPr/>
              <w:t>Section 5.</w:t>
            </w:r>
          </w:p>
        </w:tc>
        <w:tc>
          <w:tcPr>
            <w:tcW w:w="8498" w:type="dxa"/>
            <w:tcBorders/>
            <w:vAlign w:val="center"/>
          </w:tcPr>
          <w:p>
            <w:pPr>
              <w:pStyle w:val="TableContents"/>
              <w:bidi w:val="0"/>
              <w:spacing w:before="0" w:after="283"/>
              <w:jc w:val="left"/>
              <w:rPr/>
            </w:pPr>
            <w:r>
              <w:rPr/>
              <w:t>Payments</w:t>
            </w:r>
          </w:p>
        </w:tc>
        <w:tc>
          <w:tcPr>
            <w:tcW w:w="757" w:type="dxa"/>
            <w:tcBorders/>
            <w:vAlign w:val="center"/>
          </w:tcPr>
          <w:p>
            <w:pPr>
              <w:pStyle w:val="TableContents"/>
              <w:bidi w:val="0"/>
              <w:spacing w:before="0" w:after="283"/>
              <w:jc w:val="right"/>
              <w:rPr/>
            </w:pPr>
            <w:r>
              <w:rPr>
                <w:strike/>
                <w:color w:val="FF0000"/>
              </w:rPr>
              <w:t>96</w:t>
            </w:r>
            <w:r>
              <w:rPr>
                <w:color w:val="0000FF"/>
                <w:u w:val="single"/>
                <w:bdr w:val="single" w:sz="8" w:space="1" w:color="0000FF"/>
              </w:rPr>
              <w:t>103</w:t>
            </w:r>
          </w:p>
        </w:tc>
      </w:tr>
      <w:tr>
        <w:trPr/>
        <w:tc>
          <w:tcPr>
            <w:tcW w:w="950" w:type="dxa"/>
            <w:gridSpan w:val="2"/>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ind w:left="0" w:right="0" w:hanging="0"/>
              <w:jc w:val="right"/>
              <w:rPr/>
            </w:pPr>
            <w:r>
              <w:rPr/>
              <w:t> </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5.1</w:t>
            </w:r>
          </w:p>
        </w:tc>
        <w:tc>
          <w:tcPr>
            <w:tcW w:w="8498" w:type="dxa"/>
            <w:tcBorders/>
            <w:vAlign w:val="center"/>
          </w:tcPr>
          <w:p>
            <w:pPr>
              <w:pStyle w:val="TableContents"/>
              <w:bidi w:val="0"/>
              <w:spacing w:before="0" w:after="283"/>
              <w:ind w:left="0" w:right="0" w:hanging="0"/>
              <w:jc w:val="left"/>
              <w:rPr/>
            </w:pPr>
            <w:r>
              <w:rPr/>
              <w:t>Voluntary Prepayments</w:t>
            </w:r>
          </w:p>
        </w:tc>
        <w:tc>
          <w:tcPr>
            <w:tcW w:w="757" w:type="dxa"/>
            <w:tcBorders/>
            <w:vAlign w:val="center"/>
          </w:tcPr>
          <w:p>
            <w:pPr>
              <w:pStyle w:val="TableContents"/>
              <w:bidi w:val="0"/>
              <w:spacing w:before="0" w:after="283"/>
              <w:ind w:left="0" w:right="0" w:hanging="0"/>
              <w:jc w:val="right"/>
              <w:rPr/>
            </w:pPr>
            <w:r>
              <w:rPr>
                <w:strike/>
                <w:color w:val="FF0000"/>
              </w:rPr>
              <w:t>96</w:t>
            </w:r>
            <w:r>
              <w:rPr>
                <w:color w:val="0000FF"/>
                <w:u w:val="single"/>
                <w:bdr w:val="single" w:sz="8" w:space="1" w:color="0000FF"/>
              </w:rPr>
              <w:t>103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5.2</w:t>
            </w:r>
          </w:p>
        </w:tc>
        <w:tc>
          <w:tcPr>
            <w:tcW w:w="8498" w:type="dxa"/>
            <w:tcBorders/>
            <w:vAlign w:val="center"/>
          </w:tcPr>
          <w:p>
            <w:pPr>
              <w:pStyle w:val="TableContents"/>
              <w:bidi w:val="0"/>
              <w:spacing w:before="0" w:after="283"/>
              <w:ind w:left="0" w:right="0" w:hanging="0"/>
              <w:jc w:val="left"/>
              <w:rPr/>
            </w:pPr>
            <w:r>
              <w:rPr/>
              <w:t>Mandatory Prepayments</w:t>
            </w:r>
          </w:p>
        </w:tc>
        <w:tc>
          <w:tcPr>
            <w:tcW w:w="757" w:type="dxa"/>
            <w:tcBorders/>
            <w:vAlign w:val="center"/>
          </w:tcPr>
          <w:p>
            <w:pPr>
              <w:pStyle w:val="TableContents"/>
              <w:bidi w:val="0"/>
              <w:spacing w:before="0" w:after="283"/>
              <w:ind w:left="0" w:right="0" w:hanging="0"/>
              <w:jc w:val="right"/>
              <w:rPr/>
            </w:pPr>
            <w:r>
              <w:rPr>
                <w:strike/>
                <w:color w:val="FF0000"/>
              </w:rPr>
              <w:t>97</w:t>
            </w:r>
            <w:r>
              <w:rPr>
                <w:color w:val="0000FF"/>
                <w:u w:val="single"/>
                <w:bdr w:val="single" w:sz="8" w:space="1" w:color="0000FF"/>
              </w:rPr>
              <w:t>103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5.3</w:t>
            </w:r>
          </w:p>
        </w:tc>
        <w:tc>
          <w:tcPr>
            <w:tcW w:w="8498" w:type="dxa"/>
            <w:tcBorders/>
            <w:vAlign w:val="center"/>
          </w:tcPr>
          <w:p>
            <w:pPr>
              <w:pStyle w:val="TableContents"/>
              <w:bidi w:val="0"/>
              <w:spacing w:before="0" w:after="283"/>
              <w:ind w:left="0" w:right="0" w:hanging="0"/>
              <w:jc w:val="left"/>
              <w:rPr/>
            </w:pPr>
            <w:r>
              <w:rPr/>
              <w:t>Method and Place of Payment</w:t>
            </w:r>
          </w:p>
        </w:tc>
        <w:tc>
          <w:tcPr>
            <w:tcW w:w="757" w:type="dxa"/>
            <w:tcBorders/>
            <w:vAlign w:val="center"/>
          </w:tcPr>
          <w:p>
            <w:pPr>
              <w:pStyle w:val="TableContents"/>
              <w:bidi w:val="0"/>
              <w:spacing w:before="0" w:after="283"/>
              <w:ind w:left="0" w:right="0" w:hanging="0"/>
              <w:jc w:val="right"/>
              <w:rPr/>
            </w:pPr>
            <w:r>
              <w:rPr>
                <w:strike/>
                <w:color w:val="FF0000"/>
              </w:rPr>
              <w:t>97</w:t>
            </w:r>
            <w:r>
              <w:rPr>
                <w:color w:val="0000FF"/>
                <w:u w:val="single"/>
                <w:bdr w:val="single" w:sz="8" w:space="1" w:color="0000FF"/>
              </w:rPr>
              <w:t>104</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5.4</w:t>
            </w:r>
          </w:p>
        </w:tc>
        <w:tc>
          <w:tcPr>
            <w:tcW w:w="8498" w:type="dxa"/>
            <w:tcBorders/>
            <w:vAlign w:val="center"/>
          </w:tcPr>
          <w:p>
            <w:pPr>
              <w:pStyle w:val="TableContents"/>
              <w:bidi w:val="0"/>
              <w:spacing w:before="0" w:after="283"/>
              <w:ind w:left="0" w:right="0" w:hanging="0"/>
              <w:jc w:val="left"/>
              <w:rPr/>
            </w:pPr>
            <w:r>
              <w:rPr/>
              <w:t>Net Payments</w:t>
            </w:r>
          </w:p>
        </w:tc>
        <w:tc>
          <w:tcPr>
            <w:tcW w:w="757" w:type="dxa"/>
            <w:tcBorders/>
            <w:vAlign w:val="center"/>
          </w:tcPr>
          <w:p>
            <w:pPr>
              <w:pStyle w:val="TableContents"/>
              <w:bidi w:val="0"/>
              <w:spacing w:before="0" w:after="283"/>
              <w:ind w:left="0" w:right="0" w:hanging="0"/>
              <w:jc w:val="right"/>
              <w:rPr/>
            </w:pPr>
            <w:r>
              <w:rPr>
                <w:strike/>
                <w:color w:val="FF0000"/>
              </w:rPr>
              <w:t>98</w:t>
            </w:r>
            <w:r>
              <w:rPr>
                <w:color w:val="0000FF"/>
                <w:u w:val="single"/>
                <w:bdr w:val="single" w:sz="8" w:space="1" w:color="0000FF"/>
              </w:rPr>
              <w:t>104</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5.5</w:t>
            </w:r>
          </w:p>
        </w:tc>
        <w:tc>
          <w:tcPr>
            <w:tcW w:w="8498" w:type="dxa"/>
            <w:tcBorders/>
            <w:vAlign w:val="center"/>
          </w:tcPr>
          <w:p>
            <w:pPr>
              <w:pStyle w:val="TableContents"/>
              <w:bidi w:val="0"/>
              <w:spacing w:before="0" w:after="283"/>
              <w:ind w:left="0" w:right="0" w:hanging="0"/>
              <w:jc w:val="left"/>
              <w:rPr/>
            </w:pPr>
            <w:r>
              <w:rPr/>
              <w:t>Computations of Interest and Fees</w:t>
            </w:r>
          </w:p>
        </w:tc>
        <w:tc>
          <w:tcPr>
            <w:tcW w:w="757" w:type="dxa"/>
            <w:tcBorders/>
            <w:vAlign w:val="center"/>
          </w:tcPr>
          <w:p>
            <w:pPr>
              <w:pStyle w:val="TableContents"/>
              <w:bidi w:val="0"/>
              <w:spacing w:before="0" w:after="283"/>
              <w:ind w:left="0" w:right="0" w:hanging="0"/>
              <w:jc w:val="right"/>
              <w:rPr/>
            </w:pPr>
            <w:r>
              <w:rPr>
                <w:strike/>
                <w:color w:val="FF0000"/>
              </w:rPr>
              <w:t>101</w:t>
            </w:r>
            <w:r>
              <w:rPr>
                <w:color w:val="0000FF"/>
                <w:u w:val="single"/>
                <w:bdr w:val="single" w:sz="8" w:space="1" w:color="0000FF"/>
              </w:rPr>
              <w:t>108</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5.6</w:t>
            </w:r>
          </w:p>
        </w:tc>
        <w:tc>
          <w:tcPr>
            <w:tcW w:w="8498" w:type="dxa"/>
            <w:tcBorders/>
            <w:vAlign w:val="center"/>
          </w:tcPr>
          <w:p>
            <w:pPr>
              <w:pStyle w:val="TableContents"/>
              <w:bidi w:val="0"/>
              <w:spacing w:before="0" w:after="283"/>
              <w:ind w:left="0" w:right="0" w:hanging="0"/>
              <w:jc w:val="left"/>
              <w:rPr/>
            </w:pPr>
            <w:r>
              <w:rPr/>
              <w:t>Limit on Rate of Interest</w:t>
            </w:r>
          </w:p>
        </w:tc>
        <w:tc>
          <w:tcPr>
            <w:tcW w:w="757" w:type="dxa"/>
            <w:tcBorders/>
            <w:vAlign w:val="center"/>
          </w:tcPr>
          <w:p>
            <w:pPr>
              <w:pStyle w:val="TableContents"/>
              <w:bidi w:val="0"/>
              <w:spacing w:before="0" w:after="283"/>
              <w:ind w:left="0" w:right="0" w:hanging="0"/>
              <w:jc w:val="right"/>
              <w:rPr/>
            </w:pPr>
            <w:r>
              <w:rPr>
                <w:strike/>
                <w:color w:val="FF0000"/>
              </w:rPr>
              <w:t>101</w:t>
            </w:r>
            <w:r>
              <w:rPr>
                <w:color w:val="0000FF"/>
                <w:u w:val="single"/>
                <w:bdr w:val="single" w:sz="8" w:space="1" w:color="0000FF"/>
              </w:rPr>
              <w:t>108</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 </w:t>
            </w:r>
          </w:p>
        </w:tc>
        <w:tc>
          <w:tcPr>
            <w:tcW w:w="8498" w:type="dxa"/>
            <w:tcBorders/>
            <w:vAlign w:val="center"/>
          </w:tcPr>
          <w:p>
            <w:pPr>
              <w:pStyle w:val="TableContents"/>
              <w:bidi w:val="0"/>
              <w:spacing w:before="0" w:after="283"/>
              <w:ind w:left="0" w:right="0" w:hanging="0"/>
              <w:jc w:val="left"/>
              <w:rPr/>
            </w:pPr>
            <w:r>
              <w:rPr/>
              <w:t> </w:t>
            </w:r>
          </w:p>
        </w:tc>
        <w:tc>
          <w:tcPr>
            <w:tcW w:w="757" w:type="dxa"/>
            <w:tcBorders/>
            <w:vAlign w:val="center"/>
          </w:tcPr>
          <w:p>
            <w:pPr>
              <w:pStyle w:val="TableContents"/>
              <w:bidi w:val="0"/>
              <w:spacing w:before="0" w:after="283"/>
              <w:jc w:val="right"/>
              <w:rPr/>
            </w:pPr>
            <w:r>
              <w:rPr/>
              <w:t> </w:t>
            </w:r>
          </w:p>
        </w:tc>
      </w:tr>
      <w:tr>
        <w:trPr/>
        <w:tc>
          <w:tcPr>
            <w:tcW w:w="950" w:type="dxa"/>
            <w:gridSpan w:val="2"/>
            <w:tcBorders/>
            <w:vAlign w:val="center"/>
          </w:tcPr>
          <w:p>
            <w:pPr>
              <w:pStyle w:val="TableContents"/>
              <w:bidi w:val="0"/>
              <w:spacing w:before="0" w:after="283"/>
              <w:jc w:val="left"/>
              <w:rPr/>
            </w:pPr>
            <w:r>
              <w:rPr/>
              <w:t>Section 6.</w:t>
            </w:r>
          </w:p>
        </w:tc>
        <w:tc>
          <w:tcPr>
            <w:tcW w:w="8498" w:type="dxa"/>
            <w:tcBorders/>
            <w:vAlign w:val="center"/>
          </w:tcPr>
          <w:p>
            <w:pPr>
              <w:pStyle w:val="TableContents"/>
              <w:bidi w:val="0"/>
              <w:spacing w:before="0" w:after="283"/>
              <w:jc w:val="left"/>
              <w:rPr/>
            </w:pPr>
            <w:r>
              <w:rPr/>
              <w:t>Conditions Precedent to Initial Borrowing</w:t>
            </w:r>
          </w:p>
        </w:tc>
        <w:tc>
          <w:tcPr>
            <w:tcW w:w="757" w:type="dxa"/>
            <w:tcBorders/>
            <w:vAlign w:val="center"/>
          </w:tcPr>
          <w:p>
            <w:pPr>
              <w:pStyle w:val="TableContents"/>
              <w:bidi w:val="0"/>
              <w:spacing w:before="0" w:after="283"/>
              <w:jc w:val="right"/>
              <w:rPr/>
            </w:pPr>
            <w:r>
              <w:rPr>
                <w:strike/>
                <w:color w:val="FF0000"/>
              </w:rPr>
              <w:t>101</w:t>
            </w:r>
            <w:r>
              <w:rPr>
                <w:color w:val="0000FF"/>
                <w:u w:val="single"/>
                <w:bdr w:val="single" w:sz="8" w:space="1" w:color="0000FF"/>
              </w:rPr>
              <w:t>108</w:t>
            </w:r>
          </w:p>
        </w:tc>
      </w:tr>
      <w:tr>
        <w:trPr/>
        <w:tc>
          <w:tcPr>
            <w:tcW w:w="950" w:type="dxa"/>
            <w:gridSpan w:val="2"/>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ind w:left="0" w:right="0" w:hanging="0"/>
              <w:jc w:val="right"/>
              <w:rPr/>
            </w:pPr>
            <w:r>
              <w:rPr/>
              <w:t> </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6.1</w:t>
            </w:r>
          </w:p>
        </w:tc>
        <w:tc>
          <w:tcPr>
            <w:tcW w:w="8498" w:type="dxa"/>
            <w:tcBorders/>
            <w:vAlign w:val="center"/>
          </w:tcPr>
          <w:p>
            <w:pPr>
              <w:pStyle w:val="TableContents"/>
              <w:bidi w:val="0"/>
              <w:spacing w:before="0" w:after="283"/>
              <w:ind w:left="0" w:right="0" w:hanging="0"/>
              <w:jc w:val="left"/>
              <w:rPr/>
            </w:pPr>
            <w:r>
              <w:rPr/>
              <w:t>Credit Documents</w:t>
            </w:r>
          </w:p>
        </w:tc>
        <w:tc>
          <w:tcPr>
            <w:tcW w:w="757" w:type="dxa"/>
            <w:tcBorders/>
            <w:vAlign w:val="center"/>
          </w:tcPr>
          <w:p>
            <w:pPr>
              <w:pStyle w:val="TableContents"/>
              <w:bidi w:val="0"/>
              <w:spacing w:before="0" w:after="283"/>
              <w:ind w:left="0" w:right="0" w:hanging="0"/>
              <w:jc w:val="right"/>
              <w:rPr/>
            </w:pPr>
            <w:r>
              <w:rPr>
                <w:strike/>
                <w:color w:val="FF0000"/>
              </w:rPr>
              <w:t>101</w:t>
            </w:r>
            <w:r>
              <w:rPr>
                <w:color w:val="0000FF"/>
                <w:u w:val="single"/>
                <w:bdr w:val="single" w:sz="8" w:space="1" w:color="0000FF"/>
              </w:rPr>
              <w:t>108</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6.2</w:t>
            </w:r>
          </w:p>
        </w:tc>
        <w:tc>
          <w:tcPr>
            <w:tcW w:w="8498" w:type="dxa"/>
            <w:tcBorders/>
            <w:vAlign w:val="center"/>
          </w:tcPr>
          <w:p>
            <w:pPr>
              <w:pStyle w:val="TableContents"/>
              <w:bidi w:val="0"/>
              <w:spacing w:before="0" w:after="283"/>
              <w:ind w:left="0" w:right="0" w:hanging="0"/>
              <w:jc w:val="left"/>
              <w:rPr/>
            </w:pPr>
            <w:r>
              <w:rPr/>
              <w:t>Collateral</w:t>
            </w:r>
          </w:p>
        </w:tc>
        <w:tc>
          <w:tcPr>
            <w:tcW w:w="757" w:type="dxa"/>
            <w:tcBorders/>
            <w:vAlign w:val="center"/>
          </w:tcPr>
          <w:p>
            <w:pPr>
              <w:pStyle w:val="TableContents"/>
              <w:bidi w:val="0"/>
              <w:spacing w:before="0" w:after="283"/>
              <w:ind w:left="0" w:right="0" w:hanging="0"/>
              <w:jc w:val="right"/>
              <w:rPr/>
            </w:pPr>
            <w:r>
              <w:rPr>
                <w:strike/>
                <w:color w:val="FF0000"/>
              </w:rPr>
              <w:t>102</w:t>
            </w:r>
            <w:r>
              <w:rPr>
                <w:color w:val="0000FF"/>
                <w:u w:val="single"/>
                <w:bdr w:val="single" w:sz="8" w:space="1" w:color="0000FF"/>
              </w:rPr>
              <w:t>109</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6.3</w:t>
            </w:r>
          </w:p>
        </w:tc>
        <w:tc>
          <w:tcPr>
            <w:tcW w:w="8498" w:type="dxa"/>
            <w:tcBorders/>
            <w:vAlign w:val="center"/>
          </w:tcPr>
          <w:p>
            <w:pPr>
              <w:pStyle w:val="TableContents"/>
              <w:bidi w:val="0"/>
              <w:spacing w:before="0" w:after="283"/>
              <w:ind w:left="0" w:right="0" w:hanging="0"/>
              <w:jc w:val="left"/>
              <w:rPr/>
            </w:pPr>
            <w:r>
              <w:rPr/>
              <w:t>Legal Opinions</w:t>
            </w:r>
          </w:p>
        </w:tc>
        <w:tc>
          <w:tcPr>
            <w:tcW w:w="757" w:type="dxa"/>
            <w:tcBorders/>
            <w:vAlign w:val="center"/>
          </w:tcPr>
          <w:p>
            <w:pPr>
              <w:pStyle w:val="TableContents"/>
              <w:bidi w:val="0"/>
              <w:spacing w:before="0" w:after="283"/>
              <w:ind w:left="0" w:right="0" w:hanging="0"/>
              <w:jc w:val="right"/>
              <w:rPr/>
            </w:pPr>
            <w:r>
              <w:rPr>
                <w:strike/>
                <w:color w:val="FF0000"/>
              </w:rPr>
              <w:t>102</w:t>
            </w:r>
            <w:r>
              <w:rPr>
                <w:color w:val="0000FF"/>
                <w:u w:val="single"/>
                <w:bdr w:val="single" w:sz="8" w:space="1" w:color="0000FF"/>
              </w:rPr>
              <w:t>109</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6.4</w:t>
            </w:r>
          </w:p>
        </w:tc>
        <w:tc>
          <w:tcPr>
            <w:tcW w:w="8498" w:type="dxa"/>
            <w:tcBorders/>
            <w:vAlign w:val="center"/>
          </w:tcPr>
          <w:p>
            <w:pPr>
              <w:pStyle w:val="TableContents"/>
              <w:bidi w:val="0"/>
              <w:spacing w:before="0" w:after="283"/>
              <w:ind w:left="0" w:right="0" w:hanging="0"/>
              <w:jc w:val="left"/>
              <w:rPr/>
            </w:pPr>
            <w:r>
              <w:rPr/>
              <w:t>Excess Availability; Borrowing Base Certificate</w:t>
            </w:r>
          </w:p>
        </w:tc>
        <w:tc>
          <w:tcPr>
            <w:tcW w:w="757" w:type="dxa"/>
            <w:tcBorders/>
            <w:vAlign w:val="center"/>
          </w:tcPr>
          <w:p>
            <w:pPr>
              <w:pStyle w:val="TableContents"/>
              <w:bidi w:val="0"/>
              <w:spacing w:before="0" w:after="283"/>
              <w:ind w:left="0" w:right="0" w:hanging="0"/>
              <w:jc w:val="right"/>
              <w:rPr/>
            </w:pPr>
            <w:r>
              <w:rPr>
                <w:strike/>
                <w:color w:val="FF0000"/>
              </w:rPr>
              <w:t>102</w:t>
            </w:r>
            <w:r>
              <w:rPr>
                <w:color w:val="0000FF"/>
                <w:u w:val="single"/>
                <w:bdr w:val="single" w:sz="8" w:space="1" w:color="0000FF"/>
              </w:rPr>
              <w:t>109</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6.5</w:t>
            </w:r>
          </w:p>
        </w:tc>
        <w:tc>
          <w:tcPr>
            <w:tcW w:w="8498" w:type="dxa"/>
            <w:tcBorders/>
            <w:vAlign w:val="center"/>
          </w:tcPr>
          <w:p>
            <w:pPr>
              <w:pStyle w:val="TableContents"/>
              <w:bidi w:val="0"/>
              <w:spacing w:before="0" w:after="283"/>
              <w:ind w:left="0" w:right="0" w:hanging="0"/>
              <w:jc w:val="left"/>
              <w:rPr/>
            </w:pPr>
            <w:r>
              <w:rPr/>
              <w:t>Closing Certificates</w:t>
            </w:r>
          </w:p>
        </w:tc>
        <w:tc>
          <w:tcPr>
            <w:tcW w:w="757" w:type="dxa"/>
            <w:tcBorders/>
            <w:vAlign w:val="center"/>
          </w:tcPr>
          <w:p>
            <w:pPr>
              <w:pStyle w:val="TableContents"/>
              <w:bidi w:val="0"/>
              <w:spacing w:before="0" w:after="283"/>
              <w:ind w:left="0" w:right="0" w:hanging="0"/>
              <w:jc w:val="right"/>
              <w:rPr/>
            </w:pPr>
            <w:r>
              <w:rPr>
                <w:strike/>
                <w:color w:val="FF0000"/>
              </w:rPr>
              <w:t>102</w:t>
            </w:r>
            <w:r>
              <w:rPr>
                <w:color w:val="0000FF"/>
                <w:u w:val="single"/>
                <w:bdr w:val="single" w:sz="8" w:space="1" w:color="0000FF"/>
              </w:rPr>
              <w:t>109</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6.6</w:t>
            </w:r>
          </w:p>
        </w:tc>
        <w:tc>
          <w:tcPr>
            <w:tcW w:w="8498" w:type="dxa"/>
            <w:tcBorders/>
            <w:vAlign w:val="center"/>
          </w:tcPr>
          <w:p>
            <w:pPr>
              <w:pStyle w:val="TableContents"/>
              <w:bidi w:val="0"/>
              <w:spacing w:before="0" w:after="283"/>
              <w:ind w:left="0" w:right="0" w:hanging="0"/>
              <w:jc w:val="left"/>
              <w:rPr/>
            </w:pPr>
            <w:r>
              <w:rPr/>
              <w:t>Authorization of Proceedings of Holdings, the Borrower and the Guarantors; Corporate Documents</w:t>
            </w:r>
          </w:p>
        </w:tc>
        <w:tc>
          <w:tcPr>
            <w:tcW w:w="757" w:type="dxa"/>
            <w:tcBorders/>
            <w:vAlign w:val="center"/>
          </w:tcPr>
          <w:p>
            <w:pPr>
              <w:pStyle w:val="TableContents"/>
              <w:bidi w:val="0"/>
              <w:spacing w:before="0" w:after="283"/>
              <w:ind w:left="0" w:right="0" w:hanging="0"/>
              <w:jc w:val="right"/>
              <w:rPr/>
            </w:pPr>
            <w:r>
              <w:rPr>
                <w:strike/>
                <w:color w:val="FF0000"/>
              </w:rPr>
              <w:t>102</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6.7</w:t>
            </w:r>
          </w:p>
        </w:tc>
        <w:tc>
          <w:tcPr>
            <w:tcW w:w="8498" w:type="dxa"/>
            <w:tcBorders/>
            <w:vAlign w:val="center"/>
          </w:tcPr>
          <w:p>
            <w:pPr>
              <w:pStyle w:val="TableContents"/>
              <w:bidi w:val="0"/>
              <w:spacing w:before="0" w:after="283"/>
              <w:ind w:left="0" w:right="0" w:hanging="0"/>
              <w:jc w:val="left"/>
              <w:rPr/>
            </w:pPr>
            <w:r>
              <w:rPr/>
              <w:t>Fees</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6.8</w:t>
            </w:r>
          </w:p>
        </w:tc>
        <w:tc>
          <w:tcPr>
            <w:tcW w:w="8498" w:type="dxa"/>
            <w:tcBorders/>
            <w:vAlign w:val="center"/>
          </w:tcPr>
          <w:p>
            <w:pPr>
              <w:pStyle w:val="TableContents"/>
              <w:bidi w:val="0"/>
              <w:spacing w:before="0" w:after="283"/>
              <w:ind w:left="0" w:right="0" w:hanging="0"/>
              <w:jc w:val="left"/>
              <w:rPr/>
            </w:pPr>
            <w:r>
              <w:rPr/>
              <w:t>Representations and Warranties</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6.9</w:t>
            </w:r>
          </w:p>
        </w:tc>
        <w:tc>
          <w:tcPr>
            <w:tcW w:w="8498" w:type="dxa"/>
            <w:tcBorders/>
            <w:vAlign w:val="center"/>
          </w:tcPr>
          <w:p>
            <w:pPr>
              <w:pStyle w:val="TableContents"/>
              <w:bidi w:val="0"/>
              <w:spacing w:before="0" w:after="283"/>
              <w:ind w:left="0" w:right="0" w:hanging="0"/>
              <w:jc w:val="left"/>
              <w:rPr/>
            </w:pPr>
            <w:r>
              <w:rPr/>
              <w:t>Solvency Certificate</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6.10</w:t>
            </w:r>
          </w:p>
        </w:tc>
        <w:tc>
          <w:tcPr>
            <w:tcW w:w="8498" w:type="dxa"/>
            <w:tcBorders/>
            <w:vAlign w:val="center"/>
          </w:tcPr>
          <w:p>
            <w:pPr>
              <w:pStyle w:val="TableContents"/>
              <w:bidi w:val="0"/>
              <w:spacing w:before="0" w:after="283"/>
              <w:ind w:left="0" w:right="0" w:hanging="0"/>
              <w:jc w:val="left"/>
              <w:rPr/>
            </w:pPr>
            <w:r>
              <w:rPr/>
              <w:t>[Reserved]</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6.11</w:t>
            </w:r>
          </w:p>
        </w:tc>
        <w:tc>
          <w:tcPr>
            <w:tcW w:w="8498" w:type="dxa"/>
            <w:tcBorders/>
            <w:vAlign w:val="center"/>
          </w:tcPr>
          <w:p>
            <w:pPr>
              <w:pStyle w:val="TableContents"/>
              <w:bidi w:val="0"/>
              <w:spacing w:before="0" w:after="283"/>
              <w:ind w:left="0" w:right="0" w:hanging="0"/>
              <w:jc w:val="left"/>
              <w:rPr/>
            </w:pPr>
            <w:r>
              <w:rPr/>
              <w:t>Patriot Act</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6.12</w:t>
            </w:r>
          </w:p>
        </w:tc>
        <w:tc>
          <w:tcPr>
            <w:tcW w:w="8498" w:type="dxa"/>
            <w:tcBorders/>
            <w:vAlign w:val="center"/>
          </w:tcPr>
          <w:p>
            <w:pPr>
              <w:pStyle w:val="TableContents"/>
              <w:bidi w:val="0"/>
              <w:spacing w:before="0" w:after="283"/>
              <w:ind w:left="0" w:right="0" w:hanging="0"/>
              <w:jc w:val="left"/>
              <w:rPr/>
            </w:pPr>
            <w:r>
              <w:rPr/>
              <w:t>Financial Statements</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6.13</w:t>
            </w:r>
          </w:p>
        </w:tc>
        <w:tc>
          <w:tcPr>
            <w:tcW w:w="8498" w:type="dxa"/>
            <w:tcBorders/>
            <w:vAlign w:val="center"/>
          </w:tcPr>
          <w:p>
            <w:pPr>
              <w:pStyle w:val="TableContents"/>
              <w:bidi w:val="0"/>
              <w:spacing w:before="0" w:after="283"/>
              <w:ind w:left="0" w:right="0" w:hanging="0"/>
              <w:jc w:val="left"/>
              <w:rPr/>
            </w:pPr>
            <w:r>
              <w:rPr/>
              <w:t>No Material Adverse Effect</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6.14</w:t>
            </w:r>
          </w:p>
        </w:tc>
        <w:tc>
          <w:tcPr>
            <w:tcW w:w="8498" w:type="dxa"/>
            <w:tcBorders/>
            <w:vAlign w:val="center"/>
          </w:tcPr>
          <w:p>
            <w:pPr>
              <w:pStyle w:val="TableContents"/>
              <w:bidi w:val="0"/>
              <w:spacing w:before="0" w:after="283"/>
              <w:ind w:left="0" w:right="0" w:hanging="0"/>
              <w:jc w:val="left"/>
              <w:rPr/>
            </w:pPr>
            <w:r>
              <w:rPr/>
              <w:t>Refinancing</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 </w:t>
            </w:r>
          </w:p>
        </w:tc>
        <w:tc>
          <w:tcPr>
            <w:tcW w:w="8498" w:type="dxa"/>
            <w:tcBorders/>
            <w:vAlign w:val="center"/>
          </w:tcPr>
          <w:p>
            <w:pPr>
              <w:pStyle w:val="TableContents"/>
              <w:bidi w:val="0"/>
              <w:spacing w:before="0" w:after="283"/>
              <w:ind w:left="0" w:right="0" w:hanging="0"/>
              <w:jc w:val="left"/>
              <w:rPr/>
            </w:pPr>
            <w:r>
              <w:rPr/>
              <w:t> </w:t>
            </w:r>
          </w:p>
        </w:tc>
        <w:tc>
          <w:tcPr>
            <w:tcW w:w="757" w:type="dxa"/>
            <w:tcBorders/>
            <w:vAlign w:val="center"/>
          </w:tcPr>
          <w:p>
            <w:pPr>
              <w:pStyle w:val="TableContents"/>
              <w:bidi w:val="0"/>
              <w:spacing w:before="0" w:after="283"/>
              <w:jc w:val="right"/>
              <w:rPr/>
            </w:pPr>
            <w:r>
              <w:rPr/>
              <w:t> </w:t>
            </w:r>
          </w:p>
        </w:tc>
      </w:tr>
      <w:tr>
        <w:trPr/>
        <w:tc>
          <w:tcPr>
            <w:tcW w:w="950" w:type="dxa"/>
            <w:gridSpan w:val="2"/>
            <w:tcBorders/>
            <w:vAlign w:val="center"/>
          </w:tcPr>
          <w:p>
            <w:pPr>
              <w:pStyle w:val="TableContents"/>
              <w:bidi w:val="0"/>
              <w:spacing w:before="0" w:after="283"/>
              <w:jc w:val="left"/>
              <w:rPr/>
            </w:pPr>
            <w:r>
              <w:rPr/>
              <w:t>Section 7.</w:t>
            </w:r>
          </w:p>
        </w:tc>
        <w:tc>
          <w:tcPr>
            <w:tcW w:w="8498" w:type="dxa"/>
            <w:tcBorders/>
            <w:vAlign w:val="center"/>
          </w:tcPr>
          <w:p>
            <w:pPr>
              <w:pStyle w:val="TableContents"/>
              <w:bidi w:val="0"/>
              <w:spacing w:before="0" w:after="283"/>
              <w:jc w:val="left"/>
              <w:rPr/>
            </w:pPr>
            <w:r>
              <w:rPr/>
              <w:t>Conditions Precedent to All Credit Events</w:t>
            </w:r>
          </w:p>
        </w:tc>
        <w:tc>
          <w:tcPr>
            <w:tcW w:w="757" w:type="dxa"/>
            <w:tcBorders/>
            <w:vAlign w:val="center"/>
          </w:tcPr>
          <w:p>
            <w:pPr>
              <w:pStyle w:val="TableContents"/>
              <w:bidi w:val="0"/>
              <w:spacing w:before="0" w:after="283"/>
              <w:jc w:val="right"/>
              <w:rPr/>
            </w:pPr>
            <w:r>
              <w:rPr>
                <w:strike/>
                <w:color w:val="FF0000"/>
              </w:rPr>
              <w:t>103</w:t>
            </w:r>
            <w:r>
              <w:rPr>
                <w:color w:val="0000FF"/>
                <w:u w:val="single"/>
                <w:bdr w:val="single" w:sz="8" w:space="1" w:color="0000FF"/>
              </w:rPr>
              <w:t>110</w:t>
            </w:r>
          </w:p>
        </w:tc>
      </w:tr>
      <w:tr>
        <w:trPr/>
        <w:tc>
          <w:tcPr>
            <w:tcW w:w="950" w:type="dxa"/>
            <w:gridSpan w:val="2"/>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ind w:left="0" w:right="0" w:hanging="0"/>
              <w:jc w:val="right"/>
              <w:rPr/>
            </w:pPr>
            <w:r>
              <w:rPr/>
              <w:t> </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7.1</w:t>
            </w:r>
          </w:p>
        </w:tc>
        <w:tc>
          <w:tcPr>
            <w:tcW w:w="8498" w:type="dxa"/>
            <w:tcBorders/>
            <w:vAlign w:val="center"/>
          </w:tcPr>
          <w:p>
            <w:pPr>
              <w:pStyle w:val="TableContents"/>
              <w:bidi w:val="0"/>
              <w:spacing w:before="0" w:after="283"/>
              <w:ind w:left="0" w:right="0" w:hanging="0"/>
              <w:jc w:val="left"/>
              <w:rPr/>
            </w:pPr>
            <w:r>
              <w:rPr/>
              <w:t>No Default; Representations and Warranties; No Cure Period</w:t>
            </w:r>
          </w:p>
        </w:tc>
        <w:tc>
          <w:tcPr>
            <w:tcW w:w="757" w:type="dxa"/>
            <w:tcBorders/>
            <w:vAlign w:val="center"/>
          </w:tcPr>
          <w:p>
            <w:pPr>
              <w:pStyle w:val="TableContents"/>
              <w:bidi w:val="0"/>
              <w:spacing w:before="0" w:after="283"/>
              <w:ind w:left="0" w:right="0" w:hanging="0"/>
              <w:jc w:val="right"/>
              <w:rPr/>
            </w:pPr>
            <w:r>
              <w:rPr>
                <w:strike/>
                <w:color w:val="FF0000"/>
              </w:rPr>
              <w:t>103</w:t>
            </w:r>
            <w:r>
              <w:rPr>
                <w:color w:val="0000FF"/>
                <w:u w:val="single"/>
                <w:bdr w:val="single" w:sz="8" w:space="1" w:color="0000FF"/>
              </w:rPr>
              <w:t>110</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7.2</w:t>
            </w:r>
          </w:p>
        </w:tc>
        <w:tc>
          <w:tcPr>
            <w:tcW w:w="8498" w:type="dxa"/>
            <w:tcBorders/>
            <w:vAlign w:val="center"/>
          </w:tcPr>
          <w:p>
            <w:pPr>
              <w:pStyle w:val="TableContents"/>
              <w:bidi w:val="0"/>
              <w:spacing w:before="0" w:after="283"/>
              <w:ind w:left="0" w:right="0" w:hanging="0"/>
              <w:jc w:val="left"/>
              <w:rPr/>
            </w:pPr>
            <w:r>
              <w:rPr/>
              <w:t>Notice of Borrowing; Letter of Credit Request</w:t>
            </w:r>
          </w:p>
        </w:tc>
        <w:tc>
          <w:tcPr>
            <w:tcW w:w="757" w:type="dxa"/>
            <w:tcBorders/>
            <w:vAlign w:val="center"/>
          </w:tcPr>
          <w:p>
            <w:pPr>
              <w:pStyle w:val="TableContents"/>
              <w:bidi w:val="0"/>
              <w:spacing w:before="0" w:after="283"/>
              <w:ind w:left="0" w:right="0" w:hanging="0"/>
              <w:jc w:val="right"/>
              <w:rPr/>
            </w:pPr>
            <w:r>
              <w:rPr>
                <w:strike/>
                <w:color w:val="FF0000"/>
              </w:rPr>
              <w:t>104</w:t>
            </w:r>
            <w:r>
              <w:rPr>
                <w:color w:val="0000FF"/>
                <w:u w:val="single"/>
                <w:bdr w:val="single" w:sz="8" w:space="1" w:color="0000FF"/>
              </w:rPr>
              <w:t>111</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7.3</w:t>
            </w:r>
          </w:p>
        </w:tc>
        <w:tc>
          <w:tcPr>
            <w:tcW w:w="8498" w:type="dxa"/>
            <w:tcBorders/>
            <w:vAlign w:val="center"/>
          </w:tcPr>
          <w:p>
            <w:pPr>
              <w:pStyle w:val="TableContents"/>
              <w:bidi w:val="0"/>
              <w:spacing w:before="0" w:after="283"/>
              <w:ind w:left="0" w:right="0" w:hanging="0"/>
              <w:jc w:val="left"/>
              <w:rPr/>
            </w:pPr>
            <w:r>
              <w:rPr/>
              <w:t>Excess Availability</w:t>
            </w:r>
          </w:p>
        </w:tc>
        <w:tc>
          <w:tcPr>
            <w:tcW w:w="757" w:type="dxa"/>
            <w:tcBorders/>
            <w:vAlign w:val="center"/>
          </w:tcPr>
          <w:p>
            <w:pPr>
              <w:pStyle w:val="TableContents"/>
              <w:bidi w:val="0"/>
              <w:spacing w:before="0" w:after="283"/>
              <w:ind w:left="0" w:right="0" w:hanging="0"/>
              <w:jc w:val="right"/>
              <w:rPr/>
            </w:pPr>
            <w:r>
              <w:rPr>
                <w:strike/>
                <w:color w:val="FF0000"/>
              </w:rPr>
              <w:t>104</w:t>
            </w:r>
            <w:r>
              <w:rPr>
                <w:color w:val="0000FF"/>
                <w:u w:val="single"/>
                <w:bdr w:val="single" w:sz="8" w:space="1" w:color="0000FF"/>
              </w:rPr>
              <w:t>111</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 </w:t>
            </w:r>
          </w:p>
        </w:tc>
        <w:tc>
          <w:tcPr>
            <w:tcW w:w="8498" w:type="dxa"/>
            <w:tcBorders/>
            <w:vAlign w:val="center"/>
          </w:tcPr>
          <w:p>
            <w:pPr>
              <w:pStyle w:val="TableContents"/>
              <w:bidi w:val="0"/>
              <w:spacing w:before="0" w:after="283"/>
              <w:ind w:left="0" w:right="0" w:hanging="0"/>
              <w:jc w:val="left"/>
              <w:rPr/>
            </w:pPr>
            <w:r>
              <w:rPr/>
              <w:t> </w:t>
            </w:r>
          </w:p>
        </w:tc>
        <w:tc>
          <w:tcPr>
            <w:tcW w:w="757" w:type="dxa"/>
            <w:tcBorders/>
            <w:vAlign w:val="center"/>
          </w:tcPr>
          <w:p>
            <w:pPr>
              <w:pStyle w:val="TableContents"/>
              <w:bidi w:val="0"/>
              <w:spacing w:before="0" w:after="283"/>
              <w:jc w:val="right"/>
              <w:rPr/>
            </w:pPr>
            <w:r>
              <w:rPr/>
              <w:t> </w:t>
            </w:r>
          </w:p>
        </w:tc>
      </w:tr>
      <w:tr>
        <w:trPr/>
        <w:tc>
          <w:tcPr>
            <w:tcW w:w="950" w:type="dxa"/>
            <w:gridSpan w:val="2"/>
            <w:tcBorders/>
            <w:vAlign w:val="center"/>
          </w:tcPr>
          <w:p>
            <w:pPr>
              <w:pStyle w:val="TableContents"/>
              <w:bidi w:val="0"/>
              <w:spacing w:before="0" w:after="283"/>
              <w:jc w:val="left"/>
              <w:rPr/>
            </w:pPr>
            <w:r>
              <w:rPr/>
              <w:t>Section 8.</w:t>
            </w:r>
          </w:p>
        </w:tc>
        <w:tc>
          <w:tcPr>
            <w:tcW w:w="8498" w:type="dxa"/>
            <w:tcBorders/>
            <w:vAlign w:val="center"/>
          </w:tcPr>
          <w:p>
            <w:pPr>
              <w:pStyle w:val="TableContents"/>
              <w:bidi w:val="0"/>
              <w:spacing w:before="0" w:after="283"/>
              <w:jc w:val="left"/>
              <w:rPr/>
            </w:pPr>
            <w:r>
              <w:rPr/>
              <w:t>Representations and Warranties</w:t>
            </w:r>
          </w:p>
        </w:tc>
        <w:tc>
          <w:tcPr>
            <w:tcW w:w="757" w:type="dxa"/>
            <w:tcBorders/>
            <w:vAlign w:val="center"/>
          </w:tcPr>
          <w:p>
            <w:pPr>
              <w:pStyle w:val="TableContents"/>
              <w:bidi w:val="0"/>
              <w:spacing w:before="0" w:after="283"/>
              <w:jc w:val="right"/>
              <w:rPr/>
            </w:pPr>
            <w:r>
              <w:rPr>
                <w:strike/>
                <w:color w:val="FF0000"/>
              </w:rPr>
              <w:t>104</w:t>
            </w:r>
            <w:r>
              <w:rPr>
                <w:color w:val="0000FF"/>
                <w:u w:val="single"/>
                <w:bdr w:val="single" w:sz="8" w:space="1" w:color="0000FF"/>
              </w:rPr>
              <w:t>111</w:t>
            </w:r>
          </w:p>
        </w:tc>
      </w:tr>
      <w:tr>
        <w:trPr/>
        <w:tc>
          <w:tcPr>
            <w:tcW w:w="950" w:type="dxa"/>
            <w:gridSpan w:val="2"/>
            <w:tcBorders/>
            <w:vAlign w:val="center"/>
          </w:tcPr>
          <w:p>
            <w:pPr>
              <w:pStyle w:val="TableContents"/>
              <w:bidi w:val="0"/>
              <w:spacing w:before="0" w:after="283"/>
              <w:jc w:val="left"/>
              <w:rPr/>
            </w:pPr>
            <w:r>
              <w:rPr/>
              <w:t> </w:t>
            </w:r>
          </w:p>
        </w:tc>
        <w:tc>
          <w:tcPr>
            <w:tcW w:w="8498"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ind w:left="0" w:right="0" w:hanging="0"/>
              <w:jc w:val="right"/>
              <w:rPr/>
            </w:pPr>
            <w:r>
              <w:rPr/>
              <w:t> </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8.1</w:t>
            </w:r>
          </w:p>
        </w:tc>
        <w:tc>
          <w:tcPr>
            <w:tcW w:w="8498" w:type="dxa"/>
            <w:tcBorders/>
            <w:vAlign w:val="center"/>
          </w:tcPr>
          <w:p>
            <w:pPr>
              <w:pStyle w:val="TableContents"/>
              <w:bidi w:val="0"/>
              <w:spacing w:before="0" w:after="283"/>
              <w:ind w:left="0" w:right="0" w:hanging="0"/>
              <w:jc w:val="left"/>
              <w:rPr/>
            </w:pPr>
            <w:r>
              <w:rPr/>
              <w:t>Corporate Status</w:t>
            </w:r>
          </w:p>
        </w:tc>
        <w:tc>
          <w:tcPr>
            <w:tcW w:w="757" w:type="dxa"/>
            <w:tcBorders/>
            <w:vAlign w:val="center"/>
          </w:tcPr>
          <w:p>
            <w:pPr>
              <w:pStyle w:val="TableContents"/>
              <w:bidi w:val="0"/>
              <w:spacing w:before="0" w:after="283"/>
              <w:ind w:left="0" w:right="0" w:hanging="0"/>
              <w:jc w:val="right"/>
              <w:rPr/>
            </w:pPr>
            <w:r>
              <w:rPr>
                <w:strike/>
                <w:color w:val="FF0000"/>
              </w:rPr>
              <w:t>104</w:t>
            </w:r>
            <w:r>
              <w:rPr>
                <w:color w:val="0000FF"/>
                <w:u w:val="single"/>
                <w:bdr w:val="single" w:sz="8" w:space="1" w:color="0000FF"/>
              </w:rPr>
              <w:t>111</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8.2</w:t>
            </w:r>
          </w:p>
        </w:tc>
        <w:tc>
          <w:tcPr>
            <w:tcW w:w="8498" w:type="dxa"/>
            <w:tcBorders/>
            <w:vAlign w:val="center"/>
          </w:tcPr>
          <w:p>
            <w:pPr>
              <w:pStyle w:val="TableContents"/>
              <w:bidi w:val="0"/>
              <w:spacing w:before="0" w:after="283"/>
              <w:ind w:left="0" w:right="0" w:hanging="0"/>
              <w:jc w:val="left"/>
              <w:rPr/>
            </w:pPr>
            <w:r>
              <w:rPr/>
              <w:t>Corporate Power and Authority</w:t>
            </w:r>
          </w:p>
        </w:tc>
        <w:tc>
          <w:tcPr>
            <w:tcW w:w="757" w:type="dxa"/>
            <w:tcBorders/>
            <w:vAlign w:val="center"/>
          </w:tcPr>
          <w:p>
            <w:pPr>
              <w:pStyle w:val="TableContents"/>
              <w:bidi w:val="0"/>
              <w:spacing w:before="0" w:after="283"/>
              <w:ind w:left="0" w:right="0" w:hanging="0"/>
              <w:jc w:val="right"/>
              <w:rPr/>
            </w:pPr>
            <w:r>
              <w:rPr>
                <w:strike/>
                <w:color w:val="FF0000"/>
              </w:rPr>
              <w:t>104</w:t>
            </w:r>
            <w:r>
              <w:rPr>
                <w:color w:val="0000FF"/>
                <w:u w:val="single"/>
                <w:bdr w:val="single" w:sz="8" w:space="1" w:color="0000FF"/>
              </w:rPr>
              <w:t>111</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8.3</w:t>
            </w:r>
          </w:p>
        </w:tc>
        <w:tc>
          <w:tcPr>
            <w:tcW w:w="8498" w:type="dxa"/>
            <w:tcBorders/>
            <w:vAlign w:val="center"/>
          </w:tcPr>
          <w:p>
            <w:pPr>
              <w:pStyle w:val="TableContents"/>
              <w:bidi w:val="0"/>
              <w:spacing w:before="0" w:after="283"/>
              <w:ind w:left="0" w:right="0" w:hanging="0"/>
              <w:jc w:val="left"/>
              <w:rPr/>
            </w:pPr>
            <w:r>
              <w:rPr/>
              <w:t>No Violation</w:t>
            </w:r>
          </w:p>
        </w:tc>
        <w:tc>
          <w:tcPr>
            <w:tcW w:w="757" w:type="dxa"/>
            <w:tcBorders/>
            <w:vAlign w:val="center"/>
          </w:tcPr>
          <w:p>
            <w:pPr>
              <w:pStyle w:val="TableContents"/>
              <w:bidi w:val="0"/>
              <w:spacing w:before="0" w:after="283"/>
              <w:ind w:left="0" w:right="0" w:hanging="0"/>
              <w:jc w:val="right"/>
              <w:rPr/>
            </w:pPr>
            <w:r>
              <w:rPr>
                <w:strike/>
                <w:color w:val="FF0000"/>
              </w:rPr>
              <w:t>105</w:t>
            </w:r>
            <w:r>
              <w:rPr>
                <w:color w:val="0000FF"/>
                <w:u w:val="single"/>
                <w:bdr w:val="single" w:sz="8" w:space="1" w:color="0000FF"/>
              </w:rPr>
              <w:t>112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8.4</w:t>
            </w:r>
          </w:p>
        </w:tc>
        <w:tc>
          <w:tcPr>
            <w:tcW w:w="8498" w:type="dxa"/>
            <w:tcBorders/>
            <w:vAlign w:val="center"/>
          </w:tcPr>
          <w:p>
            <w:pPr>
              <w:pStyle w:val="TableContents"/>
              <w:bidi w:val="0"/>
              <w:spacing w:before="0" w:after="283"/>
              <w:ind w:left="0" w:right="0" w:hanging="0"/>
              <w:jc w:val="left"/>
              <w:rPr/>
            </w:pPr>
            <w:r>
              <w:rPr/>
              <w:t>Litigation</w:t>
            </w:r>
          </w:p>
        </w:tc>
        <w:tc>
          <w:tcPr>
            <w:tcW w:w="757" w:type="dxa"/>
            <w:tcBorders/>
            <w:vAlign w:val="center"/>
          </w:tcPr>
          <w:p>
            <w:pPr>
              <w:pStyle w:val="TableContents"/>
              <w:bidi w:val="0"/>
              <w:spacing w:before="0" w:after="283"/>
              <w:ind w:left="0" w:right="0" w:hanging="0"/>
              <w:jc w:val="right"/>
              <w:rPr/>
            </w:pPr>
            <w:r>
              <w:rPr>
                <w:strike/>
                <w:color w:val="FF0000"/>
              </w:rPr>
              <w:t>105</w:t>
            </w:r>
            <w:r>
              <w:rPr>
                <w:color w:val="0000FF"/>
                <w:u w:val="single"/>
                <w:bdr w:val="single" w:sz="8" w:space="1" w:color="0000FF"/>
              </w:rPr>
              <w:t>112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8.5</w:t>
            </w:r>
          </w:p>
        </w:tc>
        <w:tc>
          <w:tcPr>
            <w:tcW w:w="8498" w:type="dxa"/>
            <w:tcBorders/>
            <w:vAlign w:val="center"/>
          </w:tcPr>
          <w:p>
            <w:pPr>
              <w:pStyle w:val="TableContents"/>
              <w:bidi w:val="0"/>
              <w:spacing w:before="0" w:after="283"/>
              <w:ind w:left="0" w:right="0" w:hanging="0"/>
              <w:jc w:val="left"/>
              <w:rPr/>
            </w:pPr>
            <w:r>
              <w:rPr/>
              <w:t>Margin Regulations</w:t>
            </w:r>
          </w:p>
        </w:tc>
        <w:tc>
          <w:tcPr>
            <w:tcW w:w="757" w:type="dxa"/>
            <w:tcBorders/>
            <w:vAlign w:val="center"/>
          </w:tcPr>
          <w:p>
            <w:pPr>
              <w:pStyle w:val="TableContents"/>
              <w:bidi w:val="0"/>
              <w:spacing w:before="0" w:after="283"/>
              <w:ind w:left="0" w:right="0" w:hanging="0"/>
              <w:jc w:val="right"/>
              <w:rPr/>
            </w:pPr>
            <w:r>
              <w:rPr>
                <w:strike/>
                <w:color w:val="FF0000"/>
              </w:rPr>
              <w:t>105</w:t>
            </w:r>
            <w:r>
              <w:rPr>
                <w:color w:val="0000FF"/>
                <w:u w:val="single"/>
                <w:bdr w:val="single" w:sz="8" w:space="1" w:color="0000FF"/>
              </w:rPr>
              <w:t>112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8.6</w:t>
            </w:r>
          </w:p>
        </w:tc>
        <w:tc>
          <w:tcPr>
            <w:tcW w:w="8498" w:type="dxa"/>
            <w:tcBorders/>
            <w:vAlign w:val="center"/>
          </w:tcPr>
          <w:p>
            <w:pPr>
              <w:pStyle w:val="TableContents"/>
              <w:bidi w:val="0"/>
              <w:spacing w:before="0" w:after="283"/>
              <w:ind w:left="0" w:right="0" w:hanging="0"/>
              <w:jc w:val="left"/>
              <w:rPr/>
            </w:pPr>
            <w:r>
              <w:rPr/>
              <w:t>Governmental Approvals</w:t>
            </w:r>
          </w:p>
        </w:tc>
        <w:tc>
          <w:tcPr>
            <w:tcW w:w="757" w:type="dxa"/>
            <w:tcBorders/>
            <w:vAlign w:val="center"/>
          </w:tcPr>
          <w:p>
            <w:pPr>
              <w:pStyle w:val="TableContents"/>
              <w:bidi w:val="0"/>
              <w:spacing w:before="0" w:after="283"/>
              <w:ind w:left="0" w:right="0" w:hanging="0"/>
              <w:jc w:val="right"/>
              <w:rPr/>
            </w:pPr>
            <w:r>
              <w:rPr>
                <w:strike/>
                <w:color w:val="FF0000"/>
              </w:rPr>
              <w:t>105</w:t>
            </w:r>
            <w:r>
              <w:rPr>
                <w:color w:val="0000FF"/>
                <w:u w:val="single"/>
                <w:bdr w:val="single" w:sz="8" w:space="1" w:color="0000FF"/>
              </w:rPr>
              <w:t>112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8.7</w:t>
            </w:r>
          </w:p>
        </w:tc>
        <w:tc>
          <w:tcPr>
            <w:tcW w:w="8498" w:type="dxa"/>
            <w:tcBorders/>
            <w:vAlign w:val="center"/>
          </w:tcPr>
          <w:p>
            <w:pPr>
              <w:pStyle w:val="TableContents"/>
              <w:bidi w:val="0"/>
              <w:spacing w:before="0" w:after="283"/>
              <w:ind w:left="0" w:right="0" w:hanging="0"/>
              <w:jc w:val="left"/>
              <w:rPr/>
            </w:pPr>
            <w:r>
              <w:rPr/>
              <w:t>Investment Company Act</w:t>
            </w:r>
          </w:p>
        </w:tc>
        <w:tc>
          <w:tcPr>
            <w:tcW w:w="757" w:type="dxa"/>
            <w:tcBorders/>
            <w:vAlign w:val="center"/>
          </w:tcPr>
          <w:p>
            <w:pPr>
              <w:pStyle w:val="TableContents"/>
              <w:bidi w:val="0"/>
              <w:spacing w:before="0" w:after="283"/>
              <w:ind w:left="0" w:right="0" w:hanging="0"/>
              <w:jc w:val="right"/>
              <w:rPr/>
            </w:pPr>
            <w:r>
              <w:rPr>
                <w:strike/>
                <w:color w:val="FF0000"/>
              </w:rPr>
              <w:t>105</w:t>
            </w:r>
            <w:r>
              <w:rPr>
                <w:color w:val="0000FF"/>
                <w:u w:val="single"/>
                <w:bdr w:val="single" w:sz="8" w:space="1" w:color="0000FF"/>
              </w:rPr>
              <w:t>112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8.8</w:t>
            </w:r>
          </w:p>
        </w:tc>
        <w:tc>
          <w:tcPr>
            <w:tcW w:w="8498" w:type="dxa"/>
            <w:tcBorders/>
            <w:vAlign w:val="center"/>
          </w:tcPr>
          <w:p>
            <w:pPr>
              <w:pStyle w:val="TableContents"/>
              <w:bidi w:val="0"/>
              <w:spacing w:before="0" w:after="283"/>
              <w:ind w:left="0" w:right="0" w:hanging="0"/>
              <w:jc w:val="left"/>
              <w:rPr/>
            </w:pPr>
            <w:r>
              <w:rPr/>
              <w:t>True and Complete Disclosure</w:t>
            </w:r>
          </w:p>
        </w:tc>
        <w:tc>
          <w:tcPr>
            <w:tcW w:w="757" w:type="dxa"/>
            <w:tcBorders/>
            <w:vAlign w:val="center"/>
          </w:tcPr>
          <w:p>
            <w:pPr>
              <w:pStyle w:val="TableContents"/>
              <w:bidi w:val="0"/>
              <w:spacing w:before="0" w:after="283"/>
              <w:ind w:left="0" w:right="0" w:hanging="0"/>
              <w:jc w:val="right"/>
              <w:rPr/>
            </w:pPr>
            <w:r>
              <w:rPr>
                <w:strike/>
                <w:color w:val="FF0000"/>
              </w:rPr>
              <w:t>105</w:t>
            </w:r>
            <w:r>
              <w:rPr>
                <w:color w:val="0000FF"/>
                <w:u w:val="single"/>
                <w:bdr w:val="single" w:sz="8" w:space="1" w:color="0000FF"/>
              </w:rPr>
              <w:t>112</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8.9</w:t>
            </w:r>
          </w:p>
        </w:tc>
        <w:tc>
          <w:tcPr>
            <w:tcW w:w="8498" w:type="dxa"/>
            <w:tcBorders/>
            <w:vAlign w:val="center"/>
          </w:tcPr>
          <w:p>
            <w:pPr>
              <w:pStyle w:val="TableContents"/>
              <w:bidi w:val="0"/>
              <w:spacing w:before="0" w:after="283"/>
              <w:ind w:left="0" w:right="0" w:hanging="0"/>
              <w:jc w:val="left"/>
              <w:rPr/>
            </w:pPr>
            <w:r>
              <w:rPr/>
              <w:t>Financial Condition; Financial Statements</w:t>
            </w:r>
          </w:p>
        </w:tc>
        <w:tc>
          <w:tcPr>
            <w:tcW w:w="757" w:type="dxa"/>
            <w:tcBorders/>
            <w:vAlign w:val="center"/>
          </w:tcPr>
          <w:p>
            <w:pPr>
              <w:pStyle w:val="TableContents"/>
              <w:bidi w:val="0"/>
              <w:spacing w:before="0" w:after="283"/>
              <w:ind w:left="0" w:right="0" w:hanging="0"/>
              <w:jc w:val="right"/>
              <w:rPr/>
            </w:pPr>
            <w:r>
              <w:rPr>
                <w:strike/>
                <w:color w:val="FF0000"/>
              </w:rPr>
              <w:t>106</w:t>
            </w:r>
            <w:r>
              <w:rPr>
                <w:color w:val="0000FF"/>
                <w:u w:val="single"/>
                <w:bdr w:val="single" w:sz="8" w:space="1" w:color="0000FF"/>
              </w:rPr>
              <w:t>113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8.10</w:t>
            </w:r>
          </w:p>
        </w:tc>
        <w:tc>
          <w:tcPr>
            <w:tcW w:w="8498" w:type="dxa"/>
            <w:tcBorders/>
            <w:vAlign w:val="center"/>
          </w:tcPr>
          <w:p>
            <w:pPr>
              <w:pStyle w:val="TableContents"/>
              <w:bidi w:val="0"/>
              <w:spacing w:before="0" w:after="283"/>
              <w:ind w:left="0" w:right="0" w:hanging="0"/>
              <w:jc w:val="left"/>
              <w:rPr/>
            </w:pPr>
            <w:r>
              <w:rPr/>
              <w:t>Compliance with Laws; No Default</w:t>
            </w:r>
          </w:p>
        </w:tc>
        <w:tc>
          <w:tcPr>
            <w:tcW w:w="757" w:type="dxa"/>
            <w:tcBorders/>
            <w:vAlign w:val="center"/>
          </w:tcPr>
          <w:p>
            <w:pPr>
              <w:pStyle w:val="TableContents"/>
              <w:bidi w:val="0"/>
              <w:spacing w:before="0" w:after="283"/>
              <w:ind w:left="0" w:right="0" w:hanging="0"/>
              <w:jc w:val="right"/>
              <w:rPr/>
            </w:pPr>
            <w:r>
              <w:rPr>
                <w:strike/>
                <w:color w:val="FF0000"/>
              </w:rPr>
              <w:t>106</w:t>
            </w:r>
            <w:r>
              <w:rPr>
                <w:color w:val="0000FF"/>
                <w:u w:val="single"/>
                <w:bdr w:val="single" w:sz="8" w:space="1" w:color="0000FF"/>
              </w:rPr>
              <w:t>113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8.11</w:t>
            </w:r>
          </w:p>
        </w:tc>
        <w:tc>
          <w:tcPr>
            <w:tcW w:w="8498" w:type="dxa"/>
            <w:tcBorders/>
            <w:vAlign w:val="center"/>
          </w:tcPr>
          <w:p>
            <w:pPr>
              <w:pStyle w:val="TableContents"/>
              <w:bidi w:val="0"/>
              <w:spacing w:before="0" w:after="283"/>
              <w:ind w:left="0" w:right="0" w:hanging="0"/>
              <w:jc w:val="left"/>
              <w:rPr/>
            </w:pPr>
            <w:r>
              <w:rPr/>
              <w:t>Tax Matters</w:t>
            </w:r>
          </w:p>
        </w:tc>
        <w:tc>
          <w:tcPr>
            <w:tcW w:w="757" w:type="dxa"/>
            <w:tcBorders/>
            <w:vAlign w:val="center"/>
          </w:tcPr>
          <w:p>
            <w:pPr>
              <w:pStyle w:val="TableContents"/>
              <w:bidi w:val="0"/>
              <w:spacing w:before="0" w:after="283"/>
              <w:ind w:left="0" w:right="0" w:hanging="0"/>
              <w:jc w:val="right"/>
              <w:rPr/>
            </w:pPr>
            <w:r>
              <w:rPr>
                <w:strike/>
                <w:color w:val="FF0000"/>
              </w:rPr>
              <w:t>106</w:t>
            </w:r>
            <w:r>
              <w:rPr>
                <w:color w:val="0000FF"/>
                <w:u w:val="single"/>
                <w:bdr w:val="single" w:sz="8" w:space="1" w:color="0000FF"/>
              </w:rPr>
              <w:t>113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8.12</w:t>
            </w:r>
          </w:p>
        </w:tc>
        <w:tc>
          <w:tcPr>
            <w:tcW w:w="8498" w:type="dxa"/>
            <w:tcBorders/>
            <w:vAlign w:val="center"/>
          </w:tcPr>
          <w:p>
            <w:pPr>
              <w:pStyle w:val="TableContents"/>
              <w:bidi w:val="0"/>
              <w:spacing w:before="0" w:after="283"/>
              <w:ind w:left="0" w:right="0" w:hanging="0"/>
              <w:jc w:val="left"/>
              <w:rPr/>
            </w:pPr>
            <w:r>
              <w:rPr/>
              <w:t>Compliance with ERISA</w:t>
            </w:r>
          </w:p>
        </w:tc>
        <w:tc>
          <w:tcPr>
            <w:tcW w:w="757" w:type="dxa"/>
            <w:tcBorders/>
            <w:vAlign w:val="center"/>
          </w:tcPr>
          <w:p>
            <w:pPr>
              <w:pStyle w:val="TableContents"/>
              <w:bidi w:val="0"/>
              <w:spacing w:before="0" w:after="283"/>
              <w:ind w:left="0" w:right="0" w:hanging="0"/>
              <w:jc w:val="right"/>
              <w:rPr/>
            </w:pPr>
            <w:r>
              <w:rPr>
                <w:strike/>
                <w:color w:val="FF0000"/>
              </w:rPr>
              <w:t>106</w:t>
            </w:r>
            <w:r>
              <w:rPr>
                <w:color w:val="0000FF"/>
                <w:u w:val="single"/>
                <w:bdr w:val="single" w:sz="8" w:space="1" w:color="0000FF"/>
              </w:rPr>
              <w:t>113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8.13</w:t>
            </w:r>
          </w:p>
        </w:tc>
        <w:tc>
          <w:tcPr>
            <w:tcW w:w="8498" w:type="dxa"/>
            <w:tcBorders/>
            <w:vAlign w:val="center"/>
          </w:tcPr>
          <w:p>
            <w:pPr>
              <w:pStyle w:val="TableContents"/>
              <w:bidi w:val="0"/>
              <w:spacing w:before="0" w:after="283"/>
              <w:ind w:left="0" w:right="0" w:hanging="0"/>
              <w:jc w:val="left"/>
              <w:rPr/>
            </w:pPr>
            <w:r>
              <w:rPr/>
              <w:t>Subsidiaries</w:t>
            </w:r>
          </w:p>
        </w:tc>
        <w:tc>
          <w:tcPr>
            <w:tcW w:w="757" w:type="dxa"/>
            <w:tcBorders/>
            <w:vAlign w:val="center"/>
          </w:tcPr>
          <w:p>
            <w:pPr>
              <w:pStyle w:val="TableContents"/>
              <w:bidi w:val="0"/>
              <w:spacing w:before="0" w:after="283"/>
              <w:ind w:left="0" w:right="0" w:hanging="0"/>
              <w:jc w:val="right"/>
              <w:rPr/>
            </w:pPr>
            <w:r>
              <w:rPr>
                <w:strike/>
                <w:color w:val="FF0000"/>
              </w:rPr>
              <w:t>106</w:t>
            </w:r>
            <w:r>
              <w:rPr>
                <w:color w:val="0000FF"/>
                <w:u w:val="single"/>
                <w:bdr w:val="single" w:sz="8" w:space="1" w:color="0000FF"/>
              </w:rPr>
              <w:t>113</w:t>
            </w:r>
          </w:p>
        </w:tc>
      </w:tr>
      <w:tr>
        <w:trPr/>
        <w:tc>
          <w:tcPr>
            <w:tcW w:w="137" w:type="dxa"/>
            <w:tcBorders/>
            <w:vAlign w:val="center"/>
          </w:tcPr>
          <w:p>
            <w:pPr>
              <w:pStyle w:val="TableContents"/>
              <w:bidi w:val="0"/>
              <w:spacing w:before="0" w:after="283"/>
              <w:ind w:left="0" w:right="0" w:hanging="0"/>
              <w:jc w:val="left"/>
              <w:rPr/>
            </w:pPr>
            <w:r>
              <w:rPr/>
              <w:t> </w:t>
            </w:r>
          </w:p>
        </w:tc>
        <w:tc>
          <w:tcPr>
            <w:tcW w:w="813" w:type="dxa"/>
            <w:tcBorders/>
            <w:vAlign w:val="center"/>
          </w:tcPr>
          <w:p>
            <w:pPr>
              <w:pStyle w:val="TableContents"/>
              <w:bidi w:val="0"/>
              <w:spacing w:before="0" w:after="283"/>
              <w:ind w:left="0" w:right="0" w:hanging="0"/>
              <w:jc w:val="left"/>
              <w:rPr/>
            </w:pPr>
            <w:r>
              <w:rPr/>
              <w:t>8.14</w:t>
            </w:r>
          </w:p>
        </w:tc>
        <w:tc>
          <w:tcPr>
            <w:tcW w:w="8498" w:type="dxa"/>
            <w:tcBorders/>
            <w:vAlign w:val="center"/>
          </w:tcPr>
          <w:p>
            <w:pPr>
              <w:pStyle w:val="TableContents"/>
              <w:bidi w:val="0"/>
              <w:spacing w:before="0" w:after="283"/>
              <w:ind w:left="0" w:right="0" w:hanging="0"/>
              <w:jc w:val="left"/>
              <w:rPr/>
            </w:pPr>
            <w:r>
              <w:rPr/>
              <w:t>Intellectual Property</w:t>
            </w:r>
          </w:p>
        </w:tc>
        <w:tc>
          <w:tcPr>
            <w:tcW w:w="757" w:type="dxa"/>
            <w:tcBorders/>
            <w:vAlign w:val="center"/>
          </w:tcPr>
          <w:p>
            <w:pPr>
              <w:pStyle w:val="TableContents"/>
              <w:bidi w:val="0"/>
              <w:spacing w:before="0" w:after="283"/>
              <w:jc w:val="right"/>
              <w:rPr/>
            </w:pPr>
            <w:r>
              <w:rPr>
                <w:strike/>
                <w:color w:val="FF0000"/>
              </w:rPr>
              <w:t>106</w:t>
            </w:r>
            <w:r>
              <w:rPr>
                <w:color w:val="0000FF"/>
                <w:u w:val="single"/>
                <w:bdr w:val="single" w:sz="8" w:space="1" w:color="0000FF"/>
              </w:rPr>
              <w:t>113</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7709" w:type="dxa"/>
        <w:jc w:val="left"/>
        <w:tblInd w:w="0" w:type="dxa"/>
        <w:tblLayout w:type="fixed"/>
        <w:tblCellMar>
          <w:top w:w="0" w:type="dxa"/>
          <w:left w:w="0" w:type="dxa"/>
          <w:bottom w:w="0" w:type="dxa"/>
          <w:right w:w="0" w:type="dxa"/>
        </w:tblCellMar>
      </w:tblPr>
      <w:tblGrid>
        <w:gridCol w:w="129"/>
        <w:gridCol w:w="970"/>
        <w:gridCol w:w="5855"/>
        <w:gridCol w:w="755"/>
      </w:tblGrid>
      <w:tr>
        <w:trPr/>
        <w:tc>
          <w:tcPr>
            <w:tcW w:w="12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u w:val="single"/>
              </w:rPr>
            </w:pPr>
            <w:r>
              <w:rPr>
                <w:u w:val="single"/>
              </w:rPr>
              <w:t>Page</w:t>
            </w:r>
          </w:p>
        </w:tc>
      </w:tr>
      <w:tr>
        <w:trPr/>
        <w:tc>
          <w:tcPr>
            <w:tcW w:w="12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ind w:left="0" w:right="0" w:hanging="0"/>
              <w:jc w:val="right"/>
              <w:rPr/>
            </w:pPr>
            <w:r>
              <w:rPr/>
              <w:t> </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8.15</w:t>
            </w:r>
          </w:p>
        </w:tc>
        <w:tc>
          <w:tcPr>
            <w:tcW w:w="5855" w:type="dxa"/>
            <w:tcBorders/>
            <w:vAlign w:val="center"/>
          </w:tcPr>
          <w:p>
            <w:pPr>
              <w:pStyle w:val="TableContents"/>
              <w:bidi w:val="0"/>
              <w:spacing w:before="0" w:after="283"/>
              <w:ind w:left="0" w:right="0" w:hanging="0"/>
              <w:jc w:val="left"/>
              <w:rPr/>
            </w:pPr>
            <w:r>
              <w:rPr/>
              <w:t>Environmental Laws</w:t>
            </w:r>
          </w:p>
        </w:tc>
        <w:tc>
          <w:tcPr>
            <w:tcW w:w="755" w:type="dxa"/>
            <w:tcBorders/>
            <w:vAlign w:val="center"/>
          </w:tcPr>
          <w:p>
            <w:pPr>
              <w:pStyle w:val="TableContents"/>
              <w:bidi w:val="0"/>
              <w:spacing w:before="0" w:after="283"/>
              <w:ind w:left="0" w:right="0" w:hanging="0"/>
              <w:jc w:val="right"/>
              <w:rPr/>
            </w:pPr>
            <w:r>
              <w:rPr>
                <w:strike/>
                <w:color w:val="FF0000"/>
              </w:rPr>
              <w:t>106</w:t>
            </w:r>
            <w:r>
              <w:rPr>
                <w:color w:val="0000FF"/>
                <w:u w:val="single"/>
                <w:bdr w:val="single" w:sz="8" w:space="1" w:color="0000FF"/>
              </w:rPr>
              <w:t>113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8.16</w:t>
            </w:r>
          </w:p>
        </w:tc>
        <w:tc>
          <w:tcPr>
            <w:tcW w:w="5855" w:type="dxa"/>
            <w:tcBorders/>
            <w:vAlign w:val="center"/>
          </w:tcPr>
          <w:p>
            <w:pPr>
              <w:pStyle w:val="TableContents"/>
              <w:bidi w:val="0"/>
              <w:spacing w:before="0" w:after="283"/>
              <w:ind w:left="0" w:right="0" w:hanging="0"/>
              <w:jc w:val="left"/>
              <w:rPr/>
            </w:pPr>
            <w:r>
              <w:rPr/>
              <w:t>Properties</w:t>
            </w:r>
          </w:p>
        </w:tc>
        <w:tc>
          <w:tcPr>
            <w:tcW w:w="755" w:type="dxa"/>
            <w:tcBorders/>
            <w:vAlign w:val="center"/>
          </w:tcPr>
          <w:p>
            <w:pPr>
              <w:pStyle w:val="TableContents"/>
              <w:bidi w:val="0"/>
              <w:spacing w:before="0" w:after="283"/>
              <w:ind w:left="0" w:right="0" w:hanging="0"/>
              <w:jc w:val="right"/>
              <w:rPr/>
            </w:pPr>
            <w:r>
              <w:rPr>
                <w:strike/>
                <w:color w:val="FF0000"/>
              </w:rPr>
              <w:t>107</w:t>
            </w:r>
            <w:r>
              <w:rPr>
                <w:color w:val="0000FF"/>
                <w:u w:val="single"/>
                <w:bdr w:val="single" w:sz="8" w:space="1" w:color="0000FF"/>
              </w:rPr>
              <w:t>114</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8.17</w:t>
            </w:r>
          </w:p>
        </w:tc>
        <w:tc>
          <w:tcPr>
            <w:tcW w:w="5855" w:type="dxa"/>
            <w:tcBorders/>
            <w:vAlign w:val="center"/>
          </w:tcPr>
          <w:p>
            <w:pPr>
              <w:pStyle w:val="TableContents"/>
              <w:bidi w:val="0"/>
              <w:spacing w:before="0" w:after="283"/>
              <w:ind w:left="0" w:right="0" w:hanging="0"/>
              <w:jc w:val="left"/>
              <w:rPr/>
            </w:pPr>
            <w:r>
              <w:rPr/>
              <w:t>Solvency</w:t>
            </w:r>
          </w:p>
        </w:tc>
        <w:tc>
          <w:tcPr>
            <w:tcW w:w="755" w:type="dxa"/>
            <w:tcBorders/>
            <w:vAlign w:val="center"/>
          </w:tcPr>
          <w:p>
            <w:pPr>
              <w:pStyle w:val="TableContents"/>
              <w:bidi w:val="0"/>
              <w:spacing w:before="0" w:after="283"/>
              <w:ind w:left="0" w:right="0" w:hanging="0"/>
              <w:jc w:val="right"/>
              <w:rPr/>
            </w:pPr>
            <w:r>
              <w:rPr>
                <w:strike/>
                <w:color w:val="FF0000"/>
              </w:rPr>
              <w:t>107</w:t>
            </w:r>
            <w:r>
              <w:rPr>
                <w:color w:val="0000FF"/>
                <w:u w:val="single"/>
                <w:bdr w:val="single" w:sz="8" w:space="1" w:color="0000FF"/>
              </w:rPr>
              <w:t>114</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8.18</w:t>
            </w:r>
          </w:p>
        </w:tc>
        <w:tc>
          <w:tcPr>
            <w:tcW w:w="5855" w:type="dxa"/>
            <w:tcBorders/>
            <w:vAlign w:val="center"/>
          </w:tcPr>
          <w:p>
            <w:pPr>
              <w:pStyle w:val="TableContents"/>
              <w:bidi w:val="0"/>
              <w:spacing w:before="0" w:after="283"/>
              <w:ind w:left="0" w:right="0" w:hanging="0"/>
              <w:jc w:val="left"/>
              <w:rPr/>
            </w:pPr>
            <w:r>
              <w:rPr/>
              <w:t>Patriot Act</w:t>
            </w:r>
          </w:p>
        </w:tc>
        <w:tc>
          <w:tcPr>
            <w:tcW w:w="755" w:type="dxa"/>
            <w:tcBorders/>
            <w:vAlign w:val="center"/>
          </w:tcPr>
          <w:p>
            <w:pPr>
              <w:pStyle w:val="TableContents"/>
              <w:bidi w:val="0"/>
              <w:spacing w:before="0" w:after="283"/>
              <w:ind w:left="0" w:right="0" w:hanging="0"/>
              <w:jc w:val="right"/>
              <w:rPr/>
            </w:pPr>
            <w:r>
              <w:rPr>
                <w:strike/>
                <w:color w:val="FF0000"/>
              </w:rPr>
              <w:t>107</w:t>
            </w:r>
            <w:r>
              <w:rPr>
                <w:color w:val="0000FF"/>
                <w:u w:val="single"/>
                <w:bdr w:val="single" w:sz="8" w:space="1" w:color="0000FF"/>
              </w:rPr>
              <w:t>114</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8.19</w:t>
            </w:r>
          </w:p>
        </w:tc>
        <w:tc>
          <w:tcPr>
            <w:tcW w:w="5855" w:type="dxa"/>
            <w:tcBorders/>
            <w:vAlign w:val="center"/>
          </w:tcPr>
          <w:p>
            <w:pPr>
              <w:pStyle w:val="TableContents"/>
              <w:bidi w:val="0"/>
              <w:spacing w:before="0" w:after="283"/>
              <w:ind w:left="0" w:right="0" w:hanging="0"/>
              <w:jc w:val="left"/>
              <w:rPr/>
            </w:pPr>
            <w:r>
              <w:rPr/>
              <w:t>Security Interest in Collateral</w:t>
            </w:r>
          </w:p>
        </w:tc>
        <w:tc>
          <w:tcPr>
            <w:tcW w:w="755" w:type="dxa"/>
            <w:tcBorders/>
            <w:vAlign w:val="center"/>
          </w:tcPr>
          <w:p>
            <w:pPr>
              <w:pStyle w:val="TableContents"/>
              <w:bidi w:val="0"/>
              <w:spacing w:before="0" w:after="283"/>
              <w:ind w:left="0" w:right="0" w:hanging="0"/>
              <w:jc w:val="right"/>
              <w:rPr/>
            </w:pPr>
            <w:r>
              <w:rPr>
                <w:strike/>
                <w:color w:val="FF0000"/>
              </w:rPr>
              <w:t>107</w:t>
            </w:r>
            <w:r>
              <w:rPr>
                <w:color w:val="0000FF"/>
                <w:u w:val="single"/>
                <w:bdr w:val="single" w:sz="8" w:space="1" w:color="0000FF"/>
              </w:rPr>
              <w:t>114</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8.20</w:t>
            </w:r>
          </w:p>
        </w:tc>
        <w:tc>
          <w:tcPr>
            <w:tcW w:w="5855" w:type="dxa"/>
            <w:tcBorders/>
            <w:vAlign w:val="center"/>
          </w:tcPr>
          <w:p>
            <w:pPr>
              <w:pStyle w:val="TableContents"/>
              <w:bidi w:val="0"/>
              <w:spacing w:before="0" w:after="283"/>
              <w:ind w:left="0" w:right="0" w:hanging="0"/>
              <w:jc w:val="left"/>
              <w:rPr/>
            </w:pPr>
            <w:r>
              <w:rPr/>
              <w:t>Disclosure</w:t>
            </w:r>
          </w:p>
        </w:tc>
        <w:tc>
          <w:tcPr>
            <w:tcW w:w="755" w:type="dxa"/>
            <w:tcBorders/>
            <w:vAlign w:val="center"/>
          </w:tcPr>
          <w:p>
            <w:pPr>
              <w:pStyle w:val="TableContents"/>
              <w:bidi w:val="0"/>
              <w:spacing w:before="0" w:after="283"/>
              <w:ind w:left="0" w:right="0" w:hanging="0"/>
              <w:jc w:val="right"/>
              <w:rPr/>
            </w:pPr>
            <w:r>
              <w:rPr>
                <w:strike/>
                <w:color w:val="FF0000"/>
              </w:rPr>
              <w:t>108</w:t>
            </w:r>
            <w:r>
              <w:rPr>
                <w:color w:val="0000FF"/>
                <w:u w:val="single"/>
                <w:bdr w:val="single" w:sz="8" w:space="1" w:color="0000FF"/>
              </w:rPr>
              <w:t>114</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color w:val="0000FF"/>
                <w:u w:val="single"/>
                <w:bdr w:val="single" w:sz="8" w:space="1" w:color="0000FF"/>
              </w:rPr>
            </w:pPr>
            <w:r>
              <w:rPr>
                <w:color w:val="0000FF"/>
                <w:u w:val="single"/>
                <w:bdr w:val="single" w:sz="8" w:space="1" w:color="0000FF"/>
              </w:rPr>
              <w:t>8.21</w:t>
            </w:r>
          </w:p>
        </w:tc>
        <w:tc>
          <w:tcPr>
            <w:tcW w:w="5855" w:type="dxa"/>
            <w:tcBorders/>
            <w:vAlign w:val="center"/>
          </w:tcPr>
          <w:p>
            <w:pPr>
              <w:pStyle w:val="TableContents"/>
              <w:bidi w:val="0"/>
              <w:spacing w:before="0" w:after="283"/>
              <w:ind w:left="0" w:right="0" w:hanging="0"/>
              <w:jc w:val="left"/>
              <w:rPr>
                <w:color w:val="0000FF"/>
                <w:u w:val="single"/>
                <w:bdr w:val="single" w:sz="8" w:space="1" w:color="0000FF"/>
              </w:rPr>
            </w:pPr>
            <w:r>
              <w:rPr>
                <w:color w:val="0000FF"/>
                <w:u w:val="single"/>
                <w:bdr w:val="single" w:sz="8" w:space="1" w:color="0000FF"/>
              </w:rPr>
              <w:t>Anti-Corruption Laws and Sanctions</w:t>
            </w:r>
          </w:p>
        </w:tc>
        <w:tc>
          <w:tcPr>
            <w:tcW w:w="755" w:type="dxa"/>
            <w:tcBorders/>
            <w:vAlign w:val="center"/>
          </w:tcPr>
          <w:p>
            <w:pPr>
              <w:pStyle w:val="TableContents"/>
              <w:bidi w:val="0"/>
              <w:spacing w:before="0" w:after="283"/>
              <w:ind w:left="0" w:right="0" w:hanging="0"/>
              <w:jc w:val="right"/>
              <w:rPr>
                <w:color w:val="0000FF"/>
                <w:u w:val="single"/>
                <w:bdr w:val="single" w:sz="8" w:space="1" w:color="0000FF"/>
              </w:rPr>
            </w:pPr>
            <w:r>
              <w:rPr>
                <w:color w:val="0000FF"/>
                <w:u w:val="single"/>
                <w:bdr w:val="single" w:sz="8" w:space="1" w:color="0000FF"/>
              </w:rPr>
              <w:t>115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 </w:t>
            </w:r>
          </w:p>
        </w:tc>
        <w:tc>
          <w:tcPr>
            <w:tcW w:w="5855"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283"/>
              <w:jc w:val="right"/>
              <w:rPr/>
            </w:pPr>
            <w:r>
              <w:rPr/>
              <w:t> </w:t>
            </w:r>
          </w:p>
        </w:tc>
      </w:tr>
      <w:tr>
        <w:trPr/>
        <w:tc>
          <w:tcPr>
            <w:tcW w:w="1099" w:type="dxa"/>
            <w:gridSpan w:val="2"/>
            <w:tcBorders/>
            <w:vAlign w:val="center"/>
          </w:tcPr>
          <w:p>
            <w:pPr>
              <w:pStyle w:val="TableContents"/>
              <w:bidi w:val="0"/>
              <w:spacing w:before="0" w:after="283"/>
              <w:jc w:val="left"/>
              <w:rPr/>
            </w:pPr>
            <w:r>
              <w:rPr/>
              <w:t>Section 9.</w:t>
            </w:r>
          </w:p>
        </w:tc>
        <w:tc>
          <w:tcPr>
            <w:tcW w:w="5855" w:type="dxa"/>
            <w:tcBorders/>
            <w:vAlign w:val="center"/>
          </w:tcPr>
          <w:p>
            <w:pPr>
              <w:pStyle w:val="TableContents"/>
              <w:bidi w:val="0"/>
              <w:spacing w:before="0" w:after="283"/>
              <w:jc w:val="left"/>
              <w:rPr/>
            </w:pPr>
            <w:r>
              <w:rPr/>
              <w:t>Affirmative Covenants.</w:t>
            </w:r>
          </w:p>
        </w:tc>
        <w:tc>
          <w:tcPr>
            <w:tcW w:w="755" w:type="dxa"/>
            <w:tcBorders/>
            <w:vAlign w:val="center"/>
          </w:tcPr>
          <w:p>
            <w:pPr>
              <w:pStyle w:val="TableContents"/>
              <w:bidi w:val="0"/>
              <w:spacing w:before="0" w:after="283"/>
              <w:jc w:val="right"/>
              <w:rPr/>
            </w:pPr>
            <w:r>
              <w:rPr>
                <w:strike/>
                <w:color w:val="FF0000"/>
              </w:rPr>
              <w:t>108</w:t>
            </w:r>
            <w:r>
              <w:rPr>
                <w:color w:val="0000FF"/>
                <w:u w:val="single"/>
                <w:bdr w:val="single" w:sz="8" w:space="1" w:color="0000FF"/>
              </w:rPr>
              <w:t>115</w:t>
            </w:r>
          </w:p>
        </w:tc>
      </w:tr>
      <w:tr>
        <w:trPr/>
        <w:tc>
          <w:tcPr>
            <w:tcW w:w="1099" w:type="dxa"/>
            <w:gridSpan w:val="2"/>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ind w:left="0" w:right="0" w:hanging="0"/>
              <w:jc w:val="right"/>
              <w:rPr/>
            </w:pPr>
            <w:r>
              <w:rPr/>
              <w:t> </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w:t>
            </w:r>
          </w:p>
        </w:tc>
        <w:tc>
          <w:tcPr>
            <w:tcW w:w="5855" w:type="dxa"/>
            <w:tcBorders/>
            <w:vAlign w:val="center"/>
          </w:tcPr>
          <w:p>
            <w:pPr>
              <w:pStyle w:val="TableContents"/>
              <w:bidi w:val="0"/>
              <w:spacing w:before="0" w:after="283"/>
              <w:ind w:left="0" w:right="0" w:hanging="0"/>
              <w:jc w:val="left"/>
              <w:rPr/>
            </w:pPr>
            <w:r>
              <w:rPr/>
              <w:t>Information Covenants</w:t>
            </w:r>
          </w:p>
        </w:tc>
        <w:tc>
          <w:tcPr>
            <w:tcW w:w="755" w:type="dxa"/>
            <w:tcBorders/>
            <w:vAlign w:val="center"/>
          </w:tcPr>
          <w:p>
            <w:pPr>
              <w:pStyle w:val="TableContents"/>
              <w:bidi w:val="0"/>
              <w:spacing w:before="0" w:after="283"/>
              <w:ind w:left="0" w:right="0" w:hanging="0"/>
              <w:jc w:val="right"/>
              <w:rPr/>
            </w:pPr>
            <w:r>
              <w:rPr>
                <w:strike/>
                <w:color w:val="FF0000"/>
              </w:rPr>
              <w:t>108</w:t>
            </w:r>
            <w:r>
              <w:rPr>
                <w:color w:val="0000FF"/>
                <w:u w:val="single"/>
                <w:bdr w:val="single" w:sz="8" w:space="1" w:color="0000FF"/>
              </w:rPr>
              <w:t>115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9.2</w:t>
            </w:r>
          </w:p>
        </w:tc>
        <w:tc>
          <w:tcPr>
            <w:tcW w:w="5855" w:type="dxa"/>
            <w:tcBorders/>
            <w:vAlign w:val="center"/>
          </w:tcPr>
          <w:p>
            <w:pPr>
              <w:pStyle w:val="TableContents"/>
              <w:bidi w:val="0"/>
              <w:spacing w:before="0" w:after="283"/>
              <w:ind w:left="0" w:right="0" w:hanging="0"/>
              <w:jc w:val="left"/>
              <w:rPr/>
            </w:pPr>
            <w:r>
              <w:rPr/>
              <w:t>Books, Records, and Inspections; Field Examinations</w:t>
            </w:r>
          </w:p>
        </w:tc>
        <w:tc>
          <w:tcPr>
            <w:tcW w:w="755" w:type="dxa"/>
            <w:tcBorders/>
            <w:vAlign w:val="center"/>
          </w:tcPr>
          <w:p>
            <w:pPr>
              <w:pStyle w:val="TableContents"/>
              <w:bidi w:val="0"/>
              <w:spacing w:before="0" w:after="283"/>
              <w:ind w:left="0" w:right="0" w:hanging="0"/>
              <w:jc w:val="right"/>
              <w:rPr/>
            </w:pPr>
            <w:r>
              <w:rPr>
                <w:strike/>
                <w:color w:val="FF0000"/>
              </w:rPr>
              <w:t>111</w:t>
            </w:r>
            <w:r>
              <w:rPr>
                <w:color w:val="0000FF"/>
                <w:u w:val="single"/>
                <w:bdr w:val="single" w:sz="8" w:space="1" w:color="0000FF"/>
              </w:rPr>
              <w:t>118</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9.3</w:t>
            </w:r>
          </w:p>
        </w:tc>
        <w:tc>
          <w:tcPr>
            <w:tcW w:w="5855" w:type="dxa"/>
            <w:tcBorders/>
            <w:vAlign w:val="center"/>
          </w:tcPr>
          <w:p>
            <w:pPr>
              <w:pStyle w:val="TableContents"/>
              <w:bidi w:val="0"/>
              <w:spacing w:before="0" w:after="283"/>
              <w:ind w:left="0" w:right="0" w:hanging="0"/>
              <w:jc w:val="left"/>
              <w:rPr/>
            </w:pPr>
            <w:r>
              <w:rPr/>
              <w:t>Maintenance of Insurance</w:t>
            </w:r>
          </w:p>
        </w:tc>
        <w:tc>
          <w:tcPr>
            <w:tcW w:w="755" w:type="dxa"/>
            <w:tcBorders/>
            <w:vAlign w:val="center"/>
          </w:tcPr>
          <w:p>
            <w:pPr>
              <w:pStyle w:val="TableContents"/>
              <w:bidi w:val="0"/>
              <w:spacing w:before="0" w:after="283"/>
              <w:ind w:left="0" w:right="0" w:hanging="0"/>
              <w:jc w:val="right"/>
              <w:rPr/>
            </w:pPr>
            <w:r>
              <w:rPr>
                <w:strike/>
                <w:color w:val="FF0000"/>
              </w:rPr>
              <w:t>112</w:t>
            </w:r>
            <w:r>
              <w:rPr>
                <w:color w:val="0000FF"/>
                <w:u w:val="single"/>
                <w:bdr w:val="single" w:sz="8" w:space="1" w:color="0000FF"/>
              </w:rPr>
              <w:t>119</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9.4</w:t>
            </w:r>
          </w:p>
        </w:tc>
        <w:tc>
          <w:tcPr>
            <w:tcW w:w="5855" w:type="dxa"/>
            <w:tcBorders/>
            <w:vAlign w:val="center"/>
          </w:tcPr>
          <w:p>
            <w:pPr>
              <w:pStyle w:val="TableContents"/>
              <w:bidi w:val="0"/>
              <w:spacing w:before="0" w:after="283"/>
              <w:ind w:left="0" w:right="0" w:hanging="0"/>
              <w:jc w:val="left"/>
              <w:rPr/>
            </w:pPr>
            <w:r>
              <w:rPr/>
              <w:t>Payment of Taxes</w:t>
            </w:r>
          </w:p>
        </w:tc>
        <w:tc>
          <w:tcPr>
            <w:tcW w:w="755" w:type="dxa"/>
            <w:tcBorders/>
            <w:vAlign w:val="center"/>
          </w:tcPr>
          <w:p>
            <w:pPr>
              <w:pStyle w:val="TableContents"/>
              <w:bidi w:val="0"/>
              <w:spacing w:before="0" w:after="283"/>
              <w:ind w:left="0" w:right="0" w:hanging="0"/>
              <w:jc w:val="right"/>
              <w:rPr/>
            </w:pPr>
            <w:r>
              <w:rPr>
                <w:strike/>
                <w:color w:val="FF0000"/>
              </w:rPr>
              <w:t>112</w:t>
            </w:r>
            <w:r>
              <w:rPr>
                <w:color w:val="0000FF"/>
                <w:u w:val="single"/>
                <w:bdr w:val="single" w:sz="8" w:space="1" w:color="0000FF"/>
              </w:rPr>
              <w:t>119</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9.5</w:t>
            </w:r>
          </w:p>
        </w:tc>
        <w:tc>
          <w:tcPr>
            <w:tcW w:w="5855" w:type="dxa"/>
            <w:tcBorders/>
            <w:vAlign w:val="center"/>
          </w:tcPr>
          <w:p>
            <w:pPr>
              <w:pStyle w:val="TableContents"/>
              <w:bidi w:val="0"/>
              <w:spacing w:before="0" w:after="283"/>
              <w:ind w:left="0" w:right="0" w:hanging="0"/>
              <w:jc w:val="left"/>
              <w:rPr/>
            </w:pPr>
            <w:r>
              <w:rPr/>
              <w:t>Preservation of Existence; Consolidated Corporate Franchises</w:t>
            </w:r>
          </w:p>
        </w:tc>
        <w:tc>
          <w:tcPr>
            <w:tcW w:w="755" w:type="dxa"/>
            <w:tcBorders/>
            <w:vAlign w:val="center"/>
          </w:tcPr>
          <w:p>
            <w:pPr>
              <w:pStyle w:val="TableContents"/>
              <w:bidi w:val="0"/>
              <w:spacing w:before="0" w:after="283"/>
              <w:ind w:left="0" w:right="0" w:hanging="0"/>
              <w:jc w:val="right"/>
              <w:rPr/>
            </w:pPr>
            <w:r>
              <w:rPr>
                <w:strike/>
                <w:color w:val="FF0000"/>
              </w:rPr>
              <w:t>112</w:t>
            </w:r>
            <w:r>
              <w:rPr>
                <w:color w:val="0000FF"/>
                <w:u w:val="single"/>
                <w:bdr w:val="single" w:sz="8" w:space="1" w:color="0000FF"/>
              </w:rPr>
              <w:t>119</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9.6</w:t>
            </w:r>
          </w:p>
        </w:tc>
        <w:tc>
          <w:tcPr>
            <w:tcW w:w="5855" w:type="dxa"/>
            <w:tcBorders/>
            <w:vAlign w:val="center"/>
          </w:tcPr>
          <w:p>
            <w:pPr>
              <w:pStyle w:val="TableContents"/>
              <w:bidi w:val="0"/>
              <w:spacing w:before="0" w:after="283"/>
              <w:ind w:left="0" w:right="0" w:hanging="0"/>
              <w:jc w:val="left"/>
              <w:rPr/>
            </w:pPr>
            <w:r>
              <w:rPr/>
              <w:t>Compliance with Statutes, Regulations, Etc.</w:t>
            </w:r>
          </w:p>
        </w:tc>
        <w:tc>
          <w:tcPr>
            <w:tcW w:w="755" w:type="dxa"/>
            <w:tcBorders/>
            <w:vAlign w:val="center"/>
          </w:tcPr>
          <w:p>
            <w:pPr>
              <w:pStyle w:val="TableContents"/>
              <w:bidi w:val="0"/>
              <w:spacing w:before="0" w:after="283"/>
              <w:ind w:left="0" w:right="0" w:hanging="0"/>
              <w:jc w:val="right"/>
              <w:rPr/>
            </w:pPr>
            <w:r>
              <w:rPr>
                <w:strike/>
                <w:color w:val="FF0000"/>
              </w:rPr>
              <w:t>112</w:t>
            </w:r>
            <w:r>
              <w:rPr>
                <w:color w:val="0000FF"/>
                <w:u w:val="single"/>
                <w:bdr w:val="single" w:sz="8" w:space="1" w:color="0000FF"/>
              </w:rPr>
              <w:t>120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9.7</w:t>
            </w:r>
          </w:p>
        </w:tc>
        <w:tc>
          <w:tcPr>
            <w:tcW w:w="5855" w:type="dxa"/>
            <w:tcBorders/>
            <w:vAlign w:val="center"/>
          </w:tcPr>
          <w:p>
            <w:pPr>
              <w:pStyle w:val="TableContents"/>
              <w:bidi w:val="0"/>
              <w:spacing w:before="0" w:after="283"/>
              <w:ind w:left="0" w:right="0" w:hanging="0"/>
              <w:jc w:val="left"/>
              <w:rPr/>
            </w:pPr>
            <w:r>
              <w:rPr/>
              <w:t>ERISA</w:t>
            </w:r>
          </w:p>
        </w:tc>
        <w:tc>
          <w:tcPr>
            <w:tcW w:w="755" w:type="dxa"/>
            <w:tcBorders/>
            <w:vAlign w:val="center"/>
          </w:tcPr>
          <w:p>
            <w:pPr>
              <w:pStyle w:val="TableContents"/>
              <w:bidi w:val="0"/>
              <w:spacing w:before="0" w:after="283"/>
              <w:ind w:left="0" w:right="0" w:hanging="0"/>
              <w:jc w:val="right"/>
              <w:rPr/>
            </w:pPr>
            <w:r>
              <w:rPr>
                <w:strike/>
                <w:color w:val="FF0000"/>
              </w:rPr>
              <w:t>113</w:t>
            </w:r>
            <w:r>
              <w:rPr>
                <w:color w:val="0000FF"/>
                <w:u w:val="single"/>
                <w:bdr w:val="single" w:sz="8" w:space="1" w:color="0000FF"/>
              </w:rPr>
              <w:t>120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9.8</w:t>
            </w:r>
          </w:p>
        </w:tc>
        <w:tc>
          <w:tcPr>
            <w:tcW w:w="5855" w:type="dxa"/>
            <w:tcBorders/>
            <w:vAlign w:val="center"/>
          </w:tcPr>
          <w:p>
            <w:pPr>
              <w:pStyle w:val="TableContents"/>
              <w:bidi w:val="0"/>
              <w:spacing w:before="0" w:after="283"/>
              <w:ind w:left="0" w:right="0" w:hanging="0"/>
              <w:jc w:val="left"/>
              <w:rPr/>
            </w:pPr>
            <w:r>
              <w:rPr/>
              <w:t>Maintenance of Properties</w:t>
            </w:r>
          </w:p>
        </w:tc>
        <w:tc>
          <w:tcPr>
            <w:tcW w:w="755" w:type="dxa"/>
            <w:tcBorders/>
            <w:vAlign w:val="center"/>
          </w:tcPr>
          <w:p>
            <w:pPr>
              <w:pStyle w:val="TableContents"/>
              <w:bidi w:val="0"/>
              <w:spacing w:before="0" w:after="283"/>
              <w:ind w:left="0" w:right="0" w:hanging="0"/>
              <w:jc w:val="right"/>
              <w:rPr/>
            </w:pPr>
            <w:r>
              <w:rPr>
                <w:strike/>
                <w:color w:val="FF0000"/>
              </w:rPr>
              <w:t>113</w:t>
            </w:r>
            <w:r>
              <w:rPr>
                <w:color w:val="0000FF"/>
                <w:u w:val="single"/>
                <w:bdr w:val="single" w:sz="8" w:space="1" w:color="0000FF"/>
              </w:rPr>
              <w:t>120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9.9</w:t>
            </w:r>
          </w:p>
        </w:tc>
        <w:tc>
          <w:tcPr>
            <w:tcW w:w="5855" w:type="dxa"/>
            <w:tcBorders/>
            <w:vAlign w:val="center"/>
          </w:tcPr>
          <w:p>
            <w:pPr>
              <w:pStyle w:val="TableContents"/>
              <w:bidi w:val="0"/>
              <w:spacing w:before="0" w:after="283"/>
              <w:ind w:left="0" w:right="0" w:hanging="0"/>
              <w:jc w:val="left"/>
              <w:rPr/>
            </w:pPr>
            <w:r>
              <w:rPr/>
              <w:t>Transactions with Affiliates</w:t>
            </w:r>
          </w:p>
        </w:tc>
        <w:tc>
          <w:tcPr>
            <w:tcW w:w="755" w:type="dxa"/>
            <w:tcBorders/>
            <w:vAlign w:val="center"/>
          </w:tcPr>
          <w:p>
            <w:pPr>
              <w:pStyle w:val="TableContents"/>
              <w:bidi w:val="0"/>
              <w:spacing w:before="0" w:after="283"/>
              <w:ind w:left="0" w:right="0" w:hanging="0"/>
              <w:jc w:val="right"/>
              <w:rPr/>
            </w:pPr>
            <w:r>
              <w:rPr>
                <w:strike/>
                <w:color w:val="FF0000"/>
              </w:rPr>
              <w:t>113</w:t>
            </w:r>
            <w:r>
              <w:rPr>
                <w:color w:val="0000FF"/>
                <w:u w:val="single"/>
                <w:bdr w:val="single" w:sz="8" w:space="1" w:color="0000FF"/>
              </w:rPr>
              <w:t>120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9.10</w:t>
            </w:r>
          </w:p>
        </w:tc>
        <w:tc>
          <w:tcPr>
            <w:tcW w:w="5855" w:type="dxa"/>
            <w:tcBorders/>
            <w:vAlign w:val="center"/>
          </w:tcPr>
          <w:p>
            <w:pPr>
              <w:pStyle w:val="TableContents"/>
              <w:bidi w:val="0"/>
              <w:spacing w:before="0" w:after="283"/>
              <w:ind w:left="0" w:right="0" w:hanging="0"/>
              <w:jc w:val="left"/>
              <w:rPr/>
            </w:pPr>
            <w:r>
              <w:rPr/>
              <w:t>End of Fiscal Years</w:t>
            </w:r>
          </w:p>
        </w:tc>
        <w:tc>
          <w:tcPr>
            <w:tcW w:w="755" w:type="dxa"/>
            <w:tcBorders/>
            <w:vAlign w:val="center"/>
          </w:tcPr>
          <w:p>
            <w:pPr>
              <w:pStyle w:val="TableContents"/>
              <w:bidi w:val="0"/>
              <w:spacing w:before="0" w:after="283"/>
              <w:ind w:left="0" w:right="0" w:hanging="0"/>
              <w:jc w:val="right"/>
              <w:rPr/>
            </w:pPr>
            <w:r>
              <w:rPr>
                <w:strike/>
                <w:color w:val="FF0000"/>
              </w:rPr>
              <w:t>114</w:t>
            </w:r>
            <w:r>
              <w:rPr>
                <w:color w:val="0000FF"/>
                <w:u w:val="single"/>
                <w:bdr w:val="single" w:sz="8" w:space="1" w:color="0000FF"/>
              </w:rPr>
              <w:t>121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9.11</w:t>
            </w:r>
          </w:p>
        </w:tc>
        <w:tc>
          <w:tcPr>
            <w:tcW w:w="5855" w:type="dxa"/>
            <w:tcBorders/>
            <w:vAlign w:val="center"/>
          </w:tcPr>
          <w:p>
            <w:pPr>
              <w:pStyle w:val="TableContents"/>
              <w:bidi w:val="0"/>
              <w:spacing w:before="0" w:after="283"/>
              <w:ind w:left="0" w:right="0" w:hanging="0"/>
              <w:jc w:val="left"/>
              <w:rPr/>
            </w:pPr>
            <w:r>
              <w:rPr/>
              <w:t>Additional Guarantors and Grantors</w:t>
            </w:r>
          </w:p>
        </w:tc>
        <w:tc>
          <w:tcPr>
            <w:tcW w:w="755" w:type="dxa"/>
            <w:tcBorders/>
            <w:vAlign w:val="center"/>
          </w:tcPr>
          <w:p>
            <w:pPr>
              <w:pStyle w:val="TableContents"/>
              <w:bidi w:val="0"/>
              <w:spacing w:before="0" w:after="283"/>
              <w:ind w:left="0" w:right="0" w:hanging="0"/>
              <w:jc w:val="right"/>
              <w:rPr/>
            </w:pPr>
            <w:r>
              <w:rPr>
                <w:strike/>
                <w:color w:val="FF0000"/>
              </w:rPr>
              <w:t>114</w:t>
            </w:r>
            <w:r>
              <w:rPr>
                <w:color w:val="0000FF"/>
                <w:u w:val="single"/>
                <w:bdr w:val="single" w:sz="8" w:space="1" w:color="0000FF"/>
              </w:rPr>
              <w:t>121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9.12</w:t>
            </w:r>
          </w:p>
        </w:tc>
        <w:tc>
          <w:tcPr>
            <w:tcW w:w="5855" w:type="dxa"/>
            <w:tcBorders/>
            <w:vAlign w:val="center"/>
          </w:tcPr>
          <w:p>
            <w:pPr>
              <w:pStyle w:val="TableContents"/>
              <w:bidi w:val="0"/>
              <w:spacing w:before="0" w:after="283"/>
              <w:ind w:left="0" w:right="0" w:hanging="0"/>
              <w:jc w:val="left"/>
              <w:rPr/>
            </w:pPr>
            <w:r>
              <w:rPr/>
              <w:t>Pledge of Additional Stock and Evidence of Indebtedness</w:t>
            </w:r>
          </w:p>
        </w:tc>
        <w:tc>
          <w:tcPr>
            <w:tcW w:w="755" w:type="dxa"/>
            <w:tcBorders/>
            <w:vAlign w:val="center"/>
          </w:tcPr>
          <w:p>
            <w:pPr>
              <w:pStyle w:val="TableContents"/>
              <w:bidi w:val="0"/>
              <w:spacing w:before="0" w:after="283"/>
              <w:ind w:left="0" w:right="0" w:hanging="0"/>
              <w:jc w:val="right"/>
              <w:rPr/>
            </w:pPr>
            <w:r>
              <w:rPr>
                <w:strike/>
                <w:color w:val="FF0000"/>
              </w:rPr>
              <w:t>114</w:t>
            </w:r>
            <w:r>
              <w:rPr>
                <w:color w:val="0000FF"/>
                <w:u w:val="single"/>
                <w:bdr w:val="single" w:sz="8" w:space="1" w:color="0000FF"/>
              </w:rPr>
              <w:t>121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9.13</w:t>
            </w:r>
          </w:p>
        </w:tc>
        <w:tc>
          <w:tcPr>
            <w:tcW w:w="5855" w:type="dxa"/>
            <w:tcBorders/>
            <w:vAlign w:val="center"/>
          </w:tcPr>
          <w:p>
            <w:pPr>
              <w:pStyle w:val="TableContents"/>
              <w:bidi w:val="0"/>
              <w:spacing w:before="0" w:after="283"/>
              <w:ind w:left="0" w:right="0" w:hanging="0"/>
              <w:jc w:val="left"/>
              <w:rPr/>
            </w:pPr>
            <w:r>
              <w:rPr/>
              <w:t>Use of Proceeds</w:t>
            </w:r>
          </w:p>
        </w:tc>
        <w:tc>
          <w:tcPr>
            <w:tcW w:w="755" w:type="dxa"/>
            <w:tcBorders/>
            <w:vAlign w:val="center"/>
          </w:tcPr>
          <w:p>
            <w:pPr>
              <w:pStyle w:val="TableContents"/>
              <w:bidi w:val="0"/>
              <w:spacing w:before="0" w:after="283"/>
              <w:ind w:left="0" w:right="0" w:hanging="0"/>
              <w:jc w:val="right"/>
              <w:rPr/>
            </w:pPr>
            <w:r>
              <w:rPr>
                <w:strike/>
                <w:color w:val="FF0000"/>
              </w:rPr>
              <w:t>115</w:t>
            </w:r>
            <w:r>
              <w:rPr>
                <w:color w:val="0000FF"/>
                <w:u w:val="single"/>
                <w:bdr w:val="single" w:sz="8" w:space="1" w:color="0000FF"/>
              </w:rPr>
              <w:t>122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9.14</w:t>
            </w:r>
          </w:p>
        </w:tc>
        <w:tc>
          <w:tcPr>
            <w:tcW w:w="5855" w:type="dxa"/>
            <w:tcBorders/>
            <w:vAlign w:val="center"/>
          </w:tcPr>
          <w:p>
            <w:pPr>
              <w:pStyle w:val="TableContents"/>
              <w:bidi w:val="0"/>
              <w:spacing w:before="0" w:after="283"/>
              <w:ind w:left="0" w:right="0" w:hanging="0"/>
              <w:jc w:val="left"/>
              <w:rPr/>
            </w:pPr>
            <w:r>
              <w:rPr/>
              <w:t>Further Assurances</w:t>
            </w:r>
          </w:p>
        </w:tc>
        <w:tc>
          <w:tcPr>
            <w:tcW w:w="755" w:type="dxa"/>
            <w:tcBorders/>
            <w:vAlign w:val="center"/>
          </w:tcPr>
          <w:p>
            <w:pPr>
              <w:pStyle w:val="TableContents"/>
              <w:bidi w:val="0"/>
              <w:spacing w:before="0" w:after="283"/>
              <w:ind w:left="0" w:right="0" w:hanging="0"/>
              <w:jc w:val="right"/>
              <w:rPr/>
            </w:pPr>
            <w:r>
              <w:rPr>
                <w:strike/>
                <w:color w:val="FF0000"/>
              </w:rPr>
              <w:t>115</w:t>
            </w:r>
            <w:r>
              <w:rPr>
                <w:color w:val="0000FF"/>
                <w:u w:val="single"/>
                <w:bdr w:val="single" w:sz="8" w:space="1" w:color="0000FF"/>
              </w:rPr>
              <w:t>122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9.15</w:t>
            </w:r>
          </w:p>
        </w:tc>
        <w:tc>
          <w:tcPr>
            <w:tcW w:w="5855" w:type="dxa"/>
            <w:tcBorders/>
            <w:vAlign w:val="center"/>
          </w:tcPr>
          <w:p>
            <w:pPr>
              <w:pStyle w:val="TableContents"/>
              <w:bidi w:val="0"/>
              <w:spacing w:before="0" w:after="283"/>
              <w:ind w:left="0" w:right="0" w:hanging="0"/>
              <w:jc w:val="left"/>
              <w:rPr/>
            </w:pPr>
            <w:r>
              <w:rPr/>
              <w:t>Lines of Business</w:t>
            </w:r>
          </w:p>
        </w:tc>
        <w:tc>
          <w:tcPr>
            <w:tcW w:w="755" w:type="dxa"/>
            <w:tcBorders/>
            <w:vAlign w:val="center"/>
          </w:tcPr>
          <w:p>
            <w:pPr>
              <w:pStyle w:val="TableContents"/>
              <w:bidi w:val="0"/>
              <w:spacing w:before="0" w:after="283"/>
              <w:ind w:left="0" w:right="0" w:hanging="0"/>
              <w:jc w:val="right"/>
              <w:rPr/>
            </w:pPr>
            <w:r>
              <w:rPr>
                <w:strike/>
                <w:color w:val="FF0000"/>
              </w:rPr>
              <w:t>116</w:t>
            </w:r>
            <w:r>
              <w:rPr>
                <w:color w:val="0000FF"/>
                <w:u w:val="single"/>
                <w:bdr w:val="single" w:sz="8" w:space="1" w:color="0000FF"/>
              </w:rPr>
              <w:t>123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9.16</w:t>
            </w:r>
          </w:p>
        </w:tc>
        <w:tc>
          <w:tcPr>
            <w:tcW w:w="5855" w:type="dxa"/>
            <w:tcBorders/>
            <w:vAlign w:val="center"/>
          </w:tcPr>
          <w:p>
            <w:pPr>
              <w:pStyle w:val="TableContents"/>
              <w:bidi w:val="0"/>
              <w:spacing w:before="0" w:after="283"/>
              <w:ind w:left="0" w:right="0" w:hanging="0"/>
              <w:jc w:val="left"/>
              <w:rPr/>
            </w:pPr>
            <w:r>
              <w:rPr/>
              <w:t>Cash Management</w:t>
            </w:r>
          </w:p>
        </w:tc>
        <w:tc>
          <w:tcPr>
            <w:tcW w:w="755" w:type="dxa"/>
            <w:tcBorders/>
            <w:vAlign w:val="center"/>
          </w:tcPr>
          <w:p>
            <w:pPr>
              <w:pStyle w:val="TableContents"/>
              <w:bidi w:val="0"/>
              <w:spacing w:before="0" w:after="283"/>
              <w:ind w:left="0" w:right="0" w:hanging="0"/>
              <w:jc w:val="right"/>
              <w:rPr/>
            </w:pPr>
            <w:r>
              <w:rPr>
                <w:strike/>
                <w:color w:val="FF0000"/>
              </w:rPr>
              <w:t>116</w:t>
            </w:r>
            <w:r>
              <w:rPr>
                <w:color w:val="0000FF"/>
                <w:u w:val="single"/>
                <w:bdr w:val="single" w:sz="8" w:space="1" w:color="0000FF"/>
              </w:rPr>
              <w:t>123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 </w:t>
            </w:r>
          </w:p>
        </w:tc>
        <w:tc>
          <w:tcPr>
            <w:tcW w:w="5855"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283"/>
              <w:jc w:val="right"/>
              <w:rPr/>
            </w:pPr>
            <w:r>
              <w:rPr/>
              <w:t> </w:t>
            </w:r>
          </w:p>
        </w:tc>
      </w:tr>
      <w:tr>
        <w:trPr/>
        <w:tc>
          <w:tcPr>
            <w:tcW w:w="1099" w:type="dxa"/>
            <w:gridSpan w:val="2"/>
            <w:tcBorders/>
            <w:vAlign w:val="center"/>
          </w:tcPr>
          <w:p>
            <w:pPr>
              <w:pStyle w:val="TableContents"/>
              <w:bidi w:val="0"/>
              <w:spacing w:before="0" w:after="283"/>
              <w:jc w:val="left"/>
              <w:rPr/>
            </w:pPr>
            <w:r>
              <w:rPr/>
              <w:t>Section 10.</w:t>
            </w:r>
          </w:p>
        </w:tc>
        <w:tc>
          <w:tcPr>
            <w:tcW w:w="5855" w:type="dxa"/>
            <w:tcBorders/>
            <w:vAlign w:val="center"/>
          </w:tcPr>
          <w:p>
            <w:pPr>
              <w:pStyle w:val="TableContents"/>
              <w:bidi w:val="0"/>
              <w:spacing w:before="0" w:after="283"/>
              <w:jc w:val="left"/>
              <w:rPr/>
            </w:pPr>
            <w:r>
              <w:rPr/>
              <w:t>Negative Covenants.</w:t>
            </w:r>
          </w:p>
        </w:tc>
        <w:tc>
          <w:tcPr>
            <w:tcW w:w="755" w:type="dxa"/>
            <w:tcBorders/>
            <w:vAlign w:val="center"/>
          </w:tcPr>
          <w:p>
            <w:pPr>
              <w:pStyle w:val="TableContents"/>
              <w:bidi w:val="0"/>
              <w:spacing w:before="0" w:after="283"/>
              <w:jc w:val="right"/>
              <w:rPr/>
            </w:pPr>
            <w:r>
              <w:rPr>
                <w:strike/>
                <w:color w:val="FF0000"/>
              </w:rPr>
              <w:t>118</w:t>
            </w:r>
            <w:r>
              <w:rPr>
                <w:color w:val="0000FF"/>
                <w:u w:val="single"/>
                <w:bdr w:val="single" w:sz="8" w:space="1" w:color="0000FF"/>
              </w:rPr>
              <w:t>125</w:t>
            </w:r>
          </w:p>
        </w:tc>
      </w:tr>
      <w:tr>
        <w:trPr/>
        <w:tc>
          <w:tcPr>
            <w:tcW w:w="1099" w:type="dxa"/>
            <w:gridSpan w:val="2"/>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ind w:left="0" w:right="0" w:hanging="0"/>
              <w:jc w:val="right"/>
              <w:rPr/>
            </w:pPr>
            <w:r>
              <w:rPr/>
              <w:t> </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10.1</w:t>
            </w:r>
          </w:p>
        </w:tc>
        <w:tc>
          <w:tcPr>
            <w:tcW w:w="5855" w:type="dxa"/>
            <w:tcBorders/>
            <w:vAlign w:val="center"/>
          </w:tcPr>
          <w:p>
            <w:pPr>
              <w:pStyle w:val="TableContents"/>
              <w:bidi w:val="0"/>
              <w:spacing w:before="0" w:after="283"/>
              <w:ind w:left="0" w:right="0" w:hanging="0"/>
              <w:jc w:val="left"/>
              <w:rPr/>
            </w:pPr>
            <w:r>
              <w:rPr/>
              <w:t>Limitation on Indebtedness</w:t>
            </w:r>
          </w:p>
        </w:tc>
        <w:tc>
          <w:tcPr>
            <w:tcW w:w="755" w:type="dxa"/>
            <w:tcBorders/>
            <w:vAlign w:val="center"/>
          </w:tcPr>
          <w:p>
            <w:pPr>
              <w:pStyle w:val="TableContents"/>
              <w:bidi w:val="0"/>
              <w:spacing w:before="0" w:after="283"/>
              <w:ind w:left="0" w:right="0" w:hanging="0"/>
              <w:jc w:val="right"/>
              <w:rPr/>
            </w:pPr>
            <w:r>
              <w:rPr>
                <w:strike/>
                <w:color w:val="FF0000"/>
              </w:rPr>
              <w:t>118</w:t>
            </w:r>
            <w:r>
              <w:rPr>
                <w:color w:val="0000FF"/>
                <w:u w:val="single"/>
                <w:bdr w:val="single" w:sz="8" w:space="1" w:color="0000FF"/>
              </w:rPr>
              <w:t>125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10.2</w:t>
            </w:r>
          </w:p>
        </w:tc>
        <w:tc>
          <w:tcPr>
            <w:tcW w:w="5855" w:type="dxa"/>
            <w:tcBorders/>
            <w:vAlign w:val="center"/>
          </w:tcPr>
          <w:p>
            <w:pPr>
              <w:pStyle w:val="TableContents"/>
              <w:bidi w:val="0"/>
              <w:spacing w:before="0" w:after="283"/>
              <w:ind w:left="0" w:right="0" w:hanging="0"/>
              <w:jc w:val="left"/>
              <w:rPr/>
            </w:pPr>
            <w:r>
              <w:rPr/>
              <w:t>Limitation on Liens</w:t>
            </w:r>
          </w:p>
        </w:tc>
        <w:tc>
          <w:tcPr>
            <w:tcW w:w="755" w:type="dxa"/>
            <w:tcBorders/>
            <w:vAlign w:val="center"/>
          </w:tcPr>
          <w:p>
            <w:pPr>
              <w:pStyle w:val="TableContents"/>
              <w:bidi w:val="0"/>
              <w:spacing w:before="0" w:after="283"/>
              <w:ind w:left="0" w:right="0" w:hanging="0"/>
              <w:jc w:val="right"/>
              <w:rPr/>
            </w:pPr>
            <w:r>
              <w:rPr>
                <w:strike/>
                <w:color w:val="FF0000"/>
              </w:rPr>
              <w:t>123</w:t>
            </w:r>
            <w:r>
              <w:rPr>
                <w:color w:val="0000FF"/>
                <w:u w:val="single"/>
                <w:bdr w:val="single" w:sz="8" w:space="1" w:color="0000FF"/>
              </w:rPr>
              <w:t>130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10.3</w:t>
            </w:r>
          </w:p>
        </w:tc>
        <w:tc>
          <w:tcPr>
            <w:tcW w:w="5855" w:type="dxa"/>
            <w:tcBorders/>
            <w:vAlign w:val="center"/>
          </w:tcPr>
          <w:p>
            <w:pPr>
              <w:pStyle w:val="TableContents"/>
              <w:bidi w:val="0"/>
              <w:spacing w:before="0" w:after="283"/>
              <w:ind w:left="0" w:right="0" w:hanging="0"/>
              <w:jc w:val="left"/>
              <w:rPr/>
            </w:pPr>
            <w:r>
              <w:rPr/>
              <w:t>Limitation on Fundamental Changes</w:t>
            </w:r>
          </w:p>
        </w:tc>
        <w:tc>
          <w:tcPr>
            <w:tcW w:w="755" w:type="dxa"/>
            <w:tcBorders/>
            <w:vAlign w:val="center"/>
          </w:tcPr>
          <w:p>
            <w:pPr>
              <w:pStyle w:val="TableContents"/>
              <w:bidi w:val="0"/>
              <w:spacing w:before="0" w:after="283"/>
              <w:ind w:left="0" w:right="0" w:hanging="0"/>
              <w:jc w:val="right"/>
              <w:rPr/>
            </w:pPr>
            <w:r>
              <w:rPr>
                <w:strike/>
                <w:color w:val="FF0000"/>
              </w:rPr>
              <w:t>123</w:t>
            </w:r>
            <w:r>
              <w:rPr>
                <w:color w:val="0000FF"/>
                <w:u w:val="single"/>
                <w:bdr w:val="single" w:sz="8" w:space="1" w:color="0000FF"/>
              </w:rPr>
              <w:t>130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10.4</w:t>
            </w:r>
          </w:p>
        </w:tc>
        <w:tc>
          <w:tcPr>
            <w:tcW w:w="5855" w:type="dxa"/>
            <w:tcBorders/>
            <w:vAlign w:val="center"/>
          </w:tcPr>
          <w:p>
            <w:pPr>
              <w:pStyle w:val="TableContents"/>
              <w:bidi w:val="0"/>
              <w:spacing w:before="0" w:after="283"/>
              <w:ind w:left="0" w:right="0" w:hanging="0"/>
              <w:jc w:val="left"/>
              <w:rPr/>
            </w:pPr>
            <w:r>
              <w:rPr/>
              <w:t>Limitation on Sale of Assets</w:t>
            </w:r>
          </w:p>
        </w:tc>
        <w:tc>
          <w:tcPr>
            <w:tcW w:w="755" w:type="dxa"/>
            <w:tcBorders/>
            <w:vAlign w:val="center"/>
          </w:tcPr>
          <w:p>
            <w:pPr>
              <w:pStyle w:val="TableContents"/>
              <w:bidi w:val="0"/>
              <w:spacing w:before="0" w:after="283"/>
              <w:ind w:left="0" w:right="0" w:hanging="0"/>
              <w:jc w:val="right"/>
              <w:rPr/>
            </w:pPr>
            <w:r>
              <w:rPr>
                <w:strike/>
                <w:color w:val="FF0000"/>
              </w:rPr>
              <w:t>124</w:t>
            </w:r>
            <w:r>
              <w:rPr>
                <w:color w:val="0000FF"/>
                <w:u w:val="single"/>
                <w:bdr w:val="single" w:sz="8" w:space="1" w:color="0000FF"/>
              </w:rPr>
              <w:t>132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10.5</w:t>
            </w:r>
          </w:p>
        </w:tc>
        <w:tc>
          <w:tcPr>
            <w:tcW w:w="5855" w:type="dxa"/>
            <w:tcBorders/>
            <w:vAlign w:val="center"/>
          </w:tcPr>
          <w:p>
            <w:pPr>
              <w:pStyle w:val="TableContents"/>
              <w:bidi w:val="0"/>
              <w:spacing w:before="0" w:after="283"/>
              <w:ind w:left="0" w:right="0" w:hanging="0"/>
              <w:jc w:val="left"/>
              <w:rPr/>
            </w:pPr>
            <w:r>
              <w:rPr/>
              <w:t>Limitation on Restricted Payments</w:t>
            </w:r>
          </w:p>
        </w:tc>
        <w:tc>
          <w:tcPr>
            <w:tcW w:w="755" w:type="dxa"/>
            <w:tcBorders/>
            <w:vAlign w:val="center"/>
          </w:tcPr>
          <w:p>
            <w:pPr>
              <w:pStyle w:val="TableContents"/>
              <w:bidi w:val="0"/>
              <w:spacing w:before="0" w:after="283"/>
              <w:ind w:left="0" w:right="0" w:hanging="0"/>
              <w:jc w:val="right"/>
              <w:rPr/>
            </w:pPr>
            <w:r>
              <w:rPr>
                <w:strike/>
                <w:color w:val="FF0000"/>
              </w:rPr>
              <w:t>125</w:t>
            </w:r>
            <w:r>
              <w:rPr>
                <w:color w:val="0000FF"/>
                <w:u w:val="single"/>
                <w:bdr w:val="single" w:sz="8" w:space="1" w:color="0000FF"/>
              </w:rPr>
              <w:t>133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10.6</w:t>
            </w:r>
          </w:p>
        </w:tc>
        <w:tc>
          <w:tcPr>
            <w:tcW w:w="5855" w:type="dxa"/>
            <w:tcBorders/>
            <w:vAlign w:val="center"/>
          </w:tcPr>
          <w:p>
            <w:pPr>
              <w:pStyle w:val="TableContents"/>
              <w:bidi w:val="0"/>
              <w:spacing w:before="0" w:after="283"/>
              <w:ind w:left="0" w:right="0" w:hanging="0"/>
              <w:jc w:val="left"/>
              <w:rPr/>
            </w:pPr>
            <w:r>
              <w:rPr/>
              <w:t>Limitation on Subsidiary Distributions</w:t>
            </w:r>
          </w:p>
        </w:tc>
        <w:tc>
          <w:tcPr>
            <w:tcW w:w="755" w:type="dxa"/>
            <w:tcBorders/>
            <w:vAlign w:val="center"/>
          </w:tcPr>
          <w:p>
            <w:pPr>
              <w:pStyle w:val="TableContents"/>
              <w:bidi w:val="0"/>
              <w:spacing w:before="0" w:after="283"/>
              <w:ind w:left="0" w:right="0" w:hanging="0"/>
              <w:jc w:val="right"/>
              <w:rPr/>
            </w:pPr>
            <w:r>
              <w:rPr>
                <w:strike/>
                <w:color w:val="FF0000"/>
              </w:rPr>
              <w:t>131</w:t>
            </w:r>
            <w:r>
              <w:rPr>
                <w:color w:val="0000FF"/>
                <w:u w:val="single"/>
                <w:bdr w:val="single" w:sz="8" w:space="1" w:color="0000FF"/>
              </w:rPr>
              <w:t>139</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10.7</w:t>
            </w:r>
          </w:p>
        </w:tc>
        <w:tc>
          <w:tcPr>
            <w:tcW w:w="5855" w:type="dxa"/>
            <w:tcBorders/>
            <w:vAlign w:val="center"/>
          </w:tcPr>
          <w:p>
            <w:pPr>
              <w:pStyle w:val="TableContents"/>
              <w:bidi w:val="0"/>
              <w:spacing w:before="0" w:after="283"/>
              <w:ind w:left="0" w:right="0" w:hanging="0"/>
              <w:jc w:val="left"/>
              <w:rPr/>
            </w:pPr>
            <w:r>
              <w:rPr/>
              <w:t>Fixed Charge Coverage Ratio</w:t>
            </w:r>
          </w:p>
        </w:tc>
        <w:tc>
          <w:tcPr>
            <w:tcW w:w="755" w:type="dxa"/>
            <w:tcBorders/>
            <w:vAlign w:val="center"/>
          </w:tcPr>
          <w:p>
            <w:pPr>
              <w:pStyle w:val="TableContents"/>
              <w:bidi w:val="0"/>
              <w:spacing w:before="0" w:after="283"/>
              <w:ind w:left="0" w:right="0" w:hanging="0"/>
              <w:jc w:val="right"/>
              <w:rPr/>
            </w:pPr>
            <w:r>
              <w:rPr>
                <w:strike/>
                <w:color w:val="FF0000"/>
              </w:rPr>
              <w:t>133</w:t>
            </w:r>
            <w:r>
              <w:rPr>
                <w:color w:val="0000FF"/>
                <w:u w:val="single"/>
                <w:bdr w:val="single" w:sz="8" w:space="1" w:color="0000FF"/>
              </w:rPr>
              <w:t>140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 </w:t>
            </w:r>
          </w:p>
        </w:tc>
        <w:tc>
          <w:tcPr>
            <w:tcW w:w="5855"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283"/>
              <w:jc w:val="right"/>
              <w:rPr/>
            </w:pPr>
            <w:r>
              <w:rPr/>
              <w:t> </w:t>
            </w:r>
          </w:p>
        </w:tc>
      </w:tr>
      <w:tr>
        <w:trPr/>
        <w:tc>
          <w:tcPr>
            <w:tcW w:w="1099" w:type="dxa"/>
            <w:gridSpan w:val="2"/>
            <w:tcBorders/>
            <w:vAlign w:val="center"/>
          </w:tcPr>
          <w:p>
            <w:pPr>
              <w:pStyle w:val="TableContents"/>
              <w:bidi w:val="0"/>
              <w:spacing w:before="0" w:after="283"/>
              <w:jc w:val="left"/>
              <w:rPr/>
            </w:pPr>
            <w:r>
              <w:rPr/>
              <w:t>Section 11.</w:t>
            </w:r>
          </w:p>
        </w:tc>
        <w:tc>
          <w:tcPr>
            <w:tcW w:w="5855" w:type="dxa"/>
            <w:tcBorders/>
            <w:vAlign w:val="center"/>
          </w:tcPr>
          <w:p>
            <w:pPr>
              <w:pStyle w:val="TableContents"/>
              <w:bidi w:val="0"/>
              <w:spacing w:before="0" w:after="283"/>
              <w:jc w:val="left"/>
              <w:rPr/>
            </w:pPr>
            <w:r>
              <w:rPr/>
              <w:t>Events of Default.</w:t>
            </w:r>
          </w:p>
        </w:tc>
        <w:tc>
          <w:tcPr>
            <w:tcW w:w="755" w:type="dxa"/>
            <w:tcBorders/>
            <w:vAlign w:val="center"/>
          </w:tcPr>
          <w:p>
            <w:pPr>
              <w:pStyle w:val="TableContents"/>
              <w:bidi w:val="0"/>
              <w:spacing w:before="0" w:after="283"/>
              <w:jc w:val="right"/>
              <w:rPr/>
            </w:pPr>
            <w:r>
              <w:rPr>
                <w:strike/>
                <w:color w:val="FF0000"/>
              </w:rPr>
              <w:t>133</w:t>
            </w:r>
            <w:r>
              <w:rPr>
                <w:color w:val="0000FF"/>
                <w:u w:val="single"/>
                <w:bdr w:val="single" w:sz="8" w:space="1" w:color="0000FF"/>
              </w:rPr>
              <w:t>140</w:t>
            </w:r>
          </w:p>
        </w:tc>
      </w:tr>
      <w:tr>
        <w:trPr/>
        <w:tc>
          <w:tcPr>
            <w:tcW w:w="1099" w:type="dxa"/>
            <w:gridSpan w:val="2"/>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ind w:left="0" w:right="0" w:hanging="0"/>
              <w:jc w:val="right"/>
              <w:rPr/>
            </w:pPr>
            <w:r>
              <w:rPr/>
              <w:t> </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11.1</w:t>
            </w:r>
          </w:p>
        </w:tc>
        <w:tc>
          <w:tcPr>
            <w:tcW w:w="5855" w:type="dxa"/>
            <w:tcBorders/>
            <w:vAlign w:val="center"/>
          </w:tcPr>
          <w:p>
            <w:pPr>
              <w:pStyle w:val="TableContents"/>
              <w:bidi w:val="0"/>
              <w:spacing w:before="0" w:after="283"/>
              <w:ind w:left="0" w:right="0" w:hanging="0"/>
              <w:jc w:val="left"/>
              <w:rPr/>
            </w:pPr>
            <w:r>
              <w:rPr/>
              <w:t>Payments</w:t>
            </w:r>
          </w:p>
        </w:tc>
        <w:tc>
          <w:tcPr>
            <w:tcW w:w="755" w:type="dxa"/>
            <w:tcBorders/>
            <w:vAlign w:val="center"/>
          </w:tcPr>
          <w:p>
            <w:pPr>
              <w:pStyle w:val="TableContents"/>
              <w:bidi w:val="0"/>
              <w:spacing w:before="0" w:after="283"/>
              <w:ind w:left="0" w:right="0" w:hanging="0"/>
              <w:jc w:val="right"/>
              <w:rPr/>
            </w:pPr>
            <w:r>
              <w:rPr>
                <w:strike/>
                <w:color w:val="FF0000"/>
              </w:rPr>
              <w:t>133</w:t>
            </w:r>
            <w:r>
              <w:rPr>
                <w:color w:val="0000FF"/>
                <w:u w:val="single"/>
                <w:bdr w:val="single" w:sz="8" w:space="1" w:color="0000FF"/>
              </w:rPr>
              <w:t>140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11.2</w:t>
            </w:r>
          </w:p>
        </w:tc>
        <w:tc>
          <w:tcPr>
            <w:tcW w:w="5855" w:type="dxa"/>
            <w:tcBorders/>
            <w:vAlign w:val="center"/>
          </w:tcPr>
          <w:p>
            <w:pPr>
              <w:pStyle w:val="TableContents"/>
              <w:bidi w:val="0"/>
              <w:spacing w:before="0" w:after="283"/>
              <w:ind w:left="0" w:right="0" w:hanging="0"/>
              <w:jc w:val="left"/>
              <w:rPr/>
            </w:pPr>
            <w:r>
              <w:rPr/>
              <w:t>Representations, Etc.</w:t>
            </w:r>
          </w:p>
        </w:tc>
        <w:tc>
          <w:tcPr>
            <w:tcW w:w="755" w:type="dxa"/>
            <w:tcBorders/>
            <w:vAlign w:val="center"/>
          </w:tcPr>
          <w:p>
            <w:pPr>
              <w:pStyle w:val="TableContents"/>
              <w:bidi w:val="0"/>
              <w:spacing w:before="0" w:after="283"/>
              <w:ind w:left="0" w:right="0" w:hanging="0"/>
              <w:jc w:val="right"/>
              <w:rPr/>
            </w:pPr>
            <w:r>
              <w:rPr>
                <w:strike/>
                <w:color w:val="FF0000"/>
              </w:rPr>
              <w:t>133</w:t>
            </w:r>
            <w:r>
              <w:rPr>
                <w:color w:val="0000FF"/>
                <w:u w:val="single"/>
                <w:bdr w:val="single" w:sz="8" w:space="1" w:color="0000FF"/>
              </w:rPr>
              <w:t>140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11.3</w:t>
            </w:r>
          </w:p>
        </w:tc>
        <w:tc>
          <w:tcPr>
            <w:tcW w:w="5855" w:type="dxa"/>
            <w:tcBorders/>
            <w:vAlign w:val="center"/>
          </w:tcPr>
          <w:p>
            <w:pPr>
              <w:pStyle w:val="TableContents"/>
              <w:bidi w:val="0"/>
              <w:spacing w:before="0" w:after="283"/>
              <w:ind w:left="0" w:right="0" w:hanging="0"/>
              <w:jc w:val="left"/>
              <w:rPr/>
            </w:pPr>
            <w:r>
              <w:rPr/>
              <w:t>Covenants</w:t>
            </w:r>
          </w:p>
        </w:tc>
        <w:tc>
          <w:tcPr>
            <w:tcW w:w="755" w:type="dxa"/>
            <w:tcBorders/>
            <w:vAlign w:val="center"/>
          </w:tcPr>
          <w:p>
            <w:pPr>
              <w:pStyle w:val="TableContents"/>
              <w:bidi w:val="0"/>
              <w:spacing w:before="0" w:after="283"/>
              <w:ind w:left="0" w:right="0" w:hanging="0"/>
              <w:jc w:val="right"/>
              <w:rPr/>
            </w:pPr>
            <w:r>
              <w:rPr>
                <w:strike/>
                <w:color w:val="FF0000"/>
              </w:rPr>
              <w:t>133</w:t>
            </w:r>
            <w:r>
              <w:rPr>
                <w:color w:val="0000FF"/>
                <w:u w:val="single"/>
                <w:bdr w:val="single" w:sz="8" w:space="1" w:color="0000FF"/>
              </w:rPr>
              <w:t>140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11.4</w:t>
            </w:r>
          </w:p>
        </w:tc>
        <w:tc>
          <w:tcPr>
            <w:tcW w:w="5855" w:type="dxa"/>
            <w:tcBorders/>
            <w:vAlign w:val="center"/>
          </w:tcPr>
          <w:p>
            <w:pPr>
              <w:pStyle w:val="TableContents"/>
              <w:bidi w:val="0"/>
              <w:spacing w:before="0" w:after="283"/>
              <w:ind w:left="0" w:right="0" w:hanging="0"/>
              <w:jc w:val="left"/>
              <w:rPr/>
            </w:pPr>
            <w:r>
              <w:rPr/>
              <w:t>Default Under Other Agreements</w:t>
            </w:r>
          </w:p>
        </w:tc>
        <w:tc>
          <w:tcPr>
            <w:tcW w:w="755" w:type="dxa"/>
            <w:tcBorders/>
            <w:vAlign w:val="center"/>
          </w:tcPr>
          <w:p>
            <w:pPr>
              <w:pStyle w:val="TableContents"/>
              <w:bidi w:val="0"/>
              <w:spacing w:before="0" w:after="283"/>
              <w:ind w:left="0" w:right="0" w:hanging="0"/>
              <w:jc w:val="right"/>
              <w:rPr/>
            </w:pPr>
            <w:r>
              <w:rPr>
                <w:strike/>
                <w:color w:val="FF0000"/>
              </w:rPr>
              <w:t>133</w:t>
            </w:r>
            <w:r>
              <w:rPr>
                <w:color w:val="0000FF"/>
                <w:u w:val="single"/>
                <w:bdr w:val="single" w:sz="8" w:space="1" w:color="0000FF"/>
              </w:rPr>
              <w:t>141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11.5</w:t>
            </w:r>
          </w:p>
        </w:tc>
        <w:tc>
          <w:tcPr>
            <w:tcW w:w="5855" w:type="dxa"/>
            <w:tcBorders/>
            <w:vAlign w:val="center"/>
          </w:tcPr>
          <w:p>
            <w:pPr>
              <w:pStyle w:val="TableContents"/>
              <w:bidi w:val="0"/>
              <w:spacing w:before="0" w:after="283"/>
              <w:ind w:left="0" w:right="0" w:hanging="0"/>
              <w:jc w:val="left"/>
              <w:rPr/>
            </w:pPr>
            <w:r>
              <w:rPr/>
              <w:t>Bankruptcy, Etc.</w:t>
            </w:r>
          </w:p>
        </w:tc>
        <w:tc>
          <w:tcPr>
            <w:tcW w:w="755" w:type="dxa"/>
            <w:tcBorders/>
            <w:vAlign w:val="center"/>
          </w:tcPr>
          <w:p>
            <w:pPr>
              <w:pStyle w:val="TableContents"/>
              <w:bidi w:val="0"/>
              <w:spacing w:before="0" w:after="283"/>
              <w:ind w:left="0" w:right="0" w:hanging="0"/>
              <w:jc w:val="right"/>
              <w:rPr/>
            </w:pPr>
            <w:r>
              <w:rPr>
                <w:strike/>
                <w:color w:val="FF0000"/>
              </w:rPr>
              <w:t>134</w:t>
            </w:r>
            <w:r>
              <w:rPr>
                <w:color w:val="0000FF"/>
                <w:u w:val="single"/>
                <w:bdr w:val="single" w:sz="8" w:space="1" w:color="0000FF"/>
              </w:rPr>
              <w:t>141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11.6</w:t>
            </w:r>
          </w:p>
        </w:tc>
        <w:tc>
          <w:tcPr>
            <w:tcW w:w="5855" w:type="dxa"/>
            <w:tcBorders/>
            <w:vAlign w:val="center"/>
          </w:tcPr>
          <w:p>
            <w:pPr>
              <w:pStyle w:val="TableContents"/>
              <w:bidi w:val="0"/>
              <w:spacing w:before="0" w:after="283"/>
              <w:ind w:left="0" w:right="0" w:hanging="0"/>
              <w:jc w:val="left"/>
              <w:rPr/>
            </w:pPr>
            <w:r>
              <w:rPr/>
              <w:t>ERISA</w:t>
            </w:r>
          </w:p>
        </w:tc>
        <w:tc>
          <w:tcPr>
            <w:tcW w:w="755" w:type="dxa"/>
            <w:tcBorders/>
            <w:vAlign w:val="center"/>
          </w:tcPr>
          <w:p>
            <w:pPr>
              <w:pStyle w:val="TableContents"/>
              <w:bidi w:val="0"/>
              <w:spacing w:before="0" w:after="283"/>
              <w:ind w:left="0" w:right="0" w:hanging="0"/>
              <w:jc w:val="right"/>
              <w:rPr/>
            </w:pPr>
            <w:r>
              <w:rPr>
                <w:strike/>
                <w:color w:val="FF0000"/>
              </w:rPr>
              <w:t>135</w:t>
            </w:r>
            <w:r>
              <w:rPr>
                <w:color w:val="0000FF"/>
                <w:u w:val="single"/>
                <w:bdr w:val="single" w:sz="8" w:space="1" w:color="0000FF"/>
              </w:rPr>
              <w:t>142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11.7</w:t>
            </w:r>
          </w:p>
        </w:tc>
        <w:tc>
          <w:tcPr>
            <w:tcW w:w="5855" w:type="dxa"/>
            <w:tcBorders/>
            <w:vAlign w:val="center"/>
          </w:tcPr>
          <w:p>
            <w:pPr>
              <w:pStyle w:val="TableContents"/>
              <w:bidi w:val="0"/>
              <w:spacing w:before="0" w:after="283"/>
              <w:ind w:left="0" w:right="0" w:hanging="0"/>
              <w:jc w:val="left"/>
              <w:rPr/>
            </w:pPr>
            <w:r>
              <w:rPr/>
              <w:t>Guarantee</w:t>
            </w:r>
          </w:p>
        </w:tc>
        <w:tc>
          <w:tcPr>
            <w:tcW w:w="755" w:type="dxa"/>
            <w:tcBorders/>
            <w:vAlign w:val="center"/>
          </w:tcPr>
          <w:p>
            <w:pPr>
              <w:pStyle w:val="TableContents"/>
              <w:bidi w:val="0"/>
              <w:spacing w:before="0" w:after="283"/>
              <w:ind w:left="0" w:right="0" w:hanging="0"/>
              <w:jc w:val="right"/>
              <w:rPr/>
            </w:pPr>
            <w:r>
              <w:rPr>
                <w:strike/>
                <w:color w:val="FF0000"/>
              </w:rPr>
              <w:t>135</w:t>
            </w:r>
            <w:r>
              <w:rPr>
                <w:color w:val="0000FF"/>
                <w:u w:val="single"/>
                <w:bdr w:val="single" w:sz="8" w:space="1" w:color="0000FF"/>
              </w:rPr>
              <w:t>142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11.8</w:t>
            </w:r>
          </w:p>
        </w:tc>
        <w:tc>
          <w:tcPr>
            <w:tcW w:w="5855" w:type="dxa"/>
            <w:tcBorders/>
            <w:vAlign w:val="center"/>
          </w:tcPr>
          <w:p>
            <w:pPr>
              <w:pStyle w:val="TableContents"/>
              <w:bidi w:val="0"/>
              <w:spacing w:before="0" w:after="283"/>
              <w:ind w:left="0" w:right="0" w:hanging="0"/>
              <w:jc w:val="left"/>
              <w:rPr/>
            </w:pPr>
            <w:r>
              <w:rPr/>
              <w:t>Pledge Agreement</w:t>
            </w:r>
          </w:p>
        </w:tc>
        <w:tc>
          <w:tcPr>
            <w:tcW w:w="755" w:type="dxa"/>
            <w:tcBorders/>
            <w:vAlign w:val="center"/>
          </w:tcPr>
          <w:p>
            <w:pPr>
              <w:pStyle w:val="TableContents"/>
              <w:bidi w:val="0"/>
              <w:spacing w:before="0" w:after="283"/>
              <w:ind w:left="0" w:right="0" w:hanging="0"/>
              <w:jc w:val="right"/>
              <w:rPr/>
            </w:pPr>
            <w:r>
              <w:rPr>
                <w:strike/>
                <w:color w:val="FF0000"/>
              </w:rPr>
              <w:t>135</w:t>
            </w:r>
            <w:r>
              <w:rPr>
                <w:color w:val="0000FF"/>
                <w:u w:val="single"/>
                <w:bdr w:val="single" w:sz="8" w:space="1" w:color="0000FF"/>
              </w:rPr>
              <w:t>142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11.9</w:t>
            </w:r>
          </w:p>
        </w:tc>
        <w:tc>
          <w:tcPr>
            <w:tcW w:w="5855" w:type="dxa"/>
            <w:tcBorders/>
            <w:vAlign w:val="center"/>
          </w:tcPr>
          <w:p>
            <w:pPr>
              <w:pStyle w:val="TableContents"/>
              <w:bidi w:val="0"/>
              <w:spacing w:before="0" w:after="283"/>
              <w:ind w:left="0" w:right="0" w:hanging="0"/>
              <w:jc w:val="left"/>
              <w:rPr/>
            </w:pPr>
            <w:r>
              <w:rPr/>
              <w:t>Security Agreement</w:t>
            </w:r>
          </w:p>
        </w:tc>
        <w:tc>
          <w:tcPr>
            <w:tcW w:w="755" w:type="dxa"/>
            <w:tcBorders/>
            <w:vAlign w:val="center"/>
          </w:tcPr>
          <w:p>
            <w:pPr>
              <w:pStyle w:val="TableContents"/>
              <w:bidi w:val="0"/>
              <w:spacing w:before="0" w:after="283"/>
              <w:ind w:left="0" w:right="0" w:hanging="0"/>
              <w:jc w:val="right"/>
              <w:rPr/>
            </w:pPr>
            <w:r>
              <w:rPr>
                <w:strike/>
                <w:color w:val="FF0000"/>
              </w:rPr>
              <w:t>135</w:t>
            </w:r>
            <w:r>
              <w:rPr>
                <w:color w:val="0000FF"/>
                <w:u w:val="single"/>
                <w:bdr w:val="single" w:sz="8" w:space="1" w:color="0000FF"/>
              </w:rPr>
              <w:t>142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11.10</w:t>
            </w:r>
          </w:p>
        </w:tc>
        <w:tc>
          <w:tcPr>
            <w:tcW w:w="5855" w:type="dxa"/>
            <w:tcBorders/>
            <w:vAlign w:val="center"/>
          </w:tcPr>
          <w:p>
            <w:pPr>
              <w:pStyle w:val="TableContents"/>
              <w:bidi w:val="0"/>
              <w:spacing w:before="0" w:after="283"/>
              <w:ind w:left="0" w:right="0" w:hanging="0"/>
              <w:jc w:val="left"/>
              <w:rPr/>
            </w:pPr>
            <w:r>
              <w:rPr/>
              <w:t>Judgments</w:t>
            </w:r>
          </w:p>
        </w:tc>
        <w:tc>
          <w:tcPr>
            <w:tcW w:w="755" w:type="dxa"/>
            <w:tcBorders/>
            <w:vAlign w:val="center"/>
          </w:tcPr>
          <w:p>
            <w:pPr>
              <w:pStyle w:val="TableContents"/>
              <w:bidi w:val="0"/>
              <w:spacing w:before="0" w:after="283"/>
              <w:ind w:left="0" w:right="0" w:hanging="0"/>
              <w:jc w:val="right"/>
              <w:rPr/>
            </w:pPr>
            <w:r>
              <w:rPr>
                <w:strike/>
                <w:color w:val="FF0000"/>
              </w:rPr>
              <w:t>135</w:t>
            </w:r>
            <w:r>
              <w:rPr>
                <w:color w:val="0000FF"/>
                <w:u w:val="single"/>
                <w:bdr w:val="single" w:sz="8" w:space="1" w:color="0000FF"/>
              </w:rPr>
              <w:t>143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11.11</w:t>
            </w:r>
          </w:p>
        </w:tc>
        <w:tc>
          <w:tcPr>
            <w:tcW w:w="5855" w:type="dxa"/>
            <w:tcBorders/>
            <w:vAlign w:val="center"/>
          </w:tcPr>
          <w:p>
            <w:pPr>
              <w:pStyle w:val="TableContents"/>
              <w:bidi w:val="0"/>
              <w:spacing w:before="0" w:after="283"/>
              <w:ind w:left="0" w:right="0" w:hanging="0"/>
              <w:jc w:val="left"/>
              <w:rPr/>
            </w:pPr>
            <w:r>
              <w:rPr/>
              <w:t>Change of Control</w:t>
            </w:r>
          </w:p>
        </w:tc>
        <w:tc>
          <w:tcPr>
            <w:tcW w:w="755" w:type="dxa"/>
            <w:tcBorders/>
            <w:vAlign w:val="center"/>
          </w:tcPr>
          <w:p>
            <w:pPr>
              <w:pStyle w:val="TableContents"/>
              <w:bidi w:val="0"/>
              <w:spacing w:before="0" w:after="283"/>
              <w:ind w:left="0" w:right="0" w:hanging="0"/>
              <w:jc w:val="right"/>
              <w:rPr/>
            </w:pPr>
            <w:r>
              <w:rPr>
                <w:strike/>
                <w:color w:val="FF0000"/>
              </w:rPr>
              <w:t>135</w:t>
            </w:r>
            <w:r>
              <w:rPr>
                <w:color w:val="0000FF"/>
                <w:u w:val="single"/>
                <w:bdr w:val="single" w:sz="8" w:space="1" w:color="0000FF"/>
              </w:rPr>
              <w:t>143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11.12</w:t>
            </w:r>
          </w:p>
        </w:tc>
        <w:tc>
          <w:tcPr>
            <w:tcW w:w="5855" w:type="dxa"/>
            <w:tcBorders/>
            <w:vAlign w:val="center"/>
          </w:tcPr>
          <w:p>
            <w:pPr>
              <w:pStyle w:val="TableContents"/>
              <w:bidi w:val="0"/>
              <w:spacing w:before="0" w:after="283"/>
              <w:ind w:left="0" w:right="0" w:hanging="0"/>
              <w:jc w:val="left"/>
              <w:rPr/>
            </w:pPr>
            <w:r>
              <w:rPr/>
              <w:t>Application of Proceeds</w:t>
            </w:r>
          </w:p>
        </w:tc>
        <w:tc>
          <w:tcPr>
            <w:tcW w:w="755" w:type="dxa"/>
            <w:tcBorders/>
            <w:vAlign w:val="center"/>
          </w:tcPr>
          <w:p>
            <w:pPr>
              <w:pStyle w:val="TableContents"/>
              <w:bidi w:val="0"/>
              <w:spacing w:before="0" w:after="283"/>
              <w:ind w:left="0" w:right="0" w:hanging="0"/>
              <w:jc w:val="right"/>
              <w:rPr/>
            </w:pPr>
            <w:r>
              <w:rPr>
                <w:strike/>
                <w:color w:val="FF0000"/>
              </w:rPr>
              <w:t>136</w:t>
            </w:r>
            <w:r>
              <w:rPr>
                <w:color w:val="0000FF"/>
                <w:u w:val="single"/>
                <w:bdr w:val="single" w:sz="8" w:space="1" w:color="0000FF"/>
              </w:rPr>
              <w:t>143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11.13</w:t>
            </w:r>
          </w:p>
        </w:tc>
        <w:tc>
          <w:tcPr>
            <w:tcW w:w="5855" w:type="dxa"/>
            <w:tcBorders/>
            <w:vAlign w:val="center"/>
          </w:tcPr>
          <w:p>
            <w:pPr>
              <w:pStyle w:val="TableContents"/>
              <w:bidi w:val="0"/>
              <w:spacing w:before="0" w:after="283"/>
              <w:ind w:left="0" w:right="0" w:hanging="0"/>
              <w:jc w:val="left"/>
              <w:rPr/>
            </w:pPr>
            <w:r>
              <w:rPr/>
              <w:t>Equity Cure</w:t>
            </w:r>
          </w:p>
        </w:tc>
        <w:tc>
          <w:tcPr>
            <w:tcW w:w="755" w:type="dxa"/>
            <w:tcBorders/>
            <w:vAlign w:val="center"/>
          </w:tcPr>
          <w:p>
            <w:pPr>
              <w:pStyle w:val="TableContents"/>
              <w:bidi w:val="0"/>
              <w:spacing w:before="0" w:after="283"/>
              <w:jc w:val="right"/>
              <w:rPr/>
            </w:pPr>
            <w:r>
              <w:rPr>
                <w:strike/>
                <w:color w:val="FF0000"/>
              </w:rPr>
              <w:t>137</w:t>
            </w:r>
            <w:r>
              <w:rPr>
                <w:color w:val="0000FF"/>
                <w:u w:val="single"/>
                <w:bdr w:val="single" w:sz="8" w:space="1" w:color="0000FF"/>
              </w:rPr>
              <w:t>144</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9164" w:type="dxa"/>
        <w:jc w:val="left"/>
        <w:tblInd w:w="0" w:type="dxa"/>
        <w:tblLayout w:type="fixed"/>
        <w:tblCellMar>
          <w:top w:w="0" w:type="dxa"/>
          <w:left w:w="0" w:type="dxa"/>
          <w:bottom w:w="0" w:type="dxa"/>
          <w:right w:w="0" w:type="dxa"/>
        </w:tblCellMar>
      </w:tblPr>
      <w:tblGrid>
        <w:gridCol w:w="129"/>
        <w:gridCol w:w="970"/>
        <w:gridCol w:w="7310"/>
        <w:gridCol w:w="755"/>
      </w:tblGrid>
      <w:tr>
        <w:trPr/>
        <w:tc>
          <w:tcPr>
            <w:tcW w:w="12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u w:val="single"/>
              </w:rPr>
            </w:pPr>
            <w:r>
              <w:rPr>
                <w:u w:val="single"/>
              </w:rPr>
              <w:t>Page</w:t>
            </w:r>
          </w:p>
        </w:tc>
      </w:tr>
      <w:tr>
        <w:trPr/>
        <w:tc>
          <w:tcPr>
            <w:tcW w:w="12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1099" w:type="dxa"/>
            <w:gridSpan w:val="2"/>
            <w:tcBorders/>
            <w:vAlign w:val="center"/>
          </w:tcPr>
          <w:p>
            <w:pPr>
              <w:pStyle w:val="TableContents"/>
              <w:bidi w:val="0"/>
              <w:spacing w:before="0" w:after="283"/>
              <w:jc w:val="left"/>
              <w:rPr/>
            </w:pPr>
            <w:r>
              <w:rPr/>
              <w:t>Section 12.</w:t>
            </w:r>
          </w:p>
        </w:tc>
        <w:tc>
          <w:tcPr>
            <w:tcW w:w="7310" w:type="dxa"/>
            <w:tcBorders/>
            <w:vAlign w:val="center"/>
          </w:tcPr>
          <w:p>
            <w:pPr>
              <w:pStyle w:val="TableContents"/>
              <w:bidi w:val="0"/>
              <w:spacing w:before="0" w:after="283"/>
              <w:jc w:val="left"/>
              <w:rPr/>
            </w:pPr>
            <w:r>
              <w:rPr/>
              <w:t>The Agents</w:t>
            </w:r>
          </w:p>
        </w:tc>
        <w:tc>
          <w:tcPr>
            <w:tcW w:w="755" w:type="dxa"/>
            <w:tcBorders/>
            <w:vAlign w:val="center"/>
          </w:tcPr>
          <w:p>
            <w:pPr>
              <w:pStyle w:val="TableContents"/>
              <w:bidi w:val="0"/>
              <w:spacing w:before="0" w:after="283"/>
              <w:jc w:val="right"/>
              <w:rPr/>
            </w:pPr>
            <w:r>
              <w:rPr>
                <w:strike/>
                <w:color w:val="FF0000"/>
              </w:rPr>
              <w:t>137</w:t>
            </w:r>
            <w:r>
              <w:rPr>
                <w:color w:val="0000FF"/>
                <w:u w:val="single"/>
                <w:bdr w:val="single" w:sz="8" w:space="1" w:color="0000FF"/>
              </w:rPr>
              <w:t>145</w:t>
            </w:r>
          </w:p>
        </w:tc>
      </w:tr>
      <w:tr>
        <w:trPr/>
        <w:tc>
          <w:tcPr>
            <w:tcW w:w="1099" w:type="dxa"/>
            <w:gridSpan w:val="2"/>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ind w:left="0" w:right="0" w:hanging="0"/>
              <w:jc w:val="right"/>
              <w:rPr/>
            </w:pPr>
            <w:r>
              <w:rPr/>
              <w:t> </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12.1</w:t>
            </w:r>
          </w:p>
        </w:tc>
        <w:tc>
          <w:tcPr>
            <w:tcW w:w="7310" w:type="dxa"/>
            <w:tcBorders/>
            <w:vAlign w:val="center"/>
          </w:tcPr>
          <w:p>
            <w:pPr>
              <w:pStyle w:val="TableContents"/>
              <w:bidi w:val="0"/>
              <w:spacing w:before="0" w:after="283"/>
              <w:ind w:left="0" w:right="0" w:hanging="0"/>
              <w:jc w:val="left"/>
              <w:rPr/>
            </w:pPr>
            <w:r>
              <w:rPr/>
              <w:t>Appointment</w:t>
            </w:r>
          </w:p>
        </w:tc>
        <w:tc>
          <w:tcPr>
            <w:tcW w:w="755" w:type="dxa"/>
            <w:tcBorders/>
            <w:vAlign w:val="center"/>
          </w:tcPr>
          <w:p>
            <w:pPr>
              <w:pStyle w:val="TableContents"/>
              <w:bidi w:val="0"/>
              <w:spacing w:before="0" w:after="283"/>
              <w:ind w:left="0" w:right="0" w:hanging="0"/>
              <w:jc w:val="right"/>
              <w:rPr/>
            </w:pPr>
            <w:r>
              <w:rPr>
                <w:strike/>
                <w:color w:val="FF0000"/>
              </w:rPr>
              <w:t>137</w:t>
            </w:r>
            <w:r>
              <w:rPr>
                <w:color w:val="0000FF"/>
                <w:u w:val="single"/>
                <w:bdr w:val="single" w:sz="8" w:space="1" w:color="0000FF"/>
              </w:rPr>
              <w:t>145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12.2</w:t>
            </w:r>
          </w:p>
        </w:tc>
        <w:tc>
          <w:tcPr>
            <w:tcW w:w="7310" w:type="dxa"/>
            <w:tcBorders/>
            <w:vAlign w:val="center"/>
          </w:tcPr>
          <w:p>
            <w:pPr>
              <w:pStyle w:val="TableContents"/>
              <w:bidi w:val="0"/>
              <w:spacing w:before="0" w:after="283"/>
              <w:ind w:left="0" w:right="0" w:hanging="0"/>
              <w:jc w:val="left"/>
              <w:rPr/>
            </w:pPr>
            <w:r>
              <w:rPr/>
              <w:t>Delegation of Duties</w:t>
            </w:r>
          </w:p>
        </w:tc>
        <w:tc>
          <w:tcPr>
            <w:tcW w:w="755" w:type="dxa"/>
            <w:tcBorders/>
            <w:vAlign w:val="center"/>
          </w:tcPr>
          <w:p>
            <w:pPr>
              <w:pStyle w:val="TableContents"/>
              <w:bidi w:val="0"/>
              <w:spacing w:before="0" w:after="283"/>
              <w:ind w:left="0" w:right="0" w:hanging="0"/>
              <w:jc w:val="right"/>
              <w:rPr/>
            </w:pPr>
            <w:r>
              <w:rPr>
                <w:strike/>
                <w:color w:val="FF0000"/>
              </w:rPr>
              <w:t>138</w:t>
            </w:r>
            <w:r>
              <w:rPr>
                <w:color w:val="0000FF"/>
                <w:u w:val="single"/>
                <w:bdr w:val="single" w:sz="8" w:space="1" w:color="0000FF"/>
              </w:rPr>
              <w:t>145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12.3</w:t>
            </w:r>
          </w:p>
        </w:tc>
        <w:tc>
          <w:tcPr>
            <w:tcW w:w="7310" w:type="dxa"/>
            <w:tcBorders/>
            <w:vAlign w:val="center"/>
          </w:tcPr>
          <w:p>
            <w:pPr>
              <w:pStyle w:val="TableContents"/>
              <w:bidi w:val="0"/>
              <w:spacing w:before="0" w:after="283"/>
              <w:ind w:left="0" w:right="0" w:hanging="0"/>
              <w:jc w:val="left"/>
              <w:rPr/>
            </w:pPr>
            <w:r>
              <w:rPr/>
              <w:t>Exculpatory Provisions</w:t>
            </w:r>
          </w:p>
        </w:tc>
        <w:tc>
          <w:tcPr>
            <w:tcW w:w="755" w:type="dxa"/>
            <w:tcBorders/>
            <w:vAlign w:val="center"/>
          </w:tcPr>
          <w:p>
            <w:pPr>
              <w:pStyle w:val="TableContents"/>
              <w:bidi w:val="0"/>
              <w:spacing w:before="0" w:after="283"/>
              <w:ind w:left="0" w:right="0" w:hanging="0"/>
              <w:jc w:val="right"/>
              <w:rPr/>
            </w:pPr>
            <w:r>
              <w:rPr>
                <w:strike/>
                <w:color w:val="FF0000"/>
              </w:rPr>
              <w:t>138</w:t>
            </w:r>
            <w:r>
              <w:rPr>
                <w:color w:val="0000FF"/>
                <w:u w:val="single"/>
                <w:bdr w:val="single" w:sz="8" w:space="1" w:color="0000FF"/>
              </w:rPr>
              <w:t>146</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12.4</w:t>
            </w:r>
          </w:p>
        </w:tc>
        <w:tc>
          <w:tcPr>
            <w:tcW w:w="7310" w:type="dxa"/>
            <w:tcBorders/>
            <w:vAlign w:val="center"/>
          </w:tcPr>
          <w:p>
            <w:pPr>
              <w:pStyle w:val="TableContents"/>
              <w:bidi w:val="0"/>
              <w:spacing w:before="0" w:after="283"/>
              <w:ind w:left="0" w:right="0" w:hanging="0"/>
              <w:jc w:val="left"/>
              <w:rPr/>
            </w:pPr>
            <w:r>
              <w:rPr/>
              <w:t>Reliance by Agents</w:t>
            </w:r>
          </w:p>
        </w:tc>
        <w:tc>
          <w:tcPr>
            <w:tcW w:w="755" w:type="dxa"/>
            <w:tcBorders/>
            <w:vAlign w:val="center"/>
          </w:tcPr>
          <w:p>
            <w:pPr>
              <w:pStyle w:val="TableContents"/>
              <w:bidi w:val="0"/>
              <w:spacing w:before="0" w:after="283"/>
              <w:ind w:left="0" w:right="0" w:hanging="0"/>
              <w:jc w:val="right"/>
              <w:rPr/>
            </w:pPr>
            <w:r>
              <w:rPr>
                <w:strike/>
                <w:color w:val="FF0000"/>
              </w:rPr>
              <w:t>139</w:t>
            </w:r>
            <w:r>
              <w:rPr>
                <w:color w:val="0000FF"/>
                <w:u w:val="single"/>
                <w:bdr w:val="single" w:sz="8" w:space="1" w:color="0000FF"/>
              </w:rPr>
              <w:t>146</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12.5</w:t>
            </w:r>
          </w:p>
        </w:tc>
        <w:tc>
          <w:tcPr>
            <w:tcW w:w="7310" w:type="dxa"/>
            <w:tcBorders/>
            <w:vAlign w:val="center"/>
          </w:tcPr>
          <w:p>
            <w:pPr>
              <w:pStyle w:val="TableContents"/>
              <w:bidi w:val="0"/>
              <w:spacing w:before="0" w:after="283"/>
              <w:ind w:left="0" w:right="0" w:hanging="0"/>
              <w:jc w:val="left"/>
              <w:rPr/>
            </w:pPr>
            <w:r>
              <w:rPr/>
              <w:t>Notice of Default</w:t>
            </w:r>
          </w:p>
        </w:tc>
        <w:tc>
          <w:tcPr>
            <w:tcW w:w="755" w:type="dxa"/>
            <w:tcBorders/>
            <w:vAlign w:val="center"/>
          </w:tcPr>
          <w:p>
            <w:pPr>
              <w:pStyle w:val="TableContents"/>
              <w:bidi w:val="0"/>
              <w:spacing w:before="0" w:after="283"/>
              <w:ind w:left="0" w:right="0" w:hanging="0"/>
              <w:jc w:val="right"/>
              <w:rPr/>
            </w:pPr>
            <w:r>
              <w:rPr>
                <w:strike/>
                <w:color w:val="FF0000"/>
              </w:rPr>
              <w:t>139</w:t>
            </w:r>
            <w:r>
              <w:rPr>
                <w:color w:val="0000FF"/>
                <w:u w:val="single"/>
                <w:bdr w:val="single" w:sz="8" w:space="1" w:color="0000FF"/>
              </w:rPr>
              <w:t>147</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12.6</w:t>
            </w:r>
          </w:p>
        </w:tc>
        <w:tc>
          <w:tcPr>
            <w:tcW w:w="7310" w:type="dxa"/>
            <w:tcBorders/>
            <w:vAlign w:val="center"/>
          </w:tcPr>
          <w:p>
            <w:pPr>
              <w:pStyle w:val="TableContents"/>
              <w:bidi w:val="0"/>
              <w:spacing w:before="0" w:after="283"/>
              <w:ind w:left="0" w:right="0" w:hanging="0"/>
              <w:jc w:val="left"/>
              <w:rPr/>
            </w:pPr>
            <w:r>
              <w:rPr/>
              <w:t>Non-Reliance on Administrative Agent, Collateral Agent, and Other Lenders</w:t>
            </w:r>
          </w:p>
        </w:tc>
        <w:tc>
          <w:tcPr>
            <w:tcW w:w="755" w:type="dxa"/>
            <w:tcBorders/>
            <w:vAlign w:val="center"/>
          </w:tcPr>
          <w:p>
            <w:pPr>
              <w:pStyle w:val="TableContents"/>
              <w:bidi w:val="0"/>
              <w:spacing w:before="0" w:after="283"/>
              <w:ind w:left="0" w:right="0" w:hanging="0"/>
              <w:jc w:val="right"/>
              <w:rPr/>
            </w:pPr>
            <w:r>
              <w:rPr>
                <w:strike/>
                <w:color w:val="FF0000"/>
              </w:rPr>
              <w:t>139</w:t>
            </w:r>
            <w:r>
              <w:rPr>
                <w:color w:val="0000FF"/>
                <w:u w:val="single"/>
                <w:bdr w:val="single" w:sz="8" w:space="1" w:color="0000FF"/>
              </w:rPr>
              <w:t>147</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12.7</w:t>
            </w:r>
          </w:p>
        </w:tc>
        <w:tc>
          <w:tcPr>
            <w:tcW w:w="7310" w:type="dxa"/>
            <w:tcBorders/>
            <w:vAlign w:val="center"/>
          </w:tcPr>
          <w:p>
            <w:pPr>
              <w:pStyle w:val="TableContents"/>
              <w:bidi w:val="0"/>
              <w:spacing w:before="0" w:after="283"/>
              <w:ind w:left="0" w:right="0" w:hanging="0"/>
              <w:jc w:val="left"/>
              <w:rPr/>
            </w:pPr>
            <w:r>
              <w:rPr/>
              <w:t>Indemnification</w:t>
            </w:r>
          </w:p>
        </w:tc>
        <w:tc>
          <w:tcPr>
            <w:tcW w:w="755" w:type="dxa"/>
            <w:tcBorders/>
            <w:vAlign w:val="center"/>
          </w:tcPr>
          <w:p>
            <w:pPr>
              <w:pStyle w:val="TableContents"/>
              <w:bidi w:val="0"/>
              <w:spacing w:before="0" w:after="283"/>
              <w:ind w:left="0" w:right="0" w:hanging="0"/>
              <w:jc w:val="right"/>
              <w:rPr/>
            </w:pPr>
            <w:r>
              <w:rPr>
                <w:strike/>
                <w:color w:val="FF0000"/>
              </w:rPr>
              <w:t>140</w:t>
            </w:r>
            <w:r>
              <w:rPr>
                <w:color w:val="0000FF"/>
                <w:u w:val="single"/>
                <w:bdr w:val="single" w:sz="8" w:space="1" w:color="0000FF"/>
              </w:rPr>
              <w:t>148</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12.8</w:t>
            </w:r>
          </w:p>
        </w:tc>
        <w:tc>
          <w:tcPr>
            <w:tcW w:w="7310" w:type="dxa"/>
            <w:tcBorders/>
            <w:vAlign w:val="center"/>
          </w:tcPr>
          <w:p>
            <w:pPr>
              <w:pStyle w:val="TableContents"/>
              <w:bidi w:val="0"/>
              <w:spacing w:before="0" w:after="283"/>
              <w:ind w:left="0" w:right="0" w:hanging="0"/>
              <w:jc w:val="left"/>
              <w:rPr/>
            </w:pPr>
            <w:r>
              <w:rPr/>
              <w:t>Agents in Their Individual Capacities</w:t>
            </w:r>
          </w:p>
        </w:tc>
        <w:tc>
          <w:tcPr>
            <w:tcW w:w="755" w:type="dxa"/>
            <w:tcBorders/>
            <w:vAlign w:val="center"/>
          </w:tcPr>
          <w:p>
            <w:pPr>
              <w:pStyle w:val="TableContents"/>
              <w:bidi w:val="0"/>
              <w:spacing w:before="0" w:after="283"/>
              <w:ind w:left="0" w:right="0" w:hanging="0"/>
              <w:jc w:val="right"/>
              <w:rPr/>
            </w:pPr>
            <w:r>
              <w:rPr>
                <w:strike/>
                <w:color w:val="FF0000"/>
              </w:rPr>
              <w:t>140</w:t>
            </w:r>
            <w:r>
              <w:rPr>
                <w:color w:val="0000FF"/>
                <w:u w:val="single"/>
                <w:bdr w:val="single" w:sz="8" w:space="1" w:color="0000FF"/>
              </w:rPr>
              <w:t>148</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12.9</w:t>
            </w:r>
          </w:p>
        </w:tc>
        <w:tc>
          <w:tcPr>
            <w:tcW w:w="7310" w:type="dxa"/>
            <w:tcBorders/>
            <w:vAlign w:val="center"/>
          </w:tcPr>
          <w:p>
            <w:pPr>
              <w:pStyle w:val="TableContents"/>
              <w:bidi w:val="0"/>
              <w:spacing w:before="0" w:after="283"/>
              <w:ind w:left="0" w:right="0" w:hanging="0"/>
              <w:jc w:val="left"/>
              <w:rPr/>
            </w:pPr>
            <w:r>
              <w:rPr/>
              <w:t>Successor Agents</w:t>
            </w:r>
          </w:p>
        </w:tc>
        <w:tc>
          <w:tcPr>
            <w:tcW w:w="755" w:type="dxa"/>
            <w:tcBorders/>
            <w:vAlign w:val="center"/>
          </w:tcPr>
          <w:p>
            <w:pPr>
              <w:pStyle w:val="TableContents"/>
              <w:bidi w:val="0"/>
              <w:spacing w:before="0" w:after="283"/>
              <w:ind w:left="0" w:right="0" w:hanging="0"/>
              <w:jc w:val="right"/>
              <w:rPr/>
            </w:pPr>
            <w:r>
              <w:rPr>
                <w:strike/>
                <w:color w:val="FF0000"/>
              </w:rPr>
              <w:t>141</w:t>
            </w:r>
            <w:r>
              <w:rPr>
                <w:color w:val="0000FF"/>
                <w:u w:val="single"/>
                <w:bdr w:val="single" w:sz="8" w:space="1" w:color="0000FF"/>
              </w:rPr>
              <w:t>148</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12.10</w:t>
            </w:r>
          </w:p>
        </w:tc>
        <w:tc>
          <w:tcPr>
            <w:tcW w:w="7310" w:type="dxa"/>
            <w:tcBorders/>
            <w:vAlign w:val="center"/>
          </w:tcPr>
          <w:p>
            <w:pPr>
              <w:pStyle w:val="TableContents"/>
              <w:bidi w:val="0"/>
              <w:spacing w:before="0" w:after="283"/>
              <w:ind w:left="0" w:right="0" w:hanging="0"/>
              <w:jc w:val="left"/>
              <w:rPr/>
            </w:pPr>
            <w:r>
              <w:rPr/>
              <w:t>Withholding Tax</w:t>
            </w:r>
          </w:p>
        </w:tc>
        <w:tc>
          <w:tcPr>
            <w:tcW w:w="755" w:type="dxa"/>
            <w:tcBorders/>
            <w:vAlign w:val="center"/>
          </w:tcPr>
          <w:p>
            <w:pPr>
              <w:pStyle w:val="TableContents"/>
              <w:bidi w:val="0"/>
              <w:spacing w:before="0" w:after="283"/>
              <w:ind w:left="0" w:right="0" w:hanging="0"/>
              <w:jc w:val="right"/>
              <w:rPr/>
            </w:pPr>
            <w:r>
              <w:rPr>
                <w:strike/>
                <w:color w:val="FF0000"/>
              </w:rPr>
              <w:t>142</w:t>
            </w:r>
            <w:r>
              <w:rPr>
                <w:color w:val="0000FF"/>
                <w:u w:val="single"/>
                <w:bdr w:val="single" w:sz="8" w:space="1" w:color="0000FF"/>
              </w:rPr>
              <w:t>149</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12.11</w:t>
            </w:r>
          </w:p>
        </w:tc>
        <w:tc>
          <w:tcPr>
            <w:tcW w:w="7310" w:type="dxa"/>
            <w:tcBorders/>
            <w:vAlign w:val="center"/>
          </w:tcPr>
          <w:p>
            <w:pPr>
              <w:pStyle w:val="TableContents"/>
              <w:bidi w:val="0"/>
              <w:spacing w:before="0" w:after="283"/>
              <w:ind w:left="0" w:right="0" w:hanging="0"/>
              <w:jc w:val="left"/>
              <w:rPr/>
            </w:pPr>
            <w:r>
              <w:rPr/>
              <w:t>Agents Under Security Documents and Guarantee</w:t>
            </w:r>
          </w:p>
        </w:tc>
        <w:tc>
          <w:tcPr>
            <w:tcW w:w="755" w:type="dxa"/>
            <w:tcBorders/>
            <w:vAlign w:val="center"/>
          </w:tcPr>
          <w:p>
            <w:pPr>
              <w:pStyle w:val="TableContents"/>
              <w:bidi w:val="0"/>
              <w:spacing w:before="0" w:after="283"/>
              <w:ind w:left="0" w:right="0" w:hanging="0"/>
              <w:jc w:val="right"/>
              <w:rPr/>
            </w:pPr>
            <w:r>
              <w:rPr>
                <w:strike/>
                <w:color w:val="FF0000"/>
              </w:rPr>
              <w:t>142</w:t>
            </w:r>
            <w:r>
              <w:rPr>
                <w:color w:val="0000FF"/>
                <w:u w:val="single"/>
                <w:bdr w:val="single" w:sz="8" w:space="1" w:color="0000FF"/>
              </w:rPr>
              <w:t>150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12.12</w:t>
            </w:r>
          </w:p>
        </w:tc>
        <w:tc>
          <w:tcPr>
            <w:tcW w:w="7310" w:type="dxa"/>
            <w:tcBorders/>
            <w:vAlign w:val="center"/>
          </w:tcPr>
          <w:p>
            <w:pPr>
              <w:pStyle w:val="TableContents"/>
              <w:bidi w:val="0"/>
              <w:spacing w:before="0" w:after="283"/>
              <w:ind w:left="0" w:right="0" w:hanging="0"/>
              <w:jc w:val="left"/>
              <w:rPr/>
            </w:pPr>
            <w:r>
              <w:rPr/>
              <w:t>Right to Realize on Collateral and Enforce Guarantee</w:t>
            </w:r>
          </w:p>
        </w:tc>
        <w:tc>
          <w:tcPr>
            <w:tcW w:w="755" w:type="dxa"/>
            <w:tcBorders/>
            <w:vAlign w:val="center"/>
          </w:tcPr>
          <w:p>
            <w:pPr>
              <w:pStyle w:val="TableContents"/>
              <w:bidi w:val="0"/>
              <w:spacing w:before="0" w:after="283"/>
              <w:ind w:left="0" w:right="0" w:hanging="0"/>
              <w:jc w:val="right"/>
              <w:rPr/>
            </w:pPr>
            <w:r>
              <w:rPr>
                <w:strike/>
                <w:color w:val="FF0000"/>
              </w:rPr>
              <w:t>143</w:t>
            </w:r>
            <w:r>
              <w:rPr>
                <w:color w:val="0000FF"/>
                <w:u w:val="single"/>
                <w:bdr w:val="single" w:sz="8" w:space="1" w:color="0000FF"/>
              </w:rPr>
              <w:t>151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12.13</w:t>
            </w:r>
          </w:p>
        </w:tc>
        <w:tc>
          <w:tcPr>
            <w:tcW w:w="7310" w:type="dxa"/>
            <w:tcBorders/>
            <w:vAlign w:val="center"/>
          </w:tcPr>
          <w:p>
            <w:pPr>
              <w:pStyle w:val="TableContents"/>
              <w:bidi w:val="0"/>
              <w:spacing w:before="0" w:after="283"/>
              <w:ind w:left="0" w:right="0" w:hanging="0"/>
              <w:jc w:val="left"/>
              <w:rPr/>
            </w:pPr>
            <w:r>
              <w:rPr/>
              <w:t>Intercreditor Agreement Governs</w:t>
            </w:r>
          </w:p>
        </w:tc>
        <w:tc>
          <w:tcPr>
            <w:tcW w:w="755" w:type="dxa"/>
            <w:tcBorders/>
            <w:vAlign w:val="center"/>
          </w:tcPr>
          <w:p>
            <w:pPr>
              <w:pStyle w:val="TableContents"/>
              <w:bidi w:val="0"/>
              <w:spacing w:before="0" w:after="283"/>
              <w:ind w:left="0" w:right="0" w:hanging="0"/>
              <w:jc w:val="right"/>
              <w:rPr/>
            </w:pPr>
            <w:r>
              <w:rPr>
                <w:strike/>
                <w:color w:val="FF0000"/>
              </w:rPr>
              <w:t>143</w:t>
            </w:r>
            <w:r>
              <w:rPr>
                <w:color w:val="0000FF"/>
                <w:u w:val="single"/>
                <w:bdr w:val="single" w:sz="8" w:space="1" w:color="0000FF"/>
              </w:rPr>
              <w:t>151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12.14</w:t>
            </w:r>
          </w:p>
        </w:tc>
        <w:tc>
          <w:tcPr>
            <w:tcW w:w="7310" w:type="dxa"/>
            <w:tcBorders/>
            <w:vAlign w:val="center"/>
          </w:tcPr>
          <w:p>
            <w:pPr>
              <w:pStyle w:val="TableContents"/>
              <w:bidi w:val="0"/>
              <w:spacing w:before="0" w:after="283"/>
              <w:ind w:left="0" w:right="0" w:hanging="0"/>
              <w:jc w:val="left"/>
              <w:rPr/>
            </w:pPr>
            <w:r>
              <w:rPr/>
              <w:t>Bank Product Providers</w:t>
            </w:r>
          </w:p>
        </w:tc>
        <w:tc>
          <w:tcPr>
            <w:tcW w:w="755" w:type="dxa"/>
            <w:tcBorders/>
            <w:vAlign w:val="center"/>
          </w:tcPr>
          <w:p>
            <w:pPr>
              <w:pStyle w:val="TableContents"/>
              <w:bidi w:val="0"/>
              <w:spacing w:before="0" w:after="283"/>
              <w:ind w:left="0" w:right="0" w:hanging="0"/>
              <w:jc w:val="right"/>
              <w:rPr/>
            </w:pPr>
            <w:r>
              <w:rPr>
                <w:strike/>
                <w:color w:val="FF0000"/>
              </w:rPr>
              <w:t>143</w:t>
            </w:r>
            <w:r>
              <w:rPr>
                <w:color w:val="0000FF"/>
                <w:u w:val="single"/>
                <w:bdr w:val="single" w:sz="8" w:space="1" w:color="0000FF"/>
              </w:rPr>
              <w:t>151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 </w:t>
            </w:r>
          </w:p>
        </w:tc>
        <w:tc>
          <w:tcPr>
            <w:tcW w:w="7310"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283"/>
              <w:jc w:val="right"/>
              <w:rPr/>
            </w:pPr>
            <w:r>
              <w:rPr/>
              <w:t> </w:t>
            </w:r>
          </w:p>
        </w:tc>
      </w:tr>
      <w:tr>
        <w:trPr/>
        <w:tc>
          <w:tcPr>
            <w:tcW w:w="1099" w:type="dxa"/>
            <w:gridSpan w:val="2"/>
            <w:tcBorders/>
            <w:vAlign w:val="center"/>
          </w:tcPr>
          <w:p>
            <w:pPr>
              <w:pStyle w:val="TableContents"/>
              <w:bidi w:val="0"/>
              <w:spacing w:before="0" w:after="283"/>
              <w:jc w:val="left"/>
              <w:rPr/>
            </w:pPr>
            <w:r>
              <w:rPr/>
              <w:t>Section 13.</w:t>
            </w:r>
          </w:p>
        </w:tc>
        <w:tc>
          <w:tcPr>
            <w:tcW w:w="7310" w:type="dxa"/>
            <w:tcBorders/>
            <w:vAlign w:val="center"/>
          </w:tcPr>
          <w:p>
            <w:pPr>
              <w:pStyle w:val="TableContents"/>
              <w:bidi w:val="0"/>
              <w:spacing w:before="0" w:after="283"/>
              <w:jc w:val="left"/>
              <w:rPr/>
            </w:pPr>
            <w:r>
              <w:rPr/>
              <w:t>Miscellaneous</w:t>
            </w:r>
          </w:p>
        </w:tc>
        <w:tc>
          <w:tcPr>
            <w:tcW w:w="755" w:type="dxa"/>
            <w:tcBorders/>
            <w:vAlign w:val="center"/>
          </w:tcPr>
          <w:p>
            <w:pPr>
              <w:pStyle w:val="TableContents"/>
              <w:bidi w:val="0"/>
              <w:spacing w:before="0" w:after="283"/>
              <w:jc w:val="right"/>
              <w:rPr/>
            </w:pPr>
            <w:r>
              <w:rPr>
                <w:strike/>
                <w:color w:val="FF0000"/>
              </w:rPr>
              <w:t>144</w:t>
            </w:r>
            <w:r>
              <w:rPr>
                <w:color w:val="0000FF"/>
                <w:u w:val="single"/>
                <w:bdr w:val="single" w:sz="8" w:space="1" w:color="0000FF"/>
              </w:rPr>
              <w:t>152</w:t>
            </w:r>
          </w:p>
        </w:tc>
      </w:tr>
      <w:tr>
        <w:trPr/>
        <w:tc>
          <w:tcPr>
            <w:tcW w:w="1099" w:type="dxa"/>
            <w:gridSpan w:val="2"/>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ind w:left="0" w:right="0" w:hanging="0"/>
              <w:jc w:val="right"/>
              <w:rPr/>
            </w:pPr>
            <w:r>
              <w:rPr/>
              <w:t> </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w:t>
            </w:r>
          </w:p>
        </w:tc>
        <w:tc>
          <w:tcPr>
            <w:tcW w:w="7310" w:type="dxa"/>
            <w:tcBorders/>
            <w:vAlign w:val="center"/>
          </w:tcPr>
          <w:p>
            <w:pPr>
              <w:pStyle w:val="TableContents"/>
              <w:bidi w:val="0"/>
              <w:spacing w:before="0" w:after="283"/>
              <w:ind w:left="0" w:right="0" w:hanging="0"/>
              <w:jc w:val="left"/>
              <w:rPr/>
            </w:pPr>
            <w:r>
              <w:rPr/>
              <w:t>Amendments, Waivers, and Releases</w:t>
            </w:r>
          </w:p>
        </w:tc>
        <w:tc>
          <w:tcPr>
            <w:tcW w:w="755" w:type="dxa"/>
            <w:tcBorders/>
            <w:vAlign w:val="center"/>
          </w:tcPr>
          <w:p>
            <w:pPr>
              <w:pStyle w:val="TableContents"/>
              <w:bidi w:val="0"/>
              <w:spacing w:before="0" w:after="283"/>
              <w:ind w:left="0" w:right="0" w:hanging="0"/>
              <w:jc w:val="right"/>
              <w:rPr/>
            </w:pPr>
            <w:r>
              <w:rPr>
                <w:strike/>
                <w:color w:val="FF0000"/>
              </w:rPr>
              <w:t>144</w:t>
            </w:r>
            <w:r>
              <w:rPr>
                <w:color w:val="0000FF"/>
                <w:u w:val="single"/>
                <w:bdr w:val="single" w:sz="8" w:space="1" w:color="0000FF"/>
              </w:rPr>
              <w:t>152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w:t>
            </w:r>
          </w:p>
        </w:tc>
        <w:tc>
          <w:tcPr>
            <w:tcW w:w="7310" w:type="dxa"/>
            <w:tcBorders/>
            <w:vAlign w:val="center"/>
          </w:tcPr>
          <w:p>
            <w:pPr>
              <w:pStyle w:val="TableContents"/>
              <w:bidi w:val="0"/>
              <w:spacing w:before="0" w:after="283"/>
              <w:ind w:left="0" w:right="0" w:hanging="0"/>
              <w:jc w:val="left"/>
              <w:rPr/>
            </w:pPr>
            <w:r>
              <w:rPr/>
              <w:t>Notices</w:t>
            </w:r>
          </w:p>
        </w:tc>
        <w:tc>
          <w:tcPr>
            <w:tcW w:w="755" w:type="dxa"/>
            <w:tcBorders/>
            <w:vAlign w:val="center"/>
          </w:tcPr>
          <w:p>
            <w:pPr>
              <w:pStyle w:val="TableContents"/>
              <w:bidi w:val="0"/>
              <w:spacing w:before="0" w:after="283"/>
              <w:ind w:left="0" w:right="0" w:hanging="0"/>
              <w:jc w:val="right"/>
              <w:rPr/>
            </w:pPr>
            <w:r>
              <w:rPr/>
              <w:t>154</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13.3</w:t>
            </w:r>
          </w:p>
        </w:tc>
        <w:tc>
          <w:tcPr>
            <w:tcW w:w="7310" w:type="dxa"/>
            <w:tcBorders/>
            <w:vAlign w:val="center"/>
          </w:tcPr>
          <w:p>
            <w:pPr>
              <w:pStyle w:val="TableContents"/>
              <w:bidi w:val="0"/>
              <w:spacing w:before="0" w:after="283"/>
              <w:ind w:left="0" w:right="0" w:hanging="0"/>
              <w:jc w:val="left"/>
              <w:rPr/>
            </w:pPr>
            <w:r>
              <w:rPr/>
              <w:t>No Waiver; Cumulative Remedies</w:t>
            </w:r>
          </w:p>
        </w:tc>
        <w:tc>
          <w:tcPr>
            <w:tcW w:w="755" w:type="dxa"/>
            <w:tcBorders/>
            <w:vAlign w:val="center"/>
          </w:tcPr>
          <w:p>
            <w:pPr>
              <w:pStyle w:val="TableContents"/>
              <w:bidi w:val="0"/>
              <w:spacing w:before="0" w:after="283"/>
              <w:ind w:left="0" w:right="0" w:hanging="0"/>
              <w:jc w:val="right"/>
              <w:rPr/>
            </w:pPr>
            <w:r>
              <w:rPr>
                <w:strike/>
                <w:color w:val="FF0000"/>
              </w:rPr>
              <w:t>147</w:t>
            </w:r>
            <w:r>
              <w:rPr>
                <w:color w:val="0000FF"/>
                <w:u w:val="single"/>
                <w:bdr w:val="single" w:sz="8" w:space="1" w:color="0000FF"/>
              </w:rPr>
              <w:t>155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13.4</w:t>
            </w:r>
          </w:p>
        </w:tc>
        <w:tc>
          <w:tcPr>
            <w:tcW w:w="7310" w:type="dxa"/>
            <w:tcBorders/>
            <w:vAlign w:val="center"/>
          </w:tcPr>
          <w:p>
            <w:pPr>
              <w:pStyle w:val="TableContents"/>
              <w:bidi w:val="0"/>
              <w:spacing w:before="0" w:after="283"/>
              <w:ind w:left="0" w:right="0" w:hanging="0"/>
              <w:jc w:val="left"/>
              <w:rPr/>
            </w:pPr>
            <w:r>
              <w:rPr/>
              <w:t>Survival of Representations and Warranties</w:t>
            </w:r>
          </w:p>
        </w:tc>
        <w:tc>
          <w:tcPr>
            <w:tcW w:w="755" w:type="dxa"/>
            <w:tcBorders/>
            <w:vAlign w:val="center"/>
          </w:tcPr>
          <w:p>
            <w:pPr>
              <w:pStyle w:val="TableContents"/>
              <w:bidi w:val="0"/>
              <w:spacing w:before="0" w:after="283"/>
              <w:ind w:left="0" w:right="0" w:hanging="0"/>
              <w:jc w:val="right"/>
              <w:rPr/>
            </w:pPr>
            <w:r>
              <w:rPr>
                <w:strike/>
                <w:color w:val="FF0000"/>
              </w:rPr>
              <w:t>147</w:t>
            </w:r>
            <w:r>
              <w:rPr>
                <w:color w:val="0000FF"/>
                <w:u w:val="single"/>
                <w:bdr w:val="single" w:sz="8" w:space="1" w:color="0000FF"/>
              </w:rPr>
              <w:t>155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13.5</w:t>
            </w:r>
          </w:p>
        </w:tc>
        <w:tc>
          <w:tcPr>
            <w:tcW w:w="7310" w:type="dxa"/>
            <w:tcBorders/>
            <w:vAlign w:val="center"/>
          </w:tcPr>
          <w:p>
            <w:pPr>
              <w:pStyle w:val="TableContents"/>
              <w:bidi w:val="0"/>
              <w:spacing w:before="0" w:after="283"/>
              <w:ind w:left="0" w:right="0" w:hanging="0"/>
              <w:jc w:val="left"/>
              <w:rPr/>
            </w:pPr>
            <w:r>
              <w:rPr/>
              <w:t>Payment of Expenses; Indemnification</w:t>
            </w:r>
          </w:p>
        </w:tc>
        <w:tc>
          <w:tcPr>
            <w:tcW w:w="755" w:type="dxa"/>
            <w:tcBorders/>
            <w:vAlign w:val="center"/>
          </w:tcPr>
          <w:p>
            <w:pPr>
              <w:pStyle w:val="TableContents"/>
              <w:bidi w:val="0"/>
              <w:spacing w:before="0" w:after="283"/>
              <w:ind w:left="0" w:right="0" w:hanging="0"/>
              <w:jc w:val="right"/>
              <w:rPr/>
            </w:pPr>
            <w:r>
              <w:rPr>
                <w:strike/>
                <w:color w:val="FF0000"/>
              </w:rPr>
              <w:t>147</w:t>
            </w:r>
            <w:r>
              <w:rPr>
                <w:color w:val="0000FF"/>
                <w:u w:val="single"/>
                <w:bdr w:val="single" w:sz="8" w:space="1" w:color="0000FF"/>
              </w:rPr>
              <w:t>155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13.6</w:t>
            </w:r>
          </w:p>
        </w:tc>
        <w:tc>
          <w:tcPr>
            <w:tcW w:w="7310" w:type="dxa"/>
            <w:tcBorders/>
            <w:vAlign w:val="center"/>
          </w:tcPr>
          <w:p>
            <w:pPr>
              <w:pStyle w:val="TableContents"/>
              <w:bidi w:val="0"/>
              <w:spacing w:before="0" w:after="283"/>
              <w:ind w:left="0" w:right="0" w:hanging="0"/>
              <w:jc w:val="left"/>
              <w:rPr/>
            </w:pPr>
            <w:r>
              <w:rPr/>
              <w:t>Successors and Assigns; Participations and Assignments</w:t>
            </w:r>
          </w:p>
        </w:tc>
        <w:tc>
          <w:tcPr>
            <w:tcW w:w="755" w:type="dxa"/>
            <w:tcBorders/>
            <w:vAlign w:val="center"/>
          </w:tcPr>
          <w:p>
            <w:pPr>
              <w:pStyle w:val="TableContents"/>
              <w:bidi w:val="0"/>
              <w:spacing w:before="0" w:after="283"/>
              <w:ind w:left="0" w:right="0" w:hanging="0"/>
              <w:jc w:val="right"/>
              <w:rPr/>
            </w:pPr>
            <w:r>
              <w:rPr>
                <w:strike/>
                <w:color w:val="FF0000"/>
              </w:rPr>
              <w:t>148</w:t>
            </w:r>
            <w:r>
              <w:rPr>
                <w:color w:val="0000FF"/>
                <w:u w:val="single"/>
                <w:bdr w:val="single" w:sz="8" w:space="1" w:color="0000FF"/>
              </w:rPr>
              <w:t>156</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13.7</w:t>
            </w:r>
          </w:p>
        </w:tc>
        <w:tc>
          <w:tcPr>
            <w:tcW w:w="7310" w:type="dxa"/>
            <w:tcBorders/>
            <w:vAlign w:val="center"/>
          </w:tcPr>
          <w:p>
            <w:pPr>
              <w:pStyle w:val="TableContents"/>
              <w:bidi w:val="0"/>
              <w:spacing w:before="0" w:after="283"/>
              <w:ind w:left="0" w:right="0" w:hanging="0"/>
              <w:jc w:val="left"/>
              <w:rPr/>
            </w:pPr>
            <w:r>
              <w:rPr/>
              <w:t>Replacements of Lenders Under Certain Circumstances</w:t>
            </w:r>
          </w:p>
        </w:tc>
        <w:tc>
          <w:tcPr>
            <w:tcW w:w="755" w:type="dxa"/>
            <w:tcBorders/>
            <w:vAlign w:val="center"/>
          </w:tcPr>
          <w:p>
            <w:pPr>
              <w:pStyle w:val="TableContents"/>
              <w:bidi w:val="0"/>
              <w:spacing w:before="0" w:after="283"/>
              <w:ind w:left="0" w:right="0" w:hanging="0"/>
              <w:jc w:val="right"/>
              <w:rPr/>
            </w:pPr>
            <w:r>
              <w:rPr>
                <w:strike/>
                <w:color w:val="FF0000"/>
              </w:rPr>
              <w:t>152</w:t>
            </w:r>
            <w:r>
              <w:rPr>
                <w:color w:val="0000FF"/>
                <w:u w:val="single"/>
                <w:bdr w:val="single" w:sz="8" w:space="1" w:color="0000FF"/>
              </w:rPr>
              <w:t>159</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13.8</w:t>
            </w:r>
          </w:p>
        </w:tc>
        <w:tc>
          <w:tcPr>
            <w:tcW w:w="7310" w:type="dxa"/>
            <w:tcBorders/>
            <w:vAlign w:val="center"/>
          </w:tcPr>
          <w:p>
            <w:pPr>
              <w:pStyle w:val="TableContents"/>
              <w:bidi w:val="0"/>
              <w:spacing w:before="0" w:after="283"/>
              <w:ind w:left="0" w:right="0" w:hanging="0"/>
              <w:jc w:val="left"/>
              <w:rPr/>
            </w:pPr>
            <w:r>
              <w:rPr/>
              <w:t>Adjustments; Set-off</w:t>
            </w:r>
          </w:p>
        </w:tc>
        <w:tc>
          <w:tcPr>
            <w:tcW w:w="755" w:type="dxa"/>
            <w:tcBorders/>
            <w:vAlign w:val="center"/>
          </w:tcPr>
          <w:p>
            <w:pPr>
              <w:pStyle w:val="TableContents"/>
              <w:bidi w:val="0"/>
              <w:spacing w:before="0" w:after="283"/>
              <w:ind w:left="0" w:right="0" w:hanging="0"/>
              <w:jc w:val="right"/>
              <w:rPr/>
            </w:pPr>
            <w:r>
              <w:rPr>
                <w:strike/>
                <w:color w:val="FF0000"/>
              </w:rPr>
              <w:t>152</w:t>
            </w:r>
            <w:r>
              <w:rPr>
                <w:color w:val="0000FF"/>
                <w:u w:val="single"/>
                <w:bdr w:val="single" w:sz="8" w:space="1" w:color="0000FF"/>
              </w:rPr>
              <w:t>160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13.9</w:t>
            </w:r>
          </w:p>
        </w:tc>
        <w:tc>
          <w:tcPr>
            <w:tcW w:w="7310" w:type="dxa"/>
            <w:tcBorders/>
            <w:vAlign w:val="center"/>
          </w:tcPr>
          <w:p>
            <w:pPr>
              <w:pStyle w:val="TableContents"/>
              <w:bidi w:val="0"/>
              <w:spacing w:before="0" w:after="283"/>
              <w:ind w:left="0" w:right="0" w:hanging="0"/>
              <w:jc w:val="left"/>
              <w:rPr/>
            </w:pPr>
            <w:r>
              <w:rPr/>
              <w:t>Counterparts</w:t>
            </w:r>
          </w:p>
        </w:tc>
        <w:tc>
          <w:tcPr>
            <w:tcW w:w="755" w:type="dxa"/>
            <w:tcBorders/>
            <w:vAlign w:val="center"/>
          </w:tcPr>
          <w:p>
            <w:pPr>
              <w:pStyle w:val="TableContents"/>
              <w:bidi w:val="0"/>
              <w:spacing w:before="0" w:after="283"/>
              <w:ind w:left="0" w:right="0" w:hanging="0"/>
              <w:jc w:val="right"/>
              <w:rPr/>
            </w:pPr>
            <w:r>
              <w:rPr>
                <w:strike/>
                <w:color w:val="FF0000"/>
              </w:rPr>
              <w:t>153</w:t>
            </w:r>
            <w:r>
              <w:rPr>
                <w:color w:val="0000FF"/>
                <w:u w:val="single"/>
                <w:bdr w:val="single" w:sz="8" w:space="1" w:color="0000FF"/>
              </w:rPr>
              <w:t>161</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13.10</w:t>
            </w:r>
          </w:p>
        </w:tc>
        <w:tc>
          <w:tcPr>
            <w:tcW w:w="7310" w:type="dxa"/>
            <w:tcBorders/>
            <w:vAlign w:val="center"/>
          </w:tcPr>
          <w:p>
            <w:pPr>
              <w:pStyle w:val="TableContents"/>
              <w:bidi w:val="0"/>
              <w:spacing w:before="0" w:after="283"/>
              <w:ind w:left="0" w:right="0" w:hanging="0"/>
              <w:jc w:val="left"/>
              <w:rPr/>
            </w:pPr>
            <w:r>
              <w:rPr/>
              <w:t>Severability</w:t>
            </w:r>
          </w:p>
        </w:tc>
        <w:tc>
          <w:tcPr>
            <w:tcW w:w="755" w:type="dxa"/>
            <w:tcBorders/>
            <w:vAlign w:val="center"/>
          </w:tcPr>
          <w:p>
            <w:pPr>
              <w:pStyle w:val="TableContents"/>
              <w:bidi w:val="0"/>
              <w:spacing w:before="0" w:after="283"/>
              <w:ind w:left="0" w:right="0" w:hanging="0"/>
              <w:jc w:val="right"/>
              <w:rPr/>
            </w:pPr>
            <w:r>
              <w:rPr>
                <w:strike/>
                <w:color w:val="FF0000"/>
              </w:rPr>
              <w:t>154</w:t>
            </w:r>
            <w:r>
              <w:rPr>
                <w:color w:val="0000FF"/>
                <w:u w:val="single"/>
                <w:bdr w:val="single" w:sz="8" w:space="1" w:color="0000FF"/>
              </w:rPr>
              <w:t>162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13.11</w:t>
            </w:r>
          </w:p>
        </w:tc>
        <w:tc>
          <w:tcPr>
            <w:tcW w:w="7310" w:type="dxa"/>
            <w:tcBorders/>
            <w:vAlign w:val="center"/>
          </w:tcPr>
          <w:p>
            <w:pPr>
              <w:pStyle w:val="TableContents"/>
              <w:bidi w:val="0"/>
              <w:spacing w:before="0" w:after="283"/>
              <w:ind w:left="0" w:right="0" w:hanging="0"/>
              <w:jc w:val="left"/>
              <w:rPr/>
            </w:pPr>
            <w:r>
              <w:rPr/>
              <w:t>Integration</w:t>
            </w:r>
          </w:p>
        </w:tc>
        <w:tc>
          <w:tcPr>
            <w:tcW w:w="755" w:type="dxa"/>
            <w:tcBorders/>
            <w:vAlign w:val="center"/>
          </w:tcPr>
          <w:p>
            <w:pPr>
              <w:pStyle w:val="TableContents"/>
              <w:bidi w:val="0"/>
              <w:spacing w:before="0" w:after="283"/>
              <w:ind w:left="0" w:right="0" w:hanging="0"/>
              <w:jc w:val="right"/>
              <w:rPr/>
            </w:pPr>
            <w:r>
              <w:rPr>
                <w:strike/>
                <w:color w:val="FF0000"/>
              </w:rPr>
              <w:t>154</w:t>
            </w:r>
            <w:r>
              <w:rPr>
                <w:color w:val="0000FF"/>
                <w:u w:val="single"/>
                <w:bdr w:val="single" w:sz="8" w:space="1" w:color="0000FF"/>
              </w:rPr>
              <w:t>162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13.12</w:t>
            </w:r>
          </w:p>
        </w:tc>
        <w:tc>
          <w:tcPr>
            <w:tcW w:w="7310" w:type="dxa"/>
            <w:tcBorders/>
            <w:vAlign w:val="center"/>
          </w:tcPr>
          <w:p>
            <w:pPr>
              <w:pStyle w:val="TableContents"/>
              <w:bidi w:val="0"/>
              <w:spacing w:before="0" w:after="283"/>
              <w:ind w:left="0" w:right="0" w:hanging="0"/>
              <w:jc w:val="left"/>
              <w:rPr/>
            </w:pPr>
            <w:r>
              <w:rPr/>
              <w:t>GOVERNING LAW</w:t>
            </w:r>
          </w:p>
        </w:tc>
        <w:tc>
          <w:tcPr>
            <w:tcW w:w="755" w:type="dxa"/>
            <w:tcBorders/>
            <w:vAlign w:val="center"/>
          </w:tcPr>
          <w:p>
            <w:pPr>
              <w:pStyle w:val="TableContents"/>
              <w:bidi w:val="0"/>
              <w:spacing w:before="0" w:after="283"/>
              <w:ind w:left="0" w:right="0" w:hanging="0"/>
              <w:jc w:val="right"/>
              <w:rPr/>
            </w:pPr>
            <w:r>
              <w:rPr>
                <w:strike/>
                <w:color w:val="FF0000"/>
              </w:rPr>
              <w:t>154</w:t>
            </w:r>
            <w:r>
              <w:rPr>
                <w:color w:val="0000FF"/>
                <w:u w:val="single"/>
                <w:bdr w:val="single" w:sz="8" w:space="1" w:color="0000FF"/>
              </w:rPr>
              <w:t>162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13.13</w:t>
            </w:r>
          </w:p>
        </w:tc>
        <w:tc>
          <w:tcPr>
            <w:tcW w:w="7310" w:type="dxa"/>
            <w:tcBorders/>
            <w:vAlign w:val="center"/>
          </w:tcPr>
          <w:p>
            <w:pPr>
              <w:pStyle w:val="TableContents"/>
              <w:bidi w:val="0"/>
              <w:spacing w:before="0" w:after="283"/>
              <w:ind w:left="0" w:right="0" w:hanging="0"/>
              <w:jc w:val="left"/>
              <w:rPr/>
            </w:pPr>
            <w:r>
              <w:rPr/>
              <w:t>Submission to Jurisdiction; Waivers</w:t>
            </w:r>
          </w:p>
        </w:tc>
        <w:tc>
          <w:tcPr>
            <w:tcW w:w="755" w:type="dxa"/>
            <w:tcBorders/>
            <w:vAlign w:val="center"/>
          </w:tcPr>
          <w:p>
            <w:pPr>
              <w:pStyle w:val="TableContents"/>
              <w:bidi w:val="0"/>
              <w:spacing w:before="0" w:after="283"/>
              <w:ind w:left="0" w:right="0" w:hanging="0"/>
              <w:jc w:val="right"/>
              <w:rPr/>
            </w:pPr>
            <w:r>
              <w:rPr>
                <w:strike/>
                <w:color w:val="FF0000"/>
              </w:rPr>
              <w:t>154</w:t>
            </w:r>
            <w:r>
              <w:rPr>
                <w:color w:val="0000FF"/>
                <w:u w:val="single"/>
                <w:bdr w:val="single" w:sz="8" w:space="1" w:color="0000FF"/>
              </w:rPr>
              <w:t>162</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13.14</w:t>
            </w:r>
          </w:p>
        </w:tc>
        <w:tc>
          <w:tcPr>
            <w:tcW w:w="7310" w:type="dxa"/>
            <w:tcBorders/>
            <w:vAlign w:val="center"/>
          </w:tcPr>
          <w:p>
            <w:pPr>
              <w:pStyle w:val="TableContents"/>
              <w:bidi w:val="0"/>
              <w:spacing w:before="0" w:after="283"/>
              <w:ind w:left="0" w:right="0" w:hanging="0"/>
              <w:jc w:val="left"/>
              <w:rPr/>
            </w:pPr>
            <w:r>
              <w:rPr/>
              <w:t>Acknowledgments</w:t>
            </w:r>
          </w:p>
        </w:tc>
        <w:tc>
          <w:tcPr>
            <w:tcW w:w="755" w:type="dxa"/>
            <w:tcBorders/>
            <w:vAlign w:val="center"/>
          </w:tcPr>
          <w:p>
            <w:pPr>
              <w:pStyle w:val="TableContents"/>
              <w:bidi w:val="0"/>
              <w:spacing w:before="0" w:after="283"/>
              <w:ind w:left="0" w:right="0" w:hanging="0"/>
              <w:jc w:val="right"/>
              <w:rPr/>
            </w:pPr>
            <w:r>
              <w:rPr>
                <w:strike/>
                <w:color w:val="FF0000"/>
              </w:rPr>
              <w:t>155</w:t>
            </w:r>
            <w:r>
              <w:rPr>
                <w:color w:val="0000FF"/>
                <w:u w:val="single"/>
                <w:bdr w:val="single" w:sz="8" w:space="1" w:color="0000FF"/>
              </w:rPr>
              <w:t>163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13.15</w:t>
            </w:r>
          </w:p>
        </w:tc>
        <w:tc>
          <w:tcPr>
            <w:tcW w:w="7310" w:type="dxa"/>
            <w:tcBorders/>
            <w:vAlign w:val="center"/>
          </w:tcPr>
          <w:p>
            <w:pPr>
              <w:pStyle w:val="TableContents"/>
              <w:bidi w:val="0"/>
              <w:spacing w:before="0" w:after="283"/>
              <w:ind w:left="0" w:right="0" w:hanging="0"/>
              <w:jc w:val="left"/>
              <w:rPr/>
            </w:pPr>
            <w:r>
              <w:rPr/>
              <w:t>WAIVERS OF JURY TRIAL</w:t>
            </w:r>
          </w:p>
        </w:tc>
        <w:tc>
          <w:tcPr>
            <w:tcW w:w="755" w:type="dxa"/>
            <w:tcBorders/>
            <w:vAlign w:val="center"/>
          </w:tcPr>
          <w:p>
            <w:pPr>
              <w:pStyle w:val="TableContents"/>
              <w:bidi w:val="0"/>
              <w:spacing w:before="0" w:after="283"/>
              <w:ind w:left="0" w:right="0" w:hanging="0"/>
              <w:jc w:val="right"/>
              <w:rPr/>
            </w:pPr>
            <w:r>
              <w:rPr>
                <w:strike/>
                <w:color w:val="FF0000"/>
              </w:rPr>
              <w:t>156</w:t>
            </w:r>
            <w:r>
              <w:rPr>
                <w:color w:val="0000FF"/>
                <w:u w:val="single"/>
                <w:bdr w:val="single" w:sz="8" w:space="1" w:color="0000FF"/>
              </w:rPr>
              <w:t>163</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13.16</w:t>
            </w:r>
          </w:p>
        </w:tc>
        <w:tc>
          <w:tcPr>
            <w:tcW w:w="7310" w:type="dxa"/>
            <w:tcBorders/>
            <w:vAlign w:val="center"/>
          </w:tcPr>
          <w:p>
            <w:pPr>
              <w:pStyle w:val="TableContents"/>
              <w:bidi w:val="0"/>
              <w:spacing w:before="0" w:after="283"/>
              <w:ind w:left="0" w:right="0" w:hanging="0"/>
              <w:jc w:val="left"/>
              <w:rPr/>
            </w:pPr>
            <w:r>
              <w:rPr/>
              <w:t>Confidentiality</w:t>
            </w:r>
          </w:p>
        </w:tc>
        <w:tc>
          <w:tcPr>
            <w:tcW w:w="755" w:type="dxa"/>
            <w:tcBorders/>
            <w:vAlign w:val="center"/>
          </w:tcPr>
          <w:p>
            <w:pPr>
              <w:pStyle w:val="TableContents"/>
              <w:bidi w:val="0"/>
              <w:spacing w:before="0" w:after="283"/>
              <w:ind w:left="0" w:right="0" w:hanging="0"/>
              <w:jc w:val="right"/>
              <w:rPr/>
            </w:pPr>
            <w:r>
              <w:rPr>
                <w:strike/>
                <w:color w:val="FF0000"/>
              </w:rPr>
              <w:t>156</w:t>
            </w:r>
            <w:r>
              <w:rPr>
                <w:color w:val="0000FF"/>
                <w:u w:val="single"/>
                <w:bdr w:val="single" w:sz="8" w:space="1" w:color="0000FF"/>
              </w:rPr>
              <w:t>164</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13.17</w:t>
            </w:r>
          </w:p>
        </w:tc>
        <w:tc>
          <w:tcPr>
            <w:tcW w:w="7310" w:type="dxa"/>
            <w:tcBorders/>
            <w:vAlign w:val="center"/>
          </w:tcPr>
          <w:p>
            <w:pPr>
              <w:pStyle w:val="TableContents"/>
              <w:bidi w:val="0"/>
              <w:spacing w:before="0" w:after="283"/>
              <w:ind w:left="0" w:right="0" w:hanging="0"/>
              <w:jc w:val="left"/>
              <w:rPr/>
            </w:pPr>
            <w:r>
              <w:rPr/>
              <w:t>Direct Website Communications</w:t>
            </w:r>
          </w:p>
        </w:tc>
        <w:tc>
          <w:tcPr>
            <w:tcW w:w="755" w:type="dxa"/>
            <w:tcBorders/>
            <w:vAlign w:val="center"/>
          </w:tcPr>
          <w:p>
            <w:pPr>
              <w:pStyle w:val="TableContents"/>
              <w:bidi w:val="0"/>
              <w:spacing w:before="0" w:after="283"/>
              <w:ind w:left="0" w:right="0" w:hanging="0"/>
              <w:jc w:val="right"/>
              <w:rPr/>
            </w:pPr>
            <w:r>
              <w:rPr>
                <w:strike/>
                <w:color w:val="FF0000"/>
              </w:rPr>
              <w:t>157</w:t>
            </w:r>
            <w:r>
              <w:rPr>
                <w:color w:val="0000FF"/>
                <w:u w:val="single"/>
                <w:bdr w:val="single" w:sz="8" w:space="1" w:color="0000FF"/>
              </w:rPr>
              <w:t>165</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13.18</w:t>
            </w:r>
          </w:p>
        </w:tc>
        <w:tc>
          <w:tcPr>
            <w:tcW w:w="7310" w:type="dxa"/>
            <w:tcBorders/>
            <w:vAlign w:val="center"/>
          </w:tcPr>
          <w:p>
            <w:pPr>
              <w:pStyle w:val="TableContents"/>
              <w:bidi w:val="0"/>
              <w:spacing w:before="0" w:after="283"/>
              <w:ind w:left="0" w:right="0" w:hanging="0"/>
              <w:jc w:val="left"/>
              <w:rPr/>
            </w:pPr>
            <w:r>
              <w:rPr/>
              <w:t>USA PATRIOT Act; Beneficial Ownership Regulation</w:t>
            </w:r>
          </w:p>
        </w:tc>
        <w:tc>
          <w:tcPr>
            <w:tcW w:w="755" w:type="dxa"/>
            <w:tcBorders/>
            <w:vAlign w:val="center"/>
          </w:tcPr>
          <w:p>
            <w:pPr>
              <w:pStyle w:val="TableContents"/>
              <w:bidi w:val="0"/>
              <w:spacing w:before="0" w:after="283"/>
              <w:ind w:left="0" w:right="0" w:hanging="0"/>
              <w:jc w:val="right"/>
              <w:rPr/>
            </w:pPr>
            <w:r>
              <w:rPr>
                <w:strike/>
                <w:color w:val="FF0000"/>
              </w:rPr>
              <w:t>158</w:t>
            </w:r>
            <w:r>
              <w:rPr>
                <w:color w:val="0000FF"/>
                <w:u w:val="single"/>
                <w:bdr w:val="single" w:sz="8" w:space="1" w:color="0000FF"/>
              </w:rPr>
              <w:t>166</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13.19</w:t>
            </w:r>
          </w:p>
        </w:tc>
        <w:tc>
          <w:tcPr>
            <w:tcW w:w="7310" w:type="dxa"/>
            <w:tcBorders/>
            <w:vAlign w:val="center"/>
          </w:tcPr>
          <w:p>
            <w:pPr>
              <w:pStyle w:val="TableContents"/>
              <w:bidi w:val="0"/>
              <w:spacing w:before="0" w:after="283"/>
              <w:ind w:left="0" w:right="0" w:hanging="0"/>
              <w:jc w:val="left"/>
              <w:rPr/>
            </w:pPr>
            <w:r>
              <w:rPr/>
              <w:t>[Reserved]</w:t>
            </w:r>
          </w:p>
        </w:tc>
        <w:tc>
          <w:tcPr>
            <w:tcW w:w="755" w:type="dxa"/>
            <w:tcBorders/>
            <w:vAlign w:val="center"/>
          </w:tcPr>
          <w:p>
            <w:pPr>
              <w:pStyle w:val="TableContents"/>
              <w:bidi w:val="0"/>
              <w:spacing w:before="0" w:after="283"/>
              <w:ind w:left="0" w:right="0" w:hanging="0"/>
              <w:jc w:val="right"/>
              <w:rPr/>
            </w:pPr>
            <w:r>
              <w:rPr>
                <w:strike/>
                <w:color w:val="FF0000"/>
              </w:rPr>
              <w:t>158</w:t>
            </w:r>
            <w:r>
              <w:rPr>
                <w:color w:val="0000FF"/>
                <w:u w:val="single"/>
                <w:bdr w:val="single" w:sz="8" w:space="1" w:color="0000FF"/>
              </w:rPr>
              <w:t>166</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13.20</w:t>
            </w:r>
          </w:p>
        </w:tc>
        <w:tc>
          <w:tcPr>
            <w:tcW w:w="7310" w:type="dxa"/>
            <w:tcBorders/>
            <w:vAlign w:val="center"/>
          </w:tcPr>
          <w:p>
            <w:pPr>
              <w:pStyle w:val="TableContents"/>
              <w:bidi w:val="0"/>
              <w:spacing w:before="0" w:after="283"/>
              <w:ind w:left="0" w:right="0" w:hanging="0"/>
              <w:jc w:val="left"/>
              <w:rPr/>
            </w:pPr>
            <w:r>
              <w:rPr/>
              <w:t>Payments Set Aside</w:t>
            </w:r>
          </w:p>
        </w:tc>
        <w:tc>
          <w:tcPr>
            <w:tcW w:w="755" w:type="dxa"/>
            <w:tcBorders/>
            <w:vAlign w:val="center"/>
          </w:tcPr>
          <w:p>
            <w:pPr>
              <w:pStyle w:val="TableContents"/>
              <w:bidi w:val="0"/>
              <w:spacing w:before="0" w:after="283"/>
              <w:ind w:left="0" w:right="0" w:hanging="0"/>
              <w:jc w:val="right"/>
              <w:rPr/>
            </w:pPr>
            <w:r>
              <w:rPr>
                <w:strike/>
                <w:color w:val="FF0000"/>
              </w:rPr>
              <w:t>158</w:t>
            </w:r>
            <w:r>
              <w:rPr>
                <w:color w:val="0000FF"/>
                <w:u w:val="single"/>
                <w:bdr w:val="single" w:sz="8" w:space="1" w:color="0000FF"/>
              </w:rPr>
              <w:t>166</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13.21</w:t>
            </w:r>
          </w:p>
        </w:tc>
        <w:tc>
          <w:tcPr>
            <w:tcW w:w="7310" w:type="dxa"/>
            <w:tcBorders/>
            <w:vAlign w:val="center"/>
          </w:tcPr>
          <w:p>
            <w:pPr>
              <w:pStyle w:val="TableContents"/>
              <w:bidi w:val="0"/>
              <w:spacing w:before="0" w:after="283"/>
              <w:ind w:left="0" w:right="0" w:hanging="0"/>
              <w:jc w:val="left"/>
              <w:rPr/>
            </w:pPr>
            <w:r>
              <w:rPr/>
              <w:t>No Fiduciary Duty</w:t>
            </w:r>
          </w:p>
        </w:tc>
        <w:tc>
          <w:tcPr>
            <w:tcW w:w="755" w:type="dxa"/>
            <w:tcBorders/>
            <w:vAlign w:val="center"/>
          </w:tcPr>
          <w:p>
            <w:pPr>
              <w:pStyle w:val="TableContents"/>
              <w:bidi w:val="0"/>
              <w:spacing w:before="0" w:after="283"/>
              <w:ind w:left="0" w:right="0" w:hanging="0"/>
              <w:jc w:val="right"/>
              <w:rPr/>
            </w:pPr>
            <w:r>
              <w:rPr>
                <w:strike/>
                <w:color w:val="FF0000"/>
              </w:rPr>
              <w:t>158</w:t>
            </w:r>
            <w:r>
              <w:rPr>
                <w:color w:val="0000FF"/>
                <w:u w:val="single"/>
                <w:bdr w:val="single" w:sz="8" w:space="1" w:color="0000FF"/>
              </w:rPr>
              <w:t>166</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13.22</w:t>
            </w:r>
          </w:p>
        </w:tc>
        <w:tc>
          <w:tcPr>
            <w:tcW w:w="7310" w:type="dxa"/>
            <w:tcBorders/>
            <w:vAlign w:val="center"/>
          </w:tcPr>
          <w:p>
            <w:pPr>
              <w:pStyle w:val="TableContents"/>
              <w:bidi w:val="0"/>
              <w:spacing w:before="0" w:after="283"/>
              <w:ind w:left="0" w:right="0" w:hanging="0"/>
              <w:jc w:val="left"/>
              <w:rPr/>
            </w:pPr>
            <w:r>
              <w:rPr/>
              <w:t>Nature of Borrower Obligations</w:t>
            </w:r>
          </w:p>
        </w:tc>
        <w:tc>
          <w:tcPr>
            <w:tcW w:w="755" w:type="dxa"/>
            <w:tcBorders/>
            <w:vAlign w:val="center"/>
          </w:tcPr>
          <w:p>
            <w:pPr>
              <w:pStyle w:val="TableContents"/>
              <w:bidi w:val="0"/>
              <w:spacing w:before="0" w:after="283"/>
              <w:ind w:left="0" w:right="0" w:hanging="0"/>
              <w:jc w:val="right"/>
              <w:rPr/>
            </w:pPr>
            <w:r>
              <w:rPr>
                <w:strike/>
                <w:color w:val="FF0000"/>
              </w:rPr>
              <w:t>159</w:t>
            </w:r>
            <w:r>
              <w:rPr>
                <w:color w:val="0000FF"/>
                <w:u w:val="single"/>
                <w:bdr w:val="single" w:sz="8" w:space="1" w:color="0000FF"/>
              </w:rPr>
              <w:t>167</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13.23</w:t>
            </w:r>
          </w:p>
        </w:tc>
        <w:tc>
          <w:tcPr>
            <w:tcW w:w="7310" w:type="dxa"/>
            <w:tcBorders/>
            <w:vAlign w:val="center"/>
          </w:tcPr>
          <w:p>
            <w:pPr>
              <w:pStyle w:val="TableContents"/>
              <w:bidi w:val="0"/>
              <w:spacing w:before="0" w:after="283"/>
              <w:ind w:left="0" w:right="0" w:hanging="0"/>
              <w:jc w:val="left"/>
              <w:rPr/>
            </w:pPr>
            <w:r>
              <w:rPr/>
              <w:t>Amendment and Restatement</w:t>
            </w:r>
          </w:p>
        </w:tc>
        <w:tc>
          <w:tcPr>
            <w:tcW w:w="755" w:type="dxa"/>
            <w:tcBorders/>
            <w:vAlign w:val="center"/>
          </w:tcPr>
          <w:p>
            <w:pPr>
              <w:pStyle w:val="TableContents"/>
              <w:bidi w:val="0"/>
              <w:spacing w:before="0" w:after="283"/>
              <w:ind w:left="0" w:right="0" w:hanging="0"/>
              <w:jc w:val="right"/>
              <w:rPr/>
            </w:pPr>
            <w:r>
              <w:rPr>
                <w:strike/>
                <w:color w:val="FF0000"/>
              </w:rPr>
              <w:t>160</w:t>
            </w:r>
            <w:r>
              <w:rPr>
                <w:color w:val="0000FF"/>
                <w:u w:val="single"/>
                <w:bdr w:val="single" w:sz="8" w:space="1" w:color="0000FF"/>
              </w:rPr>
              <w:t>168</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13.24</w:t>
            </w:r>
          </w:p>
        </w:tc>
        <w:tc>
          <w:tcPr>
            <w:tcW w:w="7310" w:type="dxa"/>
            <w:tcBorders/>
            <w:vAlign w:val="center"/>
          </w:tcPr>
          <w:p>
            <w:pPr>
              <w:pStyle w:val="TableContents"/>
              <w:bidi w:val="0"/>
              <w:spacing w:before="0" w:after="283"/>
              <w:ind w:left="0" w:right="0" w:hanging="0"/>
              <w:jc w:val="left"/>
              <w:rPr/>
            </w:pPr>
            <w:r>
              <w:rPr/>
              <w:t>Acknowledgement and Consent to Bail-In of Affected Financial Institutions</w:t>
            </w:r>
          </w:p>
        </w:tc>
        <w:tc>
          <w:tcPr>
            <w:tcW w:w="755" w:type="dxa"/>
            <w:tcBorders/>
            <w:vAlign w:val="center"/>
          </w:tcPr>
          <w:p>
            <w:pPr>
              <w:pStyle w:val="TableContents"/>
              <w:bidi w:val="0"/>
              <w:spacing w:before="0" w:after="283"/>
              <w:ind w:left="0" w:right="0" w:hanging="0"/>
              <w:jc w:val="right"/>
              <w:rPr/>
            </w:pPr>
            <w:r>
              <w:rPr>
                <w:strike/>
                <w:color w:val="FF0000"/>
              </w:rPr>
              <w:t>160</w:t>
            </w:r>
            <w:r>
              <w:rPr>
                <w:color w:val="0000FF"/>
                <w:u w:val="single"/>
                <w:bdr w:val="single" w:sz="8" w:space="1" w:color="0000FF"/>
              </w:rPr>
              <w:t>168</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13.25</w:t>
            </w:r>
          </w:p>
        </w:tc>
        <w:tc>
          <w:tcPr>
            <w:tcW w:w="7310" w:type="dxa"/>
            <w:tcBorders/>
            <w:vAlign w:val="center"/>
          </w:tcPr>
          <w:p>
            <w:pPr>
              <w:pStyle w:val="TableContents"/>
              <w:bidi w:val="0"/>
              <w:spacing w:before="0" w:after="283"/>
              <w:ind w:left="0" w:right="0" w:hanging="0"/>
              <w:jc w:val="left"/>
              <w:rPr/>
            </w:pPr>
            <w:r>
              <w:rPr/>
              <w:t>Certain ERISA Matters</w:t>
            </w:r>
          </w:p>
        </w:tc>
        <w:tc>
          <w:tcPr>
            <w:tcW w:w="755" w:type="dxa"/>
            <w:tcBorders/>
            <w:vAlign w:val="center"/>
          </w:tcPr>
          <w:p>
            <w:pPr>
              <w:pStyle w:val="TableContents"/>
              <w:bidi w:val="0"/>
              <w:spacing w:before="0" w:after="283"/>
              <w:ind w:left="0" w:right="0" w:hanging="0"/>
              <w:jc w:val="right"/>
              <w:rPr/>
            </w:pPr>
            <w:r>
              <w:rPr>
                <w:strike/>
                <w:color w:val="FF0000"/>
              </w:rPr>
              <w:t>161</w:t>
            </w:r>
            <w:r>
              <w:rPr>
                <w:color w:val="0000FF"/>
                <w:u w:val="single"/>
                <w:bdr w:val="single" w:sz="8" w:space="1" w:color="0000FF"/>
              </w:rPr>
              <w:t>169</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13.26</w:t>
            </w:r>
          </w:p>
        </w:tc>
        <w:tc>
          <w:tcPr>
            <w:tcW w:w="7310" w:type="dxa"/>
            <w:tcBorders/>
            <w:vAlign w:val="center"/>
          </w:tcPr>
          <w:p>
            <w:pPr>
              <w:pStyle w:val="TableContents"/>
              <w:bidi w:val="0"/>
              <w:spacing w:before="0" w:after="283"/>
              <w:ind w:left="0" w:right="0" w:hanging="0"/>
              <w:jc w:val="left"/>
              <w:rPr/>
            </w:pPr>
            <w:r>
              <w:rPr/>
              <w:t>MIRE Events</w:t>
            </w:r>
          </w:p>
        </w:tc>
        <w:tc>
          <w:tcPr>
            <w:tcW w:w="755" w:type="dxa"/>
            <w:tcBorders/>
            <w:vAlign w:val="center"/>
          </w:tcPr>
          <w:p>
            <w:pPr>
              <w:pStyle w:val="TableContents"/>
              <w:bidi w:val="0"/>
              <w:spacing w:before="0" w:after="283"/>
              <w:ind w:left="0" w:right="0" w:hanging="0"/>
              <w:jc w:val="right"/>
              <w:rPr/>
            </w:pPr>
            <w:r>
              <w:rPr>
                <w:strike/>
                <w:color w:val="FF0000"/>
              </w:rPr>
              <w:t>162</w:t>
            </w:r>
            <w:r>
              <w:rPr>
                <w:color w:val="0000FF"/>
                <w:u w:val="single"/>
                <w:bdr w:val="single" w:sz="8" w:space="1" w:color="0000FF"/>
              </w:rPr>
              <w:t>170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13.27</w:t>
            </w:r>
          </w:p>
        </w:tc>
        <w:tc>
          <w:tcPr>
            <w:tcW w:w="7310" w:type="dxa"/>
            <w:tcBorders/>
            <w:vAlign w:val="center"/>
          </w:tcPr>
          <w:p>
            <w:pPr>
              <w:pStyle w:val="TableContents"/>
              <w:bidi w:val="0"/>
              <w:spacing w:before="0" w:after="283"/>
              <w:ind w:left="0" w:right="0" w:hanging="0"/>
              <w:jc w:val="left"/>
              <w:rPr/>
            </w:pPr>
            <w:r>
              <w:rPr/>
              <w:t>Acknowledgement Regarding Any Supported QFCs</w:t>
            </w:r>
          </w:p>
        </w:tc>
        <w:tc>
          <w:tcPr>
            <w:tcW w:w="755" w:type="dxa"/>
            <w:tcBorders/>
            <w:vAlign w:val="center"/>
          </w:tcPr>
          <w:p>
            <w:pPr>
              <w:pStyle w:val="TableContents"/>
              <w:bidi w:val="0"/>
              <w:spacing w:before="0" w:after="283"/>
              <w:ind w:left="0" w:right="0" w:hanging="0"/>
              <w:jc w:val="right"/>
              <w:rPr/>
            </w:pPr>
            <w:r>
              <w:rPr>
                <w:strike/>
                <w:color w:val="FF0000"/>
              </w:rPr>
              <w:t>162</w:t>
            </w:r>
            <w:r>
              <w:rPr>
                <w:color w:val="0000FF"/>
                <w:u w:val="single"/>
                <w:bdr w:val="single" w:sz="8" w:space="1" w:color="0000FF"/>
              </w:rPr>
              <w:t>170</w:t>
            </w:r>
          </w:p>
        </w:tc>
      </w:tr>
      <w:tr>
        <w:trPr/>
        <w:tc>
          <w:tcPr>
            <w:tcW w:w="129" w:type="dxa"/>
            <w:tcBorders/>
            <w:vAlign w:val="center"/>
          </w:tcPr>
          <w:p>
            <w:pPr>
              <w:pStyle w:val="TableContents"/>
              <w:bidi w:val="0"/>
              <w:spacing w:before="0" w:after="283"/>
              <w:ind w:left="0" w:right="0" w:hanging="0"/>
              <w:jc w:val="left"/>
              <w:rPr/>
            </w:pPr>
            <w:r>
              <w:rPr/>
              <w:t> </w:t>
            </w:r>
          </w:p>
        </w:tc>
        <w:tc>
          <w:tcPr>
            <w:tcW w:w="970" w:type="dxa"/>
            <w:tcBorders/>
            <w:vAlign w:val="center"/>
          </w:tcPr>
          <w:p>
            <w:pPr>
              <w:pStyle w:val="TableContents"/>
              <w:bidi w:val="0"/>
              <w:spacing w:before="0" w:after="283"/>
              <w:ind w:left="0" w:right="0" w:hanging="0"/>
              <w:jc w:val="left"/>
              <w:rPr/>
            </w:pPr>
            <w:r>
              <w:rPr/>
              <w:t>13.28</w:t>
            </w:r>
          </w:p>
        </w:tc>
        <w:tc>
          <w:tcPr>
            <w:tcW w:w="7310" w:type="dxa"/>
            <w:tcBorders/>
            <w:vAlign w:val="center"/>
          </w:tcPr>
          <w:p>
            <w:pPr>
              <w:pStyle w:val="TableContents"/>
              <w:bidi w:val="0"/>
              <w:spacing w:before="0" w:after="283"/>
              <w:ind w:left="0" w:right="0" w:hanging="0"/>
              <w:jc w:val="left"/>
              <w:rPr/>
            </w:pPr>
            <w:r>
              <w:rPr/>
              <w:t>Erroneous Payments</w:t>
            </w:r>
          </w:p>
        </w:tc>
        <w:tc>
          <w:tcPr>
            <w:tcW w:w="755" w:type="dxa"/>
            <w:tcBorders/>
            <w:vAlign w:val="center"/>
          </w:tcPr>
          <w:p>
            <w:pPr>
              <w:pStyle w:val="TableContents"/>
              <w:bidi w:val="0"/>
              <w:spacing w:before="0" w:after="283"/>
              <w:jc w:val="right"/>
              <w:rPr/>
            </w:pPr>
            <w:r>
              <w:rPr>
                <w:strike/>
                <w:color w:val="FF0000"/>
              </w:rPr>
              <w:t>162</w:t>
            </w:r>
            <w:r>
              <w:rPr>
                <w:color w:val="0000FF"/>
                <w:u w:val="single"/>
                <w:bdr w:val="single" w:sz="8" w:space="1" w:color="0000FF"/>
              </w:rPr>
              <w:t>170</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SCHEDULES</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535"/>
        <w:gridCol w:w="4520"/>
      </w:tblGrid>
      <w:tr>
        <w:trPr/>
        <w:tc>
          <w:tcPr>
            <w:tcW w:w="1535" w:type="dxa"/>
            <w:tcBorders/>
            <w:vAlign w:val="center"/>
          </w:tcPr>
          <w:p>
            <w:pPr>
              <w:pStyle w:val="TableContents"/>
              <w:bidi w:val="0"/>
              <w:spacing w:before="0" w:after="283"/>
              <w:jc w:val="left"/>
              <w:rPr/>
            </w:pPr>
            <w:r>
              <w:rPr/>
              <w:t>Schedule 1.1(a)</w:t>
            </w:r>
          </w:p>
        </w:tc>
        <w:tc>
          <w:tcPr>
            <w:tcW w:w="4520" w:type="dxa"/>
            <w:tcBorders/>
            <w:vAlign w:val="center"/>
          </w:tcPr>
          <w:p>
            <w:pPr>
              <w:pStyle w:val="TableContents"/>
              <w:bidi w:val="0"/>
              <w:spacing w:before="0" w:after="283"/>
              <w:jc w:val="left"/>
              <w:rPr/>
            </w:pPr>
            <w:r>
              <w:rPr/>
              <w:t>Mortgaged Properties</w:t>
            </w:r>
          </w:p>
        </w:tc>
      </w:tr>
      <w:tr>
        <w:trPr/>
        <w:tc>
          <w:tcPr>
            <w:tcW w:w="1535" w:type="dxa"/>
            <w:tcBorders/>
            <w:vAlign w:val="center"/>
          </w:tcPr>
          <w:p>
            <w:pPr>
              <w:pStyle w:val="TableContents"/>
              <w:bidi w:val="0"/>
              <w:spacing w:before="0" w:after="283"/>
              <w:jc w:val="left"/>
              <w:rPr/>
            </w:pPr>
            <w:r>
              <w:rPr/>
              <w:t>Schedule 1.1(b)</w:t>
            </w:r>
          </w:p>
        </w:tc>
        <w:tc>
          <w:tcPr>
            <w:tcW w:w="4520" w:type="dxa"/>
            <w:tcBorders/>
            <w:vAlign w:val="center"/>
          </w:tcPr>
          <w:p>
            <w:pPr>
              <w:pStyle w:val="TableContents"/>
              <w:bidi w:val="0"/>
              <w:spacing w:before="0" w:after="283"/>
              <w:jc w:val="left"/>
              <w:rPr/>
            </w:pPr>
            <w:r>
              <w:rPr/>
              <w:t>Commitments of Lenders</w:t>
            </w:r>
          </w:p>
        </w:tc>
      </w:tr>
      <w:tr>
        <w:trPr/>
        <w:tc>
          <w:tcPr>
            <w:tcW w:w="1535" w:type="dxa"/>
            <w:tcBorders/>
            <w:vAlign w:val="center"/>
          </w:tcPr>
          <w:p>
            <w:pPr>
              <w:pStyle w:val="TableContents"/>
              <w:bidi w:val="0"/>
              <w:spacing w:before="0" w:after="283"/>
              <w:jc w:val="left"/>
              <w:rPr/>
            </w:pPr>
            <w:r>
              <w:rPr/>
              <w:t>Schedule 1.1(c)</w:t>
            </w:r>
          </w:p>
        </w:tc>
        <w:tc>
          <w:tcPr>
            <w:tcW w:w="4520" w:type="dxa"/>
            <w:tcBorders/>
            <w:vAlign w:val="center"/>
          </w:tcPr>
          <w:p>
            <w:pPr>
              <w:pStyle w:val="TableContents"/>
              <w:bidi w:val="0"/>
              <w:spacing w:before="0" w:after="283"/>
              <w:jc w:val="left"/>
              <w:rPr/>
            </w:pPr>
            <w:r>
              <w:rPr/>
              <w:t>Existing Letters of Credit</w:t>
            </w:r>
          </w:p>
        </w:tc>
      </w:tr>
      <w:tr>
        <w:trPr/>
        <w:tc>
          <w:tcPr>
            <w:tcW w:w="1535" w:type="dxa"/>
            <w:tcBorders/>
            <w:vAlign w:val="center"/>
          </w:tcPr>
          <w:p>
            <w:pPr>
              <w:pStyle w:val="TableContents"/>
              <w:bidi w:val="0"/>
              <w:spacing w:before="0" w:after="283"/>
              <w:jc w:val="left"/>
              <w:rPr/>
            </w:pPr>
            <w:r>
              <w:rPr/>
              <w:t>Schedule 8.13</w:t>
            </w:r>
          </w:p>
        </w:tc>
        <w:tc>
          <w:tcPr>
            <w:tcW w:w="4520" w:type="dxa"/>
            <w:tcBorders/>
            <w:vAlign w:val="center"/>
          </w:tcPr>
          <w:p>
            <w:pPr>
              <w:pStyle w:val="TableContents"/>
              <w:bidi w:val="0"/>
              <w:spacing w:before="0" w:after="283"/>
              <w:jc w:val="left"/>
              <w:rPr/>
            </w:pPr>
            <w:r>
              <w:rPr/>
              <w:t>Subsidiaries</w:t>
            </w:r>
          </w:p>
        </w:tc>
      </w:tr>
      <w:tr>
        <w:trPr/>
        <w:tc>
          <w:tcPr>
            <w:tcW w:w="1535" w:type="dxa"/>
            <w:tcBorders/>
            <w:vAlign w:val="center"/>
          </w:tcPr>
          <w:p>
            <w:pPr>
              <w:pStyle w:val="TableContents"/>
              <w:bidi w:val="0"/>
              <w:spacing w:before="0" w:after="283"/>
              <w:jc w:val="left"/>
              <w:rPr/>
            </w:pPr>
            <w:r>
              <w:rPr/>
              <w:t>Schedule 8.15</w:t>
            </w:r>
          </w:p>
        </w:tc>
        <w:tc>
          <w:tcPr>
            <w:tcW w:w="4520" w:type="dxa"/>
            <w:tcBorders/>
            <w:vAlign w:val="center"/>
          </w:tcPr>
          <w:p>
            <w:pPr>
              <w:pStyle w:val="TableContents"/>
              <w:bidi w:val="0"/>
              <w:spacing w:before="0" w:after="283"/>
              <w:jc w:val="left"/>
              <w:rPr/>
            </w:pPr>
            <w:r>
              <w:rPr/>
              <w:t>Environmental</w:t>
            </w:r>
          </w:p>
        </w:tc>
      </w:tr>
      <w:tr>
        <w:trPr/>
        <w:tc>
          <w:tcPr>
            <w:tcW w:w="1535" w:type="dxa"/>
            <w:tcBorders/>
            <w:vAlign w:val="center"/>
          </w:tcPr>
          <w:p>
            <w:pPr>
              <w:pStyle w:val="TableContents"/>
              <w:bidi w:val="0"/>
              <w:spacing w:before="0" w:after="283"/>
              <w:jc w:val="left"/>
              <w:rPr/>
            </w:pPr>
            <w:r>
              <w:rPr/>
              <w:t>Schedule 9.14</w:t>
            </w:r>
          </w:p>
        </w:tc>
        <w:tc>
          <w:tcPr>
            <w:tcW w:w="4520" w:type="dxa"/>
            <w:tcBorders/>
            <w:vAlign w:val="center"/>
          </w:tcPr>
          <w:p>
            <w:pPr>
              <w:pStyle w:val="TableContents"/>
              <w:bidi w:val="0"/>
              <w:spacing w:before="0" w:after="283"/>
              <w:jc w:val="left"/>
              <w:rPr/>
            </w:pPr>
            <w:r>
              <w:rPr/>
              <w:t>Post-Closing Actions</w:t>
            </w:r>
          </w:p>
        </w:tc>
      </w:tr>
      <w:tr>
        <w:trPr/>
        <w:tc>
          <w:tcPr>
            <w:tcW w:w="1535" w:type="dxa"/>
            <w:tcBorders/>
            <w:vAlign w:val="center"/>
          </w:tcPr>
          <w:p>
            <w:pPr>
              <w:pStyle w:val="TableContents"/>
              <w:bidi w:val="0"/>
              <w:spacing w:before="0" w:after="283"/>
              <w:jc w:val="left"/>
              <w:rPr/>
            </w:pPr>
            <w:r>
              <w:rPr/>
              <w:t>Schedule 10.1</w:t>
            </w:r>
          </w:p>
        </w:tc>
        <w:tc>
          <w:tcPr>
            <w:tcW w:w="4520" w:type="dxa"/>
            <w:tcBorders/>
            <w:vAlign w:val="center"/>
          </w:tcPr>
          <w:p>
            <w:pPr>
              <w:pStyle w:val="TableContents"/>
              <w:bidi w:val="0"/>
              <w:spacing w:before="0" w:after="283"/>
              <w:jc w:val="left"/>
              <w:rPr/>
            </w:pPr>
            <w:r>
              <w:rPr/>
              <w:t>Amendment No. 4 Effective Date Indebtedness</w:t>
            </w:r>
          </w:p>
        </w:tc>
      </w:tr>
      <w:tr>
        <w:trPr/>
        <w:tc>
          <w:tcPr>
            <w:tcW w:w="1535" w:type="dxa"/>
            <w:tcBorders/>
            <w:vAlign w:val="center"/>
          </w:tcPr>
          <w:p>
            <w:pPr>
              <w:pStyle w:val="TableContents"/>
              <w:bidi w:val="0"/>
              <w:spacing w:before="0" w:after="283"/>
              <w:jc w:val="left"/>
              <w:rPr/>
            </w:pPr>
            <w:r>
              <w:rPr/>
              <w:t>Schedule 10.2</w:t>
            </w:r>
          </w:p>
        </w:tc>
        <w:tc>
          <w:tcPr>
            <w:tcW w:w="4520" w:type="dxa"/>
            <w:tcBorders/>
            <w:vAlign w:val="center"/>
          </w:tcPr>
          <w:p>
            <w:pPr>
              <w:pStyle w:val="TableContents"/>
              <w:bidi w:val="0"/>
              <w:spacing w:before="0" w:after="283"/>
              <w:jc w:val="left"/>
              <w:rPr/>
            </w:pPr>
            <w:r>
              <w:rPr/>
              <w:t>Amendment No. 4 Effective Date Liens</w:t>
            </w:r>
          </w:p>
        </w:tc>
      </w:tr>
      <w:tr>
        <w:trPr/>
        <w:tc>
          <w:tcPr>
            <w:tcW w:w="1535" w:type="dxa"/>
            <w:tcBorders/>
            <w:vAlign w:val="center"/>
          </w:tcPr>
          <w:p>
            <w:pPr>
              <w:pStyle w:val="TableContents"/>
              <w:bidi w:val="0"/>
              <w:spacing w:before="0" w:after="283"/>
              <w:jc w:val="left"/>
              <w:rPr/>
            </w:pPr>
            <w:r>
              <w:rPr/>
              <w:t>Schedule 10.5</w:t>
            </w:r>
          </w:p>
        </w:tc>
        <w:tc>
          <w:tcPr>
            <w:tcW w:w="4520" w:type="dxa"/>
            <w:tcBorders/>
            <w:vAlign w:val="center"/>
          </w:tcPr>
          <w:p>
            <w:pPr>
              <w:pStyle w:val="TableContents"/>
              <w:bidi w:val="0"/>
              <w:spacing w:before="0" w:after="283"/>
              <w:jc w:val="left"/>
              <w:rPr/>
            </w:pPr>
            <w:r>
              <w:rPr/>
              <w:t>Amendment No. 4 Effective Date Investments</w:t>
            </w:r>
          </w:p>
        </w:tc>
      </w:tr>
      <w:tr>
        <w:trPr/>
        <w:tc>
          <w:tcPr>
            <w:tcW w:w="1535" w:type="dxa"/>
            <w:tcBorders/>
            <w:vAlign w:val="center"/>
          </w:tcPr>
          <w:p>
            <w:pPr>
              <w:pStyle w:val="TableContents"/>
              <w:bidi w:val="0"/>
              <w:spacing w:before="0" w:after="283"/>
              <w:jc w:val="left"/>
              <w:rPr/>
            </w:pPr>
            <w:r>
              <w:rPr/>
              <w:t>Schedule 13.2</w:t>
            </w:r>
          </w:p>
        </w:tc>
        <w:tc>
          <w:tcPr>
            <w:tcW w:w="4520" w:type="dxa"/>
            <w:tcBorders/>
            <w:vAlign w:val="center"/>
          </w:tcPr>
          <w:p>
            <w:pPr>
              <w:pStyle w:val="TableContents"/>
              <w:bidi w:val="0"/>
              <w:spacing w:before="0" w:after="283"/>
              <w:jc w:val="left"/>
              <w:rPr/>
            </w:pPr>
            <w:r>
              <w:rPr/>
              <w:t>Notice Addresses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1190"/>
        <w:gridCol w:w="8975"/>
      </w:tblGrid>
      <w:tr>
        <w:trPr/>
        <w:tc>
          <w:tcPr>
            <w:tcW w:w="1190" w:type="dxa"/>
            <w:tcBorders/>
            <w:vAlign w:val="center"/>
          </w:tcPr>
          <w:p>
            <w:pPr>
              <w:pStyle w:val="TableContents"/>
              <w:bidi w:val="0"/>
              <w:spacing w:before="0" w:after="283"/>
              <w:jc w:val="left"/>
              <w:rPr/>
            </w:pPr>
            <w:r>
              <w:rPr/>
              <w:t>Exhibit A</w:t>
            </w:r>
          </w:p>
        </w:tc>
        <w:tc>
          <w:tcPr>
            <w:tcW w:w="8975" w:type="dxa"/>
            <w:tcBorders/>
            <w:vAlign w:val="center"/>
          </w:tcPr>
          <w:p>
            <w:pPr>
              <w:pStyle w:val="TableContents"/>
              <w:bidi w:val="0"/>
              <w:spacing w:before="0" w:after="283"/>
              <w:jc w:val="left"/>
              <w:rPr/>
            </w:pPr>
            <w:r>
              <w:rPr/>
              <w:t>[Reserved]</w:t>
            </w:r>
          </w:p>
        </w:tc>
      </w:tr>
      <w:tr>
        <w:trPr/>
        <w:tc>
          <w:tcPr>
            <w:tcW w:w="1190" w:type="dxa"/>
            <w:tcBorders/>
            <w:vAlign w:val="center"/>
          </w:tcPr>
          <w:p>
            <w:pPr>
              <w:pStyle w:val="TableContents"/>
              <w:bidi w:val="0"/>
              <w:spacing w:before="0" w:after="283"/>
              <w:jc w:val="left"/>
              <w:rPr/>
            </w:pPr>
            <w:r>
              <w:rPr/>
              <w:t>Exhibit B-1</w:t>
            </w:r>
          </w:p>
        </w:tc>
        <w:tc>
          <w:tcPr>
            <w:tcW w:w="8975" w:type="dxa"/>
            <w:tcBorders/>
            <w:vAlign w:val="center"/>
          </w:tcPr>
          <w:p>
            <w:pPr>
              <w:pStyle w:val="TableContents"/>
              <w:bidi w:val="0"/>
              <w:spacing w:before="0" w:after="283"/>
              <w:jc w:val="left"/>
              <w:rPr/>
            </w:pPr>
            <w:r>
              <w:rPr/>
              <w:t>Form of Holdings Guarantee</w:t>
            </w:r>
          </w:p>
        </w:tc>
      </w:tr>
      <w:tr>
        <w:trPr/>
        <w:tc>
          <w:tcPr>
            <w:tcW w:w="1190" w:type="dxa"/>
            <w:tcBorders/>
            <w:vAlign w:val="center"/>
          </w:tcPr>
          <w:p>
            <w:pPr>
              <w:pStyle w:val="TableContents"/>
              <w:bidi w:val="0"/>
              <w:spacing w:before="0" w:after="283"/>
              <w:jc w:val="left"/>
              <w:rPr/>
            </w:pPr>
            <w:r>
              <w:rPr/>
              <w:t>Exhibit B-2</w:t>
            </w:r>
          </w:p>
        </w:tc>
        <w:tc>
          <w:tcPr>
            <w:tcW w:w="8975" w:type="dxa"/>
            <w:tcBorders/>
            <w:vAlign w:val="center"/>
          </w:tcPr>
          <w:p>
            <w:pPr>
              <w:pStyle w:val="TableContents"/>
              <w:bidi w:val="0"/>
              <w:spacing w:before="0" w:after="283"/>
              <w:jc w:val="left"/>
              <w:rPr/>
            </w:pPr>
            <w:r>
              <w:rPr/>
              <w:t>Form of Subsidiary Guarantee</w:t>
            </w:r>
          </w:p>
        </w:tc>
      </w:tr>
      <w:tr>
        <w:trPr/>
        <w:tc>
          <w:tcPr>
            <w:tcW w:w="1190" w:type="dxa"/>
            <w:tcBorders/>
            <w:vAlign w:val="center"/>
          </w:tcPr>
          <w:p>
            <w:pPr>
              <w:pStyle w:val="TableContents"/>
              <w:bidi w:val="0"/>
              <w:spacing w:before="0" w:after="283"/>
              <w:jc w:val="left"/>
              <w:rPr/>
            </w:pPr>
            <w:r>
              <w:rPr/>
              <w:t>Exhibit C</w:t>
            </w:r>
          </w:p>
        </w:tc>
        <w:tc>
          <w:tcPr>
            <w:tcW w:w="8975" w:type="dxa"/>
            <w:tcBorders/>
            <w:vAlign w:val="center"/>
          </w:tcPr>
          <w:p>
            <w:pPr>
              <w:pStyle w:val="TableContents"/>
              <w:bidi w:val="0"/>
              <w:spacing w:before="0" w:after="283"/>
              <w:jc w:val="left"/>
              <w:rPr/>
            </w:pPr>
            <w:r>
              <w:rPr/>
              <w:t>Form of Pledge Agreement</w:t>
            </w:r>
          </w:p>
        </w:tc>
      </w:tr>
      <w:tr>
        <w:trPr/>
        <w:tc>
          <w:tcPr>
            <w:tcW w:w="1190" w:type="dxa"/>
            <w:tcBorders/>
            <w:vAlign w:val="center"/>
          </w:tcPr>
          <w:p>
            <w:pPr>
              <w:pStyle w:val="TableContents"/>
              <w:bidi w:val="0"/>
              <w:spacing w:before="0" w:after="283"/>
              <w:jc w:val="left"/>
              <w:rPr/>
            </w:pPr>
            <w:r>
              <w:rPr/>
              <w:t>Exhibit D</w:t>
            </w:r>
          </w:p>
        </w:tc>
        <w:tc>
          <w:tcPr>
            <w:tcW w:w="8975" w:type="dxa"/>
            <w:tcBorders/>
            <w:vAlign w:val="center"/>
          </w:tcPr>
          <w:p>
            <w:pPr>
              <w:pStyle w:val="TableContents"/>
              <w:bidi w:val="0"/>
              <w:spacing w:before="0" w:after="283"/>
              <w:jc w:val="left"/>
              <w:rPr/>
            </w:pPr>
            <w:r>
              <w:rPr/>
              <w:t>Form of Security Agreement</w:t>
            </w:r>
          </w:p>
        </w:tc>
      </w:tr>
      <w:tr>
        <w:trPr/>
        <w:tc>
          <w:tcPr>
            <w:tcW w:w="1190" w:type="dxa"/>
            <w:tcBorders/>
            <w:vAlign w:val="center"/>
          </w:tcPr>
          <w:p>
            <w:pPr>
              <w:pStyle w:val="TableContents"/>
              <w:bidi w:val="0"/>
              <w:spacing w:before="0" w:after="283"/>
              <w:jc w:val="left"/>
              <w:rPr/>
            </w:pPr>
            <w:r>
              <w:rPr/>
              <w:t>Exhibit E</w:t>
            </w:r>
          </w:p>
        </w:tc>
        <w:tc>
          <w:tcPr>
            <w:tcW w:w="8975" w:type="dxa"/>
            <w:tcBorders/>
            <w:vAlign w:val="center"/>
          </w:tcPr>
          <w:p>
            <w:pPr>
              <w:pStyle w:val="TableContents"/>
              <w:bidi w:val="0"/>
              <w:spacing w:before="0" w:after="283"/>
              <w:jc w:val="left"/>
              <w:rPr/>
            </w:pPr>
            <w:r>
              <w:rPr/>
              <w:t>Form of Credit Party Closing Certificate</w:t>
            </w:r>
          </w:p>
        </w:tc>
      </w:tr>
      <w:tr>
        <w:trPr/>
        <w:tc>
          <w:tcPr>
            <w:tcW w:w="1190" w:type="dxa"/>
            <w:tcBorders/>
            <w:vAlign w:val="center"/>
          </w:tcPr>
          <w:p>
            <w:pPr>
              <w:pStyle w:val="TableContents"/>
              <w:bidi w:val="0"/>
              <w:spacing w:before="0" w:after="283"/>
              <w:jc w:val="left"/>
              <w:rPr/>
            </w:pPr>
            <w:r>
              <w:rPr/>
              <w:t>Exhibit F</w:t>
            </w:r>
          </w:p>
        </w:tc>
        <w:tc>
          <w:tcPr>
            <w:tcW w:w="8975" w:type="dxa"/>
            <w:tcBorders/>
            <w:vAlign w:val="center"/>
          </w:tcPr>
          <w:p>
            <w:pPr>
              <w:pStyle w:val="TableContents"/>
              <w:bidi w:val="0"/>
              <w:spacing w:before="0" w:after="283"/>
              <w:jc w:val="left"/>
              <w:rPr/>
            </w:pPr>
            <w:r>
              <w:rPr/>
              <w:t>Form of Assignment and Acceptance</w:t>
            </w:r>
          </w:p>
        </w:tc>
      </w:tr>
      <w:tr>
        <w:trPr/>
        <w:tc>
          <w:tcPr>
            <w:tcW w:w="1190" w:type="dxa"/>
            <w:tcBorders/>
            <w:vAlign w:val="center"/>
          </w:tcPr>
          <w:p>
            <w:pPr>
              <w:pStyle w:val="TableContents"/>
              <w:bidi w:val="0"/>
              <w:spacing w:before="0" w:after="283"/>
              <w:jc w:val="left"/>
              <w:rPr/>
            </w:pPr>
            <w:r>
              <w:rPr/>
              <w:t>Exhibit G</w:t>
            </w:r>
          </w:p>
        </w:tc>
        <w:tc>
          <w:tcPr>
            <w:tcW w:w="8975" w:type="dxa"/>
            <w:tcBorders/>
            <w:vAlign w:val="center"/>
          </w:tcPr>
          <w:p>
            <w:pPr>
              <w:pStyle w:val="TableContents"/>
              <w:bidi w:val="0"/>
              <w:spacing w:before="0" w:after="283"/>
              <w:jc w:val="left"/>
              <w:rPr/>
            </w:pPr>
            <w:r>
              <w:rPr/>
              <w:t xml:space="preserve">Form of Promissory Note </w:t>
            </w:r>
          </w:p>
        </w:tc>
      </w:tr>
      <w:tr>
        <w:trPr/>
        <w:tc>
          <w:tcPr>
            <w:tcW w:w="1190" w:type="dxa"/>
            <w:tcBorders/>
            <w:vAlign w:val="center"/>
          </w:tcPr>
          <w:p>
            <w:pPr>
              <w:pStyle w:val="TableContents"/>
              <w:bidi w:val="0"/>
              <w:spacing w:before="0" w:after="283"/>
              <w:jc w:val="left"/>
              <w:rPr/>
            </w:pPr>
            <w:r>
              <w:rPr/>
              <w:t>Exhibit H</w:t>
            </w:r>
          </w:p>
        </w:tc>
        <w:tc>
          <w:tcPr>
            <w:tcW w:w="8975" w:type="dxa"/>
            <w:tcBorders/>
            <w:vAlign w:val="center"/>
          </w:tcPr>
          <w:p>
            <w:pPr>
              <w:pStyle w:val="TableContents"/>
              <w:bidi w:val="0"/>
              <w:spacing w:before="0" w:after="283"/>
              <w:jc w:val="left"/>
              <w:rPr/>
            </w:pPr>
            <w:r>
              <w:rPr/>
              <w:t>Form of ABL Intercreditor Agreement</w:t>
            </w:r>
          </w:p>
        </w:tc>
      </w:tr>
      <w:tr>
        <w:trPr/>
        <w:tc>
          <w:tcPr>
            <w:tcW w:w="1190" w:type="dxa"/>
            <w:tcBorders/>
            <w:vAlign w:val="center"/>
          </w:tcPr>
          <w:p>
            <w:pPr>
              <w:pStyle w:val="TableContents"/>
              <w:bidi w:val="0"/>
              <w:spacing w:before="0" w:after="283"/>
              <w:jc w:val="left"/>
              <w:rPr/>
            </w:pPr>
            <w:r>
              <w:rPr/>
              <w:t>Exhibit I-1</w:t>
            </w:r>
          </w:p>
        </w:tc>
        <w:tc>
          <w:tcPr>
            <w:tcW w:w="8975" w:type="dxa"/>
            <w:tcBorders/>
            <w:vAlign w:val="center"/>
          </w:tcPr>
          <w:p>
            <w:pPr>
              <w:pStyle w:val="TableContents"/>
              <w:bidi w:val="0"/>
              <w:spacing w:before="0" w:after="283"/>
              <w:jc w:val="left"/>
              <w:rPr/>
            </w:pPr>
            <w:r>
              <w:rPr/>
              <w:t>Form of First Lien Intercreditor Agreement</w:t>
            </w:r>
          </w:p>
        </w:tc>
      </w:tr>
      <w:tr>
        <w:trPr/>
        <w:tc>
          <w:tcPr>
            <w:tcW w:w="1190" w:type="dxa"/>
            <w:tcBorders/>
            <w:vAlign w:val="center"/>
          </w:tcPr>
          <w:p>
            <w:pPr>
              <w:pStyle w:val="TableContents"/>
              <w:bidi w:val="0"/>
              <w:spacing w:before="0" w:after="283"/>
              <w:jc w:val="left"/>
              <w:rPr/>
            </w:pPr>
            <w:r>
              <w:rPr/>
              <w:t>Exhibit I-2</w:t>
            </w:r>
          </w:p>
        </w:tc>
        <w:tc>
          <w:tcPr>
            <w:tcW w:w="8975" w:type="dxa"/>
            <w:tcBorders/>
            <w:vAlign w:val="center"/>
          </w:tcPr>
          <w:p>
            <w:pPr>
              <w:pStyle w:val="TableContents"/>
              <w:bidi w:val="0"/>
              <w:spacing w:before="0" w:after="283"/>
              <w:jc w:val="left"/>
              <w:rPr/>
            </w:pPr>
            <w:r>
              <w:rPr/>
              <w:t>Form of Second Lien Intercreditor Agreement</w:t>
            </w:r>
          </w:p>
        </w:tc>
      </w:tr>
      <w:tr>
        <w:trPr/>
        <w:tc>
          <w:tcPr>
            <w:tcW w:w="1190" w:type="dxa"/>
            <w:tcBorders/>
            <w:vAlign w:val="center"/>
          </w:tcPr>
          <w:p>
            <w:pPr>
              <w:pStyle w:val="TableContents"/>
              <w:bidi w:val="0"/>
              <w:spacing w:before="0" w:after="283"/>
              <w:jc w:val="left"/>
              <w:rPr/>
            </w:pPr>
            <w:r>
              <w:rPr/>
              <w:t>Exhibit J-1</w:t>
            </w:r>
          </w:p>
        </w:tc>
        <w:tc>
          <w:tcPr>
            <w:tcW w:w="8975" w:type="dxa"/>
            <w:tcBorders/>
            <w:vAlign w:val="center"/>
          </w:tcPr>
          <w:p>
            <w:pPr>
              <w:pStyle w:val="TableContents"/>
              <w:bidi w:val="0"/>
              <w:spacing w:before="0" w:after="283"/>
              <w:jc w:val="left"/>
              <w:rPr/>
            </w:pPr>
            <w:r>
              <w:rPr/>
              <w:t xml:space="preserve">Form of Non-Bank Tax Certificate </w:t>
            </w:r>
          </w:p>
        </w:tc>
      </w:tr>
      <w:tr>
        <w:trPr/>
        <w:tc>
          <w:tcPr>
            <w:tcW w:w="11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(For Non-U.S. Lenders That Are Not Partnerships For U.S. Federal Income Tax Purposes)</w:t>
            </w:r>
          </w:p>
        </w:tc>
      </w:tr>
      <w:tr>
        <w:trPr/>
        <w:tc>
          <w:tcPr>
            <w:tcW w:w="1190" w:type="dxa"/>
            <w:tcBorders/>
            <w:vAlign w:val="center"/>
          </w:tcPr>
          <w:p>
            <w:pPr>
              <w:pStyle w:val="TableContents"/>
              <w:bidi w:val="0"/>
              <w:spacing w:before="0" w:after="283"/>
              <w:jc w:val="left"/>
              <w:rPr/>
            </w:pPr>
            <w:r>
              <w:rPr/>
              <w:t>Exhibit J-2</w:t>
            </w:r>
          </w:p>
        </w:tc>
        <w:tc>
          <w:tcPr>
            <w:tcW w:w="8975" w:type="dxa"/>
            <w:tcBorders/>
            <w:vAlign w:val="center"/>
          </w:tcPr>
          <w:p>
            <w:pPr>
              <w:pStyle w:val="TableContents"/>
              <w:bidi w:val="0"/>
              <w:spacing w:before="0" w:after="283"/>
              <w:jc w:val="left"/>
              <w:rPr/>
            </w:pPr>
            <w:r>
              <w:rPr/>
              <w:t xml:space="preserve">Form of Non-Bank Tax Certificate </w:t>
            </w:r>
          </w:p>
        </w:tc>
      </w:tr>
      <w:tr>
        <w:trPr/>
        <w:tc>
          <w:tcPr>
            <w:tcW w:w="11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(For Non-U.S. Lenders That Are Partnerships For U.S. Federal Income Tax Purposes)</w:t>
            </w:r>
          </w:p>
        </w:tc>
      </w:tr>
      <w:tr>
        <w:trPr/>
        <w:tc>
          <w:tcPr>
            <w:tcW w:w="1190" w:type="dxa"/>
            <w:tcBorders/>
            <w:vAlign w:val="center"/>
          </w:tcPr>
          <w:p>
            <w:pPr>
              <w:pStyle w:val="TableContents"/>
              <w:bidi w:val="0"/>
              <w:spacing w:before="0" w:after="283"/>
              <w:jc w:val="left"/>
              <w:rPr/>
            </w:pPr>
            <w:r>
              <w:rPr/>
              <w:t>Exhibit J-3</w:t>
            </w:r>
          </w:p>
        </w:tc>
        <w:tc>
          <w:tcPr>
            <w:tcW w:w="8975" w:type="dxa"/>
            <w:tcBorders/>
            <w:vAlign w:val="center"/>
          </w:tcPr>
          <w:p>
            <w:pPr>
              <w:pStyle w:val="TableContents"/>
              <w:bidi w:val="0"/>
              <w:spacing w:before="0" w:after="283"/>
              <w:jc w:val="left"/>
              <w:rPr/>
            </w:pPr>
            <w:r>
              <w:rPr/>
              <w:t xml:space="preserve">Form of Non-Bank Tax Certificate </w:t>
            </w:r>
          </w:p>
        </w:tc>
      </w:tr>
      <w:tr>
        <w:trPr/>
        <w:tc>
          <w:tcPr>
            <w:tcW w:w="11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(For Non-U.S. Participants That Are Not Partnerships For U.S. Federal Income Tax Purposes)</w:t>
            </w:r>
          </w:p>
        </w:tc>
      </w:tr>
      <w:tr>
        <w:trPr/>
        <w:tc>
          <w:tcPr>
            <w:tcW w:w="1190" w:type="dxa"/>
            <w:tcBorders/>
            <w:vAlign w:val="center"/>
          </w:tcPr>
          <w:p>
            <w:pPr>
              <w:pStyle w:val="TableContents"/>
              <w:bidi w:val="0"/>
              <w:spacing w:before="0" w:after="283"/>
              <w:jc w:val="left"/>
              <w:rPr/>
            </w:pPr>
            <w:r>
              <w:rPr/>
              <w:t>Exhibit J-4</w:t>
            </w:r>
          </w:p>
        </w:tc>
        <w:tc>
          <w:tcPr>
            <w:tcW w:w="8975" w:type="dxa"/>
            <w:tcBorders/>
            <w:vAlign w:val="center"/>
          </w:tcPr>
          <w:p>
            <w:pPr>
              <w:pStyle w:val="TableContents"/>
              <w:bidi w:val="0"/>
              <w:spacing w:before="0" w:after="283"/>
              <w:jc w:val="left"/>
              <w:rPr/>
            </w:pPr>
            <w:r>
              <w:rPr/>
              <w:t xml:space="preserve">Form of Non-Bank Tax Certificate </w:t>
            </w:r>
          </w:p>
        </w:tc>
      </w:tr>
      <w:tr>
        <w:trPr/>
        <w:tc>
          <w:tcPr>
            <w:tcW w:w="11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(For Non-U.S. Participants That Are Partnerships For U.S. Federal Income Tax Purposes)</w:t>
            </w:r>
          </w:p>
        </w:tc>
      </w:tr>
      <w:tr>
        <w:trPr/>
        <w:tc>
          <w:tcPr>
            <w:tcW w:w="1190" w:type="dxa"/>
            <w:tcBorders/>
            <w:vAlign w:val="center"/>
          </w:tcPr>
          <w:p>
            <w:pPr>
              <w:pStyle w:val="TableContents"/>
              <w:bidi w:val="0"/>
              <w:spacing w:before="0" w:after="283"/>
              <w:jc w:val="left"/>
              <w:rPr/>
            </w:pPr>
            <w:r>
              <w:rPr/>
              <w:t>Exhibit K</w:t>
            </w:r>
          </w:p>
        </w:tc>
        <w:tc>
          <w:tcPr>
            <w:tcW w:w="8975" w:type="dxa"/>
            <w:tcBorders/>
            <w:vAlign w:val="center"/>
          </w:tcPr>
          <w:p>
            <w:pPr>
              <w:pStyle w:val="TableContents"/>
              <w:bidi w:val="0"/>
              <w:spacing w:before="0" w:after="283"/>
              <w:jc w:val="left"/>
              <w:rPr/>
            </w:pPr>
            <w:r>
              <w:rPr/>
              <w:t>Form of Notice of Borrowing or Continuation or Conversion</w:t>
            </w:r>
          </w:p>
        </w:tc>
      </w:tr>
      <w:tr>
        <w:trPr/>
        <w:tc>
          <w:tcPr>
            <w:tcW w:w="1190" w:type="dxa"/>
            <w:tcBorders/>
            <w:vAlign w:val="center"/>
          </w:tcPr>
          <w:p>
            <w:pPr>
              <w:pStyle w:val="TableContents"/>
              <w:bidi w:val="0"/>
              <w:spacing w:before="0" w:after="283"/>
              <w:jc w:val="left"/>
              <w:rPr/>
            </w:pPr>
            <w:r>
              <w:rPr/>
              <w:t>Exhibit M</w:t>
            </w:r>
          </w:p>
        </w:tc>
        <w:tc>
          <w:tcPr>
            <w:tcW w:w="8975" w:type="dxa"/>
            <w:tcBorders/>
            <w:vAlign w:val="center"/>
          </w:tcPr>
          <w:p>
            <w:pPr>
              <w:pStyle w:val="TableContents"/>
              <w:bidi w:val="0"/>
              <w:spacing w:before="0" w:after="283"/>
              <w:jc w:val="left"/>
              <w:rPr/>
            </w:pPr>
            <w:r>
              <w:rPr/>
              <w:t>Form of Letter of Credit Request</w:t>
            </w:r>
          </w:p>
        </w:tc>
      </w:tr>
      <w:tr>
        <w:trPr/>
        <w:tc>
          <w:tcPr>
            <w:tcW w:w="1190" w:type="dxa"/>
            <w:tcBorders/>
            <w:vAlign w:val="center"/>
          </w:tcPr>
          <w:p>
            <w:pPr>
              <w:pStyle w:val="TableContents"/>
              <w:bidi w:val="0"/>
              <w:spacing w:before="0" w:after="283"/>
              <w:jc w:val="left"/>
              <w:rPr/>
            </w:pPr>
            <w:r>
              <w:rPr/>
              <w:t>Exhibit M-1</w:t>
            </w:r>
          </w:p>
        </w:tc>
        <w:tc>
          <w:tcPr>
            <w:tcW w:w="8975" w:type="dxa"/>
            <w:tcBorders/>
            <w:vAlign w:val="center"/>
          </w:tcPr>
          <w:p>
            <w:pPr>
              <w:pStyle w:val="TableContents"/>
              <w:bidi w:val="0"/>
              <w:spacing w:before="0" w:after="283"/>
              <w:jc w:val="left"/>
              <w:rPr/>
            </w:pPr>
            <w:r>
              <w:rPr/>
              <w:t>Form of Hedge Bank Designation</w:t>
            </w:r>
          </w:p>
        </w:tc>
      </w:tr>
      <w:tr>
        <w:trPr/>
        <w:tc>
          <w:tcPr>
            <w:tcW w:w="1190" w:type="dxa"/>
            <w:tcBorders/>
            <w:vAlign w:val="center"/>
          </w:tcPr>
          <w:p>
            <w:pPr>
              <w:pStyle w:val="TableContents"/>
              <w:bidi w:val="0"/>
              <w:spacing w:before="0" w:after="283"/>
              <w:jc w:val="left"/>
              <w:rPr/>
            </w:pPr>
            <w:r>
              <w:rPr/>
              <w:t>Exhibit M-2</w:t>
            </w:r>
          </w:p>
        </w:tc>
        <w:tc>
          <w:tcPr>
            <w:tcW w:w="8975" w:type="dxa"/>
            <w:tcBorders/>
            <w:vAlign w:val="center"/>
          </w:tcPr>
          <w:p>
            <w:pPr>
              <w:pStyle w:val="TableContents"/>
              <w:bidi w:val="0"/>
              <w:spacing w:before="0" w:after="283"/>
              <w:jc w:val="left"/>
              <w:rPr/>
            </w:pPr>
            <w:r>
              <w:rPr/>
              <w:t>Form of Cash Management Bank Designation</w:t>
            </w:r>
          </w:p>
        </w:tc>
      </w:tr>
      <w:tr>
        <w:trPr/>
        <w:tc>
          <w:tcPr>
            <w:tcW w:w="1190" w:type="dxa"/>
            <w:tcBorders/>
            <w:vAlign w:val="center"/>
          </w:tcPr>
          <w:p>
            <w:pPr>
              <w:pStyle w:val="TableContents"/>
              <w:bidi w:val="0"/>
              <w:spacing w:before="0" w:after="283"/>
              <w:jc w:val="left"/>
              <w:rPr/>
            </w:pPr>
            <w:r>
              <w:rPr/>
              <w:t>Exhibit N</w:t>
            </w:r>
          </w:p>
        </w:tc>
        <w:tc>
          <w:tcPr>
            <w:tcW w:w="8975" w:type="dxa"/>
            <w:tcBorders/>
            <w:vAlign w:val="center"/>
          </w:tcPr>
          <w:p>
            <w:pPr>
              <w:pStyle w:val="TableContents"/>
              <w:bidi w:val="0"/>
              <w:spacing w:before="0" w:after="283"/>
              <w:jc w:val="left"/>
              <w:rPr/>
            </w:pPr>
            <w:r>
              <w:rPr/>
              <w:t>Form of Borrowing Base Certificate</w:t>
            </w:r>
          </w:p>
        </w:tc>
      </w:tr>
      <w:tr>
        <w:trPr/>
        <w:tc>
          <w:tcPr>
            <w:tcW w:w="119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w:t>
      </w:r>
    </w:p>
    <w:p>
      <w:pPr>
        <w:pStyle w:val="HorizontalLine"/>
        <w:pBdr>
          <w:bottom w:val="single" w:sz="12" w:space="0" w:color="808080"/>
        </w:pBdr>
        <w:bidi w:val="0"/>
        <w:spacing w:before="200" w:after="200"/>
        <w:jc w:val="left"/>
        <w:rPr/>
      </w:pPr>
      <w:r>
        <w:rPr/>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AMENDED AND RESTATED ABL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AMENDED AND RESTATED ABL CREDIT AGREEMENT, dated as of July 2, 2015 and as amended by AMENDMENT NO. 1, dated as of May 22, 2018 as further amended by AMENDMENT NO. 2, dated as of November 6, 2020, as further amended by AMENDMENT NO. 3, dated as of March 30, 2023, </w:t>
      </w:r>
      <w:r>
        <w:rPr>
          <w:rFonts w:ascii="Times New Roman;Times;Serif" w:hAnsi="Times New Roman;Times;Serif"/>
          <w:b w:val="false"/>
          <w:i w:val="false"/>
          <w:caps w:val="false"/>
          <w:smallCaps w:val="false"/>
          <w:strike/>
          <w:color w:val="FF0000"/>
          <w:sz w:val="20"/>
        </w:rPr>
        <w:t xml:space="preserve">and </w:t>
      </w:r>
      <w:r>
        <w:rPr>
          <w:rFonts w:ascii="Times New Roman;Times;Serif" w:hAnsi="Times New Roman;Times;Serif"/>
          <w:b w:val="false"/>
          <w:i w:val="false"/>
          <w:caps w:val="false"/>
          <w:smallCaps w:val="false"/>
          <w:sz w:val="20"/>
        </w:rPr>
        <w:t>as further amended by AMENDMENT NO. 4</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dated as of March 8, 2024</w:t>
      </w:r>
      <w:r>
        <w:rPr>
          <w:rFonts w:ascii="Times New Roman;Times;Serif" w:hAnsi="Times New Roman;Times;Serif"/>
          <w:b w:val="false"/>
          <w:i w:val="false"/>
          <w:caps w:val="false"/>
          <w:smallCaps w:val="false"/>
          <w:color w:val="0000FF"/>
          <w:sz w:val="20"/>
          <w:u w:val="single"/>
          <w:bdr w:val="single" w:sz="8" w:space="1" w:color="0000FF"/>
        </w:rPr>
        <w:t>, and as further amended by AMENDMENT NO. 5, dated as of May 14, 2026</w:t>
      </w:r>
      <w:r>
        <w:rPr>
          <w:rFonts w:ascii="Times New Roman;Times;Serif" w:hAnsi="Times New Roman;Times;Serif"/>
          <w:b w:val="false"/>
          <w:i w:val="false"/>
          <w:caps w:val="false"/>
          <w:smallCaps w:val="false"/>
          <w:sz w:val="20"/>
        </w:rPr>
        <w:t>, among ACADEMY, LTD., a Texas limited partnership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NEW ACADEMY HOLDING COMPANY, LLC, a Delaware limited liability company, ASSOCIATED INVESTORS, L.L.C. and ACADEMY MANAGING CO., L.L.C., as Texas Intermediate Holdcos, the lending institutions from time to time parties hereto (each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xml:space="preserve">”) and JPMORGAN CHASE BANK, N.A., as the Administrative Agent, the Collateral Agent, a Letter of Credit Issuer and the Swingline Lender (such terms and each other capitalized term used but not defined in this preamble having the meaning provided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certain of the Lenders and JPMorgan Chase Bank, N.A., as administrative agent for such lenders, are parties to the Existing ABL Facility (defined below) pursuant to which asset based revolving credit loans have been made available to the Borrower and the Borrower has requested to amend and restate the Existing ABL Facility in its entirety;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foregoing, the Borrower has requested that (i) the Lenders extend credit in the form of Revolving Credit Loans made available to the Borrower at any time and from time to time prior to the Revolving Credit Maturity Date, in an aggregate principal amount at any time outstanding not in excess of $1,000,000,000 less the sum of (1) aggregate Letters of Credit Outstanding at such time and (2) the aggregate principal amount of all Swingline Loans outstanding at such time (ii) the Letter of Credit Issuers issue Letters of Credit at any time and from time to time prior to the L/C Facility Maturity Date, in an aggregate Stated Amount at any time outstanding not in excess of $40,000,000 and (iii) the Swingline Lender extend credit in the form of Swingline Loans at any time and from time to time prior to the Swingline Maturity Date, in an aggregate principal amount at any time outstanding not in excess of $65,000,000 the Lenders extend Commitments to the Borrower on the Restatement Effective Date of up to $1,000,000,000;</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intended that the Borrower will incur term loans under a term loan facility established pursuant to the Term Loan Credit Documents (the “</w:t>
      </w:r>
      <w:r>
        <w:rPr>
          <w:rFonts w:ascii="Times New Roman;Times;Serif" w:hAnsi="Times New Roman;Times;Serif"/>
          <w:b/>
          <w:i w:val="false"/>
          <w:caps w:val="false"/>
          <w:smallCaps w:val="false"/>
          <w:sz w:val="20"/>
        </w:rPr>
        <w:t>Term Loan Facility</w:t>
      </w:r>
      <w:r>
        <w:rPr>
          <w:rFonts w:ascii="Times New Roman;Times;Serif" w:hAnsi="Times New Roman;Times;Serif"/>
          <w:b w:val="false"/>
          <w:i w:val="false"/>
          <w:caps w:val="false"/>
          <w:smallCaps w:val="false"/>
          <w:sz w:val="20"/>
        </w:rPr>
        <w:t>”) generating gross proceeds of $400,000,000;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proceeds of the Term Loans will be used, together with any net proceeds of borrowings by the Borrower hereunder on the Amendment No. 2 Effective Date, to finance the Transactions and borrowings hereunder after the Amendment No. 3 Effective Date will be used for working capital and for other general corporate purposes;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and the Letter of Credit Issuers are willing to make available to the Borrower such revolving credit and letter of credit facilities upon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and agreements contained herein, the parties hereto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1.</w:t>
      </w:r>
      <w:r>
        <w:rPr>
          <w:rFonts w:ascii="Times New Roman;Times;Serif" w:hAnsi="Times New Roman;Times;Serif"/>
          <w:b w:val="false"/>
          <w:i w:val="false"/>
          <w:caps w:val="false"/>
          <w:smallCaps w:val="false"/>
          <w:sz w:val="20"/>
          <w:u w:val="single"/>
        </w:rPr>
        <w:t xml:space="preserve">             Definitions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Defined Terms. As used herein, the following terms shall have the meanings specified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unless the context otherwise requires (it being understood that defined terms in this Agreement shall include in the singular number the plural and in the plural the singular):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bdr w:val="single" w:sz="8" w:space="1" w:color="0000FF"/>
        </w:rPr>
      </w:pPr>
      <w:r>
        <w:rPr>
          <w:caps w:val="false"/>
          <w:smallCaps w:val="false"/>
          <w:color w:val="0000FF"/>
          <w:u w:val="single"/>
          <w:bdr w:val="single" w:sz="8" w:space="1" w:color="0000FF"/>
        </w:rPr>
        <w:t>“</w:t>
      </w:r>
      <w:r>
        <w:rPr>
          <w:rFonts w:ascii="Times New Roman;Times;Serif" w:hAnsi="Times New Roman;Times;Serif"/>
          <w:b/>
          <w:i w:val="false"/>
          <w:caps w:val="false"/>
          <w:smallCaps w:val="false"/>
          <w:color w:val="0000FF"/>
          <w:sz w:val="20"/>
          <w:u w:val="single"/>
          <w:bdr w:val="single" w:sz="8" w:space="1" w:color="0000FF"/>
        </w:rPr>
        <w:t>2031 Notes Maturity Reserve</w:t>
      </w:r>
      <w:r>
        <w:rPr>
          <w:rFonts w:ascii="Times New Roman;Times;Serif" w:hAnsi="Times New Roman;Times;Serif"/>
          <w:b w:val="false"/>
          <w:i w:val="false"/>
          <w:caps w:val="false"/>
          <w:smallCaps w:val="false"/>
          <w:color w:val="0000FF"/>
          <w:sz w:val="20"/>
          <w:u w:val="single"/>
          <w:bdr w:val="single" w:sz="8" w:space="1" w:color="0000FF"/>
        </w:rPr>
        <w:t>” means, solely to the extent that the 2031 Senior Notes are outstanding as of the date that is ninety-one (91) days prior to the Latest Maturity Date (the “</w:t>
      </w:r>
      <w:r>
        <w:rPr>
          <w:rFonts w:ascii="Times New Roman;Times;Serif" w:hAnsi="Times New Roman;Times;Serif"/>
          <w:b/>
          <w:i w:val="false"/>
          <w:caps w:val="false"/>
          <w:smallCaps w:val="false"/>
          <w:color w:val="0000FF"/>
          <w:sz w:val="20"/>
          <w:u w:val="single"/>
          <w:bdr w:val="single" w:sz="8" w:space="1" w:color="0000FF"/>
        </w:rPr>
        <w:t>2031 Notes Maturity Reserve Trigger Date</w:t>
      </w:r>
      <w:r>
        <w:rPr>
          <w:rFonts w:ascii="Times New Roman;Times;Serif" w:hAnsi="Times New Roman;Times;Serif"/>
          <w:b w:val="false"/>
          <w:i w:val="false"/>
          <w:caps w:val="false"/>
          <w:smallCaps w:val="false"/>
          <w:color w:val="0000FF"/>
          <w:sz w:val="20"/>
          <w:u w:val="single"/>
          <w:bdr w:val="single" w:sz="8" w:space="1" w:color="0000FF"/>
        </w:rPr>
        <w:t>”) and such 2031 Senior Notes mature on or prior to the Latest Maturity Date, a reserve equal to the aggregate principal amount of such 2031 Senior Notes in excess of $100,000,000 outstanding as of such 2031 Notes Maturity Reserve Trigger Date.</w:t>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bdr w:val="single" w:sz="8" w:space="1" w:color="0000FF"/>
        </w:rPr>
      </w:pPr>
      <w:r>
        <w:rPr>
          <w:caps w:val="false"/>
          <w:smallCaps w:val="false"/>
          <w:color w:val="0000FF"/>
          <w:u w:val="single"/>
          <w:bdr w:val="single" w:sz="8" w:space="1" w:color="0000FF"/>
        </w:rPr>
        <w:t>“</w:t>
      </w:r>
      <w:r>
        <w:rPr>
          <w:rFonts w:ascii="Times New Roman;Times;Serif" w:hAnsi="Times New Roman;Times;Serif"/>
          <w:b/>
          <w:i w:val="false"/>
          <w:caps w:val="false"/>
          <w:smallCaps w:val="false"/>
          <w:color w:val="0000FF"/>
          <w:sz w:val="20"/>
          <w:u w:val="single"/>
          <w:bdr w:val="single" w:sz="8" w:space="1" w:color="0000FF"/>
        </w:rPr>
        <w:t>2031 Notes Maturity Reserve Trigger Date</w:t>
      </w:r>
      <w:r>
        <w:rPr>
          <w:rFonts w:ascii="Times New Roman;Times;Serif" w:hAnsi="Times New Roman;Times;Serif"/>
          <w:b w:val="false"/>
          <w:i w:val="false"/>
          <w:caps w:val="false"/>
          <w:smallCaps w:val="false"/>
          <w:color w:val="0000FF"/>
          <w:sz w:val="20"/>
          <w:u w:val="single"/>
          <w:bdr w:val="single" w:sz="8" w:space="1" w:color="0000FF"/>
        </w:rPr>
        <w:t>” shall have the meaning provided in the definition of “2031 Notes Maturity Reserve”.</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trike/>
          <w:color w:val="FF0000"/>
          <w:sz w:val="20"/>
        </w:rPr>
        <w:t>2027</w:t>
      </w:r>
      <w:r>
        <w:rPr>
          <w:rFonts w:ascii="Times New Roman;Times;Serif" w:hAnsi="Times New Roman;Times;Serif"/>
          <w:b/>
          <w:i w:val="false"/>
          <w:caps w:val="false"/>
          <w:smallCaps w:val="false"/>
          <w:color w:val="0000FF"/>
          <w:sz w:val="20"/>
          <w:u w:val="single"/>
          <w:bdr w:val="single" w:sz="8" w:space="1" w:color="0000FF"/>
        </w:rPr>
        <w:t>2031</w:t>
      </w:r>
      <w:r>
        <w:rPr>
          <w:rFonts w:ascii="Times New Roman;Times;Serif" w:hAnsi="Times New Roman;Times;Serif"/>
          <w:b/>
          <w:i w:val="false"/>
          <w:caps w:val="false"/>
          <w:smallCaps w:val="false"/>
          <w:sz w:val="20"/>
        </w:rPr>
        <w:t xml:space="preserve"> Senior Notes</w:t>
      </w:r>
      <w:r>
        <w:rPr>
          <w:rFonts w:ascii="Times New Roman;Times;Serif" w:hAnsi="Times New Roman;Times;Serif"/>
          <w:b w:val="false"/>
          <w:i w:val="false"/>
          <w:caps w:val="false"/>
          <w:smallCaps w:val="false"/>
          <w:sz w:val="20"/>
        </w:rPr>
        <w:t xml:space="preserve">” means the </w:t>
      </w:r>
      <w:r>
        <w:rPr>
          <w:rFonts w:ascii="Times New Roman;Times;Serif" w:hAnsi="Times New Roman;Times;Serif"/>
          <w:b w:val="false"/>
          <w:i w:val="false"/>
          <w:caps w:val="false"/>
          <w:smallCaps w:val="false"/>
          <w:strike/>
          <w:color w:val="FF0000"/>
          <w:sz w:val="20"/>
        </w:rPr>
        <w:t>6.000</w:t>
      </w:r>
      <w:r>
        <w:rPr>
          <w:rFonts w:ascii="Times New Roman;Times;Serif" w:hAnsi="Times New Roman;Times;Serif"/>
          <w:b w:val="false"/>
          <w:i w:val="false"/>
          <w:caps w:val="false"/>
          <w:smallCaps w:val="false"/>
          <w:color w:val="0000FF"/>
          <w:sz w:val="20"/>
          <w:u w:val="single"/>
          <w:bdr w:val="single" w:sz="8" w:space="1" w:color="0000FF"/>
        </w:rPr>
        <w:t>5.875</w:t>
      </w:r>
      <w:r>
        <w:rPr>
          <w:rFonts w:ascii="Times New Roman;Times;Serif" w:hAnsi="Times New Roman;Times;Serif"/>
          <w:b w:val="false"/>
          <w:i w:val="false"/>
          <w:caps w:val="false"/>
          <w:smallCaps w:val="false"/>
          <w:sz w:val="20"/>
        </w:rPr>
        <w:t xml:space="preserve">% senior secured notes due </w:t>
      </w:r>
      <w:r>
        <w:rPr>
          <w:rFonts w:ascii="Times New Roman;Times;Serif" w:hAnsi="Times New Roman;Times;Serif"/>
          <w:b w:val="false"/>
          <w:i w:val="false"/>
          <w:caps w:val="false"/>
          <w:smallCaps w:val="false"/>
          <w:strike/>
          <w:color w:val="FF0000"/>
          <w:sz w:val="20"/>
        </w:rPr>
        <w:t>November 15, 2027</w:t>
      </w:r>
      <w:r>
        <w:rPr>
          <w:rFonts w:ascii="Times New Roman;Times;Serif" w:hAnsi="Times New Roman;Times;Serif"/>
          <w:b w:val="false"/>
          <w:i w:val="false"/>
          <w:caps w:val="false"/>
          <w:smallCaps w:val="false"/>
          <w:color w:val="0000FF"/>
          <w:sz w:val="20"/>
          <w:u w:val="single"/>
          <w:bdr w:val="single" w:sz="8" w:space="1" w:color="0000FF"/>
        </w:rPr>
        <w:t>2031,</w:t>
      </w:r>
      <w:r>
        <w:rPr>
          <w:rFonts w:ascii="Times New Roman;Times;Serif" w:hAnsi="Times New Roman;Times;Serif"/>
          <w:b w:val="false"/>
          <w:i w:val="false"/>
          <w:caps w:val="false"/>
          <w:smallCaps w:val="false"/>
          <w:sz w:val="20"/>
        </w:rPr>
        <w:t xml:space="preserve"> issued pursuant to the Notes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ABL Intercreditor Agreement</w:t>
      </w:r>
      <w:r>
        <w:rPr>
          <w:rFonts w:ascii="Times New Roman;Times;Serif" w:hAnsi="Times New Roman;Times;Serif"/>
          <w:b w:val="false"/>
          <w:i w:val="false"/>
          <w:caps w:val="false"/>
          <w:smallCaps w:val="false"/>
          <w:sz w:val="20"/>
        </w:rPr>
        <w:t xml:space="preserve">” shall mean an Intercreditor Agreement substantially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(with such changes to such form as may be reasonably acceptable to the Administrative Agent and the Borrower) between the Collateral Agent, the collateral agent under the Term Loan Facility and the Notes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ABL Priority Collateral</w:t>
      </w:r>
      <w:r>
        <w:rPr>
          <w:rFonts w:ascii="Times New Roman;Times;Serif" w:hAnsi="Times New Roman;Times;Serif"/>
          <w:b w:val="false"/>
          <w:i w:val="false"/>
          <w:caps w:val="false"/>
          <w:smallCaps w:val="false"/>
          <w:sz w:val="20"/>
        </w:rPr>
        <w:t>” shall have the meaning provided in the ABL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ABR</w:t>
      </w:r>
      <w:r>
        <w:rPr>
          <w:rFonts w:ascii="Times New Roman;Times;Serif" w:hAnsi="Times New Roman;Times;Serif"/>
          <w:b w:val="false"/>
          <w:i w:val="false"/>
          <w:caps w:val="false"/>
          <w:smallCaps w:val="false"/>
          <w:sz w:val="20"/>
        </w:rPr>
        <w:t>” shall mean, when used in reference to (i) a rate of interest, refers to the “</w:t>
      </w:r>
      <w:r>
        <w:rPr>
          <w:rFonts w:ascii="Times New Roman;Times;Serif" w:hAnsi="Times New Roman;Times;Serif"/>
          <w:b/>
          <w:i w:val="false"/>
          <w:caps w:val="false"/>
          <w:smallCaps w:val="false"/>
          <w:sz w:val="20"/>
        </w:rPr>
        <w:t>Alternate Base Rate</w:t>
      </w:r>
      <w:r>
        <w:rPr>
          <w:rFonts w:ascii="Times New Roman;Times;Serif" w:hAnsi="Times New Roman;Times;Serif"/>
          <w:b w:val="false"/>
          <w:i w:val="false"/>
          <w:caps w:val="false"/>
          <w:smallCaps w:val="false"/>
          <w:sz w:val="20"/>
        </w:rPr>
        <w:t xml:space="preserve">”, which means, for any day, a rate per annum equal to the greatest of (a) the Prime Rate in effect on such day, (b) the NYFRB Rate in effect on such day plus ½ of 1% and (c) the Adjusted Term SOFR Rate for a one month Interest Period as published two (2) U.S. Government Securities Business Days prior to such day (or if such day is not a U.S. Government Securities Business Day, the immediately preceding U.S. Government Securities Business Day) plus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 and (ii) any Loan or Borrowing, refers to whether such Loan, or the Loans comprising such Borrowing, bear interest at a rate determined by reference to the Alternate Base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ABR Loan</w:t>
      </w:r>
      <w:r>
        <w:rPr>
          <w:rFonts w:ascii="Times New Roman;Times;Serif" w:hAnsi="Times New Roman;Times;Serif"/>
          <w:b w:val="false"/>
          <w:i w:val="false"/>
          <w:caps w:val="false"/>
          <w:smallCaps w:val="false"/>
          <w:sz w:val="20"/>
        </w:rPr>
        <w:t>” shall mean each Loan bearing interest based on the ABR.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Account(s)</w:t>
      </w:r>
      <w:r>
        <w:rPr>
          <w:rFonts w:ascii="Times New Roman;Times;Serif" w:hAnsi="Times New Roman;Times;Serif"/>
          <w:b w:val="false"/>
          <w:i w:val="false"/>
          <w:caps w:val="false"/>
          <w:smallCaps w:val="false"/>
          <w:sz w:val="20"/>
        </w:rPr>
        <w:t>” shall mean “accounts” as defined in the UCC, and includes without limitation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 The term “Account” does not include (a) rights to payment evidenced by chattel paper or an instrument, (b) commercial tort claims, (c) deposit accounts, (d) investment property, (e) letter-of-credit rights or letters of credit, or (f) rights to payment for money or funds advanced other than rights arising out of the use of a credit or charge card or information contained on or for use with the card.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ACH</w:t>
      </w:r>
      <w:r>
        <w:rPr>
          <w:rFonts w:ascii="Times New Roman;Times;Serif" w:hAnsi="Times New Roman;Times;Serif"/>
          <w:b w:val="false"/>
          <w:i w:val="false"/>
          <w:caps w:val="false"/>
          <w:smallCaps w:val="false"/>
          <w:sz w:val="20"/>
        </w:rPr>
        <w:t>” shall mean automated clearing house transfers.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Acquired EBITDA</w:t>
      </w:r>
      <w:r>
        <w:rPr>
          <w:rFonts w:ascii="Times New Roman;Times;Serif" w:hAnsi="Times New Roman;Times;Serif"/>
          <w:b w:val="false"/>
          <w:i w:val="false"/>
          <w:caps w:val="false"/>
          <w:smallCaps w:val="false"/>
          <w:sz w:val="20"/>
        </w:rPr>
        <w:t>” shall mean, with respect to any Acquired Entity or Business or any Converted Restricted Subsidiary (any of the foregoing, a “</w:t>
      </w:r>
      <w:r>
        <w:rPr>
          <w:rFonts w:ascii="Times New Roman;Times;Serif" w:hAnsi="Times New Roman;Times;Serif"/>
          <w:b/>
          <w:i w:val="false"/>
          <w:caps w:val="false"/>
          <w:smallCaps w:val="false"/>
          <w:sz w:val="20"/>
        </w:rPr>
        <w:t>Pro Forma Entity</w:t>
      </w:r>
      <w:r>
        <w:rPr>
          <w:rFonts w:ascii="Times New Roman;Times;Serif" w:hAnsi="Times New Roman;Times;Serif"/>
          <w:b w:val="false"/>
          <w:i w:val="false"/>
          <w:caps w:val="false"/>
          <w:smallCaps w:val="false"/>
          <w:sz w:val="20"/>
        </w:rPr>
        <w:t>”) for any period, the amount for such period of Consolidated EBITDA of such Pro Forma Entity (determined using such definitions as if references to the Borrower and the Restricted Subsidiaries therein were to such Pro Forma Entity and its Restricted Subsidiaries), all as determined on a consolidated basis for such Pro Forma Entity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Acquired Entity or Business</w:t>
      </w:r>
      <w:r>
        <w:rPr>
          <w:rFonts w:ascii="Times New Roman;Times;Serif" w:hAnsi="Times New Roman;Times;Serif"/>
          <w:b w:val="false"/>
          <w:i w:val="false"/>
          <w:caps w:val="false"/>
          <w:smallCaps w:val="false"/>
          <w:sz w:val="20"/>
        </w:rPr>
        <w:t>” shall have the meaning provided in the definition of the term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Acquired Indebtedness</w:t>
      </w:r>
      <w:r>
        <w:rPr>
          <w:rFonts w:ascii="Times New Roman;Times;Serif" w:hAnsi="Times New Roman;Times;Serif"/>
          <w:b w:val="false"/>
          <w:i w:val="false"/>
          <w:caps w:val="false"/>
          <w:smallCaps w:val="false"/>
          <w:sz w:val="20"/>
        </w:rPr>
        <w:t>” 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Daily Simple SOFR</w:t>
      </w:r>
      <w:r>
        <w:rPr>
          <w:rFonts w:ascii="Times New Roman;Times;Serif" w:hAnsi="Times New Roman;Times;Serif"/>
          <w:b w:val="false"/>
          <w:i w:val="false"/>
          <w:caps w:val="false"/>
          <w:smallCaps w:val="false"/>
          <w:sz w:val="20"/>
        </w:rPr>
        <w:t xml:space="preserve">” shall mean an interest rate per annum equal to </w:t>
      </w:r>
      <w:r>
        <w:rPr>
          <w:rFonts w:ascii="Times New Roman;Times;Serif" w:hAnsi="Times New Roman;Times;Serif"/>
          <w:b w:val="false"/>
          <w:i w:val="false"/>
          <w:caps w:val="false"/>
          <w:smallCaps w:val="false"/>
          <w:strike/>
          <w:color w:val="FF0000"/>
          <w:sz w:val="20"/>
        </w:rPr>
        <w:t xml:space="preserve">(a) </w:t>
      </w:r>
      <w:r>
        <w:rPr>
          <w:rFonts w:ascii="Times New Roman;Times;Serif" w:hAnsi="Times New Roman;Times;Serif"/>
          <w:b w:val="false"/>
          <w:i w:val="false"/>
          <w:caps w:val="false"/>
          <w:smallCaps w:val="false"/>
          <w:sz w:val="20"/>
        </w:rPr>
        <w:t>the Daily Simple SOFR</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plus</w:t>
      </w:r>
      <w:r>
        <w:rPr>
          <w:rFonts w:ascii="Times New Roman;Times;Serif" w:hAnsi="Times New Roman;Times;Serif"/>
          <w:b w:val="false"/>
          <w:i w:val="false"/>
          <w:caps w:val="false"/>
          <w:smallCaps w:val="false"/>
          <w:strike/>
          <w:color w:val="FF0000"/>
          <w:sz w:val="20"/>
        </w:rPr>
        <w:t xml:space="preserve"> (b) 0.10%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Daily Simple SOFR as so determined would be less than the Floor, such rate shall be deemed to be equal to the Floor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SOFR Rate</w:t>
      </w:r>
      <w:r>
        <w:rPr>
          <w:rFonts w:ascii="Times New Roman;Times;Serif" w:hAnsi="Times New Roman;Times;Serif"/>
          <w:b w:val="false"/>
          <w:i w:val="false"/>
          <w:caps w:val="false"/>
          <w:smallCaps w:val="false"/>
          <w:sz w:val="20"/>
        </w:rPr>
        <w:t>” shall mean Adjusted Daily Simple SOFR or Adjusted Term SOFR Rate, as the context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Term SOFR Rate</w:t>
      </w:r>
      <w:r>
        <w:rPr>
          <w:rFonts w:ascii="Times New Roman;Times;Serif" w:hAnsi="Times New Roman;Times;Serif"/>
          <w:b w:val="false"/>
          <w:i w:val="false"/>
          <w:caps w:val="false"/>
          <w:smallCaps w:val="false"/>
          <w:sz w:val="20"/>
        </w:rPr>
        <w:t>” shall mean, for any Interest Period, an interest rate per annum equal to (a) the Term SOFR Rate for such Interest Period</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caps w:val="false"/>
          <w:smallCaps w:val="false"/>
          <w:strike/>
          <w:color w:val="FF0000"/>
          <w:sz w:val="20"/>
        </w:rPr>
        <w:t>plus</w:t>
      </w:r>
      <w:r>
        <w:rPr>
          <w:rFonts w:ascii="Times New Roman;Times;Serif" w:hAnsi="Times New Roman;Times;Serif"/>
          <w:b w:val="false"/>
          <w:i w:val="false"/>
          <w:caps w:val="false"/>
          <w:smallCaps w:val="false"/>
          <w:strike/>
          <w:color w:val="FF0000"/>
          <w:sz w:val="20"/>
        </w:rPr>
        <w:t xml:space="preserve"> (b) 0.10%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Adjusted Term SOFR Rate as so determined would be less than the Floor, such rate shall be deemed to be equal to the Floor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Total Revolving Credit Commitment</w:t>
      </w:r>
      <w:r>
        <w:rPr>
          <w:rFonts w:ascii="Times New Roman;Times;Serif" w:hAnsi="Times New Roman;Times;Serif"/>
          <w:b w:val="false"/>
          <w:i w:val="false"/>
          <w:caps w:val="false"/>
          <w:smallCaps w:val="false"/>
          <w:sz w:val="20"/>
        </w:rPr>
        <w:t>” shall mean at any time the Total Revolving Credit Commitment less the aggregate Revolving Credit Commitments of all Defaulting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Adjustment Date</w:t>
      </w:r>
      <w:r>
        <w:rPr>
          <w:rFonts w:ascii="Times New Roman;Times;Serif" w:hAnsi="Times New Roman;Times;Serif"/>
          <w:b w:val="false"/>
          <w:i w:val="false"/>
          <w:caps w:val="false"/>
          <w:smallCaps w:val="false"/>
          <w:sz w:val="20"/>
        </w:rPr>
        <w:t>” shall mean the last day of each calendar month of March, June, September and December.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xml:space="preserve">” shall mean JPMorgan Chase Bank, N.A., as the administrative agent for the Lenders under this Agreement and the other Credit Documents, or any successor administrative agent pursuant to </w:t>
      </w:r>
      <w:r>
        <w:rPr>
          <w:rFonts w:ascii="Times New Roman;Times;Serif" w:hAnsi="Times New Roman;Times;Serif"/>
          <w:b w:val="false"/>
          <w:i w:val="false"/>
          <w:caps w:val="false"/>
          <w:smallCaps w:val="false"/>
          <w:sz w:val="20"/>
          <w:u w:val="single"/>
        </w:rPr>
        <w:t>Section 12.9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Agent’s Office</w:t>
      </w:r>
      <w:r>
        <w:rPr>
          <w:rFonts w:ascii="Times New Roman;Times;Serif" w:hAnsi="Times New Roman;Times;Serif"/>
          <w:b w:val="false"/>
          <w:i w:val="false"/>
          <w:caps w:val="false"/>
          <w:smallCaps w:val="false"/>
          <w:sz w:val="20"/>
        </w:rPr>
        <w:t xml:space="preserve">” shall mean the Administrative Agent’s address and, as appropriate, account as set forth on </w:t>
      </w:r>
      <w:r>
        <w:rPr>
          <w:rFonts w:ascii="Times New Roman;Times;Serif" w:hAnsi="Times New Roman;Times;Serif"/>
          <w:b w:val="false"/>
          <w:i w:val="false"/>
          <w:caps w:val="false"/>
          <w:smallCaps w:val="false"/>
          <w:sz w:val="20"/>
          <w:u w:val="single"/>
        </w:rPr>
        <w:t>Schedule 13.2</w:t>
      </w:r>
      <w:r>
        <w:rPr>
          <w:rFonts w:ascii="Times New Roman;Times;Serif" w:hAnsi="Times New Roman;Times;Serif"/>
          <w:b w:val="false"/>
          <w:i w:val="false"/>
          <w:caps w:val="false"/>
          <w:smallCaps w:val="false"/>
          <w:sz w:val="20"/>
        </w:rPr>
        <w:t xml:space="preserve"> or such other address or account as the Administrative Agent may from time to time notify the Borrower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Administrative Questionnaire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13.6(b)(ii)(D)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 Parties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13.17(c)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shall mean the Administrative Agent, the Collateral Agent and each Joint Lead Arranger and Bookrunner.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mean this First Amended and Restated ABL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Alternate Base Rate</w:t>
      </w:r>
      <w:r>
        <w:rPr>
          <w:rFonts w:ascii="Times New Roman;Times;Serif" w:hAnsi="Times New Roman;Times;Serif"/>
          <w:b w:val="false"/>
          <w:i w:val="false"/>
          <w:caps w:val="false"/>
          <w:smallCaps w:val="false"/>
          <w:sz w:val="20"/>
        </w:rPr>
        <w:t>” shall have the meaning assigned to it in the definition of “ABR.”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shall mean Amendment No. 1 to this Agreement dated as of the Amendment No. 1 Effective Date, among Holdings, the Borrower, the Guarantors, the Administrative Agent, the Collateral Agent, the Letter of Credit Issuer, the Swingline Lender and the Lenders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1 Arrangers</w:t>
      </w:r>
      <w:r>
        <w:rPr>
          <w:rFonts w:ascii="Times New Roman;Times;Serif" w:hAnsi="Times New Roman;Times;Serif"/>
          <w:b w:val="false"/>
          <w:i w:val="false"/>
          <w:caps w:val="false"/>
          <w:smallCaps w:val="false"/>
          <w:sz w:val="20"/>
        </w:rPr>
        <w:t>” shall mean JPMorgan Chase Bank, N.A., Wells Fargo Bank, National Association and Capital One, National Association, as joint lead arrangers and bookrunners for Amendment No.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1 Effective Date</w:t>
      </w:r>
      <w:r>
        <w:rPr>
          <w:rFonts w:ascii="Times New Roman;Times;Serif" w:hAnsi="Times New Roman;Times;Serif"/>
          <w:b w:val="false"/>
          <w:i w:val="false"/>
          <w:caps w:val="false"/>
          <w:smallCaps w:val="false"/>
          <w:sz w:val="20"/>
        </w:rPr>
        <w:t>” shall mean May 22, 2018.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2</w:t>
      </w:r>
      <w:r>
        <w:rPr>
          <w:rFonts w:ascii="Times New Roman;Times;Serif" w:hAnsi="Times New Roman;Times;Serif"/>
          <w:b w:val="false"/>
          <w:i w:val="false"/>
          <w:caps w:val="false"/>
          <w:smallCaps w:val="false"/>
          <w:sz w:val="20"/>
        </w:rPr>
        <w:t>” shall mean Amendment No. 2 to this Agreement dated as the Amendment No. 2 Effective Date, among Holdings, the Borrower, the Guarantors, the Administrative Agent, the Collateral Agent, the Letter of Credit Issuer, the Swingline Lender and the Lenders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2 Arrangers</w:t>
      </w:r>
      <w:r>
        <w:rPr>
          <w:rFonts w:ascii="Times New Roman;Times;Serif" w:hAnsi="Times New Roman;Times;Serif"/>
          <w:b w:val="false"/>
          <w:i w:val="false"/>
          <w:caps w:val="false"/>
          <w:smallCaps w:val="false"/>
          <w:sz w:val="20"/>
        </w:rPr>
        <w:t>” shall mean JPMorgan Chase Bank, N.A., Bank of America, N.A., Capital One, National Association and Wells Fargo Bank, National Association as joint lead arrangers and bookrunners for Amendment No.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2 Effective Date</w:t>
      </w:r>
      <w:r>
        <w:rPr>
          <w:rFonts w:ascii="Times New Roman;Times;Serif" w:hAnsi="Times New Roman;Times;Serif"/>
          <w:b w:val="false"/>
          <w:i w:val="false"/>
          <w:caps w:val="false"/>
          <w:smallCaps w:val="false"/>
          <w:sz w:val="20"/>
        </w:rPr>
        <w:t>” shall mean November 6,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3</w:t>
      </w:r>
      <w:r>
        <w:rPr>
          <w:rFonts w:ascii="Times New Roman;Times;Serif" w:hAnsi="Times New Roman;Times;Serif"/>
          <w:b w:val="false"/>
          <w:i w:val="false"/>
          <w:caps w:val="false"/>
          <w:smallCaps w:val="false"/>
          <w:sz w:val="20"/>
        </w:rPr>
        <w:t>” shall mean Amendment No. 3 to this Agreement dated as the Amendment No. 3 Effective Date, among Holdings, the Borrower, the Guarantors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3 Effective Date</w:t>
      </w:r>
      <w:r>
        <w:rPr>
          <w:rFonts w:ascii="Times New Roman;Times;Serif" w:hAnsi="Times New Roman;Times;Serif"/>
          <w:b w:val="false"/>
          <w:i w:val="false"/>
          <w:caps w:val="false"/>
          <w:smallCaps w:val="false"/>
          <w:sz w:val="20"/>
        </w:rPr>
        <w:t>” shall mean March 30,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4</w:t>
      </w:r>
      <w:r>
        <w:rPr>
          <w:rFonts w:ascii="Times New Roman;Times;Serif" w:hAnsi="Times New Roman;Times;Serif"/>
          <w:b w:val="false"/>
          <w:i w:val="false"/>
          <w:caps w:val="false"/>
          <w:smallCaps w:val="false"/>
          <w:sz w:val="20"/>
        </w:rPr>
        <w:t>” shall mean Amendment No. 4 to this Agreement dated as the Amendment No. 4 Effective Date, among Holdings, the Borrower, the Guarantors, the Lenders party thereto, the Swingline Lender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Amendment No. 4 Effective Date</w:t>
      </w:r>
      <w:r>
        <w:rPr>
          <w:rFonts w:ascii="Times New Roman;Times;Serif" w:hAnsi="Times New Roman;Times;Serif"/>
          <w:b w:val="false"/>
          <w:i w:val="false"/>
          <w:caps w:val="false"/>
          <w:smallCaps w:val="false"/>
          <w:sz w:val="20"/>
        </w:rPr>
        <w:t>” shall mean March 8,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bdr w:val="single" w:sz="8" w:space="1" w:color="0000FF"/>
        </w:rPr>
      </w:pPr>
      <w:r>
        <w:rPr>
          <w:caps w:val="false"/>
          <w:smallCaps w:val="false"/>
          <w:color w:val="0000FF"/>
          <w:u w:val="single"/>
          <w:bdr w:val="single" w:sz="8" w:space="1" w:color="0000FF"/>
        </w:rPr>
        <w:t>“</w:t>
      </w:r>
      <w:r>
        <w:rPr>
          <w:rFonts w:ascii="Times New Roman;Times;Serif" w:hAnsi="Times New Roman;Times;Serif"/>
          <w:b/>
          <w:i w:val="false"/>
          <w:caps w:val="false"/>
          <w:smallCaps w:val="false"/>
          <w:color w:val="0000FF"/>
          <w:sz w:val="20"/>
          <w:u w:val="single"/>
          <w:bdr w:val="single" w:sz="8" w:space="1" w:color="0000FF"/>
        </w:rPr>
        <w:t>Amendment No. 5</w:t>
      </w:r>
      <w:r>
        <w:rPr>
          <w:rFonts w:ascii="Times New Roman;Times;Serif" w:hAnsi="Times New Roman;Times;Serif"/>
          <w:b w:val="false"/>
          <w:i w:val="false"/>
          <w:caps w:val="false"/>
          <w:smallCaps w:val="false"/>
          <w:color w:val="0000FF"/>
          <w:sz w:val="20"/>
          <w:u w:val="single"/>
          <w:bdr w:val="single" w:sz="8" w:space="1" w:color="0000FF"/>
        </w:rPr>
        <w:t>” shall mean Amendment No. 5 to this Agreement dated as the Amendment No. 5 Effective Date, among Holdings, the Borrower, the Guarantors, the Lenders party thereto, the Swingline Lender and the Administrative Agent.</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bdr w:val="single" w:sz="8" w:space="1" w:color="0000FF"/>
        </w:rPr>
      </w:pPr>
      <w:r>
        <w:rPr>
          <w:caps w:val="false"/>
          <w:smallCaps w:val="false"/>
          <w:color w:val="0000FF"/>
          <w:u w:val="single"/>
          <w:bdr w:val="single" w:sz="8" w:space="1" w:color="0000FF"/>
        </w:rPr>
        <w:t>“</w:t>
      </w:r>
      <w:r>
        <w:rPr>
          <w:rFonts w:ascii="Times New Roman;Times;Serif" w:hAnsi="Times New Roman;Times;Serif"/>
          <w:b/>
          <w:i w:val="false"/>
          <w:caps w:val="false"/>
          <w:smallCaps w:val="false"/>
          <w:color w:val="0000FF"/>
          <w:sz w:val="20"/>
          <w:u w:val="single"/>
          <w:bdr w:val="single" w:sz="8" w:space="1" w:color="0000FF"/>
        </w:rPr>
        <w:t>Amendment No. 5 Effective Date</w:t>
      </w:r>
      <w:r>
        <w:rPr>
          <w:rFonts w:ascii="Times New Roman;Times;Serif" w:hAnsi="Times New Roman;Times;Serif"/>
          <w:b w:val="false"/>
          <w:i w:val="false"/>
          <w:caps w:val="false"/>
          <w:smallCaps w:val="false"/>
          <w:color w:val="0000FF"/>
          <w:sz w:val="20"/>
          <w:u w:val="single"/>
          <w:bdr w:val="single" w:sz="8" w:space="1" w:color="0000FF"/>
        </w:rPr>
        <w:t xml:space="preserve">” shall mean May 14, 2026. </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Ancillary Document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bdr w:val="single" w:sz="8" w:space="1" w:color="0000FF"/>
        </w:rPr>
      </w:pPr>
      <w:r>
        <w:rPr>
          <w:caps w:val="false"/>
          <w:smallCaps w:val="false"/>
          <w:color w:val="0000FF"/>
          <w:u w:val="single"/>
          <w:bdr w:val="single" w:sz="8" w:space="1" w:color="0000FF"/>
        </w:rPr>
        <w:t>“</w:t>
      </w:r>
      <w:r>
        <w:rPr>
          <w:rFonts w:ascii="Times New Roman;Times;Serif" w:hAnsi="Times New Roman;Times;Serif"/>
          <w:b/>
          <w:i w:val="false"/>
          <w:caps w:val="false"/>
          <w:smallCaps w:val="false"/>
          <w:color w:val="0000FF"/>
          <w:sz w:val="20"/>
          <w:u w:val="single"/>
          <w:bdr w:val="single" w:sz="8" w:space="1" w:color="0000FF"/>
        </w:rPr>
        <w:t>Ancillary Fees</w:t>
      </w:r>
      <w:r>
        <w:rPr>
          <w:rFonts w:ascii="Times New Roman;Times;Serif" w:hAnsi="Times New Roman;Times;Serif"/>
          <w:b w:val="false"/>
          <w:i w:val="false"/>
          <w:caps w:val="false"/>
          <w:smallCaps w:val="false"/>
          <w:color w:val="0000FF"/>
          <w:sz w:val="20"/>
          <w:u w:val="single"/>
          <w:bdr w:val="single" w:sz="8" w:space="1" w:color="0000FF"/>
        </w:rPr>
        <w:t>” shall have the meaning provided in Section 13.1.</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shall mean all laws, rules, and regulations of any jurisdiction applicable to the Borrower or any of its Subsidiaries from time to time concerning or relating to bribery or corruption.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Margin</w:t>
      </w:r>
      <w:r>
        <w:rPr>
          <w:rFonts w:ascii="Times New Roman;Times;Serif" w:hAnsi="Times New Roman;Times;Serif"/>
          <w:b w:val="false"/>
          <w:i w:val="false"/>
          <w:caps w:val="false"/>
          <w:smallCaps w:val="false"/>
          <w:sz w:val="20"/>
        </w:rPr>
        <w:t xml:space="preserve">” shall mean, for any day, with respect to all Revolving Credit Loans, the applicable rate per annum set forth below, based upon the Average Excess Availability as of the most recent Adjustment Date occurring after the first fiscal quarter ending after the Restatement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the first Adjustment Date </w:t>
      </w:r>
      <w:r>
        <w:rPr>
          <w:rFonts w:ascii="Times New Roman;Times;Serif" w:hAnsi="Times New Roman;Times;Serif"/>
          <w:b w:val="false"/>
          <w:i w:val="false"/>
          <w:caps w:val="false"/>
          <w:smallCaps w:val="false"/>
          <w:color w:val="0000FF"/>
          <w:sz w:val="20"/>
          <w:u w:val="single"/>
          <w:bdr w:val="single" w:sz="8" w:space="1" w:color="0000FF"/>
        </w:rPr>
        <w:t>to occur after the Amendment No. 5 Effective Date</w:t>
      </w:r>
      <w:r>
        <w:rPr>
          <w:rFonts w:ascii="Times New Roman;Times;Serif" w:hAnsi="Times New Roman;Times;Serif"/>
          <w:b w:val="false"/>
          <w:i w:val="false"/>
          <w:caps w:val="false"/>
          <w:smallCaps w:val="false"/>
          <w:sz w:val="20"/>
        </w:rPr>
        <w:t>, the “Applicable Margin” shall be the applicable rate per annum set forth below in Category 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980"/>
        <w:gridCol w:w="5563"/>
        <w:gridCol w:w="1885"/>
        <w:gridCol w:w="1777"/>
      </w:tblGrid>
      <w:tr>
        <w:trPr/>
        <w:tc>
          <w:tcPr>
            <w:tcW w:w="9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Category</w:t>
            </w:r>
          </w:p>
        </w:tc>
        <w:tc>
          <w:tcPr>
            <w:tcW w:w="556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Average Excess Availability</w:t>
            </w:r>
          </w:p>
        </w:tc>
        <w:tc>
          <w:tcPr>
            <w:tcW w:w="18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Term Benchmark and RFR Loans</w:t>
            </w:r>
          </w:p>
        </w:tc>
        <w:tc>
          <w:tcPr>
            <w:tcW w:w="177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ABR Rate Revolving Credit Loans</w:t>
            </w:r>
          </w:p>
        </w:tc>
      </w:tr>
      <w:tr>
        <w:trPr/>
        <w:tc>
          <w:tcPr>
            <w:tcW w:w="980" w:type="dxa"/>
            <w:tcBorders>
              <w:left w:val="single" w:sz="8" w:space="0" w:color="000000"/>
              <w:bottom w:val="single" w:sz="8" w:space="0" w:color="000000"/>
              <w:right w:val="single" w:sz="8" w:space="0" w:color="000000"/>
            </w:tcBorders>
            <w:shd w:fill="FF99CC" w:val="clear"/>
            <w:tcMar>
              <w:top w:w="0" w:type="dxa"/>
            </w:tcMar>
            <w:vAlign w:val="center"/>
          </w:tcPr>
          <w:p>
            <w:pPr>
              <w:pStyle w:val="TableContents"/>
              <w:bidi w:val="0"/>
              <w:spacing w:before="0" w:after="283"/>
              <w:jc w:val="center"/>
              <w:rPr>
                <w:strike/>
                <w:color w:val="FF0000"/>
              </w:rPr>
            </w:pPr>
            <w:r>
              <w:rPr>
                <w:strike/>
                <w:color w:val="FF0000"/>
              </w:rPr>
              <w:t>1</w:t>
            </w:r>
          </w:p>
        </w:tc>
        <w:tc>
          <w:tcPr>
            <w:tcW w:w="5563" w:type="dxa"/>
            <w:tcBorders>
              <w:bottom w:val="single" w:sz="8" w:space="0" w:color="000000"/>
              <w:right w:val="single" w:sz="8" w:space="0" w:color="000000"/>
            </w:tcBorders>
            <w:shd w:fill="FF99CC" w:val="clear"/>
            <w:tcMar>
              <w:top w:w="0" w:type="dxa"/>
              <w:left w:w="0" w:type="dxa"/>
            </w:tcMar>
            <w:vAlign w:val="center"/>
          </w:tcPr>
          <w:p>
            <w:pPr>
              <w:pStyle w:val="TableContents"/>
              <w:bidi w:val="0"/>
              <w:spacing w:before="0" w:after="283"/>
              <w:jc w:val="center"/>
              <w:rPr>
                <w:strike/>
                <w:color w:val="FF0000"/>
              </w:rPr>
            </w:pPr>
            <w:r>
              <w:rPr>
                <w:strike/>
                <w:color w:val="FF0000"/>
              </w:rPr>
              <w:t>Average Excess Availability less than or equal to 33.3% of the Maximum Borrowing Amount</w:t>
            </w:r>
          </w:p>
        </w:tc>
        <w:tc>
          <w:tcPr>
            <w:tcW w:w="1885" w:type="dxa"/>
            <w:tcBorders>
              <w:bottom w:val="single" w:sz="8" w:space="0" w:color="000000"/>
              <w:right w:val="single" w:sz="8" w:space="0" w:color="000000"/>
            </w:tcBorders>
            <w:shd w:fill="FF99CC" w:val="clear"/>
            <w:tcMar>
              <w:top w:w="0" w:type="dxa"/>
              <w:left w:w="0" w:type="dxa"/>
            </w:tcMar>
            <w:vAlign w:val="center"/>
          </w:tcPr>
          <w:p>
            <w:pPr>
              <w:pStyle w:val="TableContents"/>
              <w:bidi w:val="0"/>
              <w:spacing w:before="0" w:after="283"/>
              <w:jc w:val="center"/>
              <w:rPr>
                <w:strike/>
                <w:color w:val="FF0000"/>
              </w:rPr>
            </w:pPr>
            <w:r>
              <w:rPr>
                <w:strike/>
                <w:color w:val="FF0000"/>
              </w:rPr>
              <w:t>1.75%</w:t>
            </w:r>
          </w:p>
        </w:tc>
        <w:tc>
          <w:tcPr>
            <w:tcW w:w="1777" w:type="dxa"/>
            <w:tcBorders>
              <w:bottom w:val="single" w:sz="8" w:space="0" w:color="000000"/>
              <w:right w:val="single" w:sz="8" w:space="0" w:color="000000"/>
            </w:tcBorders>
            <w:shd w:fill="FF99CC" w:val="clear"/>
            <w:tcMar>
              <w:top w:w="0" w:type="dxa"/>
              <w:left w:w="0" w:type="dxa"/>
            </w:tcMar>
            <w:vAlign w:val="center"/>
          </w:tcPr>
          <w:p>
            <w:pPr>
              <w:pStyle w:val="TableContents"/>
              <w:bidi w:val="0"/>
              <w:spacing w:before="0" w:after="283"/>
              <w:jc w:val="center"/>
              <w:rPr>
                <w:strike/>
                <w:color w:val="FF0000"/>
              </w:rPr>
            </w:pPr>
            <w:r>
              <w:rPr>
                <w:strike/>
                <w:color w:val="FF0000"/>
              </w:rPr>
              <w:t>0.75%</w:t>
            </w:r>
          </w:p>
        </w:tc>
      </w:tr>
      <w:tr>
        <w:trPr/>
        <w:tc>
          <w:tcPr>
            <w:tcW w:w="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strike/>
                <w:color w:val="FF0000"/>
              </w:rPr>
              <w:t>2</w:t>
            </w:r>
            <w:r>
              <w:rPr>
                <w:color w:val="0000FF"/>
                <w:u w:val="single"/>
                <w:bdr w:val="single" w:sz="8" w:space="1" w:color="0000FF"/>
              </w:rPr>
              <w:t>1</w:t>
            </w:r>
          </w:p>
        </w:tc>
        <w:tc>
          <w:tcPr>
            <w:tcW w:w="55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Average Excess Availability </w:t>
            </w:r>
            <w:r>
              <w:rPr>
                <w:strike/>
                <w:color w:val="FF0000"/>
              </w:rPr>
              <w:t>greater</w:t>
            </w:r>
            <w:r>
              <w:rPr>
                <w:color w:val="0000FF"/>
                <w:u w:val="single"/>
                <w:bdr w:val="single" w:sz="8" w:space="1" w:color="0000FF"/>
              </w:rPr>
              <w:t>less</w:t>
            </w:r>
            <w:r>
              <w:rPr/>
              <w:t xml:space="preserve"> than </w:t>
            </w:r>
            <w:r>
              <w:rPr>
                <w:strike/>
                <w:color w:val="FF0000"/>
              </w:rPr>
              <w:t>33.3</w:t>
            </w:r>
            <w:r>
              <w:rPr>
                <w:color w:val="0000FF"/>
                <w:u w:val="single"/>
                <w:bdr w:val="single" w:sz="8" w:space="1" w:color="0000FF"/>
              </w:rPr>
              <w:t>or equal to 50.0</w:t>
            </w:r>
            <w:r>
              <w:rPr/>
              <w:t xml:space="preserve">% of the Maximum Borrowing </w:t>
            </w:r>
            <w:r>
              <w:rPr>
                <w:strike/>
                <w:color w:val="FF0000"/>
              </w:rPr>
              <w:t xml:space="preserve">Amount, but less than or equal to 66.6% of the Maximum Borrowing </w:t>
            </w:r>
            <w:r>
              <w:rPr/>
              <w:t>Amount</w:t>
            </w:r>
          </w:p>
        </w:tc>
        <w:tc>
          <w:tcPr>
            <w:tcW w:w="1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1.50%</w:t>
            </w:r>
          </w:p>
        </w:tc>
        <w:tc>
          <w:tcPr>
            <w:tcW w:w="177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0.50%</w:t>
            </w:r>
          </w:p>
        </w:tc>
      </w:tr>
      <w:tr>
        <w:trPr/>
        <w:tc>
          <w:tcPr>
            <w:tcW w:w="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strike/>
                <w:color w:val="FF0000"/>
              </w:rPr>
              <w:t>3</w:t>
            </w:r>
            <w:r>
              <w:rPr>
                <w:color w:val="0000FF"/>
                <w:u w:val="single"/>
                <w:bdr w:val="single" w:sz="8" w:space="1" w:color="0000FF"/>
              </w:rPr>
              <w:t>2</w:t>
            </w:r>
          </w:p>
        </w:tc>
        <w:tc>
          <w:tcPr>
            <w:tcW w:w="556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xml:space="preserve">Average Excess Availability greater than </w:t>
            </w:r>
            <w:r>
              <w:rPr>
                <w:strike/>
                <w:color w:val="FF0000"/>
              </w:rPr>
              <w:t>66.6</w:t>
            </w:r>
            <w:r>
              <w:rPr>
                <w:color w:val="0000FF"/>
                <w:u w:val="single"/>
                <w:bdr w:val="single" w:sz="8" w:space="1" w:color="0000FF"/>
              </w:rPr>
              <w:t>50.0</w:t>
            </w:r>
            <w:r>
              <w:rPr/>
              <w:t>% of the Maximum Borrowing Amount</w:t>
            </w:r>
          </w:p>
        </w:tc>
        <w:tc>
          <w:tcPr>
            <w:tcW w:w="1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1.25%</w:t>
            </w:r>
          </w:p>
        </w:tc>
        <w:tc>
          <w:tcPr>
            <w:tcW w:w="177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Applicable Margin shall be adjusted quarterly on a prospective basis on each Adjustment Date based upon the Average Excess Availability in accordance with the table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 Specified Default shall have occurred and be continuing at the time any reduction in the Applicable Margin would otherwise be implemented, then no such reduction shall be implemented until the date on which such Specified Default shall no longer be continuing, and (ii) if any Borrowing Base Certificate delivered pursuant to this Agreement is at any time restated or otherwise revised, or if the information set forth in any such Borrowing Base Certificate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recalculated by the Administrative Agent at such higher rate for any applicable periods and shall be due and payable within 5 Business Days of receipt of such calculation by the Borrower from the Administrative Agent and shall be payable only to the Lenders whose Commitments were outstanding during such period when the Applicable Margin should have been higher (regardless of whether such Lenders remain parties to this Agreement at the time such payment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Applicable Margin in respect of any Class of Incremental Commitments or any Incremental Revolving Credit Loans made pursuant to any Incremental Commitments shall be the applicable percentages per annum set forth in the relevant Incremental Facility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Foreign Bank</w:t>
      </w:r>
      <w:r>
        <w:rPr>
          <w:rFonts w:ascii="Times New Roman;Times;Serif" w:hAnsi="Times New Roman;Times;Serif"/>
          <w:b w:val="false"/>
          <w:i w:val="false"/>
          <w:caps w:val="false"/>
          <w:smallCaps w:val="false"/>
          <w:sz w:val="20"/>
        </w:rPr>
        <w:t>” shall have the meaning provided in the definition of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shall mean any Fund that is administered or managed by (i) a Lender, (ii) an Affiliate of a Lender, or (iii) an entity or an Affiliate of an entity that administers, advises or manages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sale, conveyance, transfer, or other disposition, whether in a single transaction or a series of related transactions, of property or assets (including by way of a Sale Leaseback (other than a Permitted Sale Leaseback)) (each a “</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of the Borrower or any Restricted Subsidiary,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issuance or sale of Equity Interests of any Restricted Subsidiary (other than preferred stock of Restricted Subsidiaries issued in compliance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whether in a single transaction or a series of related transactions, in each case, other than: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disposition of all or substantially all of the assets of the Borrower in a manner permitted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incurrence of Liens that are permitted to be incurred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the making of any Restricted Payment or Permitted Investment (other than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the definition thereof) that is permitted to be made, and is made, pursuant to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disposition of assets or issuance or sale of Equity Interests of any Restricted Subsidiary in any transaction or series of transactions with an aggregate Fair Market Value of less than the greater of (a) $84,500,000 and (b) 10% of Consolidated EBITDA for the most recently ended Test Period (calculated on a Pro Forma Basis) at the time of such disposition;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disposition of property or assets or issuance of securities by (1) a Restricted Subsidiary to the Borrower or (2) by the Borrower or a Restricted Subsidiary to another Restricted Subsidiary; provided that with respect to any disposition by a Credit Party to a Restricted Subsidiary which is not a Credit Party, no Overadvance shall result after giving effect to any such disposition;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allowable under Section 1031 of the Code, or any comparable or successor provision, any exchange of like property (excluding any boot thereon) for use in a Similar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issuance, sale or pledge of Equity Interests in, or Indebtedness, or other securities of, an Unrestricted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foreclosures, condemnation, casualty or any similar action on assets (including dispositions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sales of accounts receivable, or participations therein, and related assets in connection with any Receivables Facility;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financing transaction with respect to property built or acquired by the Borrower or any Restricted Subsidiary after the Restatement Effective Date, including Sale Leasebacks and asset securitizations permitted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(1) any surrender or waiver of contractual rights or the settlement, release, or surrender of contractual rights or other litigation claims, (2) 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or employees of the Borrower (or any direct or indirect parent company of the Borrower) or any Subsidiary or any of their successors or assigns;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disposition or discount of inventory, accounts receivable, or notes receivable in the ordinary course of business or the conversion of accounts receivable to notes receivable;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licensing, cross-licensing or sub-licensing of Intellectual Property or other general intangibles (whether pursuant to franchise agreements or otherwise)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unwinding of any Hedging Obligations or obligations in respect of Cash Management Services;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sales, transfers, and other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lapse or abandonment of Intellectual Property rights, which in the reasonable business judgment of the Borrower are not material to the conduct of the business of the Borrower and the Restricted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issuance of directors’ qualifying shares and shares issued to foreign nationals as required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leases, assignments, subleases, licenses, or sublicenses, in each case in the ordinary course of business and which do not materially interfere with the business of the Borrower and the Restricted Subsidiaries,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dispositions of non-core assets acquired in connection with any Permitted Acquisition or Investment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lease, assignment, sub-lease, license or sub-license of, or any transfer related to a “reverse build to suit” or similar transaction in respect of, any real or personal property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Asset Sales with a Fair Market Value less than or equal to $75,000,000 in the aggregate;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dispositions of assets that do not constitute ABL Priority Collateral;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other dispositions with a Fair Market Value (or for assets with a Fair Market Value) in the aggregate less than or equal to the greater of (x) $295,750,000 and (y) 35% of Consolidated EBITDA for the most recently ended Test Period (calculated on a Pro Forma Basis) (this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General Asset Sale Exception</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and Acceptance</w:t>
      </w:r>
      <w:r>
        <w:rPr>
          <w:rFonts w:ascii="Times New Roman;Times;Serif" w:hAnsi="Times New Roman;Times;Serif"/>
          <w:b w:val="false"/>
          <w:i w:val="false"/>
          <w:caps w:val="false"/>
          <w:smallCaps w:val="false"/>
          <w:sz w:val="20"/>
        </w:rPr>
        <w:t xml:space="preserve">” shall mean an assignment and acceptance substantially in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or such other form (including electronic records generated by the use of an electronic platform) as may be approved by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Taxes</w:t>
      </w:r>
      <w:r>
        <w:rPr>
          <w:rFonts w:ascii="Times New Roman;Times;Serif" w:hAnsi="Times New Roman;Times;Serif"/>
          <w:b w:val="false"/>
          <w:i w:val="false"/>
          <w:caps w:val="false"/>
          <w:smallCaps w:val="false"/>
          <w:sz w:val="20"/>
        </w:rPr>
        <w:t>” shall have the meaning provided in the definition of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Officer</w:t>
      </w:r>
      <w:r>
        <w:rPr>
          <w:rFonts w:ascii="Times New Roman;Times;Serif" w:hAnsi="Times New Roman;Times;Serif"/>
          <w:b w:val="false"/>
          <w:i w:val="false"/>
          <w:caps w:val="false"/>
          <w:smallCaps w:val="false"/>
          <w:sz w:val="20"/>
        </w:rPr>
        <w:t>” shall mean, with respect to any Person, any individual holding the position of chairman of the board (if an officer), the chief executive officer, president, a Financial Officer, a senior vice president, an executive vice president, a director, a manager, the secretary, the assistant secretary or any other senior officer or agent with express authority to act on behalf of such Person designated as such by the board of directors or other managing authority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Auto-Extension Letter of Credit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Available Amount” </w:t>
      </w:r>
      <w:r>
        <w:rPr>
          <w:rFonts w:ascii="Times New Roman;Times;Serif" w:hAnsi="Times New Roman;Times;Serif"/>
          <w:b w:val="false"/>
          <w:i w:val="false"/>
          <w:caps w:val="false"/>
          <w:smallCaps w:val="false"/>
          <w:sz w:val="20"/>
        </w:rPr>
        <w:t xml:space="preserve">shall have the meaning provided in </w:t>
      </w:r>
      <w:r>
        <w:rPr>
          <w:rFonts w:ascii="Times New Roman;Times;Serif" w:hAnsi="Times New Roman;Times;Serif"/>
          <w:b w:val="false"/>
          <w:i w:val="false"/>
          <w:caps w:val="false"/>
          <w:smallCaps w:val="false"/>
          <w:sz w:val="20"/>
          <w:u w:val="single"/>
        </w:rPr>
        <w:t>Section 10.5(a)(iii)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Commitment</w:t>
      </w:r>
      <w:r>
        <w:rPr>
          <w:rFonts w:ascii="Times New Roman;Times;Serif" w:hAnsi="Times New Roman;Times;Serif"/>
          <w:b w:val="false"/>
          <w:i w:val="false"/>
          <w:caps w:val="false"/>
          <w:smallCaps w:val="false"/>
          <w:sz w:val="20"/>
        </w:rPr>
        <w:t>” shall mean an amount equal to the excess, if any, of (i) the amount of the Total Revolving Credit Commitment over (ii) the sum of the aggregate principal amount of (a) all Revolving Credit Loans then outstanding and (b) the aggregate Letters of Credit Outstanding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shall mean,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Average Excess Availability</w:t>
      </w:r>
      <w:r>
        <w:rPr>
          <w:rFonts w:ascii="Times New Roman;Times;Serif" w:hAnsi="Times New Roman;Times;Serif"/>
          <w:b w:val="false"/>
          <w:i w:val="false"/>
          <w:caps w:val="false"/>
          <w:smallCaps w:val="false"/>
          <w:sz w:val="20"/>
        </w:rPr>
        <w:t>” shall mean, at any Adjustment Date, the average daily Excess Availability for the fiscal quarter immediately preceding such Adjustment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shall mean the exercise of any Write-Down and Conversion Powers by the applicable Resolution Authority in respect of any liability of an Affected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w:t>
      </w:r>
      <w:r>
        <w:rPr>
          <w:rFonts w:ascii="Times New Roman;Times;Serif" w:hAnsi="Times New Roman;Times;Serif"/>
          <w:b w:val="false"/>
          <w:i w:val="false"/>
          <w:caps w:val="false"/>
          <w:smallCaps w:val="false"/>
          <w:sz w:val="20"/>
        </w:rPr>
        <w:t>” shall mean any of the following products, services or facilities provided to any Credit Party (a) products under each Hedge Agreement that (i) is in effect on the Restatement Effective Date with a counterparty that is an Agent, Lender or Affiliate thereof as of the Restatement Effective Date or (ii) is entered into after the Restatement Effective Date with any counterparty that is an Agent, Lender or Affiliate at the time such Hedge Agreement is entered into, (b) Cash Management Services, (c) Permitted Supply Chain Financing or (d) other banking products or services as may be requested by any Credit Party or Subsidiary, other than Letters of Credit, and provided by a Person that is an Agent, Lender or Affiliate on the date the agreement giving rise to such banking products or services are entered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 Debt</w:t>
      </w:r>
      <w:r>
        <w:rPr>
          <w:rFonts w:ascii="Times New Roman;Times;Serif" w:hAnsi="Times New Roman;Times;Serif"/>
          <w:b w:val="false"/>
          <w:i w:val="false"/>
          <w:caps w:val="false"/>
          <w:smallCaps w:val="false"/>
          <w:sz w:val="20"/>
        </w:rPr>
        <w:t>” shall mean Indebtedness and other obligations or liabilities of a Credit Party owed to the provider of a Bank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 Product Reserve</w:t>
      </w:r>
      <w:r>
        <w:rPr>
          <w:rFonts w:ascii="Times New Roman;Times;Serif" w:hAnsi="Times New Roman;Times;Serif"/>
          <w:b w:val="false"/>
          <w:i w:val="false"/>
          <w:caps w:val="false"/>
          <w:smallCaps w:val="false"/>
          <w:sz w:val="20"/>
        </w:rPr>
        <w:t>” shall mean the aggregate amount of reserves established by the Administrative Agent from time to time in respect of Secured Bank Product Obligations, including reserves which the Administrative Agent shall establish in the amounts set forth in written notices from the Secured Bank Product Providers described in the definition of the term “Secured Bank Product Obligations”. The amount of any Bank Product Reserve established by the Administrative Agent (x) shall have a reasonable relationship to the Secured Bank Product Obligation that is the basis for such Reserve as determined by the Administrative Agent in good faith and (y) shall not be duplicative of other Reserves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shall mean, initially, with respect to any (i) RFR Loan, the Daily Simple SOFR or (ii) Term Benchmark Loan, the Term SOFR Rate; provided that if a Benchmark Transition Event and the related Benchmark Replacement Date have occurred with respect to the Daily Simple SOFR or Term SOFR Rate or the then-current Benchmark, then “Benchmark” means the applicable Benchmark Replacement to the extent that such Benchmark Replacement has replaced such prior benchmark rate pursuant to clause (b) of Section 2.14.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shall mean, for any Available Tenor, the first alternative set forth in the order below that can be determined by the Administrative Agent for the applicable Benchmark Replacement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Adjusted Daily Simple SOFR;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Credit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Conforming Changes</w:t>
      </w:r>
      <w:r>
        <w:rPr>
          <w:rFonts w:ascii="Times New Roman;Times;Serif" w:hAnsi="Times New Roman;Times;Serif"/>
          <w:b w:val="false"/>
          <w:i w:val="false"/>
          <w:caps w:val="false"/>
          <w:smallCaps w:val="false"/>
          <w:sz w:val="20"/>
        </w:rPr>
        <w:t>” shall mean,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shall mean, with respect to any Benchmark, the earliest to occur of the following events with respect to such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shall mean, with respect to any Benchmark, the occurrence of one or more of the following events with respect to such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at the time of such statement or publication, there is no successor administrator that will continue to provide any Available Tenor of such Benchmark (or such component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shall mean,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Credit Document in accordance with Section 2.14 and (y) ending at the time that a Benchmark Replacement has replaced such then-current Benchmark for all purposes hereunder and under any Credit Document in accordance with Section 2.14.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shall mean a certification regarding beneficial ownership as required by the Beneficial Ownership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shall mean 31 C.F.R. § 1010.230.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Benefited Lender</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Account Agreement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9.16(a)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Accounts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9.16(a)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shall mean the Board of Governors of the Federal Reserve System of the United States (or any successor).</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shall have the meaning provided in the preamble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 Materials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13.17(c).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shall mean (i) Loans of the same Class and Type, made, converted, or continued on the same date and, in the case of SOFR Loans, as to which a single Interest Period is in effect or (ii) a Swingline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Borrowing Base</w:t>
      </w:r>
      <w:r>
        <w:rPr>
          <w:rFonts w:ascii="Times New Roman;Times;Serif" w:hAnsi="Times New Roman;Times;Serif"/>
          <w:b w:val="false"/>
          <w:i w:val="false"/>
          <w:caps w:val="false"/>
          <w:smallCaps w:val="false"/>
          <w:sz w:val="20"/>
        </w:rPr>
        <w:t>” shall mean, at any time of calculation, an amount equal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90% of the face amount of the Eligible Credit Card Receivables of the Credit Parties on a consolidated basis; </w:t>
      </w:r>
      <w:r>
        <w:rPr>
          <w:rFonts w:ascii="Times New Roman;Times;Serif" w:hAnsi="Times New Roman;Times;Serif"/>
          <w:b w:val="false"/>
          <w:i w:val="false"/>
          <w:caps w:val="false"/>
          <w:smallCaps w:val="false"/>
          <w:sz w:val="20"/>
          <w:u w:val="single"/>
        </w:rPr>
        <w:t>plus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90% of the NOLV Percentage of the Eligible Inventory of the Credit Parties on a consolidated basis; </w:t>
      </w:r>
      <w:r>
        <w:rPr>
          <w:rFonts w:ascii="Times New Roman;Times;Serif" w:hAnsi="Times New Roman;Times;Serif"/>
          <w:b w:val="false"/>
          <w:i w:val="false"/>
          <w:caps w:val="false"/>
          <w:smallCaps w:val="false"/>
          <w:sz w:val="20"/>
          <w:u w:val="single"/>
        </w:rPr>
        <w:t>minus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then applicable amount of all Reserves.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Borrowing Base Certificate</w:t>
      </w:r>
      <w:r>
        <w:rPr>
          <w:rFonts w:ascii="Times New Roman;Times;Serif" w:hAnsi="Times New Roman;Times;Serif"/>
          <w:b w:val="false"/>
          <w:i w:val="false"/>
          <w:caps w:val="false"/>
          <w:smallCaps w:val="false"/>
          <w:sz w:val="20"/>
        </w:rPr>
        <w:t xml:space="preserve">” 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or another form which is acceptable to the Administrative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Budget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9.1(c)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or a Sunday) on which banks are open for business in New York City; provided that, in addition to the foregoing, a Business Day shall be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Expenditures</w:t>
      </w:r>
      <w:r>
        <w:rPr>
          <w:rFonts w:ascii="Times New Roman;Times;Serif" w:hAnsi="Times New Roman;Times;Serif"/>
          <w:b w:val="false"/>
          <w:i w:val="false"/>
          <w:caps w:val="false"/>
          <w:smallCaps w:val="false"/>
          <w:sz w:val="20"/>
        </w:rPr>
        <w:t>” 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xml:space="preserve">” shall mean, as applied to any Person, any lease of any property (whether real, personal, or mixed) by that Person as lessee that, in conformity with GAAP, is, or is required to be, accounted for as a capital lease or a financial lease on the balance sheet of that Person, subject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 Obligation</w:t>
      </w:r>
      <w:r>
        <w:rPr>
          <w:rFonts w:ascii="Times New Roman;Times;Serif" w:hAnsi="Times New Roman;Times;Serif"/>
          <w:b w:val="false"/>
          <w:i w:val="false"/>
          <w:caps w:val="false"/>
          <w:smallCaps w:val="false"/>
          <w:sz w:val="20"/>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subject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Software Expenditures</w:t>
      </w:r>
      <w:r>
        <w:rPr>
          <w:rFonts w:ascii="Times New Roman;Times;Serif" w:hAnsi="Times New Roman;Times;Serif"/>
          <w:b w:val="false"/>
          <w:i w:val="false"/>
          <w:caps w:val="false"/>
          <w:smallCaps w:val="false"/>
          <w:sz w:val="20"/>
        </w:rPr>
        <w:t>” 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Collateral</w:t>
      </w:r>
      <w:r>
        <w:rPr>
          <w:rFonts w:ascii="Times New Roman;Times;Serif" w:hAnsi="Times New Roman;Times;Serif"/>
          <w:b w:val="false"/>
          <w:i w:val="false"/>
          <w:caps w:val="false"/>
          <w:smallCaps w:val="false"/>
          <w:sz w:val="20"/>
        </w:rPr>
        <w:t>” shall have a meaning correlative to the immediately succeeding paragraph and shall include the proceeds of such cash collateral and other credit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Collateralize</w:t>
      </w:r>
      <w:r>
        <w:rPr>
          <w:rFonts w:ascii="Times New Roman;Times;Serif" w:hAnsi="Times New Roman;Times;Serif"/>
          <w:b w:val="false"/>
          <w:i w:val="false"/>
          <w:caps w:val="false"/>
          <w:smallCaps w:val="false"/>
          <w:sz w:val="20"/>
        </w:rPr>
        <w:t>” shall mean to pledge and deposit with or deliver to the Administrative Agent, for the benefit of one or more of the Letter of Credit Issuers or the Lenders, as collateral for L/C Obligations or obligations of the Lenders to fund participations in respect of L/C Obligations, cash or deposit account balances or, if the Administrative Agent and the Letter of Credit Issuers shall agree in their sole discretion, other credit support. “</w:t>
      </w:r>
      <w:r>
        <w:rPr>
          <w:rFonts w:ascii="Times New Roman;Times;Serif" w:hAnsi="Times New Roman;Times;Serif"/>
          <w:b/>
          <w:i w:val="false"/>
          <w:caps w:val="false"/>
          <w:smallCaps w:val="false"/>
          <w:sz w:val="20"/>
        </w:rPr>
        <w:t>Cash Collateralization</w:t>
      </w:r>
      <w:r>
        <w:rPr>
          <w:rFonts w:ascii="Times New Roman;Times;Serif" w:hAnsi="Times New Roman;Times;Serif"/>
          <w:b w:val="false"/>
          <w:i w:val="false"/>
          <w:caps w:val="false"/>
          <w:smallCaps w:val="false"/>
          <w:sz w:val="20"/>
        </w:rPr>
        <w:t>” has a correlative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Dominion Period</w:t>
      </w:r>
      <w:r>
        <w:rPr>
          <w:rFonts w:ascii="Times New Roman;Times;Serif" w:hAnsi="Times New Roman;Times;Serif"/>
          <w:b w:val="false"/>
          <w:i w:val="false"/>
          <w:caps w:val="false"/>
          <w:smallCaps w:val="false"/>
          <w:sz w:val="20"/>
        </w:rPr>
        <w:t>” shall mean (a) the period from the date that Excess Availability is less than the greater of (i) 10% of the Maximum Borrowing Amount and (ii) $60,000,000 for five (5) consecutive Business Days until the date that Excess Availability has been at least the greater of (i) 10% of the Maximum Borrowing Amount and (ii) $60,000,000 for twenty (20) consecutive calendar days or (b) upon the occurrence of a Specified Default, the period that such Specified Default shall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Equivalents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Euro, Pounds Sterling, Yen, Swiss Francs, Canadian Dollars, or any national currency of any Participating Member State in the European Union or (b) local currencies held from time to time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36 months or less from the date of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certificates of deposit and time deposits with maturities of 36 months or less from the date of acquisition, bankers’ acceptances with maturities not exceeding one year, and overnight bank deposits, in each case with any commercial bank having capital and surplus of not less than $100,000,000,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repurchase obligations for underlying securities of the types described in </w:t>
      </w:r>
      <w:r>
        <w:rPr>
          <w:rFonts w:ascii="Times New Roman;Times;Serif" w:hAnsi="Times New Roman;Times;Serif"/>
          <w:b w:val="false"/>
          <w:i w:val="false"/>
          <w:caps w:val="false"/>
          <w:smallCaps w:val="false"/>
          <w:sz w:val="20"/>
          <w:u w:val="single"/>
        </w:rPr>
        <w:t>clauses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entered into with any financial institution meeting the qualifications specified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commercial paper rated at least P-2 by Moody’s or at least A-2 by S&amp;P and in each case with average maturities of 36 months or less from the date of creation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with average maturities of 36 months or less from the date of creation or acquisition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readily marketable direct obligations issued by any state, commonwealth, or territory of the United States or any political subdivision or taxing authority thereof having one of the two highest rating categories obtainable from either Moody’s or S&amp;P with maturities of 36 months or less from the date of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Indebtedness or preferred stock issued by Persons with a rating of “A” or higher from S&amp;P or “A2” or higher from Moody’s with maturities of 36 months or less from the date of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with average maturities of 36 months or less from the date of acquisition,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Times;Serif" w:hAnsi="Times New Roman;Times;Serif"/>
          <w:b/>
          <w:i w:val="false"/>
          <w:caps w:val="false"/>
          <w:smallCaps w:val="false"/>
          <w:sz w:val="20"/>
        </w:rPr>
        <w:t>Approved Foreign Bank</w:t>
      </w:r>
      <w:r>
        <w:rPr>
          <w:rFonts w:ascii="Times New Roman;Times;Serif" w:hAnsi="Times New Roman;Times;Serif"/>
          <w:b w:val="false"/>
          <w:i w:val="false"/>
          <w:caps w:val="false"/>
          <w:smallCaps w:val="false"/>
          <w:sz w:val="20"/>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in the case of investments by any Foreign Subsidiary or investments made in a country outside the United States, Cash Equivalents shall also include investments of the type and maturity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above of foreign obligors, which investments have ratings, described in such clauses or equivalent ratings from comparable foreign rating agencies,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investment funds investing 90% of their assets in securities of the types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investments, classified in accordance with GAAP as current assets, in money market investment programs that are registered under the Investment Company Act of 1940 or that are administered by financial institutions meeting the qualifications specified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above, in each case the portfolios of which are limited such that substantially all of such investments are of the character, quality and maturity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 xml:space="preserve"> above,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Credit Card Receivables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Cash Equivalents shall include amounts denominated in currencies other than those set forth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amounts are converted into any currency listed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as promptly as practicable and in any event within ten Business Days following the receipt of such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items identified as Cash Equivalents under this definition (other than Credit Card Receivables) will be deemed to be Cash Equivalents for all purposes under the Credit Documents regardless of the treatment of such items under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Management Agreement</w:t>
      </w:r>
      <w:r>
        <w:rPr>
          <w:rFonts w:ascii="Times New Roman;Times;Serif" w:hAnsi="Times New Roman;Times;Serif"/>
          <w:b w:val="false"/>
          <w:i w:val="false"/>
          <w:caps w:val="false"/>
          <w:smallCaps w:val="false"/>
          <w:sz w:val="20"/>
        </w:rPr>
        <w:t>” shall mean any agreement or arrangement to provide Cash Management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Management Bank</w:t>
      </w:r>
      <w:r>
        <w:rPr>
          <w:rFonts w:ascii="Times New Roman;Times;Serif" w:hAnsi="Times New Roman;Times;Serif"/>
          <w:b w:val="false"/>
          <w:i w:val="false"/>
          <w:caps w:val="false"/>
          <w:smallCaps w:val="false"/>
          <w:sz w:val="20"/>
        </w:rPr>
        <w:t xml:space="preserve">” shall mean (i) any Person that, at the time it enters into a Cash Management Agreement with the Borrower or any Restricted Subsidiary, is an Agent or a Lender or an Affiliate of an Agent or a Lender or (ii) any Person that is designated by the Borrower as a “Cash Management Bank” by written notice to the Administrative Agent substantially in the form of </w:t>
      </w:r>
      <w:r>
        <w:rPr>
          <w:rFonts w:ascii="Times New Roman;Times;Serif" w:hAnsi="Times New Roman;Times;Serif"/>
          <w:b w:val="false"/>
          <w:i w:val="false"/>
          <w:caps w:val="false"/>
          <w:smallCaps w:val="false"/>
          <w:sz w:val="20"/>
          <w:u w:val="single"/>
        </w:rPr>
        <w:t>Exhibit M-2</w:t>
      </w:r>
      <w:r>
        <w:rPr>
          <w:rFonts w:ascii="Times New Roman;Times;Serif" w:hAnsi="Times New Roman;Times;Serif"/>
          <w:b w:val="false"/>
          <w:i w:val="false"/>
          <w:caps w:val="false"/>
          <w:smallCaps w:val="false"/>
          <w:sz w:val="20"/>
        </w:rPr>
        <w:t xml:space="preserve"> or such other form reasonably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Management Services</w:t>
      </w:r>
      <w:r>
        <w:rPr>
          <w:rFonts w:ascii="Times New Roman;Times;Serif" w:hAnsi="Times New Roman;Times;Serif"/>
          <w:b w:val="false"/>
          <w:i w:val="false"/>
          <w:caps w:val="false"/>
          <w:smallCaps w:val="false"/>
          <w:sz w:val="20"/>
        </w:rPr>
        <w:t>” shall mean any one or more of the following types of services or facilities provided to any Credit Party by any Person who on the date of the agreement giving rise thereto is entered into is an Agent or a Lender or an Affiliate of an Agent or a Lender (a) ACH transactions; (b) cash management services, including, without limitation, controlled disbursement services, treasury, depository, overdraft and electronic funds transfer services; (c) foreign exchange facilities; (d) credit card processing services; (e) purchase cards; and (f) credit or debit cards.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shall mean a Subsidiary of the Borrower that is a “controlled foreign corporation” within the meaning of Section 957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 Holding Company</w:t>
      </w:r>
      <w:r>
        <w:rPr>
          <w:rFonts w:ascii="Times New Roman;Times;Serif" w:hAnsi="Times New Roman;Times;Serif"/>
          <w:b w:val="false"/>
          <w:i w:val="false"/>
          <w:caps w:val="false"/>
          <w:smallCaps w:val="false"/>
          <w:sz w:val="20"/>
        </w:rPr>
        <w:t>” shall mean a Subsidiary of the Borrower substantially all of the assets of which consist of equity and/or indebtedness of one or more Foreign Subsidiaries that are CFCs.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shall mean (i) the adoption of any law, treaty, order, policy, rule, or regulation after the Restatement Effective Date, (ii) any change in any law, treaty, order, policy, rule, or regulation or in the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 governmental authority (whether or not having the force of law), including, for avoidance of doubt any such adoption, change or compliance in respect of (a) the Dodd 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regardless of the date enacted, adopted or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xml:space="preserve">” shall mean and be deemed to have occurred if (i) [reserved]; (ii)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 </w:t>
      </w:r>
      <w:r>
        <w:rPr>
          <w:rFonts w:ascii="Times New Roman;Times;Serif" w:hAnsi="Times New Roman;Times;Serif"/>
          <w:b w:val="false"/>
          <w:i w:val="false"/>
          <w:caps w:val="false"/>
          <w:smallCaps w:val="false"/>
          <w:color w:val="0000FF"/>
          <w:sz w:val="20"/>
          <w:u w:val="single"/>
          <w:bdr w:val="single" w:sz="8" w:space="1" w:color="0000FF"/>
        </w:rPr>
        <w:t xml:space="preserve">or </w:t>
      </w: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trike/>
          <w:color w:val="FF0000"/>
          <w:sz w:val="20"/>
        </w:rPr>
        <w:t>at any time, a Change of Control (as defined in the Term Loan Credit Agreement) shall have occurred; or (iv) </w:t>
      </w:r>
      <w:r>
        <w:rPr>
          <w:rFonts w:ascii="Times New Roman;Times;Serif" w:hAnsi="Times New Roman;Times;Serif"/>
          <w:b w:val="false"/>
          <w:i w:val="false"/>
          <w:caps w:val="false"/>
          <w:smallCaps w:val="false"/>
          <w:sz w:val="20"/>
        </w:rPr>
        <w:t xml:space="preserve">Holdings shall cease to beneficially own, directly or indirectly, 100% of the issued and outstanding equity interests of the Borrower. For the purpose of </w:t>
      </w:r>
      <w:r>
        <w:rPr>
          <w:rFonts w:ascii="Times New Roman;Times;Serif" w:hAnsi="Times New Roman;Times;Serif"/>
          <w:b w:val="false"/>
          <w:i w:val="false"/>
          <w:caps w:val="false"/>
          <w:smallCaps w:val="false"/>
          <w:sz w:val="20"/>
          <w:u w:val="single"/>
        </w:rPr>
        <w:t>clause</w:t>
      </w:r>
      <w:r>
        <w:rPr>
          <w:rFonts w:ascii="Times New Roman;Times;Serif" w:hAnsi="Times New Roman;Times;Serif"/>
          <w:b w:val="false"/>
          <w:i w:val="false"/>
          <w:caps w:val="false"/>
          <w:smallCaps w:val="false"/>
          <w:strike/>
          <w:color w:val="FF0000"/>
          <w:sz w:val="20"/>
        </w:rPr>
        <w:t>s</w:t>
      </w:r>
      <w:r>
        <w:rPr>
          <w:rFonts w:ascii="Times New Roman;Times;Serif" w:hAnsi="Times New Roman;Times;Serif"/>
          <w:b w:val="false"/>
          <w:i w:val="false"/>
          <w:caps w:val="false"/>
          <w:smallCaps w:val="false"/>
          <w:sz w:val="20"/>
          <w:u w:val="single"/>
        </w:rPr>
        <w:t>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and (</w:t>
      </w:r>
      <w:r>
        <w:rPr>
          <w:rFonts w:ascii="Times New Roman;Times;Serif" w:hAnsi="Times New Roman;Times;Serif"/>
          <w:b w:val="false"/>
          <w:i w:val="false"/>
          <w:caps w:val="false"/>
          <w:smallCaps w:val="false"/>
          <w:color w:val="FF0000"/>
          <w:sz w:val="20"/>
          <w:u w:val="single"/>
        </w:rPr>
        <w:t>iv</w:t>
      </w:r>
      <w:r>
        <w:rPr>
          <w:rFonts w:ascii="Times New Roman;Times;Serif" w:hAnsi="Times New Roman;Times;Serif"/>
          <w:b w:val="false"/>
          <w:i w:val="false"/>
          <w:caps w:val="false"/>
          <w:smallCaps w:val="false"/>
          <w:strike/>
          <w:color w:val="FF0000"/>
          <w:sz w:val="20"/>
        </w:rPr>
        <w:t xml:space="preserve">) at </w:t>
      </w:r>
      <w:r>
        <w:rPr>
          <w:rFonts w:ascii="Times New Roman;Times;Serif" w:hAnsi="Times New Roman;Times;Serif"/>
          <w:b w:val="false"/>
          <w:i w:val="false"/>
          <w:caps w:val="false"/>
          <w:smallCaps w:val="false"/>
          <w:sz w:val="20"/>
        </w:rPr>
        <w:t xml:space="preserve">any time when a majority of the outstanding Voting Stock of Holdings is directly or indirectly owned by a Parent Entity or, if applicable, a Parent Entity acts as the manager, managing member or general partner of Holdings, references in this definition to “Holdings” shall be deemed to refer to the ultimate Parent Entity that directly or indirectly owns such Voting Stock or acts as (or, if applicable, is a Parent Entity that directly or indirectly owns a majority of the outstanding Voting Stock of) such manager, managing member or general partner.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of this definition is triggered and (iv)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Chattel Paper</w:t>
      </w:r>
      <w:r>
        <w:rPr>
          <w:rFonts w:ascii="Times New Roman;Times;Serif" w:hAnsi="Times New Roman;Times;Serif"/>
          <w:b w:val="false"/>
          <w:i w:val="false"/>
          <w:caps w:val="false"/>
          <w:smallCaps w:val="false"/>
          <w:sz w:val="20"/>
        </w:rPr>
        <w:t>” has the meaning provided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has the meaning provided in the definition of “Environmental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w:t>
      </w:r>
      <w:r>
        <w:rPr>
          <w:rFonts w:ascii="Times New Roman;Times;Serif" w:hAnsi="Times New Roman;Times;Serif"/>
          <w:b w:val="false"/>
          <w:i w:val="false"/>
          <w:caps w:val="false"/>
          <w:smallCaps w:val="false"/>
          <w:sz w:val="20"/>
        </w:rPr>
        <w:t>” (i) when used in reference to any Loan or Borrowing, shall refer to whether such Loan, or the Loans comprising such Borrowing, are Revolving Credit Loans, Incremental Revolving Credit Loans or Swingline Loans, and (ii) when used in reference to any Commitment, refers to whether such Commitment is a Revolving Credit Commitment or an Incremental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mean August 3, 2011.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CME Term SOFR Administrator</w:t>
      </w:r>
      <w:r>
        <w:rPr>
          <w:rFonts w:ascii="Times New Roman;Times;Serif" w:hAnsi="Times New Roman;Times;Serif"/>
          <w:b w:val="false"/>
          <w:i w:val="false"/>
          <w:caps w:val="false"/>
          <w:smallCaps w:val="false"/>
          <w:sz w:val="20"/>
        </w:rPr>
        <w:t>” shall mean CME Group Benchmark Administration Limited as administrator of the forward-looking term SOFR (or a successor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shall mean the Internal Revenue Code of 1986,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shall mean all property pledged or mortgaged or purported to be pledged or mortgaged pursuant to the Security Documents, excluding in all events Excluded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xml:space="preserve">” shall mean JPMorgan Chase Bank, N.A., as collateral agent under the Security Documents, or any successor collateral agent pursuant to </w:t>
      </w:r>
      <w:r>
        <w:rPr>
          <w:rFonts w:ascii="Times New Roman;Times;Serif" w:hAnsi="Times New Roman;Times;Serif"/>
          <w:b w:val="false"/>
          <w:i w:val="false"/>
          <w:caps w:val="false"/>
          <w:smallCaps w:val="false"/>
          <w:sz w:val="20"/>
          <w:u w:val="single"/>
        </w:rPr>
        <w:t>Section 12.9</w:t>
      </w:r>
      <w:r>
        <w:rPr>
          <w:rFonts w:ascii="Times New Roman;Times;Serif" w:hAnsi="Times New Roman;Times;Serif"/>
          <w:b w:val="false"/>
          <w:i w:val="false"/>
          <w:caps w:val="false"/>
          <w:smallCaps w:val="false"/>
          <w:sz w:val="20"/>
        </w:rPr>
        <w:t>, and any Affiliate or designee of JPMorgan Chase Bank, N.A. may act as the Collateral Agent under any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Commercial Letter of Credit</w:t>
      </w:r>
      <w:r>
        <w:rPr>
          <w:rFonts w:ascii="Times New Roman;Times;Serif" w:hAnsi="Times New Roman;Times;Serif"/>
          <w:b w:val="false"/>
          <w:i w:val="false"/>
          <w:caps w:val="false"/>
          <w:smallCaps w:val="false"/>
          <w:sz w:val="20"/>
        </w:rPr>
        <w:t>” shall mean any Letter of Credit or, with respect to Secured Commercial LC Facilities, any letter of credit, in each case issued for the purpose of providing the primary payment mechanism or credit support in connection with the purchase of any materials, goods or services by the Borrower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Fee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 Fee Rate</w:t>
      </w:r>
      <w:r>
        <w:rPr>
          <w:rFonts w:ascii="Times New Roman;Times;Serif" w:hAnsi="Times New Roman;Times;Serif"/>
          <w:b w:val="false"/>
          <w:i w:val="false"/>
          <w:caps w:val="false"/>
          <w:smallCaps w:val="false"/>
          <w:sz w:val="20"/>
        </w:rPr>
        <w:t xml:space="preserve">” shall mean, for any day, with respect to the commitment fees payable hereunder, the applicable rate per annum set forth below, based upon the Average Excess Availability as of the most recent Adjustment Date occurring after the first fiscal quarter ending after the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the first Adjustment Date to occur after the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 the “Commitment Fee Rate” shall be </w:t>
      </w:r>
      <w:r>
        <w:rPr>
          <w:rFonts w:ascii="Times New Roman;Times;Serif" w:hAnsi="Times New Roman;Times;Serif"/>
          <w:b w:val="false"/>
          <w:i w:val="false"/>
          <w:caps w:val="false"/>
          <w:smallCaps w:val="false"/>
          <w:strike/>
          <w:color w:val="FF0000"/>
          <w:sz w:val="20"/>
        </w:rPr>
        <w:t>0.25</w:t>
      </w:r>
      <w:r>
        <w:rPr>
          <w:rFonts w:ascii="Times New Roman;Times;Serif" w:hAnsi="Times New Roman;Times;Serif"/>
          <w:b w:val="false"/>
          <w:i w:val="false"/>
          <w:caps w:val="false"/>
          <w:smallCaps w:val="false"/>
          <w:color w:val="0000FF"/>
          <w:sz w:val="20"/>
          <w:u w:val="single"/>
          <w:bdr w:val="single" w:sz="8" w:space="1" w:color="0000FF"/>
        </w:rPr>
        <w:t>0.30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470" w:type="dxa"/>
        <w:jc w:val="center"/>
        <w:tblInd w:w="0" w:type="dxa"/>
        <w:tblLayout w:type="fixed"/>
        <w:tblCellMar>
          <w:top w:w="28" w:type="dxa"/>
          <w:left w:w="28" w:type="dxa"/>
          <w:bottom w:w="28" w:type="dxa"/>
          <w:right w:w="28" w:type="dxa"/>
        </w:tblCellMar>
      </w:tblPr>
      <w:tblGrid>
        <w:gridCol w:w="3620"/>
        <w:gridCol w:w="1850"/>
      </w:tblGrid>
      <w:tr>
        <w:trPr/>
        <w:tc>
          <w:tcPr>
            <w:tcW w:w="3620" w:type="dxa"/>
            <w:tcBorders>
              <w:top w:val="double" w:sz="4" w:space="0" w:color="000000"/>
              <w:left w:val="double" w:sz="4" w:space="0" w:color="000000"/>
              <w:bottom w:val="single" w:sz="8" w:space="0" w:color="000000"/>
              <w:right w:val="single" w:sz="8" w:space="0" w:color="000000"/>
            </w:tcBorders>
            <w:shd w:fill="FFFFFF" w:val="clear"/>
            <w:vAlign w:val="center"/>
          </w:tcPr>
          <w:p>
            <w:pPr>
              <w:pStyle w:val="TableContents"/>
              <w:bidi w:val="0"/>
              <w:spacing w:before="0" w:after="283"/>
              <w:jc w:val="left"/>
              <w:rPr>
                <w:sz w:val="20"/>
              </w:rPr>
            </w:pPr>
            <w:r>
              <w:rPr>
                <w:sz w:val="20"/>
              </w:rPr>
              <w:t>Average Excess Availability</w:t>
            </w:r>
          </w:p>
        </w:tc>
        <w:tc>
          <w:tcPr>
            <w:tcW w:w="1850" w:type="dxa"/>
            <w:tcBorders>
              <w:top w:val="double" w:sz="4"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20"/>
              </w:rPr>
            </w:pPr>
            <w:r>
              <w:rPr>
                <w:sz w:val="20"/>
              </w:rPr>
              <w:t>Commitment Fee Rate</w:t>
            </w:r>
          </w:p>
        </w:tc>
      </w:tr>
      <w:tr>
        <w:trPr/>
        <w:tc>
          <w:tcPr>
            <w:tcW w:w="3620" w:type="dxa"/>
            <w:tcBorders>
              <w:left w:val="double" w:sz="4"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 xml:space="preserve">≥ </w:t>
            </w:r>
            <w:r>
              <w:rPr>
                <w:sz w:val="20"/>
              </w:rPr>
              <w:t>50% of the Maximum Borrowing Amount</w:t>
            </w:r>
          </w:p>
        </w:tc>
        <w:tc>
          <w:tcPr>
            <w:tcW w:w="185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pPr>
            <w:r>
              <w:rPr>
                <w:strike/>
                <w:color w:val="FF0000"/>
                <w:sz w:val="20"/>
              </w:rPr>
              <w:t>0.375</w:t>
            </w:r>
            <w:r>
              <w:rPr>
                <w:color w:val="0000FF"/>
                <w:u w:val="single"/>
                <w:bdr w:val="single" w:sz="8" w:space="1" w:color="0000FF"/>
              </w:rPr>
              <w:t>0.30</w:t>
            </w:r>
            <w:r>
              <w:rPr>
                <w:sz w:val="20"/>
              </w:rPr>
              <w:t>%</w:t>
            </w:r>
          </w:p>
        </w:tc>
      </w:tr>
      <w:tr>
        <w:trPr/>
        <w:tc>
          <w:tcPr>
            <w:tcW w:w="3620" w:type="dxa"/>
            <w:tcBorders>
              <w:left w:val="double" w:sz="4"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sz w:val="20"/>
              </w:rPr>
            </w:pPr>
            <w:r>
              <w:rPr>
                <w:sz w:val="20"/>
              </w:rPr>
              <w:t>&lt; 50% of the Maximum Borrowing Amount</w:t>
            </w:r>
          </w:p>
        </w:tc>
        <w:tc>
          <w:tcPr>
            <w:tcW w:w="1850"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20"/>
              </w:rPr>
            </w:pPr>
            <w:r>
              <w:rPr>
                <w:sz w:val="20"/>
              </w:rPr>
              <w:t>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Commitment Fee Rate shall be adjusted quarterly on a prospective basis on each Adjustment Date based upon the Average Excess Availability in accordance with the table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 Specified Default shall have occurred and be continuing at the time any reduction in the Commitment Fee Rate would otherwise be implemented, then no such reduction shall be implemented until the date on which such Specified Default shall no longer be continuing, and (ii) if any Borrowing Base Certificate delivered pursuant to this Agreement is at any time restated or otherwise revised, or if the information set forth in any such Borrowing Base Certificate otherwise proves to be false or incorrect such that the Commitment Fee Rate would have been higher than was otherwise in effect during any period, without constituting a waiver of any Default or Event of Default arising as a result thereof, the commitment fees due under this Agreement shall be recalculated by the Administrative Agent at such higher rate for any applicable periods and shall be due and payable within 5 Business Days of receipt of such calculation by the Borrower from the Administrative Agent and shall be payable only to the Lenders whose Commitments were outstanding during such period when the Commitment Fee Rate should have been higher (regardless of whether such Lenders remain parties to this Agreement at the time such payment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Commitments</w:t>
      </w:r>
      <w:r>
        <w:rPr>
          <w:rFonts w:ascii="Times New Roman;Times;Serif" w:hAnsi="Times New Roman;Times;Serif"/>
          <w:b w:val="false"/>
          <w:i w:val="false"/>
          <w:caps w:val="false"/>
          <w:smallCaps w:val="false"/>
          <w:sz w:val="20"/>
        </w:rPr>
        <w:t>” shall mean, with respect to each Lender (to the extent applicable), such Lender’s Revolving Credit Commitment or Incremental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Commodity Exchange Act</w:t>
      </w:r>
      <w:r>
        <w:rPr>
          <w:rFonts w:ascii="Times New Roman;Times;Serif" w:hAnsi="Times New Roman;Times;Serif"/>
          <w:b w:val="false"/>
          <w:i w:val="false"/>
          <w:caps w:val="false"/>
          <w:smallCaps w:val="false"/>
          <w:sz w:val="20"/>
        </w:rPr>
        <w:t>” shall mean the Commodity Exchange Act (7 U.S.C. § 1 et seq.), as amended from time to time, and any successor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Certificate</w:t>
      </w:r>
      <w:r>
        <w:rPr>
          <w:rFonts w:ascii="Times New Roman;Times;Serif" w:hAnsi="Times New Roman;Times;Serif"/>
          <w:b w:val="false"/>
          <w:i w:val="false"/>
          <w:caps w:val="false"/>
          <w:smallCaps w:val="false"/>
          <w:sz w:val="20"/>
        </w:rPr>
        <w:t xml:space="preserve">” shall mean a certificate of a responsible financial or accounting officer of the Borrower delivered pursuant to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 xml:space="preserve"> for the applicable Test Period (which shall include a reasonably detailed calculation of Consolidated EBITDA for such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Period</w:t>
      </w:r>
      <w:r>
        <w:rPr>
          <w:rFonts w:ascii="Times New Roman;Times;Serif" w:hAnsi="Times New Roman;Times;Serif"/>
          <w:b w:val="false"/>
          <w:i w:val="false"/>
          <w:caps w:val="false"/>
          <w:smallCaps w:val="false"/>
          <w:sz w:val="20"/>
        </w:rPr>
        <w:t>” shall mean any period beginning on the date that Excess Availability is less than the greater of (a) 10% of the Maximum Borrowing Amount and (b) $60,000,000, until the date that Excess Availability has been at least the greater of (i) 10% of the Maximum Borrowing Amount and (ii) $60,000,000 for twenty (20) consecutive calendar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Depreciation and Amortization Expense</w:t>
      </w:r>
      <w:r>
        <w:rPr>
          <w:rFonts w:ascii="Times New Roman;Times;Serif" w:hAnsi="Times New Roman;Times;Serif"/>
          <w:b w:val="false"/>
          <w:i w:val="false"/>
          <w:caps w:val="false"/>
          <w:smallCaps w:val="false"/>
          <w:sz w:val="20"/>
        </w:rPr>
        <w:t>” 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shall mean, with respect to any Person and its Restricted Subsidiaries on a consolidated basis for any period, the Consolidated Net Income of such Person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increased (without duplication), to the extent deducted (and not added back) in computing Consolidated Net Income, by: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provision for taxes based on income, revenue or profits or capital, including, without limitation, U.S. federal, state, non-U.S., franchise, excise, value added, and similar taxes and foreign withholding taxes of such Person paid or accrued during such period (including any penalties and interest related to such taxes or arising from any tax examinations and any payments to any direct or indirect parent in respect of such taxes),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Consolidated Interest Expense of such Person and its Restricted Subsidiaries on a consolidated basis for such period,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Consolidated Depreciation and Amortization Expense of such Person for such period,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Term Loans</w:t>
      </w:r>
      <w:r>
        <w:rPr>
          <w:rFonts w:ascii="Times New Roman;Times;Serif" w:hAnsi="Times New Roman;Times;Serif"/>
          <w:b w:val="false"/>
          <w:i w:val="false"/>
          <w:caps w:val="false"/>
          <w:smallCaps w:val="false"/>
          <w:color w:val="0000FF"/>
          <w:sz w:val="20"/>
          <w:u w:val="single"/>
          <w:bdr w:val="single" w:sz="8" w:space="1" w:color="0000FF"/>
        </w:rPr>
        <w:t>, the 2031 Senior Notes</w:t>
      </w:r>
      <w:r>
        <w:rPr>
          <w:rFonts w:ascii="Times New Roman;Times;Serif" w:hAnsi="Times New Roman;Times;Serif"/>
          <w:b w:val="false"/>
          <w:i w:val="false"/>
          <w:caps w:val="false"/>
          <w:smallCaps w:val="false"/>
          <w:sz w:val="20"/>
        </w:rPr>
        <w:t xml:space="preserve"> and the Loans hereunder and all Transaction Expenses, (2) such fees, expenses, or charges related to the offering of the Credit Documents and any other credit facilities, and (3) any amendment or other modification of the Term Loans, the </w:t>
      </w:r>
      <w:r>
        <w:rPr>
          <w:rFonts w:ascii="Times New Roman;Times;Serif" w:hAnsi="Times New Roman;Times;Serif"/>
          <w:b w:val="false"/>
          <w:i w:val="false"/>
          <w:caps w:val="false"/>
          <w:smallCaps w:val="false"/>
          <w:color w:val="0000FF"/>
          <w:sz w:val="20"/>
          <w:u w:val="single"/>
          <w:bdr w:val="single" w:sz="8" w:space="1" w:color="0000FF"/>
        </w:rPr>
        <w:t xml:space="preserve">2031 Senior Notes, the </w:t>
      </w:r>
      <w:r>
        <w:rPr>
          <w:rFonts w:ascii="Times New Roman;Times;Serif" w:hAnsi="Times New Roman;Times;Serif"/>
          <w:b w:val="false"/>
          <w:i w:val="false"/>
          <w:caps w:val="false"/>
          <w:smallCaps w:val="false"/>
          <w:sz w:val="20"/>
        </w:rPr>
        <w:t xml:space="preserve">Loans hereunder or other Indebtedness,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other non-cash charges, including any write offs, write downs, expenses, losses, or items to the extent the same were deducted (and not added back) in computing Consolidated Net Income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such non-cash charges represent an accrual or reserve for potential cash items in any future period, the cash payment in respect thereof in such future period shall be deducted from Consolidated EBITDA),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amount of any net income (loss) attributable to non-controlling interests in any non-Wholly-Owned Subsidiary,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costs of surety bonds incurred in such period in connection with financing activities,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amount of reasonably identifiable and factually supportable “run-rate” cost savings, operating expense reductions, operating enhancements and other synergies (excluding, for the avoidance of doubt, any revenue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operating expense reductions, operating enhancements and other synergies shall be calculated on a Pro Forma Basis as though such cost savings, operating expense reductions, operating enhancements or other synergies had been realized on the first day of such period),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amount of loss or discount on sale of receivables and related assets to the Receivables Subsidiary in connection with a Receivables Facility,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costs or expense incurred by the Borrower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with respect to any joint venture that is not a Restricted Subsidiary, an amount equal to the proportion of those items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relating to such joint venture corresponding to the Borrower’s and the Restricted Subsidiaries’ proportionate share of such joint venture’s Consolidated Net Income (determined as if such joint venture were a Restricted Subsidiary),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cash receipts (or any netting arrangements resulting in reduced cash expenses) not included in Consolidated EBITDA in any period solely to the extent that the corresponding non-cash gains relating to such receipts were deducted in the calculation of Consolidated EBITDA pursuant to </w:t>
      </w:r>
      <w:r>
        <w:rPr>
          <w:rFonts w:ascii="Times New Roman;Times;Serif" w:hAnsi="Times New Roman;Times;Serif"/>
          <w:b w:val="false"/>
          <w:i w:val="false"/>
          <w:caps w:val="false"/>
          <w:smallCaps w:val="false"/>
          <w:sz w:val="20"/>
          <w:u w:val="single"/>
        </w:rPr>
        <w:t>paragraph (ii)</w:t>
      </w:r>
      <w:r>
        <w:rPr>
          <w:rFonts w:ascii="Times New Roman;Times;Serif" w:hAnsi="Times New Roman;Times;Serif"/>
          <w:b w:val="false"/>
          <w:i w:val="false"/>
          <w:caps w:val="false"/>
          <w:smallCaps w:val="false"/>
          <w:sz w:val="20"/>
        </w:rPr>
        <w:t xml:space="preserve"> below for any previous period and not added back, </w:t>
      </w:r>
      <w:r>
        <w:rPr>
          <w:rFonts w:ascii="Times New Roman;Times;Serif" w:hAnsi="Times New Roman;Times;Serif"/>
          <w:b w:val="false"/>
          <w:i/>
          <w:caps w:val="false"/>
          <w:smallCaps w:val="false"/>
          <w:sz w:val="20"/>
        </w:rPr>
        <w:t>plus</w:t>
      </w:r>
    </w:p>
    <w:p>
      <w:pPr>
        <w:pStyle w:val="TextBody"/>
        <w:bidi w:val="0"/>
        <w:spacing w:before="200" w:after="200"/>
        <w:ind w:left="144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charges, expenses, and other items described in (1) the Lender Presentation or (2) any quality of earnings report reasonably prepared in good faith by a nationally recognized accounting firm in connection with any Specified Transaction actually consummated by the Borrower or its Restricted Subsidiaries and delivered to the Administrative Agent,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[reserved],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any costs or expenses realized in connection with or resulting from stock appreciation or similar rights, stock options or other rights of officers, directors and employees, in each case of the Borrower or any of its Restricted Subsidiaries,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pre-opening costs and expenses in connection with new retail locations and losses from any such new location during the first year after opening,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costs and expenses in connection with project ramp-ups that are reasonably identifiable and factually supportable (in the good faith determination of the Borrower),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the amount of any loss attributable to a new store, distribution center, facility or business until the date that is 24 months after the date of commencement of construction or the date of acquisition or launch thereof, as the case may be; provided that (A) such losses are reasonably identifiable and factually supportable and certified by an Authorized Officer of the Borrower, (B) losses attributable to such store, distribution center, facility or business after 24 months from the date of commencement of construction or the date of acquisition of such store, distribution center or facility, as the case may be, shall not be included in this </w:t>
      </w:r>
      <w:r>
        <w:rPr>
          <w:rFonts w:ascii="Times New Roman;Times;Serif" w:hAnsi="Times New Roman;Times;Serif"/>
          <w:b w:val="false"/>
          <w:i w:val="false"/>
          <w:caps w:val="false"/>
          <w:smallCaps w:val="false"/>
          <w:sz w:val="20"/>
          <w:u w:val="single"/>
        </w:rPr>
        <w:t>clause (w)</w:t>
      </w:r>
      <w:r>
        <w:rPr>
          <w:rFonts w:ascii="Times New Roman;Times;Serif" w:hAnsi="Times New Roman;Times;Serif"/>
          <w:b w:val="false"/>
          <w:i w:val="false"/>
          <w:caps w:val="false"/>
          <w:smallCaps w:val="false"/>
          <w:sz w:val="20"/>
        </w:rPr>
        <w:t>, and (C) no amounts shall be added pursuant to this clause (w) to the extent duplicative of any expenses or charges relating to such cost savings that are included in clause (i) above with respect to such period;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decreased by (without duplication), 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(formerly Financial Accounting Standards Board Statement No. 13);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to the extent non-cash gains are deducted pursuant to this </w:t>
      </w:r>
      <w:r>
        <w:rPr>
          <w:rFonts w:ascii="Times New Roman;Times;Serif" w:hAnsi="Times New Roman;Times;Serif"/>
          <w:b w:val="false"/>
          <w:i w:val="false"/>
          <w:caps w:val="false"/>
          <w:smallCaps w:val="false"/>
          <w:sz w:val="20"/>
          <w:u w:val="single"/>
        </w:rPr>
        <w:t>clause (ii)(a)</w:t>
      </w:r>
      <w:r>
        <w:rPr>
          <w:rFonts w:ascii="Times New Roman;Times;Serif" w:hAnsi="Times New Roman;Times;Serif"/>
          <w:b w:val="false"/>
          <w:i w:val="false"/>
          <w:caps w:val="false"/>
          <w:smallCaps w:val="false"/>
          <w:sz w:val="20"/>
        </w:rPr>
        <w:t xml:space="preserve">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increased or decreased by (without duplication):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net gain or loss resulting in such period from currency gains or losses related to Indebtedness, intercompany balances, and other balance sheet items, plus or minus, as the case may be,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be included in determining Consolidated EBITDA for any period, without duplication, (1) the Acquired EBITDA of any Person or business, or attributable to any property or asset 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w:t>
      </w:r>
      <w:r>
        <w:rPr>
          <w:rFonts w:ascii="Times New Roman;Times;Serif" w:hAnsi="Times New Roman;Times;Serif"/>
          <w:b/>
          <w:i w:val="false"/>
          <w:caps w:val="false"/>
          <w:smallCaps w:val="false"/>
          <w:sz w:val="20"/>
        </w:rPr>
        <w:t>Acquired Entity or Business</w:t>
      </w:r>
      <w:r>
        <w:rPr>
          <w:rFonts w:ascii="Times New Roman;Times;Serif" w:hAnsi="Times New Roman;Times;Serif"/>
          <w:b w:val="false"/>
          <w:i w:val="false"/>
          <w:caps w:val="false"/>
          <w:smallCaps w:val="false"/>
          <w:sz w:val="20"/>
        </w:rPr>
        <w:t>”) and the Acquired EBITDA of any Unrestricted Subsidiary that is converted into a Restricted Subsidiary during such period (each, a “</w:t>
      </w:r>
      <w:r>
        <w:rPr>
          <w:rFonts w:ascii="Times New Roman;Times;Serif" w:hAnsi="Times New Roman;Times;Serif"/>
          <w:b/>
          <w:i w:val="false"/>
          <w:caps w:val="false"/>
          <w:smallCaps w:val="false"/>
          <w:sz w:val="20"/>
        </w:rPr>
        <w:t>Converted Restricted Subsidiary</w:t>
      </w:r>
      <w:r>
        <w:rPr>
          <w:rFonts w:ascii="Times New Roman;Times;Serif" w:hAnsi="Times New Roman;Times;Serif"/>
          <w:b w:val="false"/>
          <w:i w:val="false"/>
          <w:caps w:val="false"/>
          <w:smallCaps w:val="false"/>
          <w:sz w:val="20"/>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w:t>
      </w:r>
      <w:r>
        <w:rPr>
          <w:rFonts w:ascii="Times New Roman;Times;Serif" w:hAnsi="Times New Roman;Times;Serif"/>
          <w:b/>
          <w:i w:val="false"/>
          <w:caps w:val="false"/>
          <w:smallCaps w:val="false"/>
          <w:sz w:val="20"/>
        </w:rPr>
        <w:t>Sold Entity or Business</w:t>
      </w:r>
      <w:r>
        <w:rPr>
          <w:rFonts w:ascii="Times New Roman;Times;Serif" w:hAnsi="Times New Roman;Times;Serif"/>
          <w:b w:val="false"/>
          <w:i w:val="false"/>
          <w:caps w:val="false"/>
          <w:smallCaps w:val="false"/>
          <w:sz w:val="20"/>
        </w:rPr>
        <w:t>”), and the Disposed EBITDA of any Restricted Subsidiary that is converted into an Unrestricted Subsidiary during such period (each, a “</w:t>
      </w:r>
      <w:r>
        <w:rPr>
          <w:rFonts w:ascii="Times New Roman;Times;Serif" w:hAnsi="Times New Roman;Times;Serif"/>
          <w:b/>
          <w:i w:val="false"/>
          <w:caps w:val="false"/>
          <w:smallCaps w:val="false"/>
          <w:sz w:val="20"/>
        </w:rPr>
        <w:t>Converted Unrestricted Subsidiary</w:t>
      </w:r>
      <w:r>
        <w:rPr>
          <w:rFonts w:ascii="Times New Roman;Times;Serif" w:hAnsi="Times New Roman;Times;Serif"/>
          <w:b w:val="false"/>
          <w:i w:val="false"/>
          <w:caps w:val="false"/>
          <w:smallCaps w:val="false"/>
          <w:sz w:val="20"/>
        </w:rPr>
        <w:t xml:space="preserve">”) based on the actual Disposed EBITDA of such Sold Entity or Business or Converted Unrestricted Subsidiary for such period (including the portion thereof occurring prior to such sale, transfer, or disposition or conversion);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Interest Expense</w:t>
      </w:r>
      <w:r>
        <w:rPr>
          <w:rFonts w:ascii="Times New Roman;Times;Serif" w:hAnsi="Times New Roman;Times;Serif"/>
          <w:b w:val="false"/>
          <w:i w:val="false"/>
          <w:caps w:val="false"/>
          <w:smallCaps w:val="false"/>
          <w:sz w:val="20"/>
        </w:rPr>
        <w:t>” shall mean the sum of (1)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plus (2) non-cash interest expense resulting solely from (x) the net amortization of original issue discount and original issuance premium from the issuance of Indebtedness of such Person and its Restricted Subsidiaries (excluding any Indebtedness borrowed under the Term Loan Facility or this Agreement in connection with the Transactions), plus (y) pay-in-kind interest expense of such Person and its Restricted Subsidiaries but excluding, for the avoidance of doubt, (a) amortization of deferred financing costs, debt issuance costs, commissions, fees and expenses and any other amounts of non-cash interest other than referred to in clause (2) above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815—Derivatives and Hedging, (c) any one-time cash costs associated with breakage in respect of hedging agreements for interest rates, (d) commissions, discounts, yield, make-whole premium and other fees and charges (including any interest expense) incurred in connection with any Receivables Facility, (e) any “additional interest” owing pursuant to a registration rights agreement with respect to any securities, (f) any payments with respect to make-whole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Net Income</w:t>
      </w:r>
      <w:r>
        <w:rPr>
          <w:rFonts w:ascii="Times New Roman;Times;Serif" w:hAnsi="Times New Roman;Times;Serif"/>
          <w:b w:val="false"/>
          <w:i w:val="false"/>
          <w:caps w:val="false"/>
          <w:smallCaps w:val="false"/>
          <w:sz w:val="20"/>
        </w:rPr>
        <w:t xml:space="preserve">” shall mean, with respect to any Person for any period, the aggregate of the Net Income, of such Person and its Restricted Subsidiaries for such period, on a consolidated basis, and on an after-tax basis to the extent appropriate, and otherwise determined in accordance with GAAP;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without duplication,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non-recurring or unusual items), 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election of the Borrower subject to the provisions set forth in Section 1.3, the Net Income for such period shall not include the cumulative effect of a change in accounting principles and changes as a result of the adoption or modification of accounting policies during such period,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effect of gains or losses (less all fees and expenses relating thereto) attributable to asset dispositions or abandonments other than in the ordinary course of business, as determined in good faith by the board of directors of the Borrower, shall be excluded,</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Net Income for such period of any Person that is not the Borrower or a Subsidiary, or is an Unrestricted Subsidiary, or that is accounted for by the equity method of accounting, shall be excluded;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Net Income of the Borrower shall be increased by the amount of dividends or distributions or other payments that are actually paid in cash (or to the extent converted into cash or Cash Equivalents) to the referent Person or a Restricted Subsidiary thereof in respect of such period, </w:t>
      </w:r>
      <w:r>
        <w:rPr>
          <w:rFonts w:ascii="Times New Roman;Times;Serif" w:hAnsi="Times New Roman;Times;Serif"/>
          <w:b w:val="false"/>
          <w:i w:val="false"/>
          <w:caps w:val="false"/>
          <w:smallCaps w:val="false"/>
          <w:strike/>
          <w:color w:val="FF0000"/>
          <w:sz w:val="20"/>
        </w:rPr>
        <w:t>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 – Goodwill and Other (ASC 805 and ASC 350) (formerly Financial Accounting Standards Board Statement Nos. 141 and 142, respectively) resulting from the application of purchase accounting, including in relation to the Transactions and any acquisition that is consummated after the Restatement Effective Date or the amortization or write-off of any amounts thereof, net of taxes,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any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mark-to-market valuation of foreign currencies, Indebtedness, or derivative instruments pursuant to GAAP,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impairment charge, asset write-off, or write-down pursuant to ASC 350 and Financial Accounting Standards Codification Topic 360 – Impairment and Disposal of Long-Lived Assets (ASC 360) (formerly Financial Accounting Standards Board Statement No. 144) and the amortization of intangibles arising pursuant to ASC 805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any non-cash compensation expense recorded from or in connection with any share-based compensation arrangements including stock appreciation or similar rights, phantom equity, stock options, restricted stock, capital or profits interests or other rights to officers, directors, managers, or employees and (b) non-cash income (loss) attributable to deferred compensation plans or trusts,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accruals and reserves (including contingent liabilities) that are established or adjusted within twelve months after the Restatement Effective Date that are so required to be established as a result of the Transactions in accordance with GAAP, or changes as a result of adoption or modification of accounting policies,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deferred tax expense associated with tax deductions or net operating losses arising as a result of the Transactions, or the release of any valuation allowance related to such items,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costs or expenses incurred during such period relating to environmental remediation, litigation, or other disputes in respect of events and exposures that occurred prior to the Restatement Effective Date shall be excluded,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costs associated with, or in anticipation of, or preparation for, compliance with the requirements of the Sarbanes-Oxley Act of 2002 and the rules and regulations promulgated in connection therewith and Public Company Costs shall be excluded,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any amounts paid pursuant to clause (15)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other than subclause (E)(ii) thereof that are used to fund payments that, if paid by the Borrower would have reduced Net Income, shall be included to reduce Net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Assets</w:t>
      </w:r>
      <w:r>
        <w:rPr>
          <w:rFonts w:ascii="Times New Roman;Times;Serif" w:hAnsi="Times New Roman;Times;Serif"/>
          <w:b w:val="false"/>
          <w:i w:val="false"/>
          <w:caps w:val="false"/>
          <w:smallCaps w:val="false"/>
          <w:sz w:val="20"/>
        </w:rPr>
        <w:t>” shall mean, as of any date of determination, the amount that would, in conformity with GAAP, be set forth opposite the caption “total assets” (or any like caption) on the most recent consolidated balance sheet of the Borrower and the Restricted Subsidiaries at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Debt</w:t>
      </w:r>
      <w:r>
        <w:rPr>
          <w:rFonts w:ascii="Times New Roman;Times;Serif" w:hAnsi="Times New Roman;Times;Serif"/>
          <w:b w:val="false"/>
          <w:i w:val="false"/>
          <w:caps w:val="false"/>
          <w:smallCaps w:val="false"/>
          <w:sz w:val="20"/>
        </w:rPr>
        <w:t xml:space="preserve">” shall mean, as at any date of determination, an amount equal to the sum of the aggregate amount of all outstanding Indebtedness of the Borrower and the Restricted Subsidiaries on a consolidated basis consisting of Indebtedness for borrowed money, Capitalized Lease Obligations and debt obligations evidenced by promissory notes and similar instruments (and excluding, for the avoidance of doubt, Hedging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Consolidated Total Debt shall not include Letters of Credit, except to the extent of Unpaid Drawings thereunder and (ii) the amount of any Indebtedness outstanding hereunder on any date shall be deemed to be the average daily amount of such Indebtedness thereunder for the most recent twelve month period ending on such date (and for any period ending prior to the one year anniversary of the Restatement Effective Date, the average daily amount outstanding thereunder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 Total Debt to Consolidated EBITDA Ratio</w:t>
      </w:r>
      <w:r>
        <w:rPr>
          <w:rFonts w:ascii="Times New Roman;Times;Serif" w:hAnsi="Times New Roman;Times;Serif"/>
          <w:b w:val="false"/>
          <w:i w:val="false"/>
          <w:caps w:val="false"/>
          <w:smallCaps w:val="false"/>
          <w:sz w:val="20"/>
        </w:rPr>
        <w:t xml:space="preserve">” shall mean, as of any date of determination, the ratio of (i) Consolidated Total Debt as of such date of determination,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Total Debt and Consolidated EBITDA as are appropriate and consistent with the pro forma adjustment provisions set forth in the definition of “Fixed Charge Coverage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Contingent Obligations</w:t>
      </w:r>
      <w:r>
        <w:rPr>
          <w:rFonts w:ascii="Times New Roman;Times;Serif" w:hAnsi="Times New Roman;Times;Serif"/>
          <w:b w:val="false"/>
          <w:i w:val="false"/>
          <w:caps w:val="false"/>
          <w:smallCaps w:val="false"/>
          <w:sz w:val="20"/>
        </w:rPr>
        <w:t>” shall mean, with respect to any Person, any obligation of such Person guaranteeing any leases, dividends, or other payment obligations that do not constitute Indebtedness (“</w:t>
      </w:r>
      <w:r>
        <w:rPr>
          <w:rFonts w:ascii="Times New Roman;Times;Serif" w:hAnsi="Times New Roman;Times;Serif"/>
          <w:b/>
          <w:i w:val="false"/>
          <w:caps w:val="false"/>
          <w:smallCaps w:val="false"/>
          <w:sz w:val="20"/>
        </w:rPr>
        <w:t>primary obligations</w:t>
      </w:r>
      <w:r>
        <w:rPr>
          <w:rFonts w:ascii="Times New Roman;Times;Serif" w:hAnsi="Times New Roman;Times;Serif"/>
          <w:b w:val="false"/>
          <w:i w:val="false"/>
          <w:caps w:val="false"/>
          <w:smallCaps w:val="false"/>
          <w:sz w:val="20"/>
        </w:rPr>
        <w:t>”) of any other Person (the “</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Contractual Requirement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Converted Restricted Subsidiary</w:t>
      </w:r>
      <w:r>
        <w:rPr>
          <w:rFonts w:ascii="Times New Roman;Times;Serif" w:hAnsi="Times New Roman;Times;Serif"/>
          <w:b w:val="false"/>
          <w:i w:val="false"/>
          <w:caps w:val="false"/>
          <w:smallCaps w:val="false"/>
          <w:sz w:val="20"/>
        </w:rPr>
        <w:t>” shall have the meaning provided in the definition of the term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Converted Unrestricted Subsidiary</w:t>
      </w:r>
      <w:r>
        <w:rPr>
          <w:rFonts w:ascii="Times New Roman;Times;Serif" w:hAnsi="Times New Roman;Times;Serif"/>
          <w:b w:val="false"/>
          <w:i w:val="false"/>
          <w:caps w:val="false"/>
          <w:smallCaps w:val="false"/>
          <w:sz w:val="20"/>
        </w:rPr>
        <w:t>” shall have the meaning provided in the definition of the term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Corresponding Tenor</w:t>
      </w:r>
      <w:r>
        <w:rPr>
          <w:rFonts w:ascii="Times New Roman;Times;Serif" w:hAnsi="Times New Roman;Times;Serif"/>
          <w:b w:val="false"/>
          <w:i w:val="false"/>
          <w:caps w:val="false"/>
          <w:smallCaps w:val="false"/>
          <w:sz w:val="20"/>
        </w:rPr>
        <w:t>” shall mean, with respect to any Available Tenor, as applicable, either a tenor (including overnight) or an interest payment period having approximately the same length (disregarding business day adjustment) as such Available Tenor.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shall mean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left"/>
              <w:rPr/>
            </w:pPr>
            <w:r>
              <w:rPr/>
              <w:t>a “covered entity” as that term is defined in, and interpreted in accordance with, 12 C.F.R. § 252.82(b);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w:t>
            </w:r>
          </w:p>
        </w:tc>
        <w:tc>
          <w:tcPr>
            <w:tcW w:w="9873" w:type="dxa"/>
            <w:tcBorders/>
            <w:vAlign w:val="center"/>
          </w:tcPr>
          <w:p>
            <w:pPr>
              <w:pStyle w:val="TableContents"/>
              <w:bidi w:val="0"/>
              <w:spacing w:before="0" w:after="283"/>
              <w:jc w:val="left"/>
              <w:rPr/>
            </w:pPr>
            <w:r>
              <w:rPr/>
              <w:t>a “covered bank” as that term is defined in, and interpreted in accordance with, 12 C.F.R. § 47.3(b);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2"/>
        <w:gridCol w:w="9804"/>
      </w:tblGrid>
      <w:tr>
        <w:trPr/>
        <w:tc>
          <w:tcPr>
            <w:tcW w:w="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283"/>
              <w:jc w:val="left"/>
              <w:rPr/>
            </w:pPr>
            <w:r>
              <w:rPr/>
              <w:t>a “covered FSI” as that term is defined in, and interpreted in accordance with, 12 C.F.R. § 382.2(b).</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xml:space="preserve">” shall have the meaning assigned to it in </w:t>
      </w:r>
      <w:r>
        <w:rPr>
          <w:rFonts w:ascii="Times New Roman;Times;Serif" w:hAnsi="Times New Roman;Times;Serif"/>
          <w:b w:val="false"/>
          <w:i w:val="false"/>
          <w:caps w:val="false"/>
          <w:smallCaps w:val="false"/>
          <w:sz w:val="20"/>
          <w:u w:val="single"/>
        </w:rPr>
        <w:t>Section 13.27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Card Receivables</w:t>
      </w:r>
      <w:r>
        <w:rPr>
          <w:rFonts w:ascii="Times New Roman;Times;Serif" w:hAnsi="Times New Roman;Times;Serif"/>
          <w:b w:val="false"/>
          <w:i w:val="false"/>
          <w:caps w:val="false"/>
          <w:smallCaps w:val="false"/>
          <w:sz w:val="20"/>
        </w:rPr>
        <w:t>” 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Documents</w:t>
      </w:r>
      <w:r>
        <w:rPr>
          <w:rFonts w:ascii="Times New Roman;Times;Serif" w:hAnsi="Times New Roman;Times;Serif"/>
          <w:b w:val="false"/>
          <w:i w:val="false"/>
          <w:caps w:val="false"/>
          <w:smallCaps w:val="false"/>
          <w:sz w:val="20"/>
        </w:rPr>
        <w:t xml:space="preserve">” shall mean this Agreement, Amendment No. 1, Amendment No. 2, Amendment No. 3, Amendment No. 4, </w:t>
      </w:r>
      <w:r>
        <w:rPr>
          <w:rFonts w:ascii="Times New Roman;Times;Serif" w:hAnsi="Times New Roman;Times;Serif"/>
          <w:b w:val="false"/>
          <w:i w:val="false"/>
          <w:caps w:val="false"/>
          <w:smallCaps w:val="false"/>
          <w:color w:val="0000FF"/>
          <w:sz w:val="20"/>
          <w:u w:val="single"/>
          <w:bdr w:val="single" w:sz="8" w:space="1" w:color="0000FF"/>
        </w:rPr>
        <w:t xml:space="preserve">Amendment No. 5, </w:t>
      </w:r>
      <w:r>
        <w:rPr>
          <w:rFonts w:ascii="Times New Roman;Times;Serif" w:hAnsi="Times New Roman;Times;Serif"/>
          <w:b w:val="false"/>
          <w:i w:val="false"/>
          <w:caps w:val="false"/>
          <w:smallCaps w:val="false"/>
          <w:sz w:val="20"/>
        </w:rPr>
        <w:t>each Incremental Facility Amendment, the Guarantees, the Security Documents, and any promissory notes issued by the Borrower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Event</w:t>
      </w:r>
      <w:r>
        <w:rPr>
          <w:rFonts w:ascii="Times New Roman;Times;Serif" w:hAnsi="Times New Roman;Times;Serif"/>
          <w:b w:val="false"/>
          <w:i w:val="false"/>
          <w:caps w:val="false"/>
          <w:smallCaps w:val="false"/>
          <w:sz w:val="20"/>
        </w:rPr>
        <w:t>” shall mean and include the making (but not the conversion or continuation) of a Loan and the issuance of a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Facilities</w:t>
      </w:r>
      <w:r>
        <w:rPr>
          <w:rFonts w:ascii="Times New Roman;Times;Serif" w:hAnsi="Times New Roman;Times;Serif"/>
          <w:b w:val="false"/>
          <w:i w:val="false"/>
          <w:caps w:val="false"/>
          <w:smallCaps w:val="false"/>
          <w:sz w:val="20"/>
        </w:rPr>
        <w:t>” shall mean, collectively, each category of Commitments and each extension of credit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Facility</w:t>
      </w:r>
      <w:r>
        <w:rPr>
          <w:rFonts w:ascii="Times New Roman;Times;Serif" w:hAnsi="Times New Roman;Times;Serif"/>
          <w:b w:val="false"/>
          <w:i w:val="false"/>
          <w:caps w:val="false"/>
          <w:smallCaps w:val="false"/>
          <w:sz w:val="20"/>
        </w:rPr>
        <w:t>” shall mean a category of Commitments and extensions of credit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shall mean Holdings, the Borrower and the other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Cure Amount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Cure Right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Customs Broker Agreement</w:t>
      </w:r>
      <w:r>
        <w:rPr>
          <w:rFonts w:ascii="Times New Roman;Times;Serif" w:hAnsi="Times New Roman;Times;Serif"/>
          <w:b w:val="false"/>
          <w:i w:val="false"/>
          <w:caps w:val="false"/>
          <w:smallCaps w:val="false"/>
          <w:sz w:val="20"/>
        </w:rPr>
        <w:t>” shall mean an agreement, in form and substance reasonably satisfactory to the Administrative Agent, among a Credit Party, a customs broker or other carrier and the Administrative Agent, in which the customs broker or other carrier acknowledges that it has control over and holds the documents evidencing ownership of the subject Inventory or other property for the benefit of the Administrative Agent, and agrees, upon notice from the Administrative Agent, to hold and dispose of the subject Inventory and other property solely as directed by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shall mean, for any day (a “</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a rate per annum equal to SOFR for the day (such day, a “</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DDAs</w:t>
      </w:r>
      <w:r>
        <w:rPr>
          <w:rFonts w:ascii="Times New Roman;Times;Serif" w:hAnsi="Times New Roman;Times;Serif"/>
          <w:b w:val="false"/>
          <w:i w:val="false"/>
          <w:caps w:val="false"/>
          <w:smallCaps w:val="false"/>
          <w:sz w:val="20"/>
        </w:rPr>
        <w:t>” shall mean any checking or other demand deposit account maintained by any of the Credit Parties that is a primary concentration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shall mean any event, act, or condition that with notice or lapse of time, or both, would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shall mean any Lender whose acts or failure to act, whether directly or indirectly, cause it to meet any part of the definition of Lender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 Account</w:t>
      </w:r>
      <w:r>
        <w:rPr>
          <w:rFonts w:ascii="Times New Roman;Times;Serif" w:hAnsi="Times New Roman;Times;Serif"/>
          <w:b w:val="false"/>
          <w:i w:val="false"/>
          <w:caps w:val="false"/>
          <w:smallCaps w:val="false"/>
          <w:sz w:val="20"/>
        </w:rPr>
        <w:t>” shall have the meaning provided in the Uniform Commercial Code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Disbursement Account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9.16(d)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Non-Cash Consideration</w:t>
      </w:r>
      <w:r>
        <w:rPr>
          <w:rFonts w:ascii="Times New Roman;Times;Serif" w:hAnsi="Times New Roman;Times;Serif"/>
          <w:b w:val="false"/>
          <w:i w:val="false"/>
          <w:caps w:val="false"/>
          <w:smallCaps w:val="false"/>
          <w:sz w:val="20"/>
        </w:rPr>
        <w:t xml:space="preserve">” shall mean the Fair Market Value of non-cash consideration received by the Borrower or a Restricted Subsidiary in connection with an Asset Sale that is so designated as Designated Non-Cash Consideration pursuant to a certificate of an Authorized Officer of the Borrower, setting forth the basis of such valuation, executed by either a senior vice president or the principal financial officer of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Preferred Stock</w:t>
      </w:r>
      <w:r>
        <w:rPr>
          <w:rFonts w:ascii="Times New Roman;Times;Serif" w:hAnsi="Times New Roman;Times;Serif"/>
          <w:b w:val="false"/>
          <w:i w:val="false"/>
          <w:caps w:val="false"/>
          <w:smallCaps w:val="false"/>
          <w:sz w:val="20"/>
        </w:rPr>
        <w:t xml:space="preserve">” 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parent company thereof, as the case may be, on the issuance date thereof, the cash proceeds of which are excluded from the calculation set forth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Disposed EBITDA</w:t>
      </w:r>
      <w:r>
        <w:rPr>
          <w:rFonts w:ascii="Times New Roman;Times;Serif" w:hAnsi="Times New Roman;Times;Serif"/>
          <w:b w:val="false"/>
          <w:i w:val="false"/>
          <w:caps w:val="false"/>
          <w:smallCaps w:val="false"/>
          <w:sz w:val="20"/>
        </w:rPr>
        <w:t>” 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disposition</w:t>
      </w:r>
      <w:r>
        <w:rPr>
          <w:rFonts w:ascii="Times New Roman;Times;Serif" w:hAnsi="Times New Roman;Times;Serif"/>
          <w:b w:val="false"/>
          <w:i w:val="false"/>
          <w:caps w:val="false"/>
          <w:smallCaps w:val="false"/>
          <w:sz w:val="20"/>
        </w:rPr>
        <w:t xml:space="preserve">” shall have the meaning assigned such term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the definition of “Asset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Lenders</w:t>
      </w:r>
      <w:r>
        <w:rPr>
          <w:rFonts w:ascii="Times New Roman;Times;Serif" w:hAnsi="Times New Roman;Times;Serif"/>
          <w:b w:val="false"/>
          <w:i w:val="false"/>
          <w:caps w:val="false"/>
          <w:smallCaps w:val="false"/>
          <w:sz w:val="20"/>
        </w:rPr>
        <w:t xml:space="preserve">” shall mean such Persons (i) that have been specified in writing to the Administrative Agent and the Joint Lead Arrangers and Bookrunners prior to the commencement of “primary syndication” as being Disqualified Lenders, (ii) who are competitors of the Borrower and its Subsidiaries that are separately identified in writing by the Borrower to the Administrative Agent from time to time, and (iii) in the case of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solely on the basis of the similarity of such Affiliate’s name. Notwithstanding the foregoing,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made to a Disqualified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Disqualified Stock</w:t>
      </w:r>
      <w:r>
        <w:rPr>
          <w:rFonts w:ascii="Times New Roman;Times;Serif" w:hAnsi="Times New Roman;Times;Serif"/>
          <w:b w:val="false"/>
          <w:i w:val="false"/>
          <w:caps w:val="false"/>
          <w:smallCaps w:val="false"/>
          <w:sz w:val="20"/>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Maturity Date hereunder;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Distressed Person</w:t>
      </w:r>
      <w:r>
        <w:rPr>
          <w:rFonts w:ascii="Times New Roman;Times;Serif" w:hAnsi="Times New Roman;Times;Serif"/>
          <w:b w:val="false"/>
          <w:i w:val="false"/>
          <w:caps w:val="false"/>
          <w:smallCaps w:val="false"/>
          <w:sz w:val="20"/>
        </w:rPr>
        <w:t>” shall have the meaning provided in the definition of “Lender Related Distress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shall mean dollars in lawful currency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shall mean each Subsidiary of the Borrower that is organized under the laws of the United States, any state thereof, or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shall mean any of the member states of the European Union, Iceland, Liechtenstein, and Norway.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Credit Card Receivables</w:t>
      </w:r>
      <w:r>
        <w:rPr>
          <w:rFonts w:ascii="Times New Roman;Times;Serif" w:hAnsi="Times New Roman;Times;Serif"/>
          <w:b w:val="false"/>
          <w:i w:val="false"/>
          <w:caps w:val="false"/>
          <w:smallCaps w:val="false"/>
          <w:sz w:val="20"/>
        </w:rPr>
        <w:t>” shall mean, as of any date of determination, Accounts due to a Credit Party from major credit card processors (including, but not limited to, VISA, Mastercard, American Express, Diners Club and DiscoverCard) as arise in the ordinary course of business and which have been earned by performance, that are not excluded as ineligible by virtue of one or more of the criteria set forth below. None of the following shall be deemed to be Eligible Credit Card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Accounts due from major credit card processors that have been outstanding for more than five Business Days from the date of sale or for such longer period as may be approved by the Administrative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Accounts due from major credit card processors with respect to which a Credit Party does not have good, valid and marketable title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Accounts due from major credit card processors that are not subject to a first priority security interest in favor of the Administrative Agent for its own benefit and the benefit of the other Secured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Accounts due from major credit card processors which are disputed, or with respect to which a claim, counterclaim, offset or chargeback has been asserted, by the related credit card processor (but only to the extent of such dispute, counterclaim, offset or chargeback) (it being the intent that chargebacks in the ordinary course by the credit card processors shall not be deemed violative of this clause);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Accounts due from major credit card processors (other than Visa, Mastercard, American Express, Diners Club and Discover) which the Administrative Agent determines in its commercially reasonable discretion acting in good faith to be unlikely to be collected.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In-Transit Inventory</w:t>
      </w:r>
      <w:r>
        <w:rPr>
          <w:rFonts w:ascii="Times New Roman;Times;Serif" w:hAnsi="Times New Roman;Times;Serif"/>
          <w:b w:val="false"/>
          <w:i w:val="false"/>
          <w:caps w:val="false"/>
          <w:smallCaps w:val="false"/>
          <w:sz w:val="20"/>
        </w:rPr>
        <w:t xml:space="preserve">” shall mean, as of any date of determination, without duplication of other Eligible Inventory, Inventory (a) (i) that has been delivered to a carrier in a foreign port or foreign airport for receipt by a Credit Party in the United States within sixty (60) days of the date of determination, but which has not yet been received by a Credit Party or (ii) that has been delivered to a carrier in the United States for receipt by a Credit Party in the United States within five (5) Business Days of the date of determination, but which has not yet been received by a Credit Party, (b) for which the purchase order is in the name of a Credit Party and title has passed to a Credit Party, (c) except as otherwise agreed by the Administrative Agent, for which the document of title or waybill reflects a Credit Party as consignee (along with delivery to a Credit Party or its customs broker of the documents of title, to the extent applicable, with respect thereto), (d) as to which the Administrative Agent has control over the documents of title, to the extent applicable, which evidence ownership of the subject Inventory (such as by the delivery of a Customs Broker Agreement), (e) that is insured in accordance with the provisions of this Agreement and the other Credit Documents, including, without limitation marine cargo insurance and (f) that otherwise is not excluded from the definition of “Eligible Inventory”;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upon notice to the Borrower, exclude any particular Inventory from the definition of “Eligible In-Transit Inventory” in the event that the Administrative Agent determines that such Inventory is subject to any Person’s right or claim which is (or is capable of being)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Lien of the Administrative Agent, or may otherwise adversely impact the ability of the Administrative Agent to realize upon such Inventory;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as of any date of determination, the aggregate NOLV Percentage of Eligible In-Transit Inventory and Eligible Letter of Credit Inventory shall not exceed 20% of the Borrowing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Inventory</w:t>
      </w:r>
      <w:r>
        <w:rPr>
          <w:rFonts w:ascii="Times New Roman;Times;Serif" w:hAnsi="Times New Roman;Times;Serif"/>
          <w:b w:val="false"/>
          <w:i w:val="false"/>
          <w:caps w:val="false"/>
          <w:smallCaps w:val="false"/>
          <w:sz w:val="20"/>
        </w:rPr>
        <w:t>” shall mean, as of any date of determination, without duplication, (1) Eligible Letter of Credit Inventory and Eligible In-Transit Inventory and (2) Inventory comprised of finished goods, merchantable and readily saleable to the public in the ordinary course, in each case that are not excluded as ineligible by virtue of the one or more of the criteria set forth below. None of the following shall be deemed to be Eligible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Inventory that is not solely owned by a Credit Party, or is leased by or is on consignment to a Credit Party, or as to which the Credit Parties do not have title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Inventory (other than any Eligible Letter of Credit Inventory and Eligible In-Transit Inventory) that is not located in the United States of America (or any territories or possessions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Inventory (other than any Eligible Letter of Credit Inventory and Eligible In-Transit Inventory) that is not located at a location that is owned or leased by a Credit Party, except to the extent that (i) the Borrower has furnished the Administrative Agent with a landlord’s lien waiver and collateral access agreement reasonably acceptable to the Administrative Agent executed by the applicable bailee or (ii) in the event that the Borrower has not furnished the landlord’s lien waiver (if applicable) and collateral access agreement contemplated in the foregoing clause (i) after using commercially reasonable efforts to do so, an appropriate Reserve has been established by the Administrative Agent in its Permitted Discretion in an amount of up to three months of the rent or other charges due with respect to such bailee;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Inventory that is located at a distribution center, retail store or other location that is leased by a Credit Party, except to the extent that (i) an appropriate Reserve has been established by the Administrative Agent in its Permitted Discretion in an amount of up to three months of the rent due with respect to such distribution center, retail store or other location or (ii) the Borrower has furnished the Administrative Agent with a landlord’s lien waiver and collateral access agreement on terms reasonably acceptable to the Administrative Agent executed by the Person owning any such distribution center, retail store or other location (it being understood that in any jurisdiction providing for a common law or statutory landlord’s lien on the personal property of tenants, which lien would be superior to that of the Administrative Agent, the Borrower will use commercially reasonable efforts to provide such documentation);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Inventory that represents goods that (i) are obsolete, damaged, defective, “seconds,” classified by the Credit Parties as salvage or aged Inventory, or otherwise unmerchantable, (ii) are classified by the Credit Parties as awaiting, or are otherwise being held for, quality control inspection, (iii) are to be returned to the vendor, (iv) are work in process or that constitute spare parts or supplies used or consumed in a Credit Parties’ business, (v) are bill and hold goods or (vi) are not in compliance in all material respects with all standards imposed by any Governmental Authority having regulatory authority with respect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otherwise agreed by the Administrative Agent, Inventory that represents goods that do not conform in all material respects to the representations and warranties contained in this Agreement or any of the Security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Inventory that is not subject to a perfected first priority security interest in favor of the Administrative Agent, for its own benefit and the benefit of the other Secured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Inventory that constitutes packaging and shipping material, manufacturing supplies, display items, bill-and-hold goods, returned or repossessed goods (other than goods that are undamaged and able to be resold in the ordinary course of business), defective goods, unfinished goods, goods held on consignment, goods to be returned to a Credit Party’s suppliers or goods which are not of a type held for sale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Inventory as to which casualty insurance in compliance with the provisions of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is not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Inventory which has been sold but not yet delivered or Inventory to the extent that any Credit Party has accepted a deposit therefor;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Inventory acquired in a Permitted Acquisition, unless the Administrative Agent shall have received or conducted (i) appraisals, from appraisers reasonably satisfactory to the Administrative Agent, of such Inventory to be acquired in such Permitted Acquisition and (ii) such other due diligence as the Administrative Agent may reasonably require, all of the results of the foregoing to be reasonably satisfactory to the Administrative Agent.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Letter of Credit Inventory</w:t>
      </w:r>
      <w:r>
        <w:rPr>
          <w:rFonts w:ascii="Times New Roman;Times;Serif" w:hAnsi="Times New Roman;Times;Serif"/>
          <w:b w:val="false"/>
          <w:i w:val="false"/>
          <w:caps w:val="false"/>
          <w:smallCaps w:val="false"/>
          <w:sz w:val="20"/>
        </w:rPr>
        <w:t>” shall mean, as of any date of determination (without duplication of other Eligible Inventory),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that has been delivered to a carrier in a foreign port or foreign airport for receipt by a Credit Party in the United States within sixty (60) days of the date of determination, but that has not yet been received by a Credit Party, or (ii) that has been delivered to a carrier in the United States for receipt by a Credit Party in the United States within five (5) Business Days of the date of determination, but which has not yet been received by a Credit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purchase order for which is in the name of a Credit Party, title has passed to a Credit Party and the purchase of which is supported by a Commercial Letter of Credit issued under either this Agreement or a Secured Commercial LC Facility having an initial expiry, subject to the proviso hereto, within 120 days after the date of initial issuance of such Commercial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ninety percent (90%) of the maximum Stated Amount all such Commercial Letters of Credit shall not, at any time, have an initial expiry greater than ninety (90) days after the original date of issuance of such Commercial Letters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which the document of title or waybill reflects a Credit Party as consignee (along with delivery to a Credit Party or its customs broker of the documents of title, to the extent applicable, with respect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to which the Administrative Agent has control over the documents of title, to the extent applicable, which evidence ownership of the subject Inventory (such as by the delivery of a Customs Broker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is insured in accordance with the provisions of this Agreement and the other Credit Documents, including, without limitation marine cargo insurance;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otherwise is not excluded from the definition of “Eligible Inventory”;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upon notice to the Borrower, exclude any particular Inventory from the definition of “Eligible Letter of Credit Inventory” in the event that the Administrative Agent determines that such Inventory is subject to any Person’s right or claim which is (or is capable of being) senior to, or pari passu with, the Lien of the Administrative Agent, or may otherwise adversely impact the ability of the Administrative Agent to realize upon such Inventory;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as of any date of determination, the aggregate amount attributable to Eligible In-Transit Inventory and Eligible Letter of Credit Inventory shall not exceed 20% of the Borrowing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Claims</w:t>
      </w:r>
      <w:r>
        <w:rPr>
          <w:rFonts w:ascii="Times New Roman;Times;Serif" w:hAnsi="Times New Roman;Times;Serif"/>
          <w:b w:val="false"/>
          <w:i w:val="false"/>
          <w:caps w:val="false"/>
          <w:smallCaps w:val="false"/>
          <w:sz w:val="20"/>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w:t>
      </w:r>
      <w:r>
        <w:rPr>
          <w:rFonts w:ascii="Times New Roman;Times;Serif" w:hAnsi="Times New Roman;Times;Serif"/>
          <w:b w:val="false"/>
          <w:i w:val="false"/>
          <w:caps w:val="false"/>
          <w:smallCaps w:val="false"/>
          <w:sz w:val="20"/>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w:t>
      </w:r>
      <w:r>
        <w:rPr>
          <w:rFonts w:ascii="Times New Roman;Times;Serif" w:hAnsi="Times New Roman;Times;Serif"/>
          <w:b w:val="false"/>
          <w:i w:val="false"/>
          <w:caps w:val="false"/>
          <w:smallCaps w:val="false"/>
          <w:sz w:val="20"/>
        </w:rPr>
        <w:t>” shall mean Capital Stock and all warrants, options, or other rights to acquire Capital Stock, but excluding any debt security that is convertible into, or exchangeable for,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Offering</w:t>
      </w:r>
      <w:r>
        <w:rPr>
          <w:rFonts w:ascii="Times New Roman;Times;Serif" w:hAnsi="Times New Roman;Times;Serif"/>
          <w:b w:val="false"/>
          <w:i w:val="false"/>
          <w:caps w:val="false"/>
          <w:smallCaps w:val="false"/>
          <w:sz w:val="20"/>
        </w:rPr>
        <w:t>” 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S-8, (ii) issuances to any Subsidiary of Holdings or the Borrower, (iii) any such public or private sale that constitutes an Excluded Contribution and (iv) any Cure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shall mean the Employee Retirement Income Security Act of 1974,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shall mean any trade or business (whether or not incorporated) that, together with any Credit Party, is treated as a single employer under Section 414(b) or (c) of the Code (and Sections 414(m) and (o) of the Code for purposes of provisions relating to Section 412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 (within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or in Reorganization,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Excess Availability</w:t>
      </w:r>
      <w:r>
        <w:rPr>
          <w:rFonts w:ascii="Times New Roman;Times;Serif" w:hAnsi="Times New Roman;Times;Serif"/>
          <w:b w:val="false"/>
          <w:i w:val="false"/>
          <w:caps w:val="false"/>
          <w:smallCaps w:val="false"/>
          <w:sz w:val="20"/>
        </w:rPr>
        <w:t xml:space="preserve">” shall mean, at any time, the remainder of (a) the sum, without duplication, of (i) the Maximum Borrowing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Qualified Cash at such time,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aggregate Revolving Credit Exposures (including the Letter of Credit Exposure) of all Lenders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for the purposes of determining compliance with any financial test, or any determination of any threshold, in each case, in this Agreement requiring the usage of Excess Availability (or Average Excess Availability) as a component thereof, Qualified Cash shall constitute no greater than 50% of Excess Availability (or Average Excess Availability, as applicable) in the determination of the satisfaction of such test or threshold,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Account</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9.16(d)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Contribution</w:t>
      </w:r>
      <w:r>
        <w:rPr>
          <w:rFonts w:ascii="Times New Roman;Times;Serif" w:hAnsi="Times New Roman;Times;Serif"/>
          <w:b w:val="false"/>
          <w:i w:val="false"/>
          <w:caps w:val="false"/>
          <w:smallCaps w:val="false"/>
          <w:sz w:val="20"/>
        </w:rPr>
        <w:t xml:space="preserve">” shall mean net cash proceeds, the Fair Market Value of marketable securities, or the Fair Market Value of Qualified Proceeds received by the Borrower from (i) contributions to its common equity capital, and (ii) the sale (other than to a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non-cash assets shall qualify only if acquired by a parent of the Borrower in an arm’s-length transaction within the six months prior to such contribution and (ii) no Cure Amount shall constitute an Excluded Contribution.</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Property</w:t>
      </w:r>
      <w:r>
        <w:rPr>
          <w:rFonts w:ascii="Times New Roman;Times;Serif" w:hAnsi="Times New Roman;Times;Serif"/>
          <w:b w:val="false"/>
          <w:i w:val="false"/>
          <w:caps w:val="false"/>
          <w:smallCaps w:val="false"/>
          <w:sz w:val="20"/>
        </w:rPr>
        <w:t>” shall have the meaning set forth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Stock and Stock Equivalents</w:t>
      </w:r>
      <w:r>
        <w:rPr>
          <w:rFonts w:ascii="Times New Roman;Times;Serif" w:hAnsi="Times New Roman;Times;Serif"/>
          <w:b w:val="false"/>
          <w:i w:val="false"/>
          <w:caps w:val="false"/>
          <w:smallCaps w:val="false"/>
          <w:sz w:val="20"/>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Voting Stock and Stock Equivalents entitled to vote of any Foreign Subsidiary that is a CFC or any CFC Holding Company, any such Voting Stock or Stock Equivalents of any class of such Foreign Subsidiary or CFC Holding Company in excess of 66% of the total voting power of all such Voting Stock or Stock Equivalents of such Foreign Subsidiary or CFC Holding Company (provided that, for the avoidance of doubt, such 66% limitation shall not apply to (x) Capital Stock other than Voting Stock or (y) Stock Equivalents that are not entitled to vote), (iii) any Capital Stock or Stock Equivalents to the extent the pledge thereof would 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Times New Roman;Times;Serif" w:hAnsi="Times New Roman;Times;Serif"/>
          <w:b w:val="false"/>
          <w:i w:val="false"/>
          <w:caps w:val="false"/>
          <w:smallCaps w:val="false"/>
          <w:sz w:val="20"/>
          <w:u w:val="single"/>
        </w:rPr>
        <w:t>clause (ix)</w:t>
      </w:r>
      <w:r>
        <w:rPr>
          <w:rFonts w:ascii="Times New Roman;Times;Serif" w:hAnsi="Times New Roman;Times;Serif"/>
          <w:b w:val="false"/>
          <w:i w:val="false"/>
          <w:caps w:val="false"/>
          <w:smallCaps w:val="false"/>
          <w:sz w:val="20"/>
        </w:rPr>
        <w:t xml:space="preserve"> of the definition of “Permitted Lien” or (B) any Capital Stock or Stock Equivalents of any Subsidiary that is not Wholly-Owned by the Borrower and its Subsidiaries at the time such Subsidiary becomes a Subsidiary, any Capital Stock or Stock Equivalents of each such Subsidiary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shall not apply if (x) such other party is a Credit Party or Wholly-Owned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the Borrower or any Subsidiary or any direct or indirect parent entity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or any special purpose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Subsidiary</w:t>
      </w:r>
      <w:r>
        <w:rPr>
          <w:rFonts w:ascii="Times New Roman;Times;Serif" w:hAnsi="Times New Roman;Times;Serif"/>
          <w:b w:val="false"/>
          <w:i w:val="false"/>
          <w:caps w:val="false"/>
          <w:smallCaps w:val="false"/>
          <w:sz w:val="20"/>
        </w:rPr>
        <w:t xml:space="preserve">” shall mean (i) each Subsidiary, in each case, for so long as any such Subsidiary does not (on (x) a consolidated basis with its Restricted Subsidiaries, if determined on the Restatement Effective Date by reference to the Historical Financial Statements or (y) a consolidated basis with its Restricted Subsidiaries, if determined after the Restatement Effective Date by reference to the financial statements delivered to the Administrative Agent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constitute a Material Subsidiary, (ii) each Subsidiary that is not a Wholly-Owned Subsidiary on any date such Subsidiary would otherwise be required to become a Guarantor pursuant to the requirements of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(for so long as such Subsidiary remains a non-Wholly-Owned Restricted Subsidiary), (iii) any CFC Holding Company, (iv) any Subsidiary of a Foreign Subsidiary that is a CFC, (v) any Foreign Subsidiary, (vi) each Subsidiary that is prohibited by any applicable Contractual Requirement or Requirements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the Borrower, the consequence of providing a Guarantee of the Obligations would adversely affect the ability of the Borrower and its Subsidiaries to satisfy applicable Requirements of Law, (viii) each Subsidiary with respect to which, as reasonably determined by the Borrower in consultation with the Administrative Agent, providing such a Guarantee would result in material adverse tax consequences to the Borrower or any Subsidiary, (ix) any other Subsidiary with respect to which, in the 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and (xiii) each </w:t>
      </w:r>
      <w:r>
        <w:rPr>
          <w:rFonts w:ascii="Times New Roman;Times;Serif" w:hAnsi="Times New Roman;Times;Serif"/>
          <w:b w:val="false"/>
          <w:i w:val="false"/>
          <w:caps w:val="false"/>
          <w:smallCaps w:val="false"/>
          <w:strike/>
          <w:color w:val="FF0000"/>
          <w:sz w:val="20"/>
        </w:rPr>
        <w:t>SPV</w:t>
      </w:r>
      <w:r>
        <w:rPr>
          <w:rFonts w:ascii="Times New Roman;Times;Serif" w:hAnsi="Times New Roman;Times;Serif"/>
          <w:b w:val="false"/>
          <w:i w:val="false"/>
          <w:caps w:val="false"/>
          <w:smallCaps w:val="false"/>
          <w:color w:val="0000FF"/>
          <w:sz w:val="20"/>
          <w:u w:val="single"/>
          <w:bdr w:val="single" w:sz="8" w:space="1" w:color="0000FF"/>
        </w:rPr>
        <w:t>special purpose vehicles (including, for the avoidance of doubt, captive insurance subsidiaries)</w:t>
      </w:r>
      <w:r>
        <w:rPr>
          <w:rFonts w:ascii="Times New Roman;Times;Serif" w:hAnsi="Times New Roman;Times;Serif"/>
          <w:b w:val="false"/>
          <w:i w:val="false"/>
          <w:caps w:val="false"/>
          <w:smallCaps w:val="false"/>
          <w:sz w:val="20"/>
        </w:rPr>
        <w:t xml:space="preserve"> or not-for-profit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Swap Obligation</w:t>
      </w:r>
      <w:r>
        <w:rPr>
          <w:rFonts w:ascii="Times New Roman;Times;Serif" w:hAnsi="Times New Roman;Times;Serif"/>
          <w:b w:val="false"/>
          <w:i w:val="false"/>
          <w:caps w:val="false"/>
          <w:smallCaps w:val="false"/>
          <w:sz w:val="20"/>
        </w:rPr>
        <w:t>” shall mean, with respect to the Borrower or any Subsidiary Credit Party, (a) any Swap Obligation if, and to the extent that, all or a portion of the Obligations of such Person of, or the grant by such Person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Persons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xml:space="preserve">” shall mean, with respect to the Administrative Agent, any Lender, or any other recipient of any payment to be made by or on account of any obligation of any Credit Party hereunder or under any other Credit Document, (i) any Taxes imposed on or measured by such recipient’s overall net income, net profits, or branch profits (however denominated), and franchise (and similar) Taxes imposed on such recipient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between such recipient and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(ii) any U.S. federal withholding Tax imposed on any payment by or on account of any obligation of any Credit Party hereunder or under any Credit Document that is required to be imposed on amounts payable to or for the account of a Lender with respect to an applicable interest in a Loan or Commitment pursuant to laws in force at the time such Lender (a) acquires such interest in the applicable Loan or Commitment or (b) designates a new lending office, other than in the case of a Lender that is an assignee pursuant to a request by the Borrower under </w:t>
      </w: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 xml:space="preserve"> (or that designates a new lending office pursuant to a request by the Borrower), except in each case to the extent that amounts with respect to such withholding Tax were payable pursuant to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either to such Lender’s assignor immediately before such Lender acquired the applicable interest in a Loan or Commitment or to such Lender immediately before such Lender designated a new lending office,(iii) any Taxes attributable to such recipient’s failure to comply with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or (iv) any withholding Tax imposed under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ABL Facility</w:t>
      </w:r>
      <w:r>
        <w:rPr>
          <w:rFonts w:ascii="Times New Roman;Times;Serif" w:hAnsi="Times New Roman;Times;Serif"/>
          <w:b w:val="false"/>
          <w:i w:val="false"/>
          <w:caps w:val="false"/>
          <w:smallCaps w:val="false"/>
          <w:sz w:val="20"/>
        </w:rPr>
        <w:t>” shall mean that certain Credit Agreement, dated as of July 2, 2015, by and among the Borrower, certain of the Borrower’s subsidiaries, the lenders from time to time party thereto, and JPMorgan Chase Bank, N.A., as administrative agent, as amended, restated, amended and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Debt Facilities</w:t>
      </w:r>
      <w:r>
        <w:rPr>
          <w:rFonts w:ascii="Times New Roman;Times;Serif" w:hAnsi="Times New Roman;Times;Serif"/>
          <w:b w:val="false"/>
          <w:i w:val="false"/>
          <w:caps w:val="false"/>
          <w:smallCaps w:val="false"/>
          <w:sz w:val="20"/>
        </w:rPr>
        <w:t>” shall mean the Existing Term Loan Facility and the Existing ABL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Letters of Credit</w:t>
      </w:r>
      <w:r>
        <w:rPr>
          <w:rFonts w:ascii="Times New Roman;Times;Serif" w:hAnsi="Times New Roman;Times;Serif"/>
          <w:b w:val="false"/>
          <w:i w:val="false"/>
          <w:caps w:val="false"/>
          <w:smallCaps w:val="false"/>
          <w:sz w:val="20"/>
        </w:rPr>
        <w:t xml:space="preserve">” shall mean each letter of credit existing on the Closing Date and identified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Loan Facility</w:t>
      </w:r>
      <w:r>
        <w:rPr>
          <w:rFonts w:ascii="Times New Roman;Times;Serif" w:hAnsi="Times New Roman;Times;Serif"/>
          <w:b w:val="false"/>
          <w:i w:val="false"/>
          <w:caps w:val="false"/>
          <w:smallCaps w:val="false"/>
          <w:sz w:val="20"/>
        </w:rPr>
        <w:t>” shall mean the Credit Agreement, dated as of August 3, 2011, by and among the Borrower, the lenders party thereto and Morgan Stanley Senior Funding, Inc., as administrative agent and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Expiring Credit Commitment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Extenuating Circumstance</w:t>
      </w:r>
      <w:r>
        <w:rPr>
          <w:rFonts w:ascii="Times New Roman;Times;Serif" w:hAnsi="Times New Roman;Times;Serif"/>
          <w:b w:val="false"/>
          <w:i w:val="false"/>
          <w:caps w:val="false"/>
          <w:smallCaps w:val="false"/>
          <w:sz w:val="20"/>
        </w:rPr>
        <w:t xml:space="preserve">” means any period during which the Administrative Agent has determined in its sole discretion (a) that due to unforeseen and/or nonrecurring circumstances, it is impractical and/or not feasible to submit or receive a Notice of Borrowing or a Notice of Conversion or Continuation by email or fax or through electronic system as provided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and (b) to accept a Notice of Borrowing or Notice of Conversion or Continuation telephonically.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successor version described above), any intergovernmental agreements (or related legislation or official administrative rules or practices) implementing the foregoing, and any laws, fiscal or regulatory legislation, rules, guidance notes and practices adopted by a U.S. or non-U.S. jurisdiction to effect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Funds Effective Rate</w:t>
      </w:r>
      <w:r>
        <w:rPr>
          <w:rFonts w:ascii="Times New Roman;Times;Serif" w:hAnsi="Times New Roman;Times;Serif"/>
          <w:b w:val="false"/>
          <w:i w:val="false"/>
          <w:caps w:val="false"/>
          <w:smallCaps w:val="false"/>
          <w:sz w:val="20"/>
        </w:rPr>
        <w:t>” 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0%, such rate shall be deemed to be 0% for the purposes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Reserve Board</w:t>
      </w:r>
      <w:r>
        <w:rPr>
          <w:rFonts w:ascii="Times New Roman;Times;Serif" w:hAnsi="Times New Roman;Times;Serif"/>
          <w:b w:val="false"/>
          <w:i w:val="false"/>
          <w:caps w:val="false"/>
          <w:smallCaps w:val="false"/>
          <w:sz w:val="20"/>
        </w:rPr>
        <w:t>” shall mean the Board of Governors of the Federal Reserve System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xml:space="preserve">” shall mean all amounts payable pursuant to, or referred to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Financed Capital Expenditures</w:t>
      </w:r>
      <w:r>
        <w:rPr>
          <w:rFonts w:ascii="Times New Roman;Times;Serif" w:hAnsi="Times New Roman;Times;Serif"/>
          <w:b w:val="false"/>
          <w:i w:val="false"/>
          <w:caps w:val="false"/>
          <w:smallCaps w:val="false"/>
          <w:sz w:val="20"/>
        </w:rPr>
        <w:t xml:space="preserve">” shall mean, with respect to any Person and for any period, Capital Expenditures made by such Person during such period that are financed with the proceeds of Indebtedness (other than Revolving Loans) or net cash proceeds of any incurrence or issuance of Indebtedness or any issuance of Equity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each case such net cash proceeds are received substantially contemporaneously with any such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Officer</w:t>
      </w:r>
      <w:r>
        <w:rPr>
          <w:rFonts w:ascii="Times New Roman;Times;Serif" w:hAnsi="Times New Roman;Times;Serif"/>
          <w:b w:val="false"/>
          <w:i w:val="false"/>
          <w:caps w:val="false"/>
          <w:smallCaps w:val="false"/>
          <w:sz w:val="20"/>
        </w:rPr>
        <w:t>” means the chief financial officer, principal accounting officer, treasurer, controller or other similar officer of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Lien Intercreditor Agreement</w:t>
      </w:r>
      <w:r>
        <w:rPr>
          <w:rFonts w:ascii="Times New Roman;Times;Serif" w:hAnsi="Times New Roman;Times;Serif"/>
          <w:b w:val="false"/>
          <w:i w:val="false"/>
          <w:caps w:val="false"/>
          <w:smallCaps w:val="false"/>
          <w:sz w:val="20"/>
        </w:rPr>
        <w:t xml:space="preserve">” shall mean an Intercreditor Agreement substantially in the form of </w:t>
      </w:r>
      <w:r>
        <w:rPr>
          <w:rFonts w:ascii="Times New Roman;Times;Serif" w:hAnsi="Times New Roman;Times;Serif"/>
          <w:b w:val="false"/>
          <w:i w:val="false"/>
          <w:caps w:val="false"/>
          <w:smallCaps w:val="false"/>
          <w:sz w:val="20"/>
          <w:u w:val="single"/>
        </w:rPr>
        <w:t>Exhibit I-1</w:t>
      </w:r>
      <w:r>
        <w:rPr>
          <w:rFonts w:ascii="Times New Roman;Times;Serif" w:hAnsi="Times New Roman;Times;Serif"/>
          <w:b w:val="false"/>
          <w:i w:val="false"/>
          <w:caps w:val="false"/>
          <w:smallCaps w:val="false"/>
          <w:sz w:val="20"/>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Lien Obligations</w:t>
      </w:r>
      <w:r>
        <w:rPr>
          <w:rFonts w:ascii="Times New Roman;Times;Serif" w:hAnsi="Times New Roman;Times;Serif"/>
          <w:b w:val="false"/>
          <w:i w:val="false"/>
          <w:caps w:val="false"/>
          <w:smallCaps w:val="false"/>
          <w:sz w:val="20"/>
        </w:rPr>
        <w:t>” shall mean the Obligations that are secured by Liens on the Collateral that rank on an equal priority basis (but without regard to the control of remedies) with Liens on the Collateral securing the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Charge Coverage Ratio</w:t>
      </w:r>
      <w:r>
        <w:rPr>
          <w:rFonts w:ascii="Times New Roman;Times;Serif" w:hAnsi="Times New Roman;Times;Serif"/>
          <w:b w:val="false"/>
          <w:i w:val="false"/>
          <w:caps w:val="false"/>
          <w:smallCaps w:val="false"/>
          <w:sz w:val="20"/>
        </w:rPr>
        <w:t xml:space="preserve">” shall mean the ratio of (a) (1) Consolidated EBITDA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(2) cash taxes based on income, profits or capital, including federal, foreign, state, franchise, excise and similar taxes (including in respect of repatriated funds), net of cash refunds received, of the Borrower and its Restricted Subsidiaries paid in cash during such Test Period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(3) Capital Expenditures paid in cash during the applicable Test Period (other than Financed Capital Expenditures) to (b) Fixed Charges, all calculated for such period for the Borrower and its Restricted Subsidiaries on a consolidated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Fixed Charges</w:t>
      </w:r>
      <w:r>
        <w:rPr>
          <w:rFonts w:ascii="Times New Roman;Times;Serif" w:hAnsi="Times New Roman;Times;Serif"/>
          <w:b w:val="false"/>
          <w:i w:val="false"/>
          <w:caps w:val="false"/>
          <w:smallCaps w:val="false"/>
          <w:sz w:val="20"/>
        </w:rPr>
        <w:t>” shall mean, with respect to any Person for any period, the sum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Consolidated Interest Expense of such Person and its Restricted Subsidiaries on a consolidated basis for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scheduled principal payments in respect of long term Consolidated Total Debt of the Borrower and its Restricted Subsidiaries made during such period (other than payments made by the Borrower or any Restricted Subsidiary to the Borrower or a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cash dividend payments (excluding items eliminated in consolidation) on any series of preferred stock (including any Designated Preferred Stock) or any Refunding Capital Stock of such Person made during such period,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cash dividend payments (excluding items eliminated in consolidation) on any series of Disqualified Stock made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Flood Insurance Laws</w:t>
      </w:r>
      <w:r>
        <w:rPr>
          <w:rFonts w:ascii="Times New Roman;Times;Serif" w:hAnsi="Times New Roman;Times;Serif"/>
          <w:b w:val="false"/>
          <w:i w:val="false"/>
          <w:caps w:val="false"/>
          <w:smallCaps w:val="false"/>
          <w:sz w:val="20"/>
        </w:rPr>
        <w:t>” shall mean,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shall mean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Benefit Arrangement</w:t>
      </w:r>
      <w:r>
        <w:rPr>
          <w:rFonts w:ascii="Times New Roman;Times;Serif" w:hAnsi="Times New Roman;Times;Serif"/>
          <w:b w:val="false"/>
          <w:i w:val="false"/>
          <w:caps w:val="false"/>
          <w:smallCaps w:val="false"/>
          <w:sz w:val="20"/>
        </w:rPr>
        <w:t>” shall mean any employee benefit arrangement mandated by non-U.S. law that is maintained or contributed to by any Credit Party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shall mean each “employee benefit plan” (within the meaning of Section 3(3) of ERISA, whether or not subject to ERISA) that is not subject to U.S. law and is maintained or contributed to by any Credit Party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Plan Event</w:t>
      </w:r>
      <w:r>
        <w:rPr>
          <w:rFonts w:ascii="Times New Roman;Times;Serif" w:hAnsi="Times New Roman;Times;Serif"/>
          <w:b w:val="false"/>
          <w:i w:val="false"/>
          <w:caps w:val="false"/>
          <w:smallCaps w:val="false"/>
          <w:sz w:val="20"/>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shall mean each Subsidiary of the Borrower that is not a Domestic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Fronting Exposure</w:t>
      </w:r>
      <w:r>
        <w:rPr>
          <w:rFonts w:ascii="Times New Roman;Times;Serif" w:hAnsi="Times New Roman;Times;Serif"/>
          <w:b w:val="false"/>
          <w:i w:val="false"/>
          <w:caps w:val="false"/>
          <w:smallCaps w:val="false"/>
          <w:sz w:val="20"/>
        </w:rPr>
        <w:t>” shall mean, at any time there is a Defaulting Lender, with respect to the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Fronting Fee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shall mean any Person (other than a natural Person) that is engaged or advises funds or other investment vehicles that are engaged in making, purchasing, holding, or investing in commercial loans and similar extensions of credit in the ordinary 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shall mean generally accepted accounting principles in the United States,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the Borrower may elect to apply International Financial Reporting Standards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any such election, once made,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General Intangible</w:t>
      </w:r>
      <w:r>
        <w:rPr>
          <w:rFonts w:ascii="Times New Roman;Times;Serif" w:hAnsi="Times New Roman;Times;Serif"/>
          <w:b w:val="false"/>
          <w:i w:val="false"/>
          <w:caps w:val="false"/>
          <w:smallCaps w:val="false"/>
          <w:sz w:val="20"/>
        </w:rPr>
        <w:t>” has the meaning provided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body exercising such powers or functions, such as the European Union or the European Central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Granting Lender</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shall mean (i) the ABL Holdings Guarantee made by Holdings, the Texas Intermediate Holdcos and each other Intermediate Holdco (subject to Section 9.14), substantially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and the Amended and Restated ABL Guarantee made by each other Guarantor, substantially in the form of </w:t>
      </w:r>
      <w:r>
        <w:rPr>
          <w:rFonts w:ascii="Times New Roman;Times;Serif" w:hAnsi="Times New Roman;Times;Serif"/>
          <w:b w:val="false"/>
          <w:i w:val="false"/>
          <w:caps w:val="false"/>
          <w:smallCaps w:val="false"/>
          <w:sz w:val="20"/>
          <w:u w:val="single"/>
        </w:rPr>
        <w:t>Exhibit B-2</w:t>
      </w:r>
      <w:r>
        <w:rPr>
          <w:rFonts w:ascii="Times New Roman;Times;Serif" w:hAnsi="Times New Roman;Times;Serif"/>
          <w:b w:val="false"/>
          <w:i w:val="false"/>
          <w:caps w:val="false"/>
          <w:smallCaps w:val="false"/>
          <w:sz w:val="20"/>
        </w:rPr>
        <w:t>, in favor of the Collateral Agent for the benefit of the Secured Parties and (ii) any other guarantee of the Obligations made by any Subsidiary of Holdings or a Restricted Subsidiary in form and substance reasonably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 obligations</w:t>
      </w:r>
      <w:r>
        <w:rPr>
          <w:rFonts w:ascii="Times New Roman;Times;Serif" w:hAnsi="Times New Roman;Times;Serif"/>
          <w:b w:val="false"/>
          <w:i w:val="false"/>
          <w:caps w:val="false"/>
          <w:smallCaps w:val="false"/>
          <w:sz w:val="20"/>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xml:space="preserve">” shall mean (i) each Subsidiary of the Borrower that is party to the Guarantee on the Restatement Effective Date, (ii) each Subsidiary of Holdings that becomes a party to the Guarantee after the Restatement Effective Date pursuant to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or otherwise and (iii) Holdings and the Texas Intermediate Holdcos;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 no event shall any Excluded Subsidiary be required to be a Guarantor (unless such Subsidiary is no longer an Excluded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Hedge Agreements</w:t>
      </w:r>
      <w:r>
        <w:rPr>
          <w:rFonts w:ascii="Times New Roman;Times;Serif" w:hAnsi="Times New Roman;Times;Serif"/>
          <w:b w:val="false"/>
          <w:i w:val="false"/>
          <w:caps w:val="false"/>
          <w:smallCaps w:val="false"/>
          <w:sz w:val="20"/>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i w:val="false"/>
          <w:caps w:val="false"/>
          <w:smallCaps w:val="false"/>
          <w:sz w:val="20"/>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Hedge Bank</w:t>
      </w:r>
      <w:r>
        <w:rPr>
          <w:rFonts w:ascii="Times New Roman;Times;Serif" w:hAnsi="Times New Roman;Times;Serif"/>
          <w:b w:val="false"/>
          <w:i w:val="false"/>
          <w:caps w:val="false"/>
          <w:smallCaps w:val="false"/>
          <w:sz w:val="20"/>
        </w:rPr>
        <w:t xml:space="preserve">” shall mean (i) (a) any Person that, at the time it enters into a Hedge Agreement with the Borrower or any Restricted Subsidiary,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Times New Roman;Times;Serif" w:hAnsi="Times New Roman;Times;Serif"/>
          <w:b w:val="false"/>
          <w:i w:val="false"/>
          <w:caps w:val="false"/>
          <w:smallCaps w:val="false"/>
          <w:sz w:val="20"/>
          <w:u w:val="single"/>
        </w:rPr>
        <w:t>Exhibit M-1</w:t>
      </w:r>
      <w:r>
        <w:rPr>
          <w:rFonts w:ascii="Times New Roman;Times;Serif" w:hAnsi="Times New Roman;Times;Serif"/>
          <w:b w:val="false"/>
          <w:i w:val="false"/>
          <w:caps w:val="false"/>
          <w:smallCaps w:val="false"/>
          <w:sz w:val="20"/>
        </w:rPr>
        <w:t xml:space="preserve"> or such other form reasonably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Hedge Termination Value</w:t>
      </w:r>
      <w:r>
        <w:rPr>
          <w:rFonts w:ascii="Times New Roman;Times;Serif" w:hAnsi="Times New Roman;Times;Serif"/>
          <w:b w:val="false"/>
          <w:i w:val="false"/>
          <w:caps w:val="false"/>
          <w:smallCaps w:val="false"/>
          <w:sz w:val="20"/>
        </w:rPr>
        <w:t xml:space="preserve">” shall mean, in respect of any one or more Secured Hedge Obligations, after taking into account the effect of any legally enforceable netting agreement relating to such Secured Hedge Obligations, (a) for any date on or after the date such Secured Hedge Obligations have been closed out and termination value(s) determined in accordance therewith, such termination value(s), and (b) for any date prior to the date referenced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the amount(s) determined as the mark-to-market value(s) or maximum peak exposure value for such Secured Hedge Obligations, as determined based upon customary industry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Hedging Obligations</w:t>
      </w:r>
      <w:r>
        <w:rPr>
          <w:rFonts w:ascii="Times New Roman;Times;Serif" w:hAnsi="Times New Roman;Times;Serif"/>
          <w:b w:val="false"/>
          <w:i w:val="false"/>
          <w:caps w:val="false"/>
          <w:smallCaps w:val="false"/>
          <w:sz w:val="20"/>
        </w:rPr>
        <w:t>” shall mean, with respect to any Person, the obligations of such Person under any Hedge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Historical Financial Statements</w:t>
      </w:r>
      <w:r>
        <w:rPr>
          <w:rFonts w:ascii="Times New Roman;Times;Serif" w:hAnsi="Times New Roman;Times;Serif"/>
          <w:b w:val="false"/>
          <w:i w:val="false"/>
          <w:caps w:val="false"/>
          <w:smallCaps w:val="false"/>
          <w:sz w:val="20"/>
        </w:rPr>
        <w:t>” shall mean the audited consolidated balance sheet of the Borrower and its Subsidiaries for the fiscal years ended February 2, 2013, February 1, 2014 and January 31, 2015, and the related consolidated statements of income or operations, shareholders’ equity and cash flows for such fiscal years of Holdings and its Subsidiaries, including the notes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shall mean (i) New Academy Holding Company, LLC or (ii) after the Restatement Effective Date, any other Person or Persons (“</w:t>
      </w:r>
      <w:r>
        <w:rPr>
          <w:rFonts w:ascii="Times New Roman;Times;Serif" w:hAnsi="Times New Roman;Times;Serif"/>
          <w:b/>
          <w:i w:val="false"/>
          <w:caps w:val="false"/>
          <w:smallCaps w:val="false"/>
          <w:sz w:val="20"/>
        </w:rPr>
        <w:t>New Holdings</w:t>
      </w:r>
      <w:r>
        <w:rPr>
          <w:rFonts w:ascii="Times New Roman;Times;Serif" w:hAnsi="Times New Roman;Times;Serif"/>
          <w:b w:val="false"/>
          <w:i w:val="false"/>
          <w:caps w:val="false"/>
          <w:smallCaps w:val="false"/>
          <w:sz w:val="20"/>
        </w:rPr>
        <w:t>”) that is a Subsidiary of Holdings or of any Parent Entity of Holdings (or the previous New Holdings, as the case may be) but not the Borrower (“</w:t>
      </w:r>
      <w:r>
        <w:rPr>
          <w:rFonts w:ascii="Times New Roman;Times;Serif" w:hAnsi="Times New Roman;Times;Serif"/>
          <w:b/>
          <w:i w:val="false"/>
          <w:caps w:val="false"/>
          <w:smallCaps w:val="false"/>
          <w:sz w:val="20"/>
        </w:rPr>
        <w:t>Previous Holdings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 such New Holdings directly or indirectly through Intermediate Holdcos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(e) (i) no Event of Default has occurred and is continuing at the time of such substitution and such substitution does not result in any Event of Default and (f) no Change of Control shall have occurred and (ii) such substitution does not result in any adverse tax consequences to any Lender (unless reimbursed hereunder) or to the Administrative Agent (unless reimbursed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each of the foregoing is satisfied, Previous Holdings shall be automatically released of all its obligations under the Credit Documents and any reference to “Holdings” in the Credit Documents shall be meant to refer to New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ICC</w:t>
      </w:r>
      <w:r>
        <w:rPr>
          <w:rFonts w:ascii="Times New Roman;Times;Serif" w:hAnsi="Times New Roman;Times;Serif"/>
          <w:b w:val="false"/>
          <w:i w:val="false"/>
          <w:caps w:val="false"/>
          <w:smallCaps w:val="false"/>
          <w:sz w:val="20"/>
        </w:rPr>
        <w:t>” shall have the meaning provided in the definition of “UCP”.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shall have the meaning given to such term in the definition of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Impacted Loans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2.10(a)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Commitment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Facility Amendment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2.15(b)(ii)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Lender</w:t>
      </w:r>
      <w:r>
        <w:rPr>
          <w:rFonts w:ascii="Times New Roman;Times;Serif" w:hAnsi="Times New Roman;Times;Serif"/>
          <w:b w:val="false"/>
          <w:i w:val="false"/>
          <w:caps w:val="false"/>
          <w:smallCaps w:val="false"/>
          <w:sz w:val="20"/>
        </w:rPr>
        <w:t xml:space="preserve">” shall mean, at any time, any bank or other financial institution (including any such bank or financial institution that is a Lender at such time) that agrees to provide any portion of any Incremental Commitment pursuant to an Incremental Facility Amendment in accordance with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Credit Loan</w:t>
      </w:r>
      <w:r>
        <w:rPr>
          <w:rFonts w:ascii="Times New Roman;Times;Serif" w:hAnsi="Times New Roman;Times;Serif"/>
          <w:b w:val="false"/>
          <w:i w:val="false"/>
          <w:caps w:val="false"/>
          <w:smallCaps w:val="false"/>
          <w:sz w:val="20"/>
        </w:rPr>
        <w:t xml:space="preserve">” shall mean any loan made pursuant to an Incremental Facility Amendment in accordance with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Revolving Credit Maturity Date</w:t>
      </w:r>
      <w:r>
        <w:rPr>
          <w:rFonts w:ascii="Times New Roman;Times;Serif" w:hAnsi="Times New Roman;Times;Serif"/>
          <w:b w:val="false"/>
          <w:i w:val="false"/>
          <w:caps w:val="false"/>
          <w:smallCaps w:val="false"/>
          <w:sz w:val="20"/>
        </w:rPr>
        <w:t>” shall mean the date on which any tranche of Revolving Credit Loans made pursuant to the Lenders’ Incremental Commitments matures.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incur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incurrence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Indebtedness of any direct or indirect parent company appearing upon the balance sheet of the Borrower solely by reason of push down accounting under GAAP shall be excluded, (ii) to the extent not otherwise included, any obligation by such Person to be liable for, or to pay, as obligor, guarantor or otherwise, on the obligations of the type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another Person secured by a Lien on any asset owned by such Person, whether or not such Indebtedness is assumed by such Person;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hereof, the Indebtedness of the Borrower and the Restricted Subsidiaries, shall exclude all intercompany Indebtedness having a term not exceeding 365 days (inclusive of any roll-over or extensions of terms) and made in the ordinary course of business consistent with past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shall mean all Taxes imposed on or with respect to any payment by or on account of any obligation of any Credit Party hereunder or under any other Credit Document, other than Excluded Taxes or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shall mean, with respect to any Multiemployer Plan, the condition that such Multiemployer Plan is “insolvent” within the meaning of Section 4245 of ERISA.</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shall mean U.S.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Internet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divisionals, re-issues, re-examinations, or similar legal protections related to the foregoing.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xml:space="preserve">” shall mean, with respect to any Loan, the interest period applicable thereto, as determined pursuant to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Intermediate Holdcos</w:t>
      </w:r>
      <w:r>
        <w:rPr>
          <w:rFonts w:ascii="Times New Roman;Times;Serif" w:hAnsi="Times New Roman;Times;Serif"/>
          <w:b w:val="false"/>
          <w:i w:val="false"/>
          <w:caps w:val="false"/>
          <w:smallCaps w:val="false"/>
          <w:sz w:val="20"/>
        </w:rPr>
        <w:t xml:space="preserve">” shall mean the Texas Intermediate Holdcos and any other Subsidiary of Holdings that becomes a party to the Guarantee in the form of </w:t>
      </w:r>
      <w:r>
        <w:rPr>
          <w:rFonts w:ascii="Times New Roman;Times;Serif" w:hAnsi="Times New Roman;Times;Serif"/>
          <w:b w:val="false"/>
          <w:i w:val="false"/>
          <w:caps w:val="false"/>
          <w:smallCaps w:val="false"/>
          <w:sz w:val="20"/>
          <w:u w:val="single"/>
        </w:rPr>
        <w:t>Exhibit B-1</w:t>
      </w:r>
      <w:r>
        <w:rPr>
          <w:rFonts w:ascii="Times New Roman;Times;Serif" w:hAnsi="Times New Roman;Times;Serif"/>
          <w:b w:val="false"/>
          <w:i w:val="false"/>
          <w:caps w:val="false"/>
          <w:smallCaps w:val="false"/>
          <w:sz w:val="20"/>
        </w:rPr>
        <w:t xml:space="preserve"> after the Restatement Effective Date pursuant to </w:t>
      </w:r>
      <w:r>
        <w:rPr>
          <w:rFonts w:ascii="Times New Roman;Times;Serif" w:hAnsi="Times New Roman;Times;Serif"/>
          <w:b w:val="false"/>
          <w:i w:val="false"/>
          <w:caps w:val="false"/>
          <w:smallCaps w:val="false"/>
          <w:sz w:val="20"/>
          <w:u w:val="single"/>
        </w:rPr>
        <w:t>Section 9.11(y)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shall have the meaning assigned to such term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Investments shall not include, in the case of the Borrower and the Restricted Subsidiaries, intercompany loans (including guarantees), advances, or Indebtedness having a term not exceeding 364 days (inclusive of any roll-over or extensions of terms) and made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definition of “Unrestricted Subsidiary” and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a redesignation of such Subsidiary as a Restricted Subsidiary, the Borrower shall be deemed to continue to have a permanent Investment in an Unrestricted Subsidiary in an amount (if positive) equal to (a) the Borrower’s Investment in such Subsidiary at the time of such redesignation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(b) the portion (proportionate to the Borrower’s equity interest in such Subsidiary) of the Fair Market Value of the net assets of such Subsidiary at the time of such redesignation;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property transferred to or from an Unrestricted Subsidiary shall be valued at its Fair Market Value at the time of such transfer.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Investment outstanding at any time shall be the original cost of such Investment, reduced by any dividend, distribution, interest payment, return of capital, repayment, or other amount received by the Borrower or a Restricted Subsidiary in respect of such Investment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with respect to amounts received other than in the form of Cash Equivalents, such amount shall be equal to the Fair Market Value of such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Grade Rating</w:t>
      </w:r>
      <w:r>
        <w:rPr>
          <w:rFonts w:ascii="Times New Roman;Times;Serif" w:hAnsi="Times New Roman;Times;Serif"/>
          <w:b w:val="false"/>
          <w:i w:val="false"/>
          <w:caps w:val="false"/>
          <w:smallCaps w:val="false"/>
          <w:sz w:val="20"/>
        </w:rPr>
        <w:t>” shall mean a rating equal to or higher than Baa3 (or the equivalent) by Moody’s and BBB- (or the equivalent) by S&amp;P, or an equivalent rating by any other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 Grade Securities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securities issued or directly and fully guaranteed or insured by the United States government or any agency or instrumentality thereof (other than Cash Equivalents),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debt securities or debt instruments with an Investment Grade Rating, but excluding any debt securities or instruments constituting loans or advances among a the Borrower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investments in any fund that invest at least 90% in investments of the type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which fund may also hold immaterial amounts of cash pending investment or distribution,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corresponding instruments in countries other than the United States customarily utilized for high-quality investments.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shall mean the initial public offering of common Equity Interests in a parent entity of Holdings that was consummated on October 1,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ISP</w:t>
      </w:r>
      <w:r>
        <w:rPr>
          <w:rFonts w:ascii="Times New Roman;Times;Serif" w:hAnsi="Times New Roman;Times;Serif"/>
          <w:b w:val="false"/>
          <w:i w:val="false"/>
          <w:caps w:val="false"/>
          <w:smallCaps w:val="false"/>
          <w:sz w:val="20"/>
        </w:rPr>
        <w:t>” shall mean, with respect to any Letter of Credit, the “International Standby Practices 1998” published by the Institute of International Banking Law &amp; Practice (or such later version thereof as may be in effect at the time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Documents</w:t>
      </w:r>
      <w:r>
        <w:rPr>
          <w:rFonts w:ascii="Times New Roman;Times;Serif" w:hAnsi="Times New Roman;Times;Serif"/>
          <w:b w:val="false"/>
          <w:i w:val="false"/>
          <w:caps w:val="false"/>
          <w:smallCaps w:val="false"/>
          <w:sz w:val="20"/>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Joint Lead Arrangers and Bookrunners</w:t>
      </w:r>
      <w:r>
        <w:rPr>
          <w:rFonts w:ascii="Times New Roman;Times;Serif" w:hAnsi="Times New Roman;Times;Serif"/>
          <w:b w:val="false"/>
          <w:i w:val="false"/>
          <w:caps w:val="false"/>
          <w:smallCaps w:val="false"/>
          <w:sz w:val="20"/>
        </w:rPr>
        <w:t>” shall mean JPMorgan Chase Bank, N.A., Wells Fargo Bank, National Association, Bank of America, N.A., PNC Bank, National Association and U.S. Bank National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Junior Debt</w:t>
      </w:r>
      <w:r>
        <w:rPr>
          <w:rFonts w:ascii="Times New Roman;Times;Serif" w:hAnsi="Times New Roman;Times;Serif"/>
          <w:b w:val="false"/>
          <w:i w:val="false"/>
          <w:caps w:val="false"/>
          <w:smallCaps w:val="false"/>
          <w:sz w:val="20"/>
        </w:rPr>
        <w:t>” shall mean any Indebtedness (other than any permitted intercompany Indebtedness owing to the Borrower or any Restricted Subsidiary) in respect of Subordinated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Borrowing</w:t>
      </w:r>
      <w:r>
        <w:rPr>
          <w:rFonts w:ascii="Times New Roman;Times;Serif" w:hAnsi="Times New Roman;Times;Serif"/>
          <w:b w:val="false"/>
          <w:i w:val="false"/>
          <w:caps w:val="false"/>
          <w:smallCaps w:val="false"/>
          <w:sz w:val="20"/>
        </w:rPr>
        <w:t>” shall mean an extension of credit resulting from a drawing under any Letter of Credit which has not been reimbursed on the date when made or refinanced as a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Facility Maturity Date</w:t>
      </w:r>
      <w:r>
        <w:rPr>
          <w:rFonts w:ascii="Times New Roman;Times;Serif" w:hAnsi="Times New Roman;Times;Serif"/>
          <w:b w:val="false"/>
          <w:i w:val="false"/>
          <w:caps w:val="false"/>
          <w:smallCaps w:val="false"/>
          <w:sz w:val="20"/>
        </w:rPr>
        <w:t xml:space="preserve">” shall mean the date that is five Business Days prior to the Revolving Credit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L/C Facility Maturity Date may be extended beyond such date with the consent of the applicable Letter of Credit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Obligations</w:t>
      </w:r>
      <w:r>
        <w:rPr>
          <w:rFonts w:ascii="Times New Roman;Times;Serif" w:hAnsi="Times New Roman;Times;Serif"/>
          <w:b w:val="false"/>
          <w:i w:val="false"/>
          <w:caps w:val="false"/>
          <w:smallCaps w:val="false"/>
          <w:sz w:val="20"/>
        </w:rPr>
        <w:t xml:space="preserve">” shall mean, as at any date of determination, the aggregate amount available to be drawn under all outstanding Letters of Credit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aggregate of all Unpaid Drawings, including all L/C Borrowings.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Participant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Participation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 Sublimit</w:t>
      </w:r>
      <w:r>
        <w:rPr>
          <w:rFonts w:ascii="Times New Roman;Times;Serif" w:hAnsi="Times New Roman;Times;Serif"/>
          <w:b w:val="false"/>
          <w:i w:val="false"/>
          <w:caps w:val="false"/>
          <w:smallCaps w:val="false"/>
          <w:sz w:val="20"/>
        </w:rPr>
        <w:t>” shall mean up to $40,000,000 aggregate amount of Letters of Credit that may be issued under the Revolving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Out Tranche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Latest Maturity Date</w:t>
      </w:r>
      <w:r>
        <w:rPr>
          <w:rFonts w:ascii="Times New Roman;Times;Serif" w:hAnsi="Times New Roman;Times;Serif"/>
          <w:b w:val="false"/>
          <w:i w:val="false"/>
          <w:caps w:val="false"/>
          <w:smallCaps w:val="false"/>
          <w:sz w:val="20"/>
        </w:rPr>
        <w:t>” shall mean, at any date of determination, the latest maturity or expiration date applicable to any Loan hereunder at such time as extended in accordance with this Agreement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LCT Election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LCT Test Date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1.12(b)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shall have the meaning provided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 Default</w:t>
      </w:r>
      <w:r>
        <w:rPr>
          <w:rFonts w:ascii="Times New Roman;Times;Serif" w:hAnsi="Times New Roman;Times;Serif"/>
          <w:b w:val="false"/>
          <w:i w:val="false"/>
          <w:caps w:val="false"/>
          <w:smallCaps w:val="false"/>
          <w:sz w:val="20"/>
        </w:rPr>
        <w:t xml:space="preserve">” shall mean (i) the refusal or failure of any Lender to make available its portion of any incurrence of Loans or Reimbursement Obligations, which refusal or failure is not cured within two business days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Letter of Credit Issuer or any other Lender any other amount required to be paid by it hereunder within two business days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w:t>
      </w:r>
      <w:r>
        <w:rPr>
          <w:rFonts w:ascii="Times New Roman;Times;Serif" w:hAnsi="Times New Roman;Times;Serif"/>
          <w:b w:val="false"/>
          <w:i w:val="false"/>
          <w:caps w:val="false"/>
          <w:smallCaps w:val="false"/>
          <w:strike/>
          <w:color w:val="FF0000"/>
          <w:sz w:val="20"/>
        </w:rPr>
        <w:t>or the Term Loan Facility</w:t>
      </w:r>
      <w:r>
        <w:rPr>
          <w:rFonts w:ascii="Times New Roman;Times;Serif" w:hAnsi="Times New Roman;Times;Serif"/>
          <w:b w:val="false"/>
          <w:i w:val="false"/>
          <w:caps w:val="false"/>
          <w:smallCaps w:val="false"/>
          <w:sz w:val="20"/>
        </w:rPr>
        <w: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has become the subject of a Bail-In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 Party</w:t>
      </w:r>
      <w:r>
        <w:rPr>
          <w:rFonts w:ascii="Times New Roman;Times;Serif" w:hAnsi="Times New Roman;Times;Serif"/>
          <w:b w:val="false"/>
          <w:i w:val="false"/>
          <w:caps w:val="false"/>
          <w:smallCaps w:val="false"/>
          <w:sz w:val="20"/>
        </w:rPr>
        <w:t>” means the Administrative Agent, each Letter of Credit Issuer, the Swingline Lender or any other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 Presentation”</w:t>
      </w:r>
      <w:r>
        <w:rPr>
          <w:rFonts w:ascii="Times New Roman;Times;Serif" w:hAnsi="Times New Roman;Times;Serif"/>
          <w:b w:val="false"/>
          <w:i w:val="false"/>
          <w:caps w:val="false"/>
          <w:smallCaps w:val="false"/>
          <w:sz w:val="20"/>
        </w:rPr>
        <w:t xml:space="preserve"> shall mean the lender presentation dated June 2, 2015 and presented to the Lenders in connection with the syndication of the Loans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Lender-Related Distress Event</w:t>
      </w:r>
      <w:r>
        <w:rPr>
          <w:rFonts w:ascii="Times New Roman;Times;Serif" w:hAnsi="Times New Roman;Times;Serif"/>
          <w:b w:val="false"/>
          <w:i w:val="false"/>
          <w:caps w:val="false"/>
          <w:smallCaps w:val="false"/>
          <w:sz w:val="20"/>
        </w:rPr>
        <w:t>” shall mean, with respect to any Lender or any other Person that directly or indirectly controls such Lender (each, a “</w:t>
      </w:r>
      <w:r>
        <w:rPr>
          <w:rFonts w:ascii="Times New Roman;Times;Serif" w:hAnsi="Times New Roman;Times;Serif"/>
          <w:b/>
          <w:i w:val="false"/>
          <w:caps w:val="false"/>
          <w:smallCaps w:val="false"/>
          <w:sz w:val="20"/>
        </w:rPr>
        <w:t>Distressed Person</w:t>
      </w:r>
      <w:r>
        <w:rPr>
          <w:rFonts w:ascii="Times New Roman;Times;Serif" w:hAnsi="Times New Roman;Times;Serif"/>
          <w:b w:val="false"/>
          <w:i w:val="false"/>
          <w:caps w:val="false"/>
          <w:smallCaps w:val="false"/>
          <w:sz w:val="20"/>
        </w:rPr>
        <w:t xml:space="preserve">”),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Lender-Related Person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w:t>
      </w:r>
      <w:r>
        <w:rPr>
          <w:rFonts w:ascii="Times New Roman;Times;Serif" w:hAnsi="Times New Roman;Times;Serif"/>
          <w:b w:val="false"/>
          <w:i w:val="false"/>
          <w:caps w:val="false"/>
          <w:smallCaps w:val="false"/>
          <w:sz w:val="20"/>
        </w:rPr>
        <w:t xml:space="preserve">” shall mean each letter of credit issued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and each Existing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Commitment</w:t>
      </w:r>
      <w:r>
        <w:rPr>
          <w:rFonts w:ascii="Times New Roman;Times;Serif" w:hAnsi="Times New Roman;Times;Serif"/>
          <w:b w:val="false"/>
          <w:i w:val="false"/>
          <w:caps w:val="false"/>
          <w:smallCaps w:val="false"/>
          <w:sz w:val="20"/>
        </w:rPr>
        <w:t xml:space="preserve">” shall mean, with respect to (i) JPMorgan Chase Bank, N.A. in its capacity as a Letter of Credit Issuer, 20% of the L/C Sublimit, (ii) with respect to Wells Fargo Bank, National Association, in its capacity as a Letter of Credit Issuer, 20% of the L/C Sublimit, (iii) with respect to U.S. Bank National Association, in its capacity as a Letter of Credit Issuer, 20% of the L/C Sublimit, (iv) with respect to Bank of America, N.A., in its capacity as a Letter of Credit Issuer, 20% of the L/C Sublimit and (v) with respect to PNC Bank, National Association in its capacity as a Letter of Credit Issuer, 20% of the L/C Sublimit, in each case as may be increased or reduced from time to time pursuant to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Expiration Date</w:t>
      </w:r>
      <w:r>
        <w:rPr>
          <w:rFonts w:ascii="Times New Roman;Times;Serif" w:hAnsi="Times New Roman;Times;Serif"/>
          <w:b w:val="false"/>
          <w:i w:val="false"/>
          <w:caps w:val="false"/>
          <w:smallCaps w:val="false"/>
          <w:sz w:val="20"/>
        </w:rPr>
        <w:t>” shall mean the day that is five Business Days prior to the scheduled Maturity Date then in effect for the Revolving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Exposure</w:t>
      </w:r>
      <w:r>
        <w:rPr>
          <w:rFonts w:ascii="Times New Roman;Times;Serif" w:hAnsi="Times New Roman;Times;Serif"/>
          <w:b w:val="false"/>
          <w:i w:val="false"/>
          <w:caps w:val="false"/>
          <w:smallCaps w:val="false"/>
          <w:sz w:val="20"/>
        </w:rPr>
        <w:t xml:space="preserve">” shall mean, with respect to any Lender, at any time, the sum of (i) the amount of the principal amount of any Unpaid Drawings in respect of which such Lender has made (or is required to have made) payments to the Letter of Credit Issuer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Fee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Issuer</w:t>
      </w:r>
      <w:r>
        <w:rPr>
          <w:rFonts w:ascii="Times New Roman;Times;Serif" w:hAnsi="Times New Roman;Times;Serif"/>
          <w:b w:val="false"/>
          <w:i w:val="false"/>
          <w:caps w:val="false"/>
          <w:smallCaps w:val="false"/>
          <w:sz w:val="20"/>
        </w:rPr>
        <w:t xml:space="preserve">” shall mean (i) JPMorgan Chase Bank, N.A., Wells Fargo Bank, National Association, Bank of America, N.A., PNC Bank, National Association and U.S. Bank National Association, (ii) any of their respective Affiliates or branches and (iii) any replacement, additional issuer, or successor pursuant to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 of Credit Request</w:t>
      </w:r>
      <w:r>
        <w:rPr>
          <w:rFonts w:ascii="Times New Roman;Times;Serif" w:hAnsi="Times New Roman;Times;Serif"/>
          <w:b w:val="false"/>
          <w:i w:val="false"/>
          <w:caps w:val="false"/>
          <w:smallCaps w:val="false"/>
          <w:sz w:val="20"/>
        </w:rPr>
        <w:t xml:space="preserve">” shall mean a notice executed and delivered by the Borrower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and substantially in the form of </w:t>
      </w:r>
      <w:r>
        <w:rPr>
          <w:rFonts w:ascii="Times New Roman;Times;Serif" w:hAnsi="Times New Roman;Times;Serif"/>
          <w:b w:val="false"/>
          <w:i w:val="false"/>
          <w:caps w:val="false"/>
          <w:smallCaps w:val="false"/>
          <w:sz w:val="20"/>
          <w:u w:val="single"/>
        </w:rPr>
        <w:t>Exhibit L</w:t>
      </w:r>
      <w:r>
        <w:rPr>
          <w:rFonts w:ascii="Times New Roman;Times;Serif" w:hAnsi="Times New Roman;Times;Serif"/>
          <w:b w:val="false"/>
          <w:i w:val="false"/>
          <w:caps w:val="false"/>
          <w:smallCaps w:val="false"/>
          <w:sz w:val="20"/>
        </w:rPr>
        <w:t xml:space="preserve"> or another form which is acceptable to the Letter of Credit Issuer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Letters of Credit Outstanding</w:t>
      </w:r>
      <w:r>
        <w:rPr>
          <w:rFonts w:ascii="Times New Roman;Times;Serif" w:hAnsi="Times New Roman;Times;Serif"/>
          <w:b w:val="false"/>
          <w:i w:val="false"/>
          <w:caps w:val="false"/>
          <w:smallCaps w:val="false"/>
          <w:sz w:val="20"/>
        </w:rPr>
        <w:t>” shall mean, at any time the sum of, without duplication, (i) the aggregate Stated Amount of all outstanding Letters of Credit and (ii) the aggregate amount of the principal amount of all Unpaid Drawings.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xml:space="preserve">”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 no event shall an operating lease or a license, sub-license or cross-license to Intellectual Property be deemed to constitute a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Limited Condition Transaction</w:t>
      </w:r>
      <w:r>
        <w:rPr>
          <w:rFonts w:ascii="Times New Roman;Times;Serif" w:hAnsi="Times New Roman;Times;Serif"/>
          <w:b w:val="false"/>
          <w:i w:val="false"/>
          <w:caps w:val="false"/>
          <w:smallCaps w:val="false"/>
          <w:sz w:val="20"/>
        </w:rPr>
        <w:t>” shall mean any transaction by one or more of Holdings, the Borrower and the Restricted Subsidiaries whose consummation is not conditioned on the availability of, or on obtaining, third party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shall mean any Revolving Loan, Swingline Loan or Protective Advance or any other loan or advance made by any Lender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Mandatory Borrowing</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Master Agreement</w:t>
      </w:r>
      <w:r>
        <w:rPr>
          <w:rFonts w:ascii="Times New Roman;Times;Serif" w:hAnsi="Times New Roman;Times;Serif"/>
          <w:b w:val="false"/>
          <w:i w:val="false"/>
          <w:caps w:val="false"/>
          <w:smallCaps w:val="false"/>
          <w:sz w:val="20"/>
        </w:rPr>
        <w:t>” shall have the meaning provided in the definition of the term “Hedge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Parties, taken as a whole, to perform their payment obligations under this Agreement or any of the other Credit Documents or (ii) the rights and remedies of the Administrative Agent and the Lenders under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Subsidiary</w:t>
      </w:r>
      <w:r>
        <w:rPr>
          <w:rFonts w:ascii="Times New Roman;Times;Serif" w:hAnsi="Times New Roman;Times;Serif"/>
          <w:b w:val="false"/>
          <w:i w:val="false"/>
          <w:caps w:val="false"/>
          <w:smallCaps w:val="false"/>
          <w:sz w:val="20"/>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any time and from time to time after the Restatement Effective Date, Restricted Subsidiaries that are not Material Subsidiaries (other than Subsidiaries that are Excluded Subsidiaries by virtue of any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(xiii)</w:t>
      </w:r>
      <w:r>
        <w:rPr>
          <w:rFonts w:ascii="Times New Roman;Times;Serif" w:hAnsi="Times New Roman;Times;Serif"/>
          <w:b w:val="false"/>
          <w:i w:val="false"/>
          <w:caps w:val="false"/>
          <w:smallCaps w:val="false"/>
          <w:sz w:val="20"/>
        </w:rPr>
        <w:t xml:space="preserve"> 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the Revolving Credit Maturity Date or any Incremental Revolving Credit Maturity Date,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ABL Incremental Facilities Amount</w:t>
      </w:r>
      <w:r>
        <w:rPr>
          <w:rFonts w:ascii="Times New Roman;Times;Serif" w:hAnsi="Times New Roman;Times;Serif"/>
          <w:b w:val="false"/>
          <w:i w:val="false"/>
          <w:caps w:val="false"/>
          <w:smallCaps w:val="false"/>
          <w:sz w:val="20"/>
        </w:rPr>
        <w:t xml:space="preserve">” shall have the meaning given to that term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Borrowing Amount</w:t>
      </w:r>
      <w:r>
        <w:rPr>
          <w:rFonts w:ascii="Times New Roman;Times;Serif" w:hAnsi="Times New Roman;Times;Serif"/>
          <w:b w:val="false"/>
          <w:i w:val="false"/>
          <w:caps w:val="false"/>
          <w:smallCaps w:val="false"/>
          <w:sz w:val="20"/>
        </w:rPr>
        <w:t>” shall mean the lesser of (a) the aggregate Revolving Credit Commitments at such time and (b) the Borrowing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Borrowing Amount</w:t>
      </w:r>
      <w:r>
        <w:rPr>
          <w:rFonts w:ascii="Times New Roman;Times;Serif" w:hAnsi="Times New Roman;Times;Serif"/>
          <w:b w:val="false"/>
          <w:i w:val="false"/>
          <w:caps w:val="false"/>
          <w:smallCaps w:val="false"/>
          <w:sz w:val="20"/>
        </w:rPr>
        <w:t>” shall mean (a) with respect to a Borrowing of SOFR Loans, $5,000,000 and (b) with respect to a Borrowing of ABR Loans, $1,000,000 (or, if less, the entire remaining applicable Commitments at the time of such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shd w:fill="FFFFFF" w:val="clear"/>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Minimum Collateral Amount</w:t>
      </w:r>
      <w:r>
        <w:rPr>
          <w:rFonts w:ascii="Times New Roman;Times;Serif" w:hAnsi="Times New Roman;Times;Serif"/>
          <w:b w:val="false"/>
          <w:i w:val="false"/>
          <w:caps w:val="false"/>
          <w:smallCaps w:val="false"/>
          <w:sz w:val="20"/>
        </w:rPr>
        <w:t xml:space="preserve">” shall mean, at any time, (i) with respect to Cash Collateral consisting of cash or Cash Equivalents or deposit account balances provided to reduce or eliminate Fronting Exposure during the existence of a Defaulting Lender, an amount equal to 102%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Times New Roman;Times;Serif" w:hAnsi="Times New Roman;Times;Serif"/>
          <w:b w:val="false"/>
          <w:i w:val="false"/>
          <w:caps w:val="false"/>
          <w:smallCaps w:val="false"/>
          <w:sz w:val="20"/>
          <w:u w:val="single"/>
        </w:rPr>
        <w:t>Section 3.8(a)(i)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(a)(iii)</w:t>
      </w:r>
      <w:r>
        <w:rPr>
          <w:rFonts w:ascii="Times New Roman;Times;Serif" w:hAnsi="Times New Roman;Times;Serif"/>
          <w:b w:val="false"/>
          <w:i w:val="false"/>
          <w:caps w:val="false"/>
          <w:smallCaps w:val="false"/>
          <w:sz w:val="20"/>
        </w:rPr>
        <w:t>, an amount equal to 102% of the outstanding amount of all L/C Obligations.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Monthly Reporting Period</w:t>
      </w:r>
      <w:r>
        <w:rPr>
          <w:rFonts w:ascii="Times New Roman;Times;Serif" w:hAnsi="Times New Roman;Times;Serif"/>
          <w:b w:val="false"/>
          <w:i w:val="false"/>
          <w:caps w:val="false"/>
          <w:smallCaps w:val="false"/>
          <w:sz w:val="20"/>
        </w:rPr>
        <w:t>” shall mean any period, beginning on the date that the aggregate Revolving Credit Exposures exceed $200,000,000 for five consecutive Business Days, until such time as the aggregate Revolving Credit Exposures have been equal to or less than $200,000,000 for at least 10 consecutive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shall mean Moody’s Investors Service, Inc. or any successor by merger or consolidation to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 as the same may be amended, restated, amended and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Mortgaged Property</w:t>
      </w:r>
      <w:r>
        <w:rPr>
          <w:rFonts w:ascii="Times New Roman;Times;Serif" w:hAnsi="Times New Roman;Times;Serif"/>
          <w:b w:val="false"/>
          <w:i w:val="false"/>
          <w:caps w:val="false"/>
          <w:smallCaps w:val="false"/>
          <w:sz w:val="20"/>
        </w:rPr>
        <w:t xml:space="preserve">” shall mean, initially, each parcel of real estate and the improvements thereto owned in fee by the Borrower or a Subsidiary Credit Party and identified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and each other parcel of real property and improvements thereto with respect to which a Mortgage is granted pursuant to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shall mean a “multiemployer plan” as defined in Section 4001(a)(3) of ERISA to which any Credit Party or ERISA Affiliate makes or is obligated to make contributions, or during the five preceding calendar years, has made or been obligated to make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Income</w:t>
      </w:r>
      <w:r>
        <w:rPr>
          <w:rFonts w:ascii="Times New Roman;Times;Serif" w:hAnsi="Times New Roman;Times;Serif"/>
          <w:b w:val="false"/>
          <w:i w:val="false"/>
          <w:caps w:val="false"/>
          <w:smallCaps w:val="false"/>
          <w:sz w:val="20"/>
        </w:rPr>
        <w:t>” shall mean, with respect to any Person, the net income (loss) of such Person, determined in accordance with GAAP and before any reduction in respect of preferred stock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New Holdings</w:t>
      </w:r>
      <w:r>
        <w:rPr>
          <w:rFonts w:ascii="Times New Roman;Times;Serif" w:hAnsi="Times New Roman;Times;Serif"/>
          <w:b w:val="false"/>
          <w:i w:val="false"/>
          <w:caps w:val="false"/>
          <w:smallCaps w:val="false"/>
          <w:sz w:val="20"/>
        </w:rPr>
        <w:t>” shall have the meaning provided in the definition of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NOLV Percentage</w:t>
      </w:r>
      <w:r>
        <w:rPr>
          <w:rFonts w:ascii="Times New Roman;Times;Serif" w:hAnsi="Times New Roman;Times;Serif"/>
          <w:b w:val="false"/>
          <w:i w:val="false"/>
          <w:caps w:val="false"/>
          <w:smallCaps w:val="false"/>
          <w:sz w:val="20"/>
        </w:rPr>
        <w:t>” shall mean the net orderly liquidation value of Eligible Inventory, expressed as a percentage, expected to be realized at an orderly, negotiated sale held within a reasonable period of time, net of all liquidation expenses, as determined from the most recent appraisal of Inventory of the Credit Parties performed by an appraiser and on terms reasonably satisfactory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Non-Bank Tax Certificate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5.4(e)(ii)(B)(3)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13.7(b)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shall mean and include each Lender other than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Non-Expiring Credit Commitment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Non-Extension Notice Date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Non-U.S. Lender</w:t>
      </w:r>
      <w:r>
        <w:rPr>
          <w:rFonts w:ascii="Times New Roman;Times;Serif" w:hAnsi="Times New Roman;Times;Serif"/>
          <w:b w:val="false"/>
          <w:i w:val="false"/>
          <w:caps w:val="false"/>
          <w:smallCaps w:val="false"/>
          <w:sz w:val="20"/>
        </w:rPr>
        <w:t>” shall mean any Lender that is not a “United States person” as defined by Section 7701(a)(30)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 Agent</w:t>
      </w:r>
      <w:r>
        <w:rPr>
          <w:rFonts w:ascii="Times New Roman;Times;Serif" w:hAnsi="Times New Roman;Times;Serif"/>
          <w:b w:val="false"/>
          <w:i w:val="false"/>
          <w:caps w:val="false"/>
          <w:smallCaps w:val="false"/>
          <w:sz w:val="20"/>
        </w:rPr>
        <w:t xml:space="preserve">” means, initially,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val="false"/>
          <w:i w:val="false"/>
          <w:caps w:val="false"/>
          <w:smallCaps w:val="false"/>
          <w:color w:val="0000FF"/>
          <w:sz w:val="20"/>
          <w:u w:val="single"/>
          <w:bdr w:val="single" w:sz="8" w:space="1" w:color="0000FF"/>
        </w:rPr>
        <w:t>U.S.</w:t>
      </w:r>
      <w:r>
        <w:rPr>
          <w:rFonts w:ascii="Times New Roman;Times;Serif" w:hAnsi="Times New Roman;Times;Serif"/>
          <w:b w:val="false"/>
          <w:i w:val="false"/>
          <w:caps w:val="false"/>
          <w:smallCaps w:val="false"/>
          <w:sz w:val="20"/>
        </w:rPr>
        <w:t xml:space="preserve"> Bank </w:t>
      </w:r>
      <w:r>
        <w:rPr>
          <w:rFonts w:ascii="Times New Roman;Times;Serif" w:hAnsi="Times New Roman;Times;Serif"/>
          <w:b w:val="false"/>
          <w:i w:val="false"/>
          <w:caps w:val="false"/>
          <w:smallCaps w:val="false"/>
          <w:strike/>
          <w:color w:val="FF0000"/>
          <w:sz w:val="20"/>
        </w:rPr>
        <w:t xml:space="preserve">of New York Mellon </w:t>
      </w:r>
      <w:r>
        <w:rPr>
          <w:rFonts w:ascii="Times New Roman;Times;Serif" w:hAnsi="Times New Roman;Times;Serif"/>
          <w:b w:val="false"/>
          <w:i w:val="false"/>
          <w:caps w:val="false"/>
          <w:smallCaps w:val="false"/>
          <w:sz w:val="20"/>
        </w:rPr>
        <w:t xml:space="preserve">Trust Company, </w:t>
      </w:r>
      <w:r>
        <w:rPr>
          <w:rFonts w:ascii="Times New Roman;Times;Serif" w:hAnsi="Times New Roman;Times;Serif"/>
          <w:b w:val="false"/>
          <w:i w:val="false"/>
          <w:caps w:val="false"/>
          <w:smallCaps w:val="false"/>
          <w:strike/>
          <w:color w:val="FF0000"/>
          <w:sz w:val="20"/>
        </w:rPr>
        <w:t xml:space="preserve">N.A. </w:t>
      </w:r>
      <w:r>
        <w:rPr>
          <w:rFonts w:ascii="Times New Roman;Times;Serif" w:hAnsi="Times New Roman;Times;Serif"/>
          <w:b w:val="false"/>
          <w:i w:val="false"/>
          <w:caps w:val="false"/>
          <w:smallCaps w:val="false"/>
          <w:color w:val="0000FF"/>
          <w:sz w:val="20"/>
          <w:u w:val="single"/>
          <w:bdr w:val="single" w:sz="8" w:space="1" w:color="0000FF"/>
        </w:rPr>
        <w:t>National Association,</w:t>
      </w:r>
      <w:r>
        <w:rPr>
          <w:rFonts w:ascii="Times New Roman;Times;Serif" w:hAnsi="Times New Roman;Times;Serif"/>
          <w:b w:val="false"/>
          <w:i w:val="false"/>
          <w:caps w:val="false"/>
          <w:smallCaps w:val="false"/>
          <w:sz w:val="20"/>
        </w:rPr>
        <w:t xml:space="preserve"> in its capacity as trustee under the Notes Agreement (or any successor agent or trustee thereunder or under any replacement thereof) and any other indenture trustee, collateral agent or other representative appointed as such under any Notes Documents.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 Agreement</w:t>
      </w:r>
      <w:r>
        <w:rPr>
          <w:rFonts w:ascii="Times New Roman;Times;Serif" w:hAnsi="Times New Roman;Times;Serif"/>
          <w:b w:val="false"/>
          <w:i w:val="false"/>
          <w:caps w:val="false"/>
          <w:smallCaps w:val="false"/>
          <w:sz w:val="20"/>
        </w:rPr>
        <w:t xml:space="preserve">” means that certain senior secured notes indenture dated as of the Amendment No. </w:t>
      </w:r>
      <w:r>
        <w:rPr>
          <w:rFonts w:ascii="Times New Roman;Times;Serif" w:hAnsi="Times New Roman;Times;Serif"/>
          <w:b w:val="false"/>
          <w:i w:val="false"/>
          <w:caps w:val="false"/>
          <w:smallCaps w:val="false"/>
          <w:strike/>
          <w:color w:val="FF0000"/>
          <w:sz w:val="20"/>
        </w:rPr>
        <w:t>2</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 by and among Borrower, as issuer and the Notes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 Documents</w:t>
      </w:r>
      <w:r>
        <w:rPr>
          <w:rFonts w:ascii="Times New Roman;Times;Serif" w:hAnsi="Times New Roman;Times;Serif"/>
          <w:b w:val="false"/>
          <w:i w:val="false"/>
          <w:caps w:val="false"/>
          <w:smallCaps w:val="false"/>
          <w:sz w:val="20"/>
        </w:rPr>
        <w:t>” means, collectively, the Notes Agreement and all other agreements, instruments, documents and certificates executed and/or delivered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 Obligations</w:t>
      </w:r>
      <w:r>
        <w:rPr>
          <w:rFonts w:ascii="Times New Roman;Times;Serif" w:hAnsi="Times New Roman;Times;Serif"/>
          <w:b w:val="false"/>
          <w:i w:val="false"/>
          <w:caps w:val="false"/>
          <w:smallCaps w:val="false"/>
          <w:sz w:val="20"/>
        </w:rPr>
        <w:t>” means the Indebtedness and other obligations of Borrower and its Subsidiaries under the Notes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 or Continuation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Noticed Cash Management Obligations</w:t>
      </w:r>
      <w:r>
        <w:rPr>
          <w:rFonts w:ascii="Times New Roman;Times;Serif" w:hAnsi="Times New Roman;Times;Serif"/>
          <w:b w:val="false"/>
          <w:i w:val="false"/>
          <w:caps w:val="false"/>
          <w:smallCaps w:val="false"/>
          <w:sz w:val="20"/>
        </w:rPr>
        <w:t xml:space="preserve">” shall mean any Secured Cash Management Obligations with respect to which the Borrower and the Secured Party with respect thereto have notified the Administrative Agent of the intent to include such Secured Cash Management Obligations as Noticed Cash Management Obligations hereunder (so long as such designation, and the resulting Secured Cash Management Reserves at the time of designation, would not result in an Overadvance) and with respect to which a Secured Cash Management Reserve has subsequently been established in the amount set forth in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designation shall be made within ten (10) Business Days of (i) the Restatement Effective Date if such Cash Management Services are in place on the Restatement Effective Date or (ii) the date such Cash Management Services are commenced if not in place on the Restatement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Noticed Hedge</w:t>
      </w:r>
      <w:r>
        <w:rPr>
          <w:rFonts w:ascii="Times New Roman;Times;Serif" w:hAnsi="Times New Roman;Times;Serif"/>
          <w:b w:val="false"/>
          <w:i w:val="false"/>
          <w:caps w:val="false"/>
          <w:smallCaps w:val="false"/>
          <w:sz w:val="20"/>
        </w:rPr>
        <w:t xml:space="preserve">” shall mean any Secured Hedge Obligations arising under a Hedge Agreement with respect to which the Borrower and the Secured Party thereof have notified the Administrative Agent of the intent to include such Secured Hedge Obligations as a Noticed Hedge hereunder (so long as such designation, and the resulting Secured Hedge Reserves at the time of designation, would not result in an Overadvance) and with respect to which a Secured Hedge Reserve has subsequently been established in the amount set forth in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designation shall be made within ten (10) Business Days of (i) the Restatement Effective Date if such Hedge Agreement is in place on the Restatement Effective Date or (ii) the date such Hedge Agreement is entered into if such Hedge Agreement is not in place on the Restatement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NYFRB</w:t>
      </w:r>
      <w:r>
        <w:rPr>
          <w:rFonts w:ascii="Times New Roman;Times;Serif" w:hAnsi="Times New Roman;Times;Serif"/>
          <w:b w:val="false"/>
          <w:i w:val="false"/>
          <w:caps w:val="false"/>
          <w:smallCaps w:val="false"/>
          <w:sz w:val="20"/>
        </w:rPr>
        <w:t>” shall mean the Federal Reserve Bank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NYFRB Rate</w:t>
      </w:r>
      <w:r>
        <w:rPr>
          <w:rFonts w:ascii="Times New Roman;Times;Serif" w:hAnsi="Times New Roman;Times;Serif"/>
          <w:b w:val="false"/>
          <w:i w:val="false"/>
          <w:caps w:val="false"/>
          <w:smallCaps w:val="false"/>
          <w:sz w:val="20"/>
        </w:rPr>
        <w:t xml:space="preserve">” shall mean,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if any of the aforesaid rates as so determined would be less than zero, such rate shall be deemed to be zero for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NYFRB Website</w:t>
      </w:r>
      <w:r>
        <w:rPr>
          <w:rFonts w:ascii="Times New Roman;Times;Serif" w:hAnsi="Times New Roman;Times;Serif"/>
          <w:b w:val="false"/>
          <w:i w:val="false"/>
          <w:caps w:val="false"/>
          <w:smallCaps w:val="false"/>
          <w:sz w:val="20"/>
        </w:rPr>
        <w:t>” shall mean the website of the NYFRB at http://www.newyorkfed.org, or any successor source.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shall mean all advances to, and debts, liabilities, obligations, covenants, and duties of, any Credit Party arising under any Credit Document or otherwise with respect to any Revolving Credit Commitment, Loan, Letter of Credit, Secured Bank Product Obligations or under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from the receipt or perfection of a security interest under, or otherwise with respect to, this Agreement or any other Credit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term shall not include (i) any Taxes that result from an assignment, (“</w:t>
      </w:r>
      <w:r>
        <w:rPr>
          <w:rFonts w:ascii="Times New Roman;Times;Serif" w:hAnsi="Times New Roman;Times;Serif"/>
          <w:b/>
          <w:i w:val="false"/>
          <w:caps w:val="false"/>
          <w:smallCaps w:val="false"/>
          <w:sz w:val="20"/>
        </w:rPr>
        <w:t>Assignment Taxes</w:t>
      </w:r>
      <w:r>
        <w:rPr>
          <w:rFonts w:ascii="Times New Roman;Times;Serif" w:hAnsi="Times New Roman;Times;Serif"/>
          <w:b w:val="false"/>
          <w:i w:val="false"/>
          <w:caps w:val="false"/>
          <w:smallCaps w:val="false"/>
          <w:sz w:val="20"/>
        </w:rPr>
        <w:t xml:space="preserve">”) to the extent such Assignment Taxes are imposed as a result of a present or former connection between the Lender and the taxing jurisdiction (other than a connection arising solely from having executed, delivered, become a party to, performed its obligations under, received payments under, received or perfected a security interest under, engaged in any transaction pursuant to or enforced any Credit Document, or sold or assigned an interest in any Loan or Credit Document), except to the extent that any such action described in this proviso is requested or required by the Borrower pursuant to </w:t>
      </w: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 xml:space="preserve"> or (ii) Excluded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Overadvance</w:t>
      </w:r>
      <w:r>
        <w:rPr>
          <w:rFonts w:ascii="Times New Roman;Times;Serif" w:hAnsi="Times New Roman;Times;Serif"/>
          <w:b w:val="false"/>
          <w:i w:val="false"/>
          <w:caps w:val="false"/>
          <w:smallCaps w:val="false"/>
          <w:sz w:val="20"/>
        </w:rPr>
        <w:t>” shall mean at any time the amount by which the aggregate outstanding Revolving Credit Exposure exceeds the Borrowing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Overadvance Condition</w:t>
      </w:r>
      <w:r>
        <w:rPr>
          <w:rFonts w:ascii="Times New Roman;Times;Serif" w:hAnsi="Times New Roman;Times;Serif"/>
          <w:b w:val="false"/>
          <w:i w:val="false"/>
          <w:caps w:val="false"/>
          <w:smallCaps w:val="false"/>
          <w:sz w:val="20"/>
        </w:rPr>
        <w:t>” shall mean and is deemed to exist any time the aggregate outstanding Revolving Credit Exposure exceeds the Borrowing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Overadvance Loan</w:t>
      </w:r>
      <w:r>
        <w:rPr>
          <w:rFonts w:ascii="Times New Roman;Times;Serif" w:hAnsi="Times New Roman;Times;Serif"/>
          <w:b w:val="false"/>
          <w:i w:val="false"/>
          <w:caps w:val="false"/>
          <w:smallCaps w:val="false"/>
          <w:sz w:val="20"/>
        </w:rPr>
        <w:t>” shall mean an ABR Loan made at a time an Overadvance Condition exists or which results in an Overadvance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Overnight Bank Funding Rate</w:t>
      </w:r>
      <w:r>
        <w:rPr>
          <w:rFonts w:ascii="Times New Roman;Times;Serif" w:hAnsi="Times New Roman;Times;Serif"/>
          <w:b w:val="false"/>
          <w:i w:val="false"/>
          <w:caps w:val="false"/>
          <w:smallCaps w:val="false"/>
          <w:sz w:val="20"/>
        </w:rPr>
        <w:t>” shall mean,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shall mean any Person that is a direct or indirect parent company (which may be organized as, among other things, a partnership), including any managing member, of Holdings and/or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13.6(c)(i)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13.6(c)(ii)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Participating Member State</w:t>
      </w:r>
      <w:r>
        <w:rPr>
          <w:rFonts w:ascii="Times New Roman;Times;Serif" w:hAnsi="Times New Roman;Times;Serif"/>
          <w:b w:val="false"/>
          <w:i w:val="false"/>
          <w:caps w:val="false"/>
          <w:smallCaps w:val="false"/>
          <w:sz w:val="20"/>
        </w:rPr>
        <w:t>” shall mean any member state of the European Union that adopts or has adopted the Euro as its lawful currency in accordance with legislation of the European Union relating to economic and monetary union.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13.18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13.28(a)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Account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9.16(c)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Conditions</w:t>
      </w:r>
      <w:r>
        <w:rPr>
          <w:rFonts w:ascii="Times New Roman;Times;Serif" w:hAnsi="Times New Roman;Times;Serif"/>
          <w:b w:val="false"/>
          <w:i w:val="false"/>
          <w:caps w:val="false"/>
          <w:smallCaps w:val="false"/>
          <w:sz w:val="20"/>
        </w:rPr>
        <w:t xml:space="preserve">” shall mean the following: (a) no Specified Default exists or would arise after giving effect to such transaction, (b) Pro Forma Compliance for the most recently ended Test Period with a Fixed Charge Coverage Ratio equal to or greater than 1.0:1.0 and (c) the Borrower shall have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15% (or 12.5% in the case of Restricted Investments and unsecured Indebtedness) of the Maximum Borrowing Amount and $90,000,000 (or $75,000,000 in the case of Restricted Investments and unsecured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condition set forth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 be applicable if the Borrower has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20% of the Maximum Borrowing Amount (or 17.5% in the case of Restricted Investments and unsecured Indebtedness) and $120,000,000 (or $105,000,000 in the case of Restricted Investments and unsecured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Intangible</w:t>
      </w:r>
      <w:r>
        <w:rPr>
          <w:rFonts w:ascii="Times New Roman;Times;Serif" w:hAnsi="Times New Roman;Times;Serif"/>
          <w:b w:val="false"/>
          <w:i w:val="false"/>
          <w:caps w:val="false"/>
          <w:smallCaps w:val="false"/>
          <w:sz w:val="20"/>
        </w:rPr>
        <w:t>” shall have the meaning provided in the Uniform Commercial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13.28(b)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shall mean the Pension Benefit Guaranty Corporation referred to and defined in ERISA and any successor entity performing similar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shall mean any “employee pension benefit plan” (as defined in Section 3(2) of ERISA, but excluding any Multiemployer Plan) that is subject to Title IV of ERISA, Section 302 of ERISA or Section 412 of the Code, in respect of which any Credit Party or any ERISA Affiliate is (or, if such plan were terminated, would under Section 4062 or Section 4069 of ERISA, be deemed to be) an “employer” as defined in Section 3(5)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the definition of “Permitted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Asset Swap</w:t>
      </w:r>
      <w:r>
        <w:rPr>
          <w:rFonts w:ascii="Times New Roman;Times;Serif" w:hAnsi="Times New Roman;Times;Serif"/>
          <w:b w:val="false"/>
          <w:i w:val="false"/>
          <w:caps w:val="false"/>
          <w:smallCaps w:val="false"/>
          <w:sz w:val="20"/>
        </w:rPr>
        <w:t xml:space="preserve">” shall mean the concurrent purchase and sale or exchange of Related Business Assets or a combination of Related Business Assets and cash or Cash Equivalents between the Borrower or a Restricted Subsidiary and another Person;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cash or Cash Equivalents received must be applied in accordance with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Discretion</w:t>
      </w:r>
      <w:r>
        <w:rPr>
          <w:rFonts w:ascii="Times New Roman;Times;Serif" w:hAnsi="Times New Roman;Times;Serif"/>
          <w:b w:val="false"/>
          <w:i w:val="false"/>
          <w:caps w:val="false"/>
          <w:smallCaps w:val="false"/>
          <w:sz w:val="20"/>
        </w:rPr>
        <w:t>” shall mean a determination made in good faith and in the exercise of reasonable (from the perspective of a secured asset based lender) business judgment in accordance with customary business practices for similar asset-based lending facilities. Any Reserve established or modified by the Administrative Agent shall have a reasonable relationship to circumstances, conditions, events or contingencies which are the basis for such Reserve, as reasonably determined, without duplication, by the Administrative Agent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Holders</w:t>
      </w:r>
      <w:r>
        <w:rPr>
          <w:rFonts w:ascii="Times New Roman;Times;Serif" w:hAnsi="Times New Roman;Times;Serif"/>
          <w:b w:val="false"/>
          <w:i w:val="false"/>
          <w:caps w:val="false"/>
          <w:smallCaps w:val="false"/>
          <w:sz w:val="20"/>
        </w:rPr>
        <w:t xml:space="preserve">” shall mean each of (i) members of management of the Borrower (or their respective direct or indirect parent or management investment vehicle) who are holders of Equity Interests of Holdings (or its direct or indirect parent company or management investment vehicle) and any group (within the meaning of Section 13(d)(3) or Section 14(d)(2) of the Exchange Act or any successor provision) of which the foregoing are members, (ii) any direct or indirect Parent Entity formed not in connection with, or in contemplation of, a transaction (other than the Transactions) that, assuming such parent was not formed after giving effect thereto, would constitute a Change of Control and (iii) any entity (other than a Parent Entity) through which a Parent Entity described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directly or indirectly holds Equity Interests of Holdings and has no other material operations other than those incidental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Investment in the Borrower or any Restricted Subsidiary;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with respect to any Investment by a Credit Party in a Restricted Subsidiary which is not a Credit Party, no Overadvance shall result after giving effect to any such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Investment in cash, Cash Equivalents, or Investment Grade Securities at the time such Investment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no Overadvance resulting after giving effect to such Permitted Acquisition, any Investment by the Borrower or any Restricted Subsidiary in a Person that is engaged in a Similar Business if as a result of such Investment (a “</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xml:space="preserve">”), (1) such Person becomes a Restricted Subsidiary or (2) such Person, in one transaction or a series of related transactions, is merged, consolidated, or amalgamated with or into, or transfers or conveys substantially all of its assets to, or is liquidated into, the Borrower or a Restricted Subsidiary, and, in each case, any Investment held by such Person;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Investment was not acquired by such Person in contemplation of such acquisition, merger, consolidation, or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Investment in securities or other assets not constituting cash, Cash Equivalents, or Investment Grade Securities and received in connection with an Asset Sale made pursuant to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or any other disposition of assets not constituting an Asset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any Investment existing or contemplated on the Amendment No. 4 Effective Date and, in each case, listed on </w:t>
      </w:r>
      <w:r>
        <w:rPr>
          <w:rFonts w:ascii="Times New Roman;Times;Serif" w:hAnsi="Times New Roman;Times;Serif"/>
          <w:b w:val="false"/>
          <w:i w:val="false"/>
          <w:caps w:val="false"/>
          <w:smallCaps w:val="false"/>
          <w:sz w:val="20"/>
          <w:u w:val="single"/>
        </w:rPr>
        <w:t>Schedule 10.5</w:t>
      </w:r>
      <w:r>
        <w:rPr>
          <w:rFonts w:ascii="Times New Roman;Times;Serif" w:hAnsi="Times New Roman;Times;Serif"/>
          <w:b w:val="false"/>
          <w:i w:val="false"/>
          <w:caps w:val="false"/>
          <w:smallCaps w:val="false"/>
          <w:sz w:val="20"/>
        </w:rPr>
        <w:t xml:space="preserve"> and (b) Investments consisting of any modification, replacement, renewal, reinvestment, or extension of any such Investment;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any such Investment is not increased from the amount of such Investment on the Amendment No. 4 Effective Date except pursuant to the terms of such Investment (including in respect of any unused commitment),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Amendment No. 4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Hedging Obligations permitted under </w:t>
      </w:r>
      <w:r>
        <w:rPr>
          <w:rFonts w:ascii="Times New Roman;Times;Serif" w:hAnsi="Times New Roman;Times;Serif"/>
          <w:b w:val="false"/>
          <w:i w:val="false"/>
          <w:caps w:val="false"/>
          <w:smallCaps w:val="false"/>
          <w:sz w:val="20"/>
          <w:u w:val="single"/>
        </w:rPr>
        <w:t>clause (j)</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Cash Management Services;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any Investment in a Similar Business having an aggregate Fair Market Value, taken together with all other Investments made pursuant to this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xml:space="preserve"> that are at that time outstanding, not to exceed the greater of (a) $280,000,000 and (b) 33%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Investment pursuant to this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and shall cease to have been made pursuant to this </w:t>
      </w:r>
      <w:r>
        <w:rPr>
          <w:rFonts w:ascii="Times New Roman;Times;Serif" w:hAnsi="Times New Roman;Times;Serif"/>
          <w:b w:val="false"/>
          <w:i w:val="false"/>
          <w:caps w:val="false"/>
          <w:smallCaps w:val="false"/>
          <w:sz w:val="20"/>
          <w:u w:val="single"/>
        </w:rPr>
        <w:t>clause (viii)</w:t>
      </w:r>
      <w:r>
        <w:rPr>
          <w:rFonts w:ascii="Times New Roman;Times;Serif" w:hAnsi="Times New Roman;Times;Serif"/>
          <w:b w:val="false"/>
          <w:i w:val="false"/>
          <w:caps w:val="false"/>
          <w:smallCaps w:val="false"/>
          <w:sz w:val="20"/>
        </w:rPr>
        <w:t xml:space="preserve"> for so long as such Person continues to be a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Investments the payment for which consists of Equity Interests of Holdings or any direct or indirect parent company of Holdings (exclusive of Disqualified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Equity Interests will not increase the amount available for Restricted Payments under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guarantees of Indebtedness permitted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any transaction to the extent it constitutes an Investment that is permitted and made in accordance with the provisions of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(except transactions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such paragraph);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Investments consisting of purchases and acquisitions of inventory, supplies, material, equipment, or other similar assets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additional Investments having an aggregate Fair Market Value, taken together with all other Investments made pursuant to this </w:t>
      </w:r>
      <w:r>
        <w:rPr>
          <w:rFonts w:ascii="Times New Roman;Times;Serif" w:hAnsi="Times New Roman;Times;Serif"/>
          <w:b w:val="false"/>
          <w:i w:val="false"/>
          <w:caps w:val="false"/>
          <w:smallCaps w:val="false"/>
          <w:sz w:val="20"/>
          <w:u w:val="single"/>
        </w:rPr>
        <w:t>clause (xiii)</w:t>
      </w:r>
      <w:r>
        <w:rPr>
          <w:rFonts w:ascii="Times New Roman;Times;Serif" w:hAnsi="Times New Roman;Times;Serif"/>
          <w:b w:val="false"/>
          <w:i w:val="false"/>
          <w:caps w:val="false"/>
          <w:smallCaps w:val="false"/>
          <w:sz w:val="20"/>
        </w:rPr>
        <w:t xml:space="preserve"> that are at that time outstanding (without giving effect to the sale of an Unrestricted Subsidiary to the extent the proceeds of such sale do not consist of cash or marketable securities), not to exceed the greater of (a) $</w:t>
      </w:r>
      <w:r>
        <w:rPr>
          <w:rFonts w:ascii="Times New Roman;Times;Serif" w:hAnsi="Times New Roman;Times;Serif"/>
          <w:b w:val="false"/>
          <w:i w:val="false"/>
          <w:caps w:val="false"/>
          <w:smallCaps w:val="false"/>
          <w:strike/>
          <w:color w:val="FF0000"/>
          <w:sz w:val="20"/>
        </w:rPr>
        <w:t>320,000,000</w:t>
      </w:r>
      <w:r>
        <w:rPr>
          <w:rFonts w:ascii="Times New Roman;Times;Serif" w:hAnsi="Times New Roman;Times;Serif"/>
          <w:b w:val="false"/>
          <w:i w:val="false"/>
          <w:caps w:val="false"/>
          <w:smallCaps w:val="false"/>
          <w:color w:val="0000FF"/>
          <w:sz w:val="20"/>
          <w:u w:val="single"/>
          <w:bdr w:val="single" w:sz="8" w:space="1" w:color="0000FF"/>
        </w:rPr>
        <w:t>340,000,000</w:t>
      </w:r>
      <w:r>
        <w:rPr>
          <w:rFonts w:ascii="Times New Roman;Times;Serif" w:hAnsi="Times New Roman;Times;Serif"/>
          <w:b w:val="false"/>
          <w:i w:val="false"/>
          <w:caps w:val="false"/>
          <w:smallCaps w:val="false"/>
          <w:sz w:val="20"/>
        </w:rPr>
        <w:t xml:space="preserve"> and (b) </w:t>
      </w:r>
      <w:r>
        <w:rPr>
          <w:rFonts w:ascii="Times New Roman;Times;Serif" w:hAnsi="Times New Roman;Times;Serif"/>
          <w:b w:val="false"/>
          <w:i w:val="false"/>
          <w:caps w:val="false"/>
          <w:smallCaps w:val="false"/>
          <w:strike/>
          <w:color w:val="FF0000"/>
          <w:sz w:val="20"/>
        </w:rPr>
        <w:t>37.5</w:t>
      </w:r>
      <w:r>
        <w:rPr>
          <w:rFonts w:ascii="Times New Roman;Times;Serif" w:hAnsi="Times New Roman;Times;Serif"/>
          <w:b w:val="false"/>
          <w:i w:val="false"/>
          <w:caps w:val="false"/>
          <w:smallCaps w:val="false"/>
          <w:color w:val="0000FF"/>
          <w:sz w:val="20"/>
          <w:u w:val="single"/>
          <w:bdr w:val="single" w:sz="8" w:space="1" w:color="0000FF"/>
        </w:rPr>
        <w:t>50.0</w:t>
      </w:r>
      <w:r>
        <w:rPr>
          <w:rFonts w:ascii="Times New Roman;Times;Serif" w:hAnsi="Times New Roman;Times;Serif"/>
          <w:b w:val="false"/>
          <w:i w:val="false"/>
          <w:caps w:val="false"/>
          <w:smallCaps w:val="false"/>
          <w:sz w:val="20"/>
        </w:rPr>
        <w:t xml:space="preserve">%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any Investment pursuant to this </w:t>
      </w:r>
      <w:r>
        <w:rPr>
          <w:rFonts w:ascii="Times New Roman;Times;Serif" w:hAnsi="Times New Roman;Times;Serif"/>
          <w:b w:val="false"/>
          <w:i w:val="false"/>
          <w:caps w:val="false"/>
          <w:smallCaps w:val="false"/>
          <w:sz w:val="20"/>
          <w:u w:val="single"/>
        </w:rPr>
        <w:t>clause (xiii)</w:t>
      </w:r>
      <w:r>
        <w:rPr>
          <w:rFonts w:ascii="Times New Roman;Times;Serif" w:hAnsi="Times New Roman;Times;Serif"/>
          <w:b w:val="false"/>
          <w:i w:val="false"/>
          <w:caps w:val="false"/>
          <w:smallCaps w:val="false"/>
          <w:sz w:val="20"/>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and shall cease to have been made pursuant to this </w:t>
      </w:r>
      <w:r>
        <w:rPr>
          <w:rFonts w:ascii="Times New Roman;Times;Serif" w:hAnsi="Times New Roman;Times;Serif"/>
          <w:b w:val="false"/>
          <w:i w:val="false"/>
          <w:caps w:val="false"/>
          <w:smallCaps w:val="false"/>
          <w:sz w:val="20"/>
          <w:u w:val="single"/>
        </w:rPr>
        <w:t>clause (xiii)</w:t>
      </w:r>
      <w:r>
        <w:rPr>
          <w:rFonts w:ascii="Times New Roman;Times;Serif" w:hAnsi="Times New Roman;Times;Serif"/>
          <w:b w:val="false"/>
          <w:i w:val="false"/>
          <w:caps w:val="false"/>
          <w:smallCaps w:val="false"/>
          <w:sz w:val="20"/>
        </w:rPr>
        <w:t xml:space="preserve"> for so long as such Person continues to be a Restricted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Investments relating to any Receivables Subsidiary that, in the good faith determination of the board of directors of the Borrower, are necessary or advisable to effect a Receivables Facility or any repurchases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advances to, or guarantees of Indebtedness of, employees not in excess of the greater of (a) $40,000,000 and (b) 5% of Consolidated EBITDA for the most recently ended Test Period (calculated on a Pro Forma Basis) at the time of such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the Borrower or any direct or indirect parent company thereof and (b) promissory notes received from stockholders of the Borrower, any direct or indirect parent company of the Borrower or any Subsidiary in connection with the exercise of stock options in respect of the Equity Interests of the Borrower, any direct or indirect parent company of the Borrower and the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Investments consisting of extensions of trade credit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Investments in the ordinary course of business consisting of Uniform Commercial Code Article 3 endorsements for collection or deposit and Uniform Commercial Code Article 4 customary trade arrangements with customers consistent with past practices;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(xix)        non-cash Investments in connection with tax planning and reorganization activities;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any such activities, the security interests of the Lenders in the Collateral, taken as a whole, would not be materially impaired;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the licensing and contribution of Intellectual Property pursuant to joint marketing arrangements with other Persons,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advances of payroll payments to employees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contributions to a “rabbi” trust for the benefit of employees, directors, consultants, independent contractors or other service providers or other grantor trust subject to claims of creditors in the case of a bankruptcy of the Borrower;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Investments by an Unrestricted Subsidiary entered into prior to the day such Unrestricted Subsidiary is redesignated as a Restricted Subsidiary pursuant to the definition of “Unrestricted Subsidiary”.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shall mean, with respect to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or deposits made to secure obligations arising from contractual or warranty refunds, in each case,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or for property Taxes on property of the Borrower or one of its Subsidiaries has determined to abandon if the sole recourse for such Tax is to such property;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taken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Liens securing Indebtedness permitted to be outstanding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(so long as such Liens are subject to the ABL Intercreditor Agreement),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(w)</w:t>
      </w:r>
      <w:r>
        <w:rPr>
          <w:rFonts w:ascii="Times New Roman;Times;Serif" w:hAnsi="Times New Roman;Times;Serif"/>
          <w:b w:val="false"/>
          <w:i w:val="false"/>
          <w:caps w:val="false"/>
          <w:smallCaps w:val="false"/>
          <w:sz w:val="20"/>
        </w:rPr>
        <w:t xml:space="preserve"> (so long as such Liens are subject to the ABL Intercreditor Agreement),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(so long as such Liens are subject to the ABL Intercreditor Agreement)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in the case of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such Lien may not extend to any property or equipment (or assets affixed or appurtenant thereto) other than the property or equipment being financed or refinanced under such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replacements of such property, equipment or assets, and additions and accessions and in the case of multiple financings of equipment provided by any lender, other equipment financed by such lender and (b) in the case of </w:t>
      </w:r>
      <w:r>
        <w:rPr>
          <w:rFonts w:ascii="Times New Roman;Times;Serif" w:hAnsi="Times New Roman;Times;Serif"/>
          <w:b w:val="false"/>
          <w:i w:val="false"/>
          <w:caps w:val="false"/>
          <w:smallCaps w:val="false"/>
          <w:sz w:val="20"/>
          <w:u w:val="single"/>
        </w:rPr>
        <w:t>clause (r)</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such Lien may not extend to any assets other than the assets owned by the Restricted Subsidiaries incurring such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subject to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other than with respect to Mortgaged Property, Liens existing on the Amendment No. 4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Lien securing Indebtedness or other obligations in excess of (a) $5,000,000 individually or (b) $25,000,000 in the aggregate (when taken together with all other Liens securing obligations outstanding in reliance on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that are not listed on </w:t>
      </w:r>
      <w:r>
        <w:rPr>
          <w:rFonts w:ascii="Times New Roman;Times;Serif" w:hAnsi="Times New Roman;Times;Serif"/>
          <w:b w:val="false"/>
          <w:i w:val="false"/>
          <w:caps w:val="false"/>
          <w:smallCaps w:val="false"/>
          <w:sz w:val="20"/>
          <w:u w:val="single"/>
        </w:rPr>
        <w:t>Schedule 10.2</w:t>
      </w:r>
      <w:r>
        <w:rPr>
          <w:rFonts w:ascii="Times New Roman;Times;Serif" w:hAnsi="Times New Roman;Times;Serif"/>
          <w:b w:val="false"/>
          <w:i w:val="false"/>
          <w:caps w:val="false"/>
          <w:smallCaps w:val="false"/>
          <w:sz w:val="20"/>
        </w:rPr>
        <w:t xml:space="preserve">) shall only be permitted if set forth on </w:t>
      </w:r>
      <w:r>
        <w:rPr>
          <w:rFonts w:ascii="Times New Roman;Times;Serif" w:hAnsi="Times New Roman;Times;Serif"/>
          <w:b w:val="false"/>
          <w:i w:val="false"/>
          <w:caps w:val="false"/>
          <w:smallCaps w:val="false"/>
          <w:sz w:val="20"/>
          <w:u w:val="single"/>
        </w:rPr>
        <w:t>Schedule 10.2</w:t>
      </w:r>
      <w:r>
        <w:rPr>
          <w:rFonts w:ascii="Times New Roman;Times;Serif" w:hAnsi="Times New Roman;Times;Serif"/>
          <w:b w:val="false"/>
          <w:i w:val="false"/>
          <w:caps w:val="false"/>
          <w:smallCaps w:val="false"/>
          <w:sz w:val="20"/>
        </w:rPr>
        <w:t>, and, in each case, any modifications, replacements, renewals, or extensions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Liens on property or shares of stock of a Person at the time such Person becomes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are not created or incurred in connection with, or in contemplation of, such other Person becoming a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Liens may not extend to any other property owned by the Borrower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are not created or incurred in connection with, or in contemplation of, such acquisition, merger, consolidation, or designation;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Liens may not extend to any other property owned by the Borrower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Liens securing Indebtedness or other obligations of a Restricted Subsidiary that is not a Credit Party owing to the Borrower or another Restricted Subsidiary permitted to be incurred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Liens securing Hedging Obligations and Cash Management Services so long as the related Indebtedness is, and is permitted hereunder to be, secured by a Lien on the same property securing such Hedging Obligations and Cash Management Services;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leases, subleases, licenses, or sublicenses (including of Intellectual Property) granted to others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Liens arising from Uniform Commercial Code financing statement filings regarding operating leases or consignments entered into by the Borrower or any Restricted Subsidiary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Liens in favor of the Borrower or any other Subsidiary Guarantor;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Liens on equipment of the Borrower or any Restricted Subsidiary granted in the ordinary course of business to the Borrower’s or such Restricted Subsidiary’s client at which such equipment is located;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Liens on accounts receivable and related assets incurred in connection with a Receivables Facility;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(xviii)         Liens to secure any refinancing, refunding, extension, renewal, or replacement (or successive refinancing, refunding, extensions, renewals, or replacements) as a whole, or in part, of any Indebtedness secured by any Lien referred to in </w:t>
      </w:r>
      <w:r>
        <w:rPr>
          <w:rFonts w:ascii="Times New Roman;Times;Serif" w:hAnsi="Times New Roman;Times;Serif"/>
          <w:b w:val="false"/>
          <w:i w:val="false"/>
          <w:caps w:val="false"/>
          <w:smallCaps w:val="false"/>
          <w:sz w:val="20"/>
          <w:u w:val="single"/>
        </w:rPr>
        <w:t>clauses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xml:space="preserve"> of this definition of “Permitted Liens”;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the committed amount of the Indebtedness described under </w:t>
      </w:r>
      <w:r>
        <w:rPr>
          <w:rFonts w:ascii="Times New Roman;Times;Serif" w:hAnsi="Times New Roman;Times;Serif"/>
          <w:b w:val="false"/>
          <w:i w:val="false"/>
          <w:caps w:val="false"/>
          <w:smallCaps w:val="false"/>
          <w:sz w:val="20"/>
          <w:u w:val="single"/>
        </w:rPr>
        <w:t>clauses (vi)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(xv)</w:t>
      </w:r>
      <w:r>
        <w:rPr>
          <w:rFonts w:ascii="Times New Roman;Times;Serif" w:hAnsi="Times New Roman;Times;Serif"/>
          <w:b w:val="false"/>
          <w:i w:val="false"/>
          <w:caps w:val="false"/>
          <w:smallCaps w:val="false"/>
          <w:sz w:val="20"/>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deposits made or other security provided to secure liabilities to insurance carriers under insurance or self-insurance arrangements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other Liens securing obligations (including Capitalized Lease Obligations) which do not exceed the greater of (a) $420,000,000 and (b) 50% of Consolidated EBITDA for the most recently ended Test Period (calculated on a Pro Forma Basis) at the time of the incurrence of such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Liens shall be either (x) an asset or property that do not constitute ABL Priority Collateral or (y) a Lien ranking junior to the First Lien Obligations (including having the same </w:t>
      </w:r>
      <w:r>
        <w:rPr>
          <w:rFonts w:ascii="Times New Roman;Times;Serif" w:hAnsi="Times New Roman;Times;Serif"/>
          <w:b w:val="false"/>
          <w:i w:val="false"/>
          <w:caps w:val="false"/>
          <w:smallCaps w:val="false"/>
          <w:strike/>
          <w:color w:val="FF0000"/>
          <w:sz w:val="20"/>
        </w:rPr>
        <w:t xml:space="preserve">lien </w:t>
      </w:r>
      <w:r>
        <w:rPr>
          <w:rFonts w:ascii="Times New Roman;Times;Serif" w:hAnsi="Times New Roman;Times;Serif"/>
          <w:b w:val="false"/>
          <w:i w:val="false"/>
          <w:caps w:val="false"/>
          <w:smallCaps w:val="false"/>
          <w:sz w:val="20"/>
        </w:rPr>
        <w:t>priority as the Term Loan Facilit</w:t>
      </w:r>
      <w:r>
        <w:rPr>
          <w:rFonts w:ascii="Times New Roman;Times;Serif" w:hAnsi="Times New Roman;Times;Serif"/>
          <w:b w:val="false"/>
          <w:i w:val="false"/>
          <w:caps w:val="false"/>
          <w:smallCaps w:val="false"/>
          <w:strike/>
          <w:color w:val="FF0000"/>
          <w:sz w:val="20"/>
        </w:rPr>
        <w:t>y</w:t>
      </w:r>
      <w:r>
        <w:rPr>
          <w:rFonts w:ascii="Times New Roman;Times;Serif" w:hAnsi="Times New Roman;Times;Serif"/>
          <w:b w:val="false"/>
          <w:i w:val="false"/>
          <w:caps w:val="false"/>
          <w:smallCaps w:val="false"/>
          <w:color w:val="0000FF"/>
          <w:sz w:val="20"/>
          <w:u w:val="single"/>
          <w:bdr w:val="single" w:sz="8" w:space="1" w:color="0000FF"/>
        </w:rPr>
        <w:t>ies</w:t>
      </w:r>
      <w:r>
        <w:rPr>
          <w:rFonts w:ascii="Times New Roman;Times;Serif" w:hAnsi="Times New Roman;Times;Serif"/>
          <w:b w:val="false"/>
          <w:i w:val="false"/>
          <w:caps w:val="false"/>
          <w:smallCaps w:val="false"/>
          <w:sz w:val="20"/>
        </w:rPr>
        <w:t xml:space="preserve"> Obligations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 provided, that it being agreed and acknowledged that such definition (and all reference therein) shall be deemed to survive any termination of the Term Loan Credit Agreement (including, for avoidance of doubt, through repayment of all outstanding Term Loans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at the Borrower’s election, (i) [reserved] and (ii) in the case of Liens securing Permitted Other Indebtedness Obligations that have a Lien on the Collateral ranking junior to the Lien securing the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Times;Serif" w:hAnsi="Times New Roman;Times;Serif"/>
          <w:b w:val="false"/>
          <w:i w:val="false"/>
          <w:caps w:val="false"/>
          <w:smallCaps w:val="false"/>
          <w:sz w:val="20"/>
          <w:u w:val="single"/>
        </w:rPr>
        <w:t>clause (xx)</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Liens securing judgments for the payment of money not constituting an Event of Default under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Liens in favor of customs and revenue authorities arising as a matter of law to secure payment of customs duties in connection with the importation of goods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(xxiv)          Liens deemed to exist in connection with Investments in repurchase agreements permitted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do not extend to any assets other than those that are the subject of such repurchase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Liens that are contractual rights of set-off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restrictive covenants affecting the use to which real property may be put;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covenants are complied 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           security given to a public utility or any municipality or governmental authority when required by such utility or authority in connection with the operations of that Person in the ordinary course of business;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zoning by-laws and other land use restrictions, including, without limitation, site plan agreements, development agreements, and contract zoning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Liens arising out of conditional sale, title retention, consignment, or similar arrangements for sale of goods entered into by Holdings or any Restricted Subsidiary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Liens arising under the Security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Liens on goods purchased in the ordinary course of business, the purchase price of which is financed by a documentary letter of credit issued for the account of the Borrower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         (a) Liens on Equity Interests in joint ventures;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such Lien is in favor of a creditor of such joint venture and such creditor is not an Affiliate of any partner to such joint venture and (b) purchase options, call, and similar rights of, and restrictions for the benefit of, a third party with respect to Equity Interests held by the Borrower or any Restricted Subsidiary in joint ventures;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(xxxvi)        Liens on cash and Cash Equivalents that are earmarked to be used to satisfy or discharge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with respect to any Foreign Subsidiary, other Liens and privileges arising mandatorily by any Requirements of Law;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(xxxviii)      to the extent pursuant to a Requirements of Law, Liens on cash or Permitted Investments securing Hedge Agreements in the ordinary course of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the term “Indebtedness” shall be deemed to include interest on, and fees, expenses and other obligations payable with respect to,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Other Indebtedness</w:t>
      </w:r>
      <w:r>
        <w:rPr>
          <w:rFonts w:ascii="Times New Roman;Times;Serif" w:hAnsi="Times New Roman;Times;Serif"/>
          <w:b w:val="false"/>
          <w:i w:val="false"/>
          <w:caps w:val="false"/>
          <w:smallCaps w:val="false"/>
          <w:sz w:val="20"/>
        </w:rPr>
        <w:t xml:space="preserve">” shall mean subordinated or senior Indebtedness (which Indebtedness may (i) be unsecured, (ii) [reserved], or (iii) be secured by </w:t>
      </w:r>
      <w:r>
        <w:rPr>
          <w:rFonts w:ascii="Times New Roman;Times;Serif" w:hAnsi="Times New Roman;Times;Serif"/>
          <w:b w:val="false"/>
          <w:i w:val="false"/>
          <w:caps w:val="false"/>
          <w:smallCaps w:val="false"/>
          <w:color w:val="0000FF"/>
          <w:sz w:val="20"/>
          <w:u w:val="single"/>
          <w:bdr w:val="single" w:sz="8" w:space="1" w:color="0000FF"/>
        </w:rPr>
        <w:t xml:space="preserve">(x) a Lien on an asset or property that does not constitute ABL Priority Collateral (as defined in the ABL Intercreditor Agreement as in effect immediately prior to the Amendment No. 5 Effective Date); provided that if such Indebtedness is secured by Term Loan Collateral (as defined in the ABL Intercreditor Agreement as in effect immediately prior to the Amendment No. 5 Effective Date), the ABL Secured Parties shall receive a second-priority Lien on such Term Loan Collateral (or such other priority as is required under the ABL Intercreditor Agreement or other applicable crossing-lien intercreditor arrangement), in each case pursuant to intercreditor arrangements reasonably satisfactory to the Administrative Agent, or (y) </w:t>
      </w:r>
      <w:r>
        <w:rPr>
          <w:rFonts w:ascii="Times New Roman;Times;Serif" w:hAnsi="Times New Roman;Times;Serif"/>
          <w:b w:val="false"/>
          <w:i w:val="false"/>
          <w:caps w:val="false"/>
          <w:smallCaps w:val="false"/>
          <w:sz w:val="20"/>
        </w:rPr>
        <w:t>a Lien ranking junior to the Lien securing the First Lien Obligations</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(including having the same </w:t>
      </w:r>
      <w:r>
        <w:rPr>
          <w:rFonts w:ascii="Times New Roman;Times;Serif" w:hAnsi="Times New Roman;Times;Serif"/>
          <w:b w:val="false"/>
          <w:i w:val="false"/>
          <w:caps w:val="false"/>
          <w:smallCaps w:val="false"/>
          <w:strike/>
          <w:color w:val="FF0000"/>
          <w:sz w:val="20"/>
        </w:rPr>
        <w:t xml:space="preserve">lien </w:t>
      </w:r>
      <w:r>
        <w:rPr>
          <w:rFonts w:ascii="Times New Roman;Times;Serif" w:hAnsi="Times New Roman;Times;Serif"/>
          <w:b w:val="false"/>
          <w:i w:val="false"/>
          <w:caps w:val="false"/>
          <w:smallCaps w:val="false"/>
          <w:sz w:val="20"/>
        </w:rPr>
        <w:t>priority as the Term Loan Facilit</w:t>
      </w:r>
      <w:r>
        <w:rPr>
          <w:rFonts w:ascii="Times New Roman;Times;Serif" w:hAnsi="Times New Roman;Times;Serif"/>
          <w:b w:val="false"/>
          <w:i w:val="false"/>
          <w:caps w:val="false"/>
          <w:smallCaps w:val="false"/>
          <w:strike/>
          <w:color w:val="FF0000"/>
          <w:sz w:val="20"/>
        </w:rPr>
        <w:t>y</w:t>
      </w:r>
      <w:r>
        <w:rPr>
          <w:rFonts w:ascii="Times New Roman;Times;Serif" w:hAnsi="Times New Roman;Times;Serif"/>
          <w:b w:val="false"/>
          <w:i w:val="false"/>
          <w:caps w:val="false"/>
          <w:smallCaps w:val="false"/>
          <w:color w:val="0000FF"/>
          <w:sz w:val="20"/>
          <w:u w:val="single"/>
          <w:bdr w:val="single" w:sz="8" w:space="1" w:color="0000FF"/>
        </w:rPr>
        <w:t>ies</w:t>
      </w:r>
      <w:r>
        <w:rPr>
          <w:rFonts w:ascii="Times New Roman;Times;Serif" w:hAnsi="Times New Roman;Times;Serif"/>
          <w:b w:val="false"/>
          <w:i w:val="false"/>
          <w:caps w:val="false"/>
          <w:smallCaps w:val="false"/>
          <w:sz w:val="20"/>
        </w:rPr>
        <w:t xml:space="preserve"> Obligations</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 provided, that it being agreed and acknowledged that such definition (and all reference therein) shall be deemed to survive any termination of the Term Loan Credit Agreement (including, for avoidance of doubt, through repayment of all outstanding Term Loans</w:t>
      </w:r>
      <w:r>
        <w:rPr>
          <w:rFonts w:ascii="Times New Roman;Times;Serif" w:hAnsi="Times New Roman;Times;Serif"/>
          <w:b w:val="false"/>
          <w:i w:val="false"/>
          <w:caps w:val="false"/>
          <w:smallCaps w:val="false"/>
          <w:sz w:val="20"/>
        </w:rPr>
        <w:t xml:space="preserve">), in each case issued or incurred by the Borrower or a Guarantor, (a) except with respect to (x) an amount equal to the greater of (A) $420,000,000 or (B) 50% of Consolidated EBITDA for the four consecutive fiscal quarters of the Borrower most recently ended on or prior to such date of determination in respect of Permitted Other Indebtedness and (y) customary bridge loans, the terms of which do not provide for any scheduled repayment, mandatory repayment, or redemption or sinking fund obligations prior to, at the time of incurrence, the </w:t>
      </w:r>
      <w:r>
        <w:rPr>
          <w:rFonts w:ascii="Times New Roman;Times;Serif" w:hAnsi="Times New Roman;Times;Serif"/>
          <w:b w:val="false"/>
          <w:i w:val="false"/>
          <w:caps w:val="false"/>
          <w:smallCaps w:val="false"/>
          <w:color w:val="0000FF"/>
          <w:sz w:val="20"/>
          <w:u w:val="single"/>
          <w:bdr w:val="single" w:sz="8" w:space="1" w:color="0000FF"/>
        </w:rPr>
        <w:t xml:space="preserve">later of the Latest Maturity Date and the </w:t>
      </w:r>
      <w:r>
        <w:rPr>
          <w:rFonts w:ascii="Times New Roman;Times;Serif" w:hAnsi="Times New Roman;Times;Serif"/>
          <w:b w:val="false"/>
          <w:i w:val="false"/>
          <w:caps w:val="false"/>
          <w:smallCaps w:val="false"/>
          <w:sz w:val="20"/>
        </w:rPr>
        <w:t xml:space="preserve">Latest Term Loan Maturity Date (as defined in the Term Loan Credit Agreement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 provided, that it being agreed and acknowledged that such definition (and all reference therein) shall be deemed to survive any termination of the Term Loan Credit Agreement (including, for avoidance of doubt, through repayment of all outstanding Term Loans</w:t>
      </w:r>
      <w:r>
        <w:rPr>
          <w:rFonts w:ascii="Times New Roman;Times;Serif" w:hAnsi="Times New Roman;Times;Serif"/>
          <w:b w:val="false"/>
          <w:i w:val="false"/>
          <w:caps w:val="false"/>
          <w:smallCaps w:val="false"/>
          <w:sz w:val="20"/>
        </w:rPr>
        <w:t xml:space="preserve">) (other than, in each case, customary offers or obligations to repurchase upon a change of control, asset sale, or casualty or condemnation event, AHYDO payments and customary acceleration rights after an event of default), (b) the covenants </w:t>
      </w:r>
      <w:r>
        <w:rPr>
          <w:rFonts w:ascii="Times New Roman;Times;Serif" w:hAnsi="Times New Roman;Times;Serif"/>
          <w:b w:val="false"/>
          <w:i w:val="false"/>
          <w:caps w:val="false"/>
          <w:smallCaps w:val="false"/>
          <w:color w:val="0000FF"/>
          <w:sz w:val="20"/>
          <w:u w:val="single"/>
          <w:bdr w:val="single" w:sz="8" w:space="1" w:color="0000FF"/>
        </w:rPr>
        <w:t>of which</w:t>
      </w:r>
      <w:r>
        <w:rPr>
          <w:rFonts w:ascii="Times New Roman;Times;Serif" w:hAnsi="Times New Roman;Times;Serif"/>
          <w:b w:val="false"/>
          <w:i w:val="false"/>
          <w:caps w:val="false"/>
          <w:smallCaps w:val="false"/>
          <w:sz w:val="20"/>
        </w:rPr>
        <w:t xml:space="preserve">, taken as a whole, are not materially more restrictive to the Borrower and the Restricted Subsidiaries than those herein (taken as a whole) (except for covenants applicable only to the periods after the </w:t>
      </w:r>
      <w:r>
        <w:rPr>
          <w:rFonts w:ascii="Times New Roman;Times;Serif" w:hAnsi="Times New Roman;Times;Serif"/>
          <w:b w:val="false"/>
          <w:i w:val="false"/>
          <w:caps w:val="false"/>
          <w:smallCaps w:val="false"/>
          <w:color w:val="0000FF"/>
          <w:sz w:val="20"/>
          <w:u w:val="single"/>
          <w:bdr w:val="single" w:sz="8" w:space="1" w:color="0000FF"/>
        </w:rPr>
        <w:t xml:space="preserve">later of the Latest Maturity Date and the </w:t>
      </w:r>
      <w:r>
        <w:rPr>
          <w:rFonts w:ascii="Times New Roman;Times;Serif" w:hAnsi="Times New Roman;Times;Serif"/>
          <w:b w:val="false"/>
          <w:i w:val="false"/>
          <w:caps w:val="false"/>
          <w:smallCaps w:val="false"/>
          <w:sz w:val="20"/>
        </w:rPr>
        <w:t xml:space="preserve">Latest Term Loan Maturity Date </w:t>
      </w:r>
      <w:r>
        <w:rPr>
          <w:rFonts w:ascii="Times New Roman;Times;Serif" w:hAnsi="Times New Roman;Times;Serif"/>
          <w:b w:val="false"/>
          <w:i w:val="false"/>
          <w:caps w:val="false"/>
          <w:smallCaps w:val="false"/>
          <w:strike/>
          <w:color w:val="FF0000"/>
          <w:sz w:val="20"/>
        </w:rPr>
        <w:t>(as defined in the Term Loan Credit Agreement))</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are only applicable after the </w:t>
      </w:r>
      <w:r>
        <w:rPr>
          <w:rFonts w:ascii="Times New Roman;Times;Serif" w:hAnsi="Times New Roman;Times;Serif"/>
          <w:b w:val="false"/>
          <w:i w:val="false"/>
          <w:caps w:val="false"/>
          <w:smallCaps w:val="false"/>
          <w:color w:val="0000FF"/>
          <w:sz w:val="20"/>
          <w:u w:val="single"/>
          <w:bdr w:val="single" w:sz="8" w:space="1" w:color="0000FF"/>
        </w:rPr>
        <w:t xml:space="preserve">later of the Latest Maturity Date and the </w:t>
      </w:r>
      <w:r>
        <w:rPr>
          <w:rFonts w:ascii="Times New Roman;Times;Serif" w:hAnsi="Times New Roman;Times;Serif"/>
          <w:b w:val="false"/>
          <w:i w:val="false"/>
          <w:caps w:val="false"/>
          <w:smallCaps w:val="false"/>
          <w:sz w:val="20"/>
        </w:rPr>
        <w:t xml:space="preserve">Latest Term Loan Maturity Date </w:t>
      </w:r>
      <w:r>
        <w:rPr>
          <w:rFonts w:ascii="Times New Roman;Times;Serif" w:hAnsi="Times New Roman;Times;Serif"/>
          <w:b w:val="false"/>
          <w:i w:val="false"/>
          <w:caps w:val="false"/>
          <w:smallCaps w:val="false"/>
          <w:strike/>
          <w:color w:val="FF0000"/>
          <w:sz w:val="20"/>
        </w:rPr>
        <w:t xml:space="preserve">(as defined in the Term Loan Credit Agreement) </w:t>
      </w:r>
      <w:r>
        <w:rPr>
          <w:rFonts w:ascii="Times New Roman;Times;Serif" w:hAnsi="Times New Roman;Times;Serif"/>
          <w:b w:val="false"/>
          <w:i w:val="false"/>
          <w:caps w:val="false"/>
          <w:smallCaps w:val="false"/>
          <w:sz w:val="20"/>
        </w:rPr>
        <w:t xml:space="preserve">at the time of such refinancing);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the Borrower (other than a Guarantor) is an obligor and (d) that, if secured, is not secured by a lien any assets of the Borrower or its Subsidiaries other than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Other Indebtedness Documents</w:t>
      </w:r>
      <w:r>
        <w:rPr>
          <w:rFonts w:ascii="Times New Roman;Times;Serif" w:hAnsi="Times New Roman;Times;Serif"/>
          <w:b w:val="false"/>
          <w:i w:val="false"/>
          <w:caps w:val="false"/>
          <w:smallCaps w:val="false"/>
          <w:sz w:val="20"/>
        </w:rPr>
        <w:t>” shall mean any document or instrument (including any guarantee, security agreement, or mortgage and which may include any or all of the Credit Documents) issued or executed and delivered with respect to any Permitted Other Indebtedness by the Borrower or any Subsidiary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Other Indebtedness Obligations</w:t>
      </w:r>
      <w:r>
        <w:rPr>
          <w:rFonts w:ascii="Times New Roman;Times;Serif" w:hAnsi="Times New Roman;Times;Serif"/>
          <w:b w:val="false"/>
          <w:i w:val="false"/>
          <w:caps w:val="false"/>
          <w:smallCaps w:val="false"/>
          <w:sz w:val="20"/>
        </w:rPr>
        <w:t>” shall mean, if any Permitted Other Indebtedness is issued or incurred, all advances to, and debts, liabilities, obligations, covenants, and duties of, the Borrower or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the Borrower or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Borrower and/or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Person under any Permitted Other Indebtedness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Other Indebtedness Secured Parties</w:t>
      </w:r>
      <w:r>
        <w:rPr>
          <w:rFonts w:ascii="Times New Roman;Times;Serif" w:hAnsi="Times New Roman;Times;Serif"/>
          <w:b w:val="false"/>
          <w:i w:val="false"/>
          <w:caps w:val="false"/>
          <w:smallCaps w:val="false"/>
          <w:sz w:val="20"/>
        </w:rPr>
        <w:t>” shall mean the holders from time to time of secured Permitted Other Indebtedness Obligations (and any representative on their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Sale Leaseback</w:t>
      </w:r>
      <w:r>
        <w:rPr>
          <w:rFonts w:ascii="Times New Roman;Times;Serif" w:hAnsi="Times New Roman;Times;Serif"/>
          <w:b w:val="false"/>
          <w:i w:val="false"/>
          <w:caps w:val="false"/>
          <w:smallCaps w:val="false"/>
          <w:sz w:val="20"/>
        </w:rPr>
        <w:t xml:space="preserve">” shall mean any Sale Leaseback consummated by the Borrower or any of the Restricted Subsidiaries after the Restatement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Sale Leaseback not between the Borrower and a Restricted Subsidiary is consummated for fair value as determined at the time of consummation in good faith by (i) the Borrower or such Restricted Subsidiary or (ii) in the case of any Sale Leaseback (or series of related Sale Leasebacks) the aggregate proceeds of which exceed the greater of (a) $340,000,000 and (b) 40% of 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Supply Chain Financing</w:t>
      </w:r>
      <w:r>
        <w:rPr>
          <w:rFonts w:ascii="Times New Roman;Times;Serif" w:hAnsi="Times New Roman;Times;Serif"/>
          <w:b w:val="false"/>
          <w:i w:val="false"/>
          <w:caps w:val="false"/>
          <w:smallCaps w:val="false"/>
          <w:sz w:val="20"/>
        </w:rPr>
        <w:t>” means customary transactions related to accounts payable of the Credit Parties with respect to their supply chain that do not constitute or would not have constituted Indebtedness as of the Amendment No. 4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any individual, partnership, joint venture, firm, corporation, limited liability company, association, trust, or other enterprise or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that is subject to Title IV of ERISA, Section 302 of ERISA or Section 412 of the Code, any ERISA Affiliate is (or, if such Plan were terminated, would under Section 4062 or Section 4069 of ERISA be reasonably likely to be deemed to be) an “employer” as defined in Section 3(5)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Platform</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13.17(a)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Pledge Agreement</w:t>
      </w:r>
      <w:r>
        <w:rPr>
          <w:rFonts w:ascii="Times New Roman;Times;Serif" w:hAnsi="Times New Roman;Times;Serif"/>
          <w:b w:val="false"/>
          <w:i w:val="false"/>
          <w:caps w:val="false"/>
          <w:smallCaps w:val="false"/>
          <w:sz w:val="20"/>
        </w:rPr>
        <w:t xml:space="preserve">” shall mean the Amended and Restated Pledge Agreement, entered into by the Credit Parties party thereto and the Collateral Agent for the benefit of the Secured Parties,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Post-Acquisition Period</w:t>
      </w:r>
      <w:r>
        <w:rPr>
          <w:rFonts w:ascii="Times New Roman;Times;Serif" w:hAnsi="Times New Roman;Times;Serif"/>
          <w:b w:val="false"/>
          <w:i w:val="false"/>
          <w:caps w:val="false"/>
          <w:smallCaps w:val="false"/>
          <w:sz w:val="20"/>
        </w:rPr>
        <w:t>” shall mean, with respect to any Permitted Acquisition, the period beginning on the date such Permitted Acquisition is consummated and ending on the last day of the eighth full consecutive fiscal quarter immediately following the date on which such Permitted Acquisition is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Previous Holdings</w:t>
      </w:r>
      <w:r>
        <w:rPr>
          <w:rFonts w:ascii="Times New Roman;Times;Serif" w:hAnsi="Times New Roman;Times;Serif"/>
          <w:b w:val="false"/>
          <w:i w:val="false"/>
          <w:caps w:val="false"/>
          <w:smallCaps w:val="false"/>
          <w:sz w:val="20"/>
        </w:rPr>
        <w:t>” shall have the meaning provided in the definition of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primary obligor</w:t>
      </w:r>
      <w:r>
        <w:rPr>
          <w:rFonts w:ascii="Times New Roman;Times;Serif" w:hAnsi="Times New Roman;Times;Serif"/>
          <w:b w:val="false"/>
          <w:i w:val="false"/>
          <w:caps w:val="false"/>
          <w:smallCaps w:val="false"/>
          <w:sz w:val="20"/>
        </w:rPr>
        <w:t>” shall have the meaning provided such term in the definition of “Contingent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Forma Adjustment</w:t>
      </w:r>
      <w:r>
        <w:rPr>
          <w:rFonts w:ascii="Times New Roman;Times;Serif" w:hAnsi="Times New Roman;Times;Serif"/>
          <w:b w:val="false"/>
          <w:i w:val="false"/>
          <w:caps w:val="false"/>
          <w:smallCaps w:val="false"/>
          <w:sz w:val="20"/>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at the election of the Borrower,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Forma Basis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 Forma Compliance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Pro Forma Effect</w:t>
      </w:r>
      <w:r>
        <w:rPr>
          <w:rFonts w:ascii="Times New Roman;Times;Serif" w:hAnsi="Times New Roman;Times;Serif"/>
          <w:b w:val="false"/>
          <w:i w:val="false"/>
          <w:caps w:val="false"/>
          <w:smallCaps w:val="false"/>
          <w:sz w:val="20"/>
        </w:rPr>
        <w:t xml:space="preserve">” shall mean, with respect to compliance with any test, financial ratio, or covenant hereunder, that (i) to the extent applicable, a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without limiting the application of the Pro Forma Adjustment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the Borrower or any of the Restricted Subsidiaries, and (3) factually supportable or (y) otherwise consistent with the definition of Pro Forma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Forma Entity</w:t>
      </w:r>
      <w:r>
        <w:rPr>
          <w:rFonts w:ascii="Times New Roman;Times;Serif" w:hAnsi="Times New Roman;Times;Serif"/>
          <w:b w:val="false"/>
          <w:i w:val="false"/>
          <w:caps w:val="false"/>
          <w:smallCaps w:val="false"/>
          <w:sz w:val="20"/>
        </w:rPr>
        <w:t>” shall have the meaning provided in the definition of the term “Acquired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Prohibited Transaction</w:t>
      </w:r>
      <w:r>
        <w:rPr>
          <w:rFonts w:ascii="Times New Roman;Times;Serif" w:hAnsi="Times New Roman;Times;Serif"/>
          <w:b w:val="false"/>
          <w:i w:val="false"/>
          <w:caps w:val="false"/>
          <w:smallCaps w:val="false"/>
          <w:sz w:val="20"/>
        </w:rPr>
        <w:t>” shall have the meaning assigned to such term in Section 406 of ERISA and Section 4975(c)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Protective Advance</w:t>
      </w:r>
      <w:r>
        <w:rPr>
          <w:rFonts w:ascii="Times New Roman;Times;Serif" w:hAnsi="Times New Roman;Times;Serif"/>
          <w:b w:val="false"/>
          <w:i w:val="false"/>
          <w:caps w:val="false"/>
          <w:smallCaps w:val="false"/>
          <w:sz w:val="20"/>
        </w:rPr>
        <w:t xml:space="preserve">” shall have the meaning assigned to such term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shall mean a prohibited transaction class exemption issued by the U.S. Department of Labor, as any such exemption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Public Company Costs</w:t>
      </w:r>
      <w:r>
        <w:rPr>
          <w:rFonts w:ascii="Times New Roman;Times;Serif" w:hAnsi="Times New Roman;Times;Serif"/>
          <w:b w:val="false"/>
          <w:i w:val="false"/>
          <w:caps w:val="false"/>
          <w:smallCaps w:val="false"/>
          <w:sz w:val="20"/>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13.27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Accounts</w:t>
      </w:r>
      <w:r>
        <w:rPr>
          <w:rFonts w:ascii="Times New Roman;Times;Serif" w:hAnsi="Times New Roman;Times;Serif"/>
          <w:b w:val="false"/>
          <w:i w:val="false"/>
          <w:caps w:val="false"/>
          <w:smallCaps w:val="false"/>
          <w:sz w:val="20"/>
        </w:rPr>
        <w:t xml:space="preserve">” shall mean (a) prior to the 120th day after the Restatement Effective Date, all Deposit Accounts of Credit Parties that are concentration accounts, custody accounts or investment accounts and (b) on and after the 120th day after the Restatement Effective Date all Deposit Accounts of Credit Parties that are concentration accounts, custody accounts or investment accounts (i) with the Administrative Agent or (ii) with another depositary, subject to a Blocked Account Agreement in favor of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applicable depositary (if not the Administrative Agent) shall provide daily reports to the Administrative Agent setting forth the balances in such accounts (which may relate to the previous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each case, such Qualified Account is not subject to any other Lien other than Liens permitted by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such Liens do not have priority over the Lien of the Administrative Agent and are junior to the Lien of the Administrative Agent (other than (i) inchoate or other Liens (including tax Liens) arising by operation of law or (ii) Permitted Liens under </w:t>
      </w:r>
      <w:r>
        <w:rPr>
          <w:rFonts w:ascii="Times New Roman;Times;Serif" w:hAnsi="Times New Roman;Times;Serif"/>
          <w:b w:val="false"/>
          <w:i w:val="false"/>
          <w:caps w:val="false"/>
          <w:smallCaps w:val="false"/>
          <w:sz w:val="20"/>
          <w:u w:val="single"/>
        </w:rPr>
        <w:t>clause (xxiii)</w:t>
      </w:r>
      <w:r>
        <w:rPr>
          <w:rFonts w:ascii="Times New Roman;Times;Serif" w:hAnsi="Times New Roman;Times;Serif"/>
          <w:b w:val="false"/>
          <w:i w:val="false"/>
          <w:caps w:val="false"/>
          <w:smallCaps w:val="false"/>
          <w:sz w:val="20"/>
        </w:rPr>
        <w:t xml:space="preserve"> of the definition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Cash</w:t>
      </w:r>
      <w:r>
        <w:rPr>
          <w:rFonts w:ascii="Times New Roman;Times;Serif" w:hAnsi="Times New Roman;Times;Serif"/>
          <w:b w:val="false"/>
          <w:i w:val="false"/>
          <w:caps w:val="false"/>
          <w:smallCaps w:val="false"/>
          <w:sz w:val="20"/>
        </w:rPr>
        <w:t>” shall mean, at any time, the amount of unrestricted cash and Cash Equivalents of the relevant Credit Parties held in Qualified Accounts as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Proceeds</w:t>
      </w:r>
      <w:r>
        <w:rPr>
          <w:rFonts w:ascii="Times New Roman;Times;Serif" w:hAnsi="Times New Roman;Times;Serif"/>
          <w:b w:val="false"/>
          <w:i w:val="false"/>
          <w:caps w:val="false"/>
          <w:smallCaps w:val="false"/>
          <w:sz w:val="20"/>
        </w:rPr>
        <w:t>” shall mean assets that are used or useful in, or Capital Stock of any Person engaged in, a Similar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Stock</w:t>
      </w:r>
      <w:r>
        <w:rPr>
          <w:rFonts w:ascii="Times New Roman;Times;Serif" w:hAnsi="Times New Roman;Times;Serif"/>
          <w:b w:val="false"/>
          <w:i w:val="false"/>
          <w:caps w:val="false"/>
          <w:smallCaps w:val="false"/>
          <w:sz w:val="20"/>
        </w:rPr>
        <w:t>” of any Person shall mean Capital Stock of such Person other than Disqualified Stock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Real Estate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Receivables</w:t>
      </w:r>
      <w:r>
        <w:rPr>
          <w:rFonts w:ascii="Times New Roman;Times;Serif" w:hAnsi="Times New Roman;Times;Serif"/>
          <w:b w:val="false"/>
          <w:i w:val="false"/>
          <w:caps w:val="false"/>
          <w:smallCaps w:val="false"/>
          <w:sz w:val="20"/>
        </w:rPr>
        <w:t>” shall mean (i) Accounts and (ii) Payment Intangibles evidencing rights to payment for goods sold or leased, or for services 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Receivables Assets</w:t>
      </w:r>
      <w:r>
        <w:rPr>
          <w:rFonts w:ascii="Times New Roman;Times;Serif" w:hAnsi="Times New Roman;Times;Serif"/>
          <w:b w:val="false"/>
          <w:i w:val="false"/>
          <w:caps w:val="false"/>
          <w:smallCaps w:val="false"/>
          <w:sz w:val="20"/>
        </w:rPr>
        <w:t>” means (a) the accounts receivable, royalties or other revenue streams, (b) rights to payment (including pursuant to the terms of Joint Ventures) subject to a Receivables Facility and (c) other assets customarily transferred together with any of the foregoing in a Receivables Facility and the proceeds thereof, including for the avoidance of doubt the underlying assets and related contracts generating any such receivables, royalties, revenue or rights to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Receivables Facility</w:t>
      </w:r>
      <w:r>
        <w:rPr>
          <w:rFonts w:ascii="Times New Roman;Times;Serif" w:hAnsi="Times New Roman;Times;Serif"/>
          <w:b w:val="false"/>
          <w:i w:val="false"/>
          <w:caps w:val="false"/>
          <w:smallCaps w:val="false"/>
          <w:sz w:val="20"/>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Receivables Assets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Receivables Fee</w:t>
      </w:r>
      <w:r>
        <w:rPr>
          <w:rFonts w:ascii="Times New Roman;Times;Serif" w:hAnsi="Times New Roman;Times;Serif"/>
          <w:b w:val="false"/>
          <w:i w:val="false"/>
          <w:caps w:val="false"/>
          <w:smallCaps w:val="false"/>
          <w:sz w:val="20"/>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Receivables Subsidiary</w:t>
      </w:r>
      <w:r>
        <w:rPr>
          <w:rFonts w:ascii="Times New Roman;Times;Serif" w:hAnsi="Times New Roman;Times;Serif"/>
          <w:b w:val="false"/>
          <w:i w:val="false"/>
          <w:caps w:val="false"/>
          <w:smallCaps w:val="false"/>
          <w:sz w:val="20"/>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Time</w:t>
      </w:r>
      <w:r>
        <w:rPr>
          <w:rFonts w:ascii="Times New Roman;Times;Serif" w:hAnsi="Times New Roman;Times;Serif"/>
          <w:b w:val="false"/>
          <w:i w:val="false"/>
          <w:caps w:val="false"/>
          <w:smallCaps w:val="false"/>
          <w:sz w:val="20"/>
        </w:rPr>
        <w:t>” with respect to any setting of the then-current Benchmark means (a) if such Benchmark is the Term SOFR Rate, 5:00 a.m. (Chicago time) on the day that is two (2) U.S. Government Securities Business Days preceding the date of such setting, (b) if such Benchmark is Daily Simple SOFR, then four (4) Business Days prior to such setting or (c) if such Benchmark is not the Term SOFR Rate or Daily Simple SOFR, the time determined by the Administrative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Refinancing Indebtedness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10.1(m)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Refunding Capital Stock</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10.5(b)(2)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13.6(b)(iv)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D</w:t>
      </w:r>
      <w:r>
        <w:rPr>
          <w:rFonts w:ascii="Times New Roman;Times;Serif" w:hAnsi="Times New Roman;Times;Serif"/>
          <w:b w:val="false"/>
          <w:i w:val="false"/>
          <w:caps w:val="false"/>
          <w:smallCaps w:val="false"/>
          <w:sz w:val="20"/>
        </w:rPr>
        <w:t>” shall mean Regulation D of the Board as from time to time in effect and any successor to all or a portion thereof establishing margin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T</w:t>
      </w:r>
      <w:r>
        <w:rPr>
          <w:rFonts w:ascii="Times New Roman;Times;Serif" w:hAnsi="Times New Roman;Times;Serif"/>
          <w:b w:val="false"/>
          <w:i w:val="false"/>
          <w:caps w:val="false"/>
          <w:smallCaps w:val="false"/>
          <w:sz w:val="20"/>
        </w:rPr>
        <w:t>” shall mean Regulation T of the Board as from time to time in effect and any successor to all or a portion thereof establishing margin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U</w:t>
      </w:r>
      <w:r>
        <w:rPr>
          <w:rFonts w:ascii="Times New Roman;Times;Serif" w:hAnsi="Times New Roman;Times;Serif"/>
          <w:b w:val="false"/>
          <w:i w:val="false"/>
          <w:caps w:val="false"/>
          <w:smallCaps w:val="false"/>
          <w:sz w:val="20"/>
        </w:rPr>
        <w:t>” shall mean Regulation U of the Board as from time to time in effect and any successor to all or a portion thereof establishing margin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Regulation X</w:t>
      </w:r>
      <w:r>
        <w:rPr>
          <w:rFonts w:ascii="Times New Roman;Times;Serif" w:hAnsi="Times New Roman;Times;Serif"/>
          <w:b w:val="false"/>
          <w:i w:val="false"/>
          <w:caps w:val="false"/>
          <w:smallCaps w:val="false"/>
          <w:sz w:val="20"/>
        </w:rPr>
        <w:t>” shall mean Regulation X of the Board as from time to time in effect and any successor to all or a portion thereof establishing margin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Reimbursement Date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Obligations</w:t>
      </w:r>
      <w:r>
        <w:rPr>
          <w:rFonts w:ascii="Times New Roman;Times;Serif" w:hAnsi="Times New Roman;Times;Serif"/>
          <w:b w:val="false"/>
          <w:i w:val="false"/>
          <w:caps w:val="false"/>
          <w:smallCaps w:val="false"/>
          <w:sz w:val="20"/>
        </w:rPr>
        <w:t xml:space="preserve">” shall mean the Borrower’s obligations to reimburse Unpaid Drawings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Business Assets</w:t>
      </w:r>
      <w:r>
        <w:rPr>
          <w:rFonts w:ascii="Times New Roman;Times;Serif" w:hAnsi="Times New Roman;Times;Serif"/>
          <w:b w:val="false"/>
          <w:i w:val="false"/>
          <w:caps w:val="false"/>
          <w:smallCaps w:val="false"/>
          <w:sz w:val="20"/>
        </w:rPr>
        <w:t xml:space="preserve">” shall mean assets (other than cash or Cash Equivalents) used or useful in a Similar Business;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shall mean, with respect to any Lender that is a Fund, any other Fund that is advised or managed by (a) such Lender, (b) an Affiliate of such Lender or (c) an entity or an Affiliate of such entity that administers, advises or manages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shall mean any release, spill, emission, discharge, disposal, escaping, leaking, pumping, pouring, dumping, emptying, injection, or leaching into or migration through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Body</w:t>
      </w:r>
      <w:r>
        <w:rPr>
          <w:rFonts w:ascii="Times New Roman;Times;Serif" w:hAnsi="Times New Roman;Times;Serif"/>
          <w:b w:val="false"/>
          <w:i w:val="false"/>
          <w:caps w:val="false"/>
          <w:smallCaps w:val="false"/>
          <w:sz w:val="20"/>
        </w:rPr>
        <w:t>” shall mean the Federal Reserve Board or the NYFRB, or a committee officially endorsed or convened by the Federal Reserve Board or the NYFRB,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Rate</w:t>
      </w:r>
      <w:r>
        <w:rPr>
          <w:rFonts w:ascii="Times New Roman;Times;Serif" w:hAnsi="Times New Roman;Times;Serif"/>
          <w:b w:val="false"/>
          <w:i w:val="false"/>
          <w:caps w:val="false"/>
          <w:smallCaps w:val="false"/>
          <w:sz w:val="20"/>
        </w:rPr>
        <w:t>” shall mean (i) with respect to any Term Benchmark Borrowing, the Adjusted Term SOFR Rate or (ii) with respect to any RFR Borrowing, the Adjusted Daily Simple SOFR,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Removal Effective Date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12.9(b)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Reorganization</w:t>
      </w:r>
      <w:r>
        <w:rPr>
          <w:rFonts w:ascii="Times New Roman;Times;Serif" w:hAnsi="Times New Roman;Times;Serif"/>
          <w:b w:val="false"/>
          <w:i w:val="false"/>
          <w:caps w:val="false"/>
          <w:smallCaps w:val="false"/>
          <w:sz w:val="20"/>
        </w:rPr>
        <w:t>” shall mean, with respect to any Multiemployer Plan, the condition that such plan is in “reorganization” within the meaning of Section 4241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Event</w:t>
      </w:r>
      <w:r>
        <w:rPr>
          <w:rFonts w:ascii="Times New Roman;Times;Serif" w:hAnsi="Times New Roman;Times;Serif"/>
          <w:b w:val="false"/>
          <w:i w:val="false"/>
          <w:caps w:val="false"/>
          <w:smallCaps w:val="false"/>
          <w:sz w:val="20"/>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DOL Reg. § 4043.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xml:space="preserve">” shall mean, at any date, (i) Non-Defaulting Lenders having or holding a majority of the Adjusted Total Revolving Credit Commitment at such date or (ii) if the Total Revolving Credit Commitment has been terminated or for the purposes of acceleration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Non-Defaulting Lenders having or holding a majority of the outstanding principal amount of the Loans and Letter of Credit Exposure (excluding the Loans and Letter of Credit Exposure of Defaulting Lenders) in the aggregate at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in each case, such Non-Defaulting Lenders representing the Required Lenders under clauses (i) and (ii) of this definition shall be constituted by at least two Non-Defaulting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Reserve Notice</w:t>
      </w:r>
      <w:r>
        <w:rPr>
          <w:rFonts w:ascii="Times New Roman;Times;Serif" w:hAnsi="Times New Roman;Times;Serif"/>
          <w:b w:val="false"/>
          <w:i w:val="false"/>
          <w:caps w:val="false"/>
          <w:smallCaps w:val="false"/>
          <w:sz w:val="20"/>
        </w:rPr>
        <w:t>” shall mean (a) so long as no Event of Default has occurred and is continuing, at least five Business Days’ advance notice to the Borrower (or such shorter period as the Borrower may agree), (b) if a Material Adverse Effect under clause (ii) of the definition thereof has occurred or it would be reasonably likely that a Material Adverse Effect under clause (ii) of the definition thereof would occur were such Reserves not changed or established prior to the expiration of any notice period, two Business Days’ advance notice to the Borrower and (c) if an Event of Default has occurred and is continuing, one days’ advance notice to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Requirements of Law</w:t>
      </w:r>
      <w:r>
        <w:rPr>
          <w:rFonts w:ascii="Times New Roman;Times;Serif" w:hAnsi="Times New Roman;Times;Serif"/>
          <w:b w:val="false"/>
          <w:i w:val="false"/>
          <w:caps w:val="false"/>
          <w:smallCaps w:val="false"/>
          <w:sz w:val="20"/>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Reserves</w:t>
      </w:r>
      <w:r>
        <w:rPr>
          <w:rFonts w:ascii="Times New Roman;Times;Serif" w:hAnsi="Times New Roman;Times;Serif"/>
          <w:b w:val="false"/>
          <w:i w:val="false"/>
          <w:caps w:val="false"/>
          <w:smallCaps w:val="false"/>
          <w:sz w:val="20"/>
        </w:rPr>
        <w:t xml:space="preserve">” shall mean such reserves as the Administrative Agent from time to time determines in its Permitted Discretion, including (a) Bank Product Reserves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(b) </w:t>
      </w:r>
      <w:r>
        <w:rPr>
          <w:rFonts w:ascii="Times New Roman;Times;Serif" w:hAnsi="Times New Roman;Times;Serif"/>
          <w:b w:val="false"/>
          <w:i w:val="false"/>
          <w:caps w:val="false"/>
          <w:smallCaps w:val="false"/>
          <w:color w:val="0000FF"/>
          <w:sz w:val="20"/>
          <w:u w:val="single"/>
          <w:bdr w:val="single" w:sz="8" w:space="1" w:color="0000FF"/>
        </w:rPr>
        <w:t xml:space="preserve">2031 Notes Maturity Reserve and (c) </w:t>
      </w:r>
      <w:r>
        <w:rPr>
          <w:rFonts w:ascii="Times New Roman;Times;Serif" w:hAnsi="Times New Roman;Times;Serif"/>
          <w:b w:val="false"/>
          <w:i w:val="false"/>
          <w:caps w:val="false"/>
          <w:smallCaps w:val="false"/>
          <w:sz w:val="20"/>
        </w:rPr>
        <w:t xml:space="preserve">reserves of the type described in </w:t>
      </w:r>
      <w:r>
        <w:rPr>
          <w:rFonts w:ascii="Times New Roman;Times;Serif" w:hAnsi="Times New Roman;Times;Serif"/>
          <w:b w:val="false"/>
          <w:i w:val="false"/>
          <w:caps w:val="false"/>
          <w:smallCaps w:val="false"/>
          <w:sz w:val="20"/>
          <w:u w:val="single"/>
        </w:rPr>
        <w:t>Section 2.18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Resignation Effective Date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12.9(a)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shall mean an EEA Resolution Authority or, with respect to any UK Financial Institution, a UK Resolution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Effective Date</w:t>
      </w:r>
      <w:r>
        <w:rPr>
          <w:rFonts w:ascii="Times New Roman;Times;Serif" w:hAnsi="Times New Roman;Times;Serif"/>
          <w:b w:val="false"/>
          <w:i w:val="false"/>
          <w:caps w:val="false"/>
          <w:smallCaps w:val="false"/>
          <w:sz w:val="20"/>
        </w:rPr>
        <w:t>” shall mean July 2, 2015.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Effective Date Refinancing</w:t>
      </w:r>
      <w:r>
        <w:rPr>
          <w:rFonts w:ascii="Times New Roman;Times;Serif" w:hAnsi="Times New Roman;Times;Serif"/>
          <w:b w:val="false"/>
          <w:i w:val="false"/>
          <w:caps w:val="false"/>
          <w:smallCaps w:val="false"/>
          <w:sz w:val="20"/>
        </w:rPr>
        <w:t xml:space="preserve">” shall mean the repayment, repurchase, redemption, defeasance or other discharge of the Existing Debt Facilities and termination and/or release of any security interests and guarantees in connection therewith (other than as set forth in </w:t>
      </w:r>
      <w:r>
        <w:rPr>
          <w:rFonts w:ascii="Times New Roman;Times;Serif" w:hAnsi="Times New Roman;Times;Serif"/>
          <w:b w:val="false"/>
          <w:i w:val="false"/>
          <w:caps w:val="false"/>
          <w:smallCaps w:val="false"/>
          <w:sz w:val="20"/>
          <w:u w:val="single"/>
        </w:rPr>
        <w:t>Section 13.23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Investment</w:t>
      </w:r>
      <w:r>
        <w:rPr>
          <w:rFonts w:ascii="Times New Roman;Times;Serif" w:hAnsi="Times New Roman;Times;Serif"/>
          <w:b w:val="false"/>
          <w:i w:val="false"/>
          <w:caps w:val="false"/>
          <w:smallCaps w:val="false"/>
          <w:sz w:val="20"/>
        </w:rPr>
        <w:t>” shall mean an Investment other than a Permitted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Payment</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Subsidiary</w:t>
      </w:r>
      <w:r>
        <w:rPr>
          <w:rFonts w:ascii="Times New Roman;Times;Serif" w:hAnsi="Times New Roman;Times;Serif"/>
          <w:b w:val="false"/>
          <w:i w:val="false"/>
          <w:caps w:val="false"/>
          <w:smallCaps w:val="false"/>
          <w:sz w:val="20"/>
        </w:rPr>
        <w:t>” shall mean any Subsidiary of the Borrower other than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Retired Capital Stock</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10.5(b)(2)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Commitment</w:t>
      </w:r>
      <w:r>
        <w:rPr>
          <w:rFonts w:ascii="Times New Roman;Times;Serif" w:hAnsi="Times New Roman;Times;Serif"/>
          <w:b w:val="false"/>
          <w:i w:val="false"/>
          <w:caps w:val="false"/>
          <w:smallCaps w:val="false"/>
          <w:sz w:val="20"/>
        </w:rPr>
        <w:t xml:space="preserve">” shall mean, as to each Revolving Credit Lender, its obligation to make Revolving Credit Loans to the Borrower pursuant to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in an aggregate principal amount at any one time outstanding not to exceed the amount set forth, and opposite such Lender’s name on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 xml:space="preserve"> under the caption Revolving Credit Commitment or in the Assignment and Acceptance pursuant to which such Lender becomes a party hereto, as applicable, as such amount may be adjusted from time to time in accordance with this Agreement (including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The aggregate Revolving Credit Commitments of all Revolving Credit Lenders shall be $1,000,000,000 on the Amendment No. 4 Effective Date, as such amount may be adjusted from time to time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Commitment Percentage</w:t>
      </w:r>
      <w:r>
        <w:rPr>
          <w:rFonts w:ascii="Times New Roman;Times;Serif" w:hAnsi="Times New Roman;Times;Serif"/>
          <w:b w:val="false"/>
          <w:i w:val="false"/>
          <w:caps w:val="false"/>
          <w:smallCaps w:val="false"/>
          <w:sz w:val="20"/>
        </w:rPr>
        <w:t xml:space="preserve">” shall mean at any time, for each Lender, the percentage obtained by dividing (i) such Lender’s Revolving Credit Commitment at such time by (ii) the amount of the Total Revolving Credit Commitment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Exposure</w:t>
      </w:r>
      <w:r>
        <w:rPr>
          <w:rFonts w:ascii="Times New Roman;Times;Serif" w:hAnsi="Times New Roman;Times;Serif"/>
          <w:b w:val="false"/>
          <w:i w:val="false"/>
          <w:caps w:val="false"/>
          <w:smallCaps w:val="false"/>
          <w:sz w:val="20"/>
        </w:rPr>
        <w:t>”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and Protective Advances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Facility</w:t>
      </w:r>
      <w:r>
        <w:rPr>
          <w:rFonts w:ascii="Times New Roman;Times;Serif" w:hAnsi="Times New Roman;Times;Serif"/>
          <w:b w:val="false"/>
          <w:i w:val="false"/>
          <w:caps w:val="false"/>
          <w:smallCaps w:val="false"/>
          <w:sz w:val="20"/>
        </w:rPr>
        <w:t>” shall mean, at any time, the aggregate amount of the Revolving Credit Lenders’ Revolving Credit Commitments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Lender</w:t>
      </w:r>
      <w:r>
        <w:rPr>
          <w:rFonts w:ascii="Times New Roman;Times;Serif" w:hAnsi="Times New Roman;Times;Serif"/>
          <w:b w:val="false"/>
          <w:i w:val="false"/>
          <w:caps w:val="false"/>
          <w:smallCaps w:val="false"/>
          <w:sz w:val="20"/>
        </w:rPr>
        <w:t>” shall mean, at any time, any Lender that has a Revolving Credit Commitment or an Incremental Commitment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Loan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Maturity Date</w:t>
      </w:r>
      <w:r>
        <w:rPr>
          <w:rFonts w:ascii="Times New Roman;Times;Serif" w:hAnsi="Times New Roman;Times;Serif"/>
          <w:b w:val="false"/>
          <w:i w:val="false"/>
          <w:caps w:val="false"/>
          <w:smallCaps w:val="false"/>
          <w:sz w:val="20"/>
        </w:rPr>
        <w:t xml:space="preserve">” shall mean </w:t>
      </w:r>
      <w:r>
        <w:rPr>
          <w:rFonts w:ascii="Times New Roman;Times;Serif" w:hAnsi="Times New Roman;Times;Serif"/>
          <w:b w:val="false"/>
          <w:i w:val="false"/>
          <w:caps w:val="false"/>
          <w:smallCaps w:val="false"/>
          <w:strike/>
          <w:color w:val="FF0000"/>
          <w:sz w:val="20"/>
        </w:rPr>
        <w:t>the earliest to occur of (a) March 8, 2029; (b) if, immediately prior to the date that is 91 days prior to the earliest maturity date in respect thereof, (i) more than $100,000,000 aggregate principal amount of the 2027 Senior Notes or any Refinancing Indebtedness in respect thereof (collectively, the “</w:t>
      </w:r>
      <w:r>
        <w:rPr>
          <w:rFonts w:ascii="Times New Roman;Times;Serif" w:hAnsi="Times New Roman;Times;Serif"/>
          <w:b/>
          <w:i w:val="false"/>
          <w:caps w:val="false"/>
          <w:smallCaps w:val="false"/>
          <w:strike/>
          <w:color w:val="FF0000"/>
          <w:sz w:val="20"/>
        </w:rPr>
        <w:t>Notes Indebtedness</w:t>
      </w:r>
      <w:r>
        <w:rPr>
          <w:rFonts w:ascii="Times New Roman;Times;Serif" w:hAnsi="Times New Roman;Times;Serif"/>
          <w:b w:val="false"/>
          <w:i w:val="false"/>
          <w:caps w:val="false"/>
          <w:smallCaps w:val="false"/>
          <w:strike/>
          <w:color w:val="FF0000"/>
          <w:sz w:val="20"/>
        </w:rPr>
        <w:t xml:space="preserve">”) is outstanding or (ii) $100,000,000 aggregate principal amount or less of the Notes Indebtedness is outstanding but a Reserve equal to such principal amount outstanding has not been taken for the Notes Indebtedness in accordance with </w:t>
      </w:r>
      <w:r>
        <w:rPr>
          <w:rFonts w:ascii="Times New Roman;Times;Serif" w:hAnsi="Times New Roman;Times;Serif"/>
          <w:b w:val="false"/>
          <w:i w:val="false"/>
          <w:caps w:val="false"/>
          <w:smallCaps w:val="false"/>
          <w:color w:val="FF0000"/>
          <w:sz w:val="20"/>
          <w:u w:val="single"/>
        </w:rPr>
        <w:t>Section 2.18</w:t>
      </w:r>
      <w:r>
        <w:rPr>
          <w:rFonts w:ascii="Times New Roman;Times;Serif" w:hAnsi="Times New Roman;Times;Serif"/>
          <w:b w:val="false"/>
          <w:i w:val="false"/>
          <w:caps w:val="false"/>
          <w:smallCaps w:val="false"/>
          <w:strike/>
          <w:color w:val="FF0000"/>
          <w:sz w:val="20"/>
        </w:rPr>
        <w:t>, the date that is 91 days prior to the earliest maturity date applicable to the Notes Indebtedness; or (c) if, immediately prior to the date that is 91 days prior to the earliest maturity date in respect thereof, (i) more than $100,000,000 aggregate principal amount of Term Loans or any Refinancing Indebtedness in respect thereof (collectively, the “</w:t>
      </w:r>
      <w:r>
        <w:rPr>
          <w:rFonts w:ascii="Times New Roman;Times;Serif" w:hAnsi="Times New Roman;Times;Serif"/>
          <w:b/>
          <w:i w:val="false"/>
          <w:caps w:val="false"/>
          <w:smallCaps w:val="false"/>
          <w:strike/>
          <w:color w:val="FF0000"/>
          <w:sz w:val="20"/>
        </w:rPr>
        <w:t>Term Loan Indebtedness</w:t>
      </w:r>
      <w:r>
        <w:rPr>
          <w:rFonts w:ascii="Times New Roman;Times;Serif" w:hAnsi="Times New Roman;Times;Serif"/>
          <w:b w:val="false"/>
          <w:i w:val="false"/>
          <w:caps w:val="false"/>
          <w:smallCaps w:val="false"/>
          <w:strike/>
          <w:color w:val="FF0000"/>
          <w:sz w:val="20"/>
        </w:rPr>
        <w:t xml:space="preserve">”) is outstanding or (ii) $100,000,000 aggregate principal amount or less of the Term Loan Indebtedness is outstanding but a Reserve equal to such principal amount outstanding has not been taken for the Term Loan Indebtedness in accordance with </w:t>
      </w:r>
      <w:r>
        <w:rPr>
          <w:rFonts w:ascii="Times New Roman;Times;Serif" w:hAnsi="Times New Roman;Times;Serif"/>
          <w:b w:val="false"/>
          <w:i w:val="false"/>
          <w:caps w:val="false"/>
          <w:smallCaps w:val="false"/>
          <w:color w:val="FF0000"/>
          <w:sz w:val="20"/>
          <w:u w:val="single"/>
        </w:rPr>
        <w:t>Section 2.18</w:t>
      </w:r>
      <w:r>
        <w:rPr>
          <w:rFonts w:ascii="Times New Roman;Times;Serif" w:hAnsi="Times New Roman;Times;Serif"/>
          <w:b w:val="false"/>
          <w:i w:val="false"/>
          <w:caps w:val="false"/>
          <w:smallCaps w:val="false"/>
          <w:strike/>
          <w:color w:val="FF0000"/>
          <w:sz w:val="20"/>
        </w:rPr>
        <w:t xml:space="preserve">, the date that is 91 days prior to the earliest maturity date applicable to the Term Loan Indebtedness (or in each case of </w:t>
      </w:r>
      <w:r>
        <w:rPr>
          <w:rFonts w:ascii="Times New Roman;Times;Serif" w:hAnsi="Times New Roman;Times;Serif"/>
          <w:b w:val="false"/>
          <w:i w:val="false"/>
          <w:caps w:val="false"/>
          <w:smallCaps w:val="false"/>
          <w:color w:val="FF0000"/>
          <w:sz w:val="20"/>
          <w:u w:val="single"/>
        </w:rPr>
        <w:t>clauses (b)</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val="false"/>
          <w:i w:val="false"/>
          <w:caps w:val="false"/>
          <w:smallCaps w:val="false"/>
          <w:color w:val="FF0000"/>
          <w:sz w:val="20"/>
          <w:u w:val="single"/>
        </w:rPr>
        <w:t>(c)</w:t>
      </w:r>
      <w:r>
        <w:rPr>
          <w:rFonts w:ascii="Times New Roman;Times;Serif" w:hAnsi="Times New Roman;Times;Serif"/>
          <w:b w:val="false"/>
          <w:i w:val="false"/>
          <w:caps w:val="false"/>
          <w:smallCaps w:val="false"/>
          <w:strike/>
          <w:color w:val="FF0000"/>
          <w:sz w:val="20"/>
        </w:rPr>
        <w:t>, if such date is not a Business Day, the immediately preceding Business Day).</w:t>
      </w:r>
      <w:r>
        <w:rPr>
          <w:rFonts w:ascii="Times New Roman;Times;Serif" w:hAnsi="Times New Roman;Times;Serif"/>
          <w:b w:val="false"/>
          <w:i w:val="false"/>
          <w:caps w:val="false"/>
          <w:smallCaps w:val="false"/>
          <w:color w:val="0000FF"/>
          <w:sz w:val="20"/>
          <w:u w:val="single"/>
          <w:bdr w:val="single" w:sz="8" w:space="1" w:color="0000FF"/>
        </w:rPr>
        <w:t>May 14,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Credit Termination Date</w:t>
      </w:r>
      <w:r>
        <w:rPr>
          <w:rFonts w:ascii="Times New Roman;Times;Serif" w:hAnsi="Times New Roman;Times;Serif"/>
          <w:b w:val="false"/>
          <w:i w:val="false"/>
          <w:caps w:val="false"/>
          <w:smallCaps w:val="false"/>
          <w:sz w:val="20"/>
        </w:rPr>
        <w:t>” shall mean the date on which the Revolving Credit Commitments shall have terminated, no Revolving Credit Loans or Swingline Loans shall be outstanding and the Letters of Credit Outstanding shall have been reduced to zero or Cash Collateralized.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Revolving Loan</w:t>
      </w:r>
      <w:r>
        <w:rPr>
          <w:rFonts w:ascii="Times New Roman;Times;Serif" w:hAnsi="Times New Roman;Times;Serif"/>
          <w:b w:val="false"/>
          <w:i w:val="false"/>
          <w:caps w:val="false"/>
          <w:smallCaps w:val="false"/>
          <w:sz w:val="20"/>
        </w:rPr>
        <w:t>” shall mean, collectively or individually as the context may require, any Revolving Credit Loan or Incremental Revolving Credit Loan, in each case made pursuant to and in accordance with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RFR Loan</w:t>
      </w:r>
      <w:r>
        <w:rPr>
          <w:rFonts w:ascii="Times New Roman;Times;Serif" w:hAnsi="Times New Roman;Times;Serif"/>
          <w:b w:val="false"/>
          <w:i w:val="false"/>
          <w:caps w:val="false"/>
          <w:smallCaps w:val="false"/>
          <w:sz w:val="20"/>
        </w:rPr>
        <w:t>” shall mean a Loan that bears interest at a rate based on the Adjusted Daily Simple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shall mean Standard &amp; Poor’s Ratings Services or any successor by merger or consolidation to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 Leaseback</w:t>
      </w:r>
      <w:r>
        <w:rPr>
          <w:rFonts w:ascii="Times New Roman;Times;Serif" w:hAnsi="Times New Roman;Times;Serif"/>
          <w:b w:val="false"/>
          <w:i w:val="false"/>
          <w:caps w:val="false"/>
          <w:smallCaps w:val="false"/>
          <w:sz w:val="20"/>
        </w:rPr>
        <w:t>” 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bdr w:val="single" w:sz="8" w:space="1" w:color="0000FF"/>
        </w:rPr>
      </w:pPr>
      <w:r>
        <w:rPr>
          <w:caps w:val="false"/>
          <w:smallCaps w:val="false"/>
          <w:color w:val="0000FF"/>
          <w:u w:val="single"/>
          <w:bdr w:val="single" w:sz="8" w:space="1" w:color="0000FF"/>
        </w:rPr>
        <w:t>“</w:t>
      </w:r>
      <w:r>
        <w:rPr>
          <w:rFonts w:ascii="Times New Roman;Times;Serif" w:hAnsi="Times New Roman;Times;Serif"/>
          <w:b/>
          <w:i w:val="false"/>
          <w:caps w:val="false"/>
          <w:smallCaps w:val="false"/>
          <w:color w:val="0000FF"/>
          <w:sz w:val="20"/>
          <w:u w:val="single"/>
          <w:bdr w:val="single" w:sz="8" w:space="1" w:color="0000FF"/>
        </w:rPr>
        <w:t>Sanctioned Country</w:t>
      </w:r>
      <w:r>
        <w:rPr>
          <w:rFonts w:ascii="Times New Roman;Times;Serif" w:hAnsi="Times New Roman;Times;Serif"/>
          <w:b w:val="false"/>
          <w:i w:val="false"/>
          <w:caps w:val="false"/>
          <w:smallCaps w:val="false"/>
          <w:color w:val="0000FF"/>
          <w:sz w:val="20"/>
          <w:u w:val="single"/>
          <w:bdr w:val="single" w:sz="8" w:space="1" w:color="0000FF"/>
        </w:rPr>
        <w:t>” means, at any time, a country, region or territory which is itself the subject or target of any Sanctions (as of the Fifth Amendment Effective Date, the so-called Donetsk People’s Republic, the so-called Luhansk People’s Republic, the Crimea, Zaporizhzhia and Kherson Regions of Ukraine, Cuba, Iran and North Korea).</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color w:val="0000FF"/>
          <w:u w:val="single"/>
          <w:bdr w:val="single" w:sz="8" w:space="1" w:color="0000FF"/>
        </w:rPr>
      </w:pPr>
      <w:r>
        <w:rPr>
          <w:caps w:val="false"/>
          <w:smallCaps w:val="false"/>
          <w:color w:val="0000FF"/>
          <w:u w:val="single"/>
          <w:bdr w:val="single" w:sz="8" w:space="1" w:color="0000FF"/>
        </w:rPr>
        <w:t>“</w:t>
      </w:r>
      <w:r>
        <w:rPr>
          <w:rFonts w:ascii="Times New Roman;Times;Serif" w:hAnsi="Times New Roman;Times;Serif"/>
          <w:b/>
          <w:i w:val="false"/>
          <w:caps w:val="false"/>
          <w:smallCaps w:val="false"/>
          <w:color w:val="0000FF"/>
          <w:sz w:val="20"/>
          <w:u w:val="single"/>
          <w:bdr w:val="single" w:sz="8" w:space="1" w:color="0000FF"/>
        </w:rPr>
        <w:t>Sanctioned Person</w:t>
      </w:r>
      <w:r>
        <w:rPr>
          <w:rFonts w:ascii="Times New Roman;Times;Serif" w:hAnsi="Times New Roman;Times;Serif"/>
          <w:b w:val="false"/>
          <w:i w:val="false"/>
          <w:caps w:val="false"/>
          <w:smallCaps w:val="false"/>
          <w:color w:val="0000FF"/>
          <w:sz w:val="20"/>
          <w:u w:val="single"/>
          <w:bdr w:val="single" w:sz="8" w:space="1" w:color="0000FF"/>
        </w:rPr>
        <w:t>” means, at any time, any Person subject or target of any Sanctions, including (a) any Person listed in any Sanctions-related list of designated Persons maintained by the U.S. government, including by the Office of Foreign Assets Control of the U.S. Department of the Treasury, the U.S. Department of State, or the U.S. Department of Commerce,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pStyle w:val="TextBody"/>
        <w:bidi w:val="0"/>
        <w:spacing w:before="0" w:after="0"/>
        <w:ind w:left="0" w:right="0" w:firstLine="720"/>
        <w:jc w:val="both"/>
        <w:rPr>
          <w:caps w:val="false"/>
          <w:smallCaps w:val="false"/>
          <w:color w:val="0000FF"/>
        </w:rPr>
      </w:pPr>
      <w:r>
        <w:rPr>
          <w:caps w:val="false"/>
          <w:smallCaps w:val="false"/>
          <w:color w:val="0000FF"/>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shall mean the Securities and Exchange Commission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Lien Intercreditor Agreement</w:t>
      </w:r>
      <w:r>
        <w:rPr>
          <w:rFonts w:ascii="Times New Roman;Times;Serif" w:hAnsi="Times New Roman;Times;Serif"/>
          <w:b w:val="false"/>
          <w:i w:val="false"/>
          <w:caps w:val="false"/>
          <w:smallCaps w:val="false"/>
          <w:sz w:val="20"/>
        </w:rPr>
        <w:t xml:space="preserve">” shall mean a First Lien/Second Lien Intercreditor Agreement substantially in the form of </w:t>
      </w:r>
      <w:r>
        <w:rPr>
          <w:rFonts w:ascii="Times New Roman;Times;Serif" w:hAnsi="Times New Roman;Times;Serif"/>
          <w:b w:val="false"/>
          <w:i w:val="false"/>
          <w:caps w:val="false"/>
          <w:smallCaps w:val="false"/>
          <w:sz w:val="20"/>
          <w:u w:val="single"/>
        </w:rPr>
        <w:t>Exhibit I-2</w:t>
      </w:r>
      <w:r>
        <w:rPr>
          <w:rFonts w:ascii="Times New Roman;Times;Serif" w:hAnsi="Times New Roman;Times;Serif"/>
          <w:b w:val="false"/>
          <w:i w:val="false"/>
          <w:caps w:val="false"/>
          <w:smallCaps w:val="false"/>
          <w:sz w:val="20"/>
        </w:rPr>
        <w:t xml:space="preserve"> (with such changes to such form as may be reasonably acceptable to the Administrative Agent and the Borrower) among the Administrative Agent, the Collateral Agent and the representatives for purposes thereof of any other Permitted Other Indebtedness Secured Parties that are holders of Permitted Other Indebtedness Obligations having a Lien on the Collateral ranking junior to the Lien securing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Section 9.1 Financials</w:t>
      </w:r>
      <w:r>
        <w:rPr>
          <w:rFonts w:ascii="Times New Roman;Times;Serif" w:hAnsi="Times New Roman;Times;Serif"/>
          <w:b w:val="false"/>
          <w:i w:val="false"/>
          <w:caps w:val="false"/>
          <w:smallCaps w:val="false"/>
          <w:sz w:val="20"/>
        </w:rPr>
        <w:t xml:space="preserve">” shall mean the financial statements delivered, or required to be delivered,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together with the accompanying officer’s certificate delivered, or required to be delivered, pursuant to </w:t>
      </w:r>
      <w:r>
        <w:rPr>
          <w:rFonts w:ascii="Times New Roman;Times;Serif" w:hAnsi="Times New Roman;Times;Serif"/>
          <w:b w:val="false"/>
          <w:i w:val="false"/>
          <w:caps w:val="false"/>
          <w:smallCaps w:val="false"/>
          <w:sz w:val="20"/>
          <w:u w:val="single"/>
        </w:rPr>
        <w:t>Section 9.1(d)</w:t>
      </w:r>
      <w:r>
        <w:rPr>
          <w:rFonts w:ascii="Times New Roman;Times;Serif" w:hAnsi="Times New Roman;Times;Serif"/>
          <w:b w:val="false"/>
          <w:i w:val="false"/>
          <w:caps w:val="false"/>
          <w:smallCaps w:val="false"/>
          <w:sz w:val="20"/>
        </w:rPr>
        <w:t>.</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Bank Product Obligations</w:t>
      </w:r>
      <w:r>
        <w:rPr>
          <w:rFonts w:ascii="Times New Roman;Times;Serif" w:hAnsi="Times New Roman;Times;Serif"/>
          <w:b w:val="false"/>
          <w:i w:val="false"/>
          <w:caps w:val="false"/>
          <w:smallCaps w:val="false"/>
          <w:sz w:val="20"/>
        </w:rPr>
        <w:t>” shall mean Bank Product Debt owing to a Secured Bank Product Provider, in the amount (in the case of any Secured Bank Product Provider other than JPMorgan Chase Bank, N.A. and its Affiliates) specified by such provider (and, in the case of any Bank Product Debt pursuant to a Permitted Supply Chain Financing, the applicable Credit Parties) in writing to the Administrative Agent, which amount may be established or increased (by further written notice to the Administrative Agent from time to time) as long as no Default or Event of Default exists and establishment of a Bank Product Reserve for such amount and all other Secured Bank Product Obligations would not result in the aggregate Revolving Credit Exposures exceeding the Maximum Borrowing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Bank Product Provider</w:t>
      </w:r>
      <w:r>
        <w:rPr>
          <w:rFonts w:ascii="Times New Roman;Times;Serif" w:hAnsi="Times New Roman;Times;Serif"/>
          <w:b w:val="false"/>
          <w:i w:val="false"/>
          <w:caps w:val="false"/>
          <w:smallCaps w:val="false"/>
          <w:sz w:val="20"/>
        </w:rPr>
        <w:t xml:space="preserve">” shall mean (a) JPMorgan Chase Bank, N.A. or any of its Affiliates; and (b) any Secured Party that is providing a Bank Product,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provider described in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delivers written notice that has been consented to in writing by the Borrower to the Administrative Agent, in form and substance satisfactory to the Administrative Agent, by the later of 10 Business Days following the Restatement Effective Date or 10 Business Days following creation of the Bank Product if such Bank Product is not in place on the Restatement Effective Date, (i) describing the Bank Product and setting forth the amount to be secured by the Collateral and the methodology to be used in calculating such amount, and (ii) agreeing to be bound by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hereof, as provided in </w:t>
      </w:r>
      <w:r>
        <w:rPr>
          <w:rFonts w:ascii="Times New Roman;Times;Serif" w:hAnsi="Times New Roman;Times;Serif"/>
          <w:b w:val="false"/>
          <w:i w:val="false"/>
          <w:caps w:val="false"/>
          <w:smallCaps w:val="false"/>
          <w:sz w:val="20"/>
          <w:u w:val="single"/>
        </w:rPr>
        <w:t>Section 12.14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Cash Management Agreement</w:t>
      </w:r>
      <w:r>
        <w:rPr>
          <w:rFonts w:ascii="Times New Roman;Times;Serif" w:hAnsi="Times New Roman;Times;Serif"/>
          <w:b w:val="false"/>
          <w:i w:val="false"/>
          <w:caps w:val="false"/>
          <w:smallCaps w:val="false"/>
          <w:sz w:val="20"/>
        </w:rPr>
        <w:t>” 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Cash Management Obligations</w:t>
      </w:r>
      <w:r>
        <w:rPr>
          <w:rFonts w:ascii="Times New Roman;Times;Serif" w:hAnsi="Times New Roman;Times;Serif"/>
          <w:b w:val="false"/>
          <w:i w:val="false"/>
          <w:caps w:val="false"/>
          <w:smallCaps w:val="false"/>
          <w:sz w:val="20"/>
        </w:rPr>
        <w:t>” shall mean Obligations under Secured Cash Management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Cash Management Reserves</w:t>
      </w:r>
      <w:r>
        <w:rPr>
          <w:rFonts w:ascii="Times New Roman;Times;Serif" w:hAnsi="Times New Roman;Times;Serif"/>
          <w:b w:val="false"/>
          <w:i w:val="false"/>
          <w:caps w:val="false"/>
          <w:smallCaps w:val="false"/>
          <w:sz w:val="20"/>
        </w:rPr>
        <w:t>” shall mean Obligations in respect of any Secured Cash Management Obligation in the amount specified by the applicable Secured Party and the Borrower in writing to the Administrative Agent under the definition of “Noticed Cash Management Obligations”, which amount may, subject to the restrictions set forth in the definition of “Noticed Cash Management Obligations” be increased with respect to any existing Secured Cash Management Obligation at any time by further written notice from such Secured Party and the Borrower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Commercial LC Facility</w:t>
      </w:r>
      <w:r>
        <w:rPr>
          <w:rFonts w:ascii="Times New Roman;Times;Serif" w:hAnsi="Times New Roman;Times;Serif"/>
          <w:b w:val="false"/>
          <w:i w:val="false"/>
          <w:caps w:val="false"/>
          <w:smallCaps w:val="false"/>
          <w:sz w:val="20"/>
        </w:rPr>
        <w:t xml:space="preserve">” shall mean any Commercial Letter of Credit facility that is entered into by and between the Borrower or any Restricted Subsidiary and a financial institution engaged in the business of issuing Commercial Letters of Credit to the extent that such Commercial Letter of Credit facility is designated in writing by the Borrower and such financial institution to the Administrative Agent as a Secured Commercial LC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shall not enter into or suffer to exist, or permit any of its Subsidiaries to enter into or suffer to exist, any Lien upon any of its property or assets (other than the Lien on the Collateral in favor of the Administrative Agent for the benefit of the Secured Parties) for the benefit of any Secured Commercial LC Facility;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Commercial Letter of Credit issued pursuant to a Secured Commercial LC Facility shall be deemed issued pursuant to such facility and may not be considered a Letter of Credit for the purposes of this Agreement, including, without limitation,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11.12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Hedge Agreement</w:t>
      </w:r>
      <w:r>
        <w:rPr>
          <w:rFonts w:ascii="Times New Roman;Times;Serif" w:hAnsi="Times New Roman;Times;Serif"/>
          <w:b w:val="false"/>
          <w:i w:val="false"/>
          <w:caps w:val="false"/>
          <w:smallCaps w:val="false"/>
          <w:sz w:val="20"/>
        </w:rPr>
        <w:t>” 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 Notwithstanding anything to the contrary, a Hedge Agreement with a Restricted Subsidiary shall remain a Secured Hedge Agreement notwithstanding that such Restricted Subsidiary is subsequently designated an Unrestricted Subsidiary, unless otherwise agreed between such Restricted Subsidiary and Hedge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Hedge Obligations</w:t>
      </w:r>
      <w:r>
        <w:rPr>
          <w:rFonts w:ascii="Times New Roman;Times;Serif" w:hAnsi="Times New Roman;Times;Serif"/>
          <w:b w:val="false"/>
          <w:i w:val="false"/>
          <w:caps w:val="false"/>
          <w:smallCaps w:val="false"/>
          <w:sz w:val="20"/>
        </w:rPr>
        <w:t>” shall mean Obligations under Secured Hedge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Hedge Reserves</w:t>
      </w:r>
      <w:r>
        <w:rPr>
          <w:rFonts w:ascii="Times New Roman;Times;Serif" w:hAnsi="Times New Roman;Times;Serif"/>
          <w:b w:val="false"/>
          <w:i w:val="false"/>
          <w:caps w:val="false"/>
          <w:smallCaps w:val="false"/>
          <w:sz w:val="20"/>
        </w:rPr>
        <w:t>” shall mean Obligations in respect of any Secured Hedge Obligation in the amount specified by the applicable Secured Party and the Borrower in writing to the Administrative Agent under the definition of “Noticed Hedges” (but not to exceed the Hedge Termination Value), which amount may, subject to the restrictions set forth in the definition of “Noticed Hedges” and herein, be increased (provided no such increase shall become effective if following such increase and the resulting increased Bank Product Reserve, no Overadvance would exist) with respect to any existing Secured Hedge Obligation at any time by further written notice from such Secured Party and the Borrower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Secured Parties</w:t>
      </w:r>
      <w:r>
        <w:rPr>
          <w:rFonts w:ascii="Times New Roman;Times;Serif" w:hAnsi="Times New Roman;Times;Serif"/>
          <w:b w:val="false"/>
          <w:i w:val="false"/>
          <w:caps w:val="false"/>
          <w:smallCaps w:val="false"/>
          <w:sz w:val="20"/>
        </w:rPr>
        <w:t xml:space="preserve">” shall mean the Administrative Agent, the Collateral Agent, the Letter of Credit Issuers and each Lender in each case with respect to the Credit Facilities, each Secured Bank Product Provider that is providing a Bank Product to Holdings or any Restricted Subsidiary, each Hedge Bank that is party to any Secured Hedge Agreement with Borrower or any Restricted Subsidiary, each Cash Management Bank that is party to a Secured Cash Management Agreement with the Borrower or any Restricted Subsidiary and each sub-agent pursuant to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appointed by the Administrative Agent with respect to matters relating to the Credit Facilities or the Collateral Agent with respect to matters relating to any Security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xml:space="preserve">” shall mean the Amended and Restated Security Agreement entered into by the Borrower, the other grantors party thereto, and the Collateral Agent for the benefit of the Secured Parties,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as the same may be amended, restated, amended and restated,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xml:space="preserve">” shall mean, collectively, the Pledge Agreement, the Security Agreement, the Mortgages, the ABL Intercreditor Agreement, if executed, the First Lien Intercreditor Agreement, if executed, the </w:t>
      </w:r>
      <w:r>
        <w:rPr>
          <w:rFonts w:ascii="Times New Roman;Times;Serif" w:hAnsi="Times New Roman;Times;Serif"/>
          <w:b w:val="false"/>
          <w:i w:val="false"/>
          <w:caps w:val="false"/>
          <w:smallCaps w:val="false"/>
          <w:strike/>
          <w:color w:val="FF0000"/>
          <w:sz w:val="20"/>
        </w:rPr>
        <w:t>First Lien/</w:t>
      </w:r>
      <w:r>
        <w:rPr>
          <w:rFonts w:ascii="Times New Roman;Times;Serif" w:hAnsi="Times New Roman;Times;Serif"/>
          <w:b w:val="false"/>
          <w:i w:val="false"/>
          <w:caps w:val="false"/>
          <w:smallCaps w:val="false"/>
          <w:sz w:val="20"/>
        </w:rPr>
        <w:t xml:space="preserve"> Second Lien Intercreditor Agreement and each other security agreement or other instrument or document executed and delivered pursuant to </w:t>
      </w:r>
      <w:r>
        <w:rPr>
          <w:rFonts w:ascii="Times New Roman;Times;Serif" w:hAnsi="Times New Roman;Times;Serif"/>
          <w:b w:val="false"/>
          <w:i w:val="false"/>
          <w:caps w:val="false"/>
          <w:smallCaps w:val="false"/>
          <w:sz w:val="20"/>
          <w:u w:val="single"/>
        </w:rPr>
        <w:t>Sections 9.11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9.14</w:t>
      </w:r>
      <w:r>
        <w:rPr>
          <w:rFonts w:ascii="Times New Roman;Times;Serif" w:hAnsi="Times New Roman;Times;Serif"/>
          <w:b w:val="false"/>
          <w:i w:val="false"/>
          <w:caps w:val="false"/>
          <w:smallCaps w:val="false"/>
          <w:sz w:val="20"/>
        </w:rPr>
        <w:t xml:space="preserve"> or pursuant to any other Security Documents (including intellectual property security agreements) to secure the Obligations or to govern the lien priorities of the holders of Liens on the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xml:space="preserve">”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would constitute a “Significant Subsidiary”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Similar Business</w:t>
      </w:r>
      <w:r>
        <w:rPr>
          <w:rFonts w:ascii="Times New Roman;Times;Serif" w:hAnsi="Times New Roman;Times;Serif"/>
          <w:b w:val="false"/>
          <w:i w:val="false"/>
          <w:caps w:val="false"/>
          <w:smallCaps w:val="false"/>
          <w:sz w:val="20"/>
        </w:rPr>
        <w:t>” shall mean any business conducted or proposed to be conducted by the Borrower and the Restricted Subsidiaries on the Amendment No. 4 Effective Date or any business that is similar, reasonably related, synergistic, incidental, or ancillary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shall mean a rate per annum equal to the secured overnight financing rate as administered by the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shall mean the NYFRB (or a successor administrator of the secured overnight financing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Administrator’s Website</w:t>
      </w:r>
      <w:r>
        <w:rPr>
          <w:rFonts w:ascii="Times New Roman;Times;Serif" w:hAnsi="Times New Roman;Times;Serif"/>
          <w:b w:val="false"/>
          <w:i w:val="false"/>
          <w:caps w:val="false"/>
          <w:smallCaps w:val="false"/>
          <w:sz w:val="20"/>
        </w:rPr>
        <w:t>” shall mean the NYFRB’s website, currently at http://www.newyorkfed.org, or any successor source for the secured overnight financing rate identified as such by the SOFR Administrator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shall have the meaning specified in the definition of “Daily Simple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Loan</w:t>
      </w:r>
      <w:r>
        <w:rPr>
          <w:rFonts w:ascii="Times New Roman;Times;Serif" w:hAnsi="Times New Roman;Times;Serif"/>
          <w:b w:val="false"/>
          <w:i w:val="false"/>
          <w:caps w:val="false"/>
          <w:smallCaps w:val="false"/>
          <w:sz w:val="20"/>
        </w:rPr>
        <w:t>” shall mean a Term Benchmark Loan or a RFR Loan, as the context may require.</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shall have the meaning specified in the definition of “Daily Simple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Sold Entity or Business</w:t>
      </w:r>
      <w:r>
        <w:rPr>
          <w:rFonts w:ascii="Times New Roman;Times;Serif" w:hAnsi="Times New Roman;Times;Serif"/>
          <w:b w:val="false"/>
          <w:i w:val="false"/>
          <w:caps w:val="false"/>
          <w:smallCaps w:val="false"/>
          <w:sz w:val="20"/>
        </w:rPr>
        <w:t>” shall have the meaning provided in the definition of the term “Consolidated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shall mean, after giving effect to the consummation of the Transactions, (i) the sum of the liabilities (including contingent liabilities) of the Borrower and its Restricted Subsidiaries, on a consolidated basis, does not exceed the present fair saleable value of the present assets of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Special Dividend</w:t>
      </w:r>
      <w:r>
        <w:rPr>
          <w:rFonts w:ascii="Times New Roman;Times;Serif" w:hAnsi="Times New Roman;Times;Serif"/>
          <w:b w:val="false"/>
          <w:i w:val="false"/>
          <w:caps w:val="false"/>
          <w:smallCaps w:val="false"/>
          <w:sz w:val="20"/>
        </w:rPr>
        <w:t>” shall mean a special one-time dividend within five Business Days of the Restatement Effective Date in an amount not to exceed $200,000,000 to be paid by Borrower, directly or indirectly, to Holdings and by Holdings to its equity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Default</w:t>
      </w:r>
      <w:r>
        <w:rPr>
          <w:rFonts w:ascii="Times New Roman;Times;Serif" w:hAnsi="Times New Roman;Times;Serif"/>
          <w:b w:val="false"/>
          <w:i w:val="false"/>
          <w:caps w:val="false"/>
          <w:smallCaps w:val="false"/>
          <w:sz w:val="20"/>
        </w:rPr>
        <w:t xml:space="preserve">” shall mean any Event of Default pursuant to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11.2</w:t>
      </w:r>
      <w:r>
        <w:rPr>
          <w:rFonts w:ascii="Times New Roman;Times;Serif" w:hAnsi="Times New Roman;Times;Serif"/>
          <w:b w:val="false"/>
          <w:i w:val="false"/>
          <w:caps w:val="false"/>
          <w:smallCaps w:val="false"/>
          <w:sz w:val="20"/>
        </w:rPr>
        <w:t xml:space="preserve"> (with respect to representations in any Borrowing Base Certificate only), </w:t>
      </w:r>
      <w:r>
        <w:rPr>
          <w:rFonts w:ascii="Times New Roman;Times;Serif" w:hAnsi="Times New Roman;Times;Serif"/>
          <w:b w:val="false"/>
          <w:i w:val="false"/>
          <w:caps w:val="false"/>
          <w:smallCaps w:val="false"/>
          <w:sz w:val="20"/>
          <w:u w:val="single"/>
        </w:rPr>
        <w:t>11.3(a)</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10.7</w:t>
      </w:r>
      <w:r>
        <w:rPr>
          <w:rFonts w:ascii="Times New Roman;Times;Serif" w:hAnsi="Times New Roman;Times;Serif"/>
          <w:b w:val="false"/>
          <w:i w:val="false"/>
          <w:caps w:val="false"/>
          <w:smallCaps w:val="false"/>
          <w:sz w:val="20"/>
        </w:rPr>
        <w:t xml:space="preserve"> only), </w:t>
      </w:r>
      <w:r>
        <w:rPr>
          <w:rFonts w:ascii="Times New Roman;Times;Serif" w:hAnsi="Times New Roman;Times;Serif"/>
          <w:b w:val="false"/>
          <w:i w:val="false"/>
          <w:caps w:val="false"/>
          <w:smallCaps w:val="false"/>
          <w:sz w:val="20"/>
          <w:u w:val="single"/>
        </w:rPr>
        <w:t>11.3(b)</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only)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Transaction</w:t>
      </w:r>
      <w:r>
        <w:rPr>
          <w:rFonts w:ascii="Times New Roman;Times;Serif" w:hAnsi="Times New Roman;Times;Serif"/>
          <w:b w:val="false"/>
          <w:i w:val="false"/>
          <w:caps w:val="false"/>
          <w:smallCaps w:val="false"/>
          <w:sz w:val="20"/>
        </w:rPr>
        <w:t>” shall mean, with respect to any period, any Investment (including a Permitted Acquisition), any asset sale, incurrence or repayment of Indebtedness, Restricted Payment, Subsidiary designation, Incremental Commitment or other event or action (including a restructuring or business optimization event) that in each case by the terms of this Agreement requires Pro Forma Compliance with a test or covenant hereunder or requires such test or covenant to be calculated on a Pro Forma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Spot Rate</w:t>
      </w:r>
      <w:r>
        <w:rPr>
          <w:rFonts w:ascii="Times New Roman;Times;Serif" w:hAnsi="Times New Roman;Times;Serif"/>
          <w:b w:val="false"/>
          <w:i w:val="false"/>
          <w:caps w:val="false"/>
          <w:smallCaps w:val="false"/>
          <w:sz w:val="20"/>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may obtain such spot rate from another financial institution designated by the Administrative Agent if it does not have as of the date of determination a spot buying rate for any such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SPV</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13.6(g)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Amount</w:t>
      </w:r>
      <w:r>
        <w:rPr>
          <w:rFonts w:ascii="Times New Roman;Times;Serif" w:hAnsi="Times New Roman;Times;Serif"/>
          <w:b w:val="false"/>
          <w:i w:val="false"/>
          <w:caps w:val="false"/>
          <w:smallCaps w:val="false"/>
          <w:sz w:val="20"/>
        </w:rPr>
        <w:t xml:space="preserve">” of any Letter of Credit shall mean the maximum amount from time to time available to be drawn thereunder, determined without regard to whether any conditions to drawing could then be met;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 Equivalents</w:t>
      </w:r>
      <w:r>
        <w:rPr>
          <w:rFonts w:ascii="Times New Roman;Times;Serif" w:hAnsi="Times New Roman;Times;Serif"/>
          <w:b w:val="false"/>
          <w:i w:val="false"/>
          <w:caps w:val="false"/>
          <w:smallCaps w:val="false"/>
          <w:sz w:val="20"/>
        </w:rPr>
        <w:t>” shall mean all securities convertible into or exchangeable for Capital Stock and all warrants, options, or other rights to purchase or subscribe for any Capital Stock, whether or not presently convertible, exchangeable, or exercisable.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Lien</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Indebtedness</w:t>
      </w:r>
      <w:r>
        <w:rPr>
          <w:rFonts w:ascii="Times New Roman;Times;Serif" w:hAnsi="Times New Roman;Times;Serif"/>
          <w:b w:val="false"/>
          <w:i w:val="false"/>
          <w:caps w:val="false"/>
          <w:smallCaps w:val="false"/>
          <w:sz w:val="20"/>
        </w:rPr>
        <w:t>” shall mean Indebtedness of the Borrower or any Guarantor that is by its terms subordinated in right of payment to the obligations of the Borrower or such Guarantor, as applicable, under this Agreement or the Guarantee,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Borrower</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10.3(a)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Super Majority Lenders</w:t>
      </w:r>
      <w:r>
        <w:rPr>
          <w:rFonts w:ascii="Times New Roman;Times;Serif" w:hAnsi="Times New Roman;Times;Serif"/>
          <w:b w:val="false"/>
          <w:i w:val="false"/>
          <w:caps w:val="false"/>
          <w:smallCaps w:val="false"/>
          <w:sz w:val="20"/>
        </w:rPr>
        <w:t xml:space="preserve">” shall mean, at any time, Lenders having Revolving Credit Exposures and unused Commitments (other than Swingline Commitments) representing more than 66.7% of the aggregate Revolving Credit Exposures and unused Commitments (other than Swingline Commitments)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whenever there are one or more Defaulting Lenders, the total outstanding Revolving Credit Exposures of, and the unused Revolving Credit Commitments of, each Defaulting Lender shall in each case be excluded for purposes of making a determination of Super Majority Lenders;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such Super Majority Lenders shall be constituted by at least two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13.27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Swap Obligation</w:t>
      </w:r>
      <w:r>
        <w:rPr>
          <w:rFonts w:ascii="Times New Roman;Times;Serif" w:hAnsi="Times New Roman;Times;Serif"/>
          <w:b w:val="false"/>
          <w:i w:val="false"/>
          <w:caps w:val="false"/>
          <w:smallCaps w:val="false"/>
          <w:sz w:val="20"/>
        </w:rPr>
        <w:t>” shall mean, with respect to the Borrower or any Subsidiary Credit Party, any obligation to pay or perform under any agreement, contract, or transaction that constitutes a “swap” within the meaning of Section 1(a)(47)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Commitment</w:t>
      </w:r>
      <w:r>
        <w:rPr>
          <w:rFonts w:ascii="Times New Roman;Times;Serif" w:hAnsi="Times New Roman;Times;Serif"/>
          <w:b w:val="false"/>
          <w:i w:val="false"/>
          <w:caps w:val="false"/>
          <w:smallCaps w:val="false"/>
          <w:sz w:val="20"/>
        </w:rPr>
        <w:t>” shall mean $65,000,000. The Swingline Commitment is part of and not in addition to the Revolving Credit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Exposure</w:t>
      </w:r>
      <w:r>
        <w:rPr>
          <w:rFonts w:ascii="Times New Roman;Times;Serif" w:hAnsi="Times New Roman;Times;Serif"/>
          <w:b w:val="false"/>
          <w:i w:val="false"/>
          <w:caps w:val="false"/>
          <w:smallCaps w:val="false"/>
          <w:sz w:val="20"/>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Lender</w:t>
      </w:r>
      <w:r>
        <w:rPr>
          <w:rFonts w:ascii="Times New Roman;Times;Serif" w:hAnsi="Times New Roman;Times;Serif"/>
          <w:b w:val="false"/>
          <w:i w:val="false"/>
          <w:caps w:val="false"/>
          <w:smallCaps w:val="false"/>
          <w:sz w:val="20"/>
        </w:rPr>
        <w:t>” shall mean JPMorgan Chase Bank, N.A., in its capacity as lender of Swingline Loans hereunder or any replacement or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Swingline Maturity Date</w:t>
      </w:r>
      <w:r>
        <w:rPr>
          <w:rFonts w:ascii="Times New Roman;Times;Serif" w:hAnsi="Times New Roman;Times;Serif"/>
          <w:b w:val="false"/>
          <w:i w:val="false"/>
          <w:caps w:val="false"/>
          <w:smallCaps w:val="false"/>
          <w:sz w:val="20"/>
        </w:rPr>
        <w:t>” shall mean, with respect to any Swingline Loan, the Revolving Credit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Benchmark</w:t>
      </w:r>
      <w:r>
        <w:rPr>
          <w:rFonts w:ascii="Times New Roman;Times;Serif" w:hAnsi="Times New Roman;Times;Serif"/>
          <w:b w:val="false"/>
          <w:i w:val="false"/>
          <w:caps w:val="false"/>
          <w:smallCaps w:val="false"/>
          <w:sz w:val="20"/>
        </w:rPr>
        <w:t>” shall mean, when used in reference to any Loan or Borrowing, refers to whether such Loan, or the Loans comprising such Borrowing, are bearing interest at a rate determined by reference to the Adjusted Term SOFR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Administrative Agent</w:t>
      </w:r>
      <w:r>
        <w:rPr>
          <w:rFonts w:ascii="Times New Roman;Times;Serif" w:hAnsi="Times New Roman;Times;Serif"/>
          <w:b w:val="false"/>
          <w:i w:val="false"/>
          <w:caps w:val="false"/>
          <w:smallCaps w:val="false"/>
          <w:sz w:val="20"/>
        </w:rPr>
        <w:t>” shall have the meaning assigned to the term “Administrative Agent” in the Term Loan Credit Agreement.</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Credit Agreement</w:t>
      </w:r>
      <w:r>
        <w:rPr>
          <w:rFonts w:ascii="Times New Roman;Times;Serif" w:hAnsi="Times New Roman;Times;Serif"/>
          <w:b w:val="false"/>
          <w:i w:val="false"/>
          <w:caps w:val="false"/>
          <w:smallCaps w:val="false"/>
          <w:sz w:val="20"/>
        </w:rPr>
        <w:t xml:space="preserve">” shall mean the Credit Agreement, dated as of the Restatement Effective Date, among, </w:t>
      </w:r>
      <w:r>
        <w:rPr>
          <w:rFonts w:ascii="Times New Roman;Times;Serif" w:hAnsi="Times New Roman;Times;Serif"/>
          <w:b w:val="false"/>
          <w:i/>
          <w:caps w:val="false"/>
          <w:smallCaps w:val="false"/>
          <w:sz w:val="20"/>
        </w:rPr>
        <w:t>inter alios</w:t>
      </w:r>
      <w:r>
        <w:rPr>
          <w:rFonts w:ascii="Times New Roman;Times;Serif" w:hAnsi="Times New Roman;Times;Serif"/>
          <w:b w:val="false"/>
          <w:i w:val="false"/>
          <w:caps w:val="false"/>
          <w:smallCaps w:val="false"/>
          <w:sz w:val="20"/>
        </w:rPr>
        <w:t xml:space="preserve">, the Borrower, the lenders party thereto and the Term Loan Administrative Agent, as may be amended, restated, amended and restated, supplemented or otherwise modified from time to time </w:t>
      </w:r>
      <w:r>
        <w:rPr>
          <w:rFonts w:ascii="Times New Roman;Times;Serif" w:hAnsi="Times New Roman;Times;Serif"/>
          <w:b w:val="false"/>
          <w:i w:val="false"/>
          <w:caps w:val="false"/>
          <w:smallCaps w:val="false"/>
          <w:color w:val="0000FF"/>
          <w:sz w:val="20"/>
          <w:u w:val="single"/>
          <w:bdr w:val="single" w:sz="8" w:space="1" w:color="0000FF"/>
        </w:rPr>
        <w:t>and as in effect immediately prior to the Amendment No. 5 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Credit Documents</w:t>
      </w:r>
      <w:r>
        <w:rPr>
          <w:rFonts w:ascii="Times New Roman;Times;Serif" w:hAnsi="Times New Roman;Times;Serif"/>
          <w:b w:val="false"/>
          <w:i w:val="false"/>
          <w:caps w:val="false"/>
          <w:smallCaps w:val="false"/>
          <w:sz w:val="20"/>
        </w:rPr>
        <w:t>” shall mean the Term Loan Credit Agreement and each other document executed in connection therewith or pursuant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Facility</w:t>
      </w:r>
      <w:r>
        <w:rPr>
          <w:rFonts w:ascii="Times New Roman;Times;Serif" w:hAnsi="Times New Roman;Times;Serif"/>
          <w:b w:val="false"/>
          <w:i w:val="false"/>
          <w:caps w:val="false"/>
          <w:smallCaps w:val="false"/>
          <w:sz w:val="20"/>
        </w:rPr>
        <w:t>” shall have the meaning provided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Facility Obligations</w:t>
      </w:r>
      <w:r>
        <w:rPr>
          <w:rFonts w:ascii="Times New Roman;Times;Serif" w:hAnsi="Times New Roman;Times;Serif"/>
          <w:b w:val="false"/>
          <w:i w:val="false"/>
          <w:caps w:val="false"/>
          <w:smallCaps w:val="false"/>
          <w:sz w:val="20"/>
        </w:rPr>
        <w:t>” shall have the meaning assigned to the term “Obligations” in the Term Loan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Loans</w:t>
      </w:r>
      <w:r>
        <w:rPr>
          <w:rFonts w:ascii="Times New Roman;Times;Serif" w:hAnsi="Times New Roman;Times;Serif"/>
          <w:b w:val="false"/>
          <w:i w:val="false"/>
          <w:caps w:val="false"/>
          <w:smallCaps w:val="false"/>
          <w:sz w:val="20"/>
        </w:rPr>
        <w:t>” shall have the meaning provided to the term “Loans” in the Term Loan Credit Agreement and any modification, replacement, refinancing, refunding, renewal, or extension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xml:space="preserve"> shall have the meaning assigned to it under the definition of Term SOFR Reference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Rate</w:t>
      </w:r>
      <w:r>
        <w:rPr>
          <w:rFonts w:ascii="Times New Roman;Times;Serif" w:hAnsi="Times New Roman;Times;Serif"/>
          <w:b w:val="false"/>
          <w:i w:val="false"/>
          <w:caps w:val="false"/>
          <w:smallCaps w:val="false"/>
          <w:sz w:val="20"/>
        </w:rPr>
        <w:t>” shall mean,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shall mean, for any day and time (such day, the “</w:t>
      </w:r>
      <w:r>
        <w:rPr>
          <w:rFonts w:ascii="Times New Roman;Times;Serif" w:hAnsi="Times New Roman;Times;Serif"/>
          <w:b w:val="false"/>
          <w:i w:val="false"/>
          <w:caps w:val="false"/>
          <w:smallCaps w:val="false"/>
          <w:sz w:val="20"/>
          <w:u w:val="single"/>
        </w:rPr>
        <w:t>Term SOFR Determination Day</w:t>
      </w:r>
      <w:r>
        <w:rPr>
          <w:rFonts w:ascii="Times New Roman;Times;Serif" w:hAnsi="Times New Roman;Times;Serif"/>
          <w:b w:val="false"/>
          <w:i w:val="false"/>
          <w:caps w:val="false"/>
          <w:smallCaps w:val="false"/>
          <w:sz w:val="20"/>
        </w:rPr>
        <w:t>”),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Test Period</w:t>
      </w:r>
      <w:r>
        <w:rPr>
          <w:rFonts w:ascii="Times New Roman;Times;Serif" w:hAnsi="Times New Roman;Times;Serif"/>
          <w:b w:val="false"/>
          <w:i w:val="false"/>
          <w:caps w:val="false"/>
          <w:smallCaps w:val="false"/>
          <w:sz w:val="20"/>
        </w:rPr>
        <w:t>” shall mean, for any determination under this Agreement, the four consecutive fiscal quarters of the Borrower’s most recently ended on or prior to such date of determination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Texas Intermediate Holdcos</w:t>
      </w:r>
      <w:r>
        <w:rPr>
          <w:rFonts w:ascii="Times New Roman;Times;Serif" w:hAnsi="Times New Roman;Times;Serif"/>
          <w:b w:val="false"/>
          <w:i w:val="false"/>
          <w:caps w:val="false"/>
          <w:smallCaps w:val="false"/>
          <w:sz w:val="20"/>
        </w:rPr>
        <w:t>” shall mean Associated Investors, L.L.C., a Texas limited liability company, and Academy Managing Co., L.L.C., a Texas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 Credit Exposure</w:t>
      </w:r>
      <w:r>
        <w:rPr>
          <w:rFonts w:ascii="Times New Roman;Times;Serif" w:hAnsi="Times New Roman;Times;Serif"/>
          <w:b w:val="false"/>
          <w:i w:val="false"/>
          <w:caps w:val="false"/>
          <w:smallCaps w:val="false"/>
          <w:sz w:val="20"/>
        </w:rPr>
        <w:t>” shall mean, at any date, the Total Revolving Credit Commitment at such date (or, if the Total Revolving Credit Commitment shall have terminated on such date, the aggregate Revolving Credit Exposure of all Lenders at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Total Revolving Credit Commitment</w:t>
      </w:r>
      <w:r>
        <w:rPr>
          <w:rFonts w:ascii="Times New Roman;Times;Serif" w:hAnsi="Times New Roman;Times;Serif"/>
          <w:b w:val="false"/>
          <w:i w:val="false"/>
          <w:caps w:val="false"/>
          <w:smallCaps w:val="false"/>
          <w:sz w:val="20"/>
        </w:rPr>
        <w:t>” shall mean the sum of the Revolving Credit Commitments of all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Expenses</w:t>
      </w:r>
      <w:r>
        <w:rPr>
          <w:rFonts w:ascii="Times New Roman;Times;Serif" w:hAnsi="Times New Roman;Times;Serif"/>
          <w:b w:val="false"/>
          <w:i w:val="false"/>
          <w:caps w:val="false"/>
          <w:smallCaps w:val="false"/>
          <w:sz w:val="20"/>
        </w:rPr>
        <w:t>” shall mean any fees, costs, or expenses incurred or paid by the Borrower, or any of their respective Affiliates in connection with the Transactions, this Agreement, and the other Credit Documents, and the transactions contemplated hereby and thereby.</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xml:space="preserve">” shall mean, collectively, the transactions contemplated by this Agreement, the Term Loan Credit Agreement, the Notes Agreement </w:t>
      </w:r>
      <w:r>
        <w:rPr>
          <w:rFonts w:ascii="Times New Roman;Times;Serif" w:hAnsi="Times New Roman;Times;Serif"/>
          <w:b w:val="false"/>
          <w:i w:val="false"/>
          <w:caps w:val="false"/>
          <w:smallCaps w:val="false"/>
          <w:color w:val="0000FF"/>
          <w:sz w:val="20"/>
          <w:u w:val="single"/>
          <w:bdr w:val="single" w:sz="8" w:space="1" w:color="0000FF"/>
        </w:rPr>
        <w:t xml:space="preserve">(as defined immediately prior to the Amendment No. 5 Effective Date) </w:t>
      </w:r>
      <w:r>
        <w:rPr>
          <w:rFonts w:ascii="Times New Roman;Times;Serif" w:hAnsi="Times New Roman;Times;Serif"/>
          <w:b w:val="false"/>
          <w:i w:val="false"/>
          <w:caps w:val="false"/>
          <w:smallCaps w:val="false"/>
          <w:sz w:val="20"/>
        </w:rPr>
        <w:t>and the consummation of any other transactions in connection with the foregoing (including the payment of the fees and expenses incurred in connection with any of the foregoing (including the Transaction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13.6(e)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Type</w:t>
      </w:r>
      <w:r>
        <w:rPr>
          <w:rFonts w:ascii="Times New Roman;Times;Serif" w:hAnsi="Times New Roman;Times;Serif"/>
          <w:b w:val="false"/>
          <w:i w:val="false"/>
          <w:caps w:val="false"/>
          <w:smallCaps w:val="false"/>
          <w:sz w:val="20"/>
        </w:rPr>
        <w:t>” shall mean as to any Revolving Loan, its nature as an ABR Loan or a SOFR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shall mean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xml:space="preserve">” has the meaning assigned to it in </w:t>
      </w:r>
      <w:r>
        <w:rPr>
          <w:rFonts w:ascii="Times New Roman;Times;Serif" w:hAnsi="Times New Roman;Times;Serif"/>
          <w:b w:val="false"/>
          <w:i w:val="false"/>
          <w:caps w:val="false"/>
          <w:smallCaps w:val="false"/>
          <w:sz w:val="20"/>
          <w:u w:val="single"/>
        </w:rPr>
        <w:t>Section 13.27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UCP</w:t>
      </w:r>
      <w:r>
        <w:rPr>
          <w:rFonts w:ascii="Times New Roman;Times;Serif" w:hAnsi="Times New Roman;Times;Serif"/>
          <w:b w:val="false"/>
          <w:i w:val="false"/>
          <w:caps w:val="false"/>
          <w:smallCaps w:val="false"/>
          <w:sz w:val="20"/>
        </w:rPr>
        <w:t>” shall mean, with respect to any Letter of Credit, the Uniform Customs and Practice for Documentary Credits, International Chamber of Commerce (“</w:t>
      </w:r>
      <w:r>
        <w:rPr>
          <w:rFonts w:ascii="Times New Roman;Times;Serif" w:hAnsi="Times New Roman;Times;Serif"/>
          <w:b/>
          <w:i w:val="false"/>
          <w:caps w:val="false"/>
          <w:smallCaps w:val="false"/>
          <w:sz w:val="20"/>
        </w:rPr>
        <w:t>ICC</w:t>
      </w:r>
      <w:r>
        <w:rPr>
          <w:rFonts w:ascii="Times New Roman;Times;Serif" w:hAnsi="Times New Roman;Times;Serif"/>
          <w:b w:val="false"/>
          <w:i w:val="false"/>
          <w:caps w:val="false"/>
          <w:smallCaps w:val="false"/>
          <w:sz w:val="20"/>
        </w:rPr>
        <w:t>”) Publication No. 600 (or such later version thereof as may be in effect at the time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shall mean the applicable Benchmark Replacement excluding the related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Uncontrolled Cash</w:t>
      </w:r>
      <w:r>
        <w:rPr>
          <w:rFonts w:ascii="Times New Roman;Times;Serif" w:hAnsi="Times New Roman;Times;Serif"/>
          <w:b w:val="false"/>
          <w:i w:val="false"/>
          <w:caps w:val="false"/>
          <w:smallCaps w:val="false"/>
          <w:sz w:val="20"/>
        </w:rPr>
        <w:t>” shall mean all amounts from time to time on deposit in any Designated Disbursement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Undisclosed Administration</w:t>
      </w:r>
      <w:r>
        <w:rPr>
          <w:rFonts w:ascii="Times New Roman;Times;Serif" w:hAnsi="Times New Roman;Times;Serif"/>
          <w:b w:val="false"/>
          <w:i w:val="false"/>
          <w:caps w:val="false"/>
          <w:smallCaps w:val="false"/>
          <w:sz w:val="20"/>
        </w:rPr>
        <w:t>” 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Uniform Commercial Code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shall mean the Uniform Commercial Code as in effect from time and time in the State of New York or, when the laws of any other jurisdiction govern the perfection or enforcement of any Lien, the Uniform Commercial Code of such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Unpaid Drawing</w:t>
      </w:r>
      <w:r>
        <w:rPr>
          <w:rFonts w:ascii="Times New Roman;Times;Serif" w:hAnsi="Times New Roman;Times;Serif"/>
          <w:b w:val="false"/>
          <w:i w:val="false"/>
          <w:caps w:val="false"/>
          <w:smallCaps w:val="false"/>
          <w:sz w:val="20"/>
        </w:rPr>
        <w:t xml:space="preserve">” shall have the meaning provided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Unrestricted Subsidiary</w:t>
      </w:r>
      <w:r>
        <w:rPr>
          <w:rFonts w:ascii="Times New Roman;Times;Serif" w:hAnsi="Times New Roman;Times;Serif"/>
          <w:b w:val="false"/>
          <w:i w:val="false"/>
          <w:caps w:val="false"/>
          <w:smallCaps w:val="false"/>
          <w:sz w:val="20"/>
        </w:rPr>
        <w:t>” shall mean (i) any Subsidiary of the Borrower which at the time of determination is an Unrestricted Subsidiary (as designated by the board of directors of the Borrower, as provided below) and (ii) any Subsidiary of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any Subsidiary of the Subsidiary to be so designated or an Unrestricted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such designation complies with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immediately after giving effect to such designation, no Event of Default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 xml:space="preserve"> shall have occurred and be continuing.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the Borrower may designate any Unrestricted Subsidiary to be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immediately after giving effect to such designation, no Event of Default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 xml:space="preserve"> shall have occurred and be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Stock</w:t>
      </w:r>
      <w:r>
        <w:rPr>
          <w:rFonts w:ascii="Times New Roman;Times;Serif" w:hAnsi="Times New Roman;Times;Serif"/>
          <w:b w:val="false"/>
          <w:i w:val="false"/>
          <w:caps w:val="false"/>
          <w:smallCaps w:val="false"/>
          <w:sz w:val="20"/>
        </w:rPr>
        <w:t>” shall mean, with respect to any Person as of any date, the Capital Stock of such Person that is at the time entitled to vote in the election of the board of directors or managers (or similar governing authority)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Weekly Borrowing Base Certificate</w:t>
      </w:r>
      <w:r>
        <w:rPr>
          <w:rFonts w:ascii="Times New Roman;Times;Serif" w:hAnsi="Times New Roman;Times;Serif"/>
          <w:b w:val="false"/>
          <w:i w:val="false"/>
          <w:caps w:val="false"/>
          <w:smallCaps w:val="false"/>
          <w:sz w:val="20"/>
        </w:rPr>
        <w:t xml:space="preserve">” 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or another form which is acceptable to the Administrative Agent in its reasonable discretion (it being agreed that each Weekly Borrowing Base Certificate will be based on the most recently delivered Borrowing Base Certificate delivered on a quarterly or monthly basis, as applicable, updated to reflect changes in the aggregate value of Receivables of the relevant Credit Parties but with ineligibility and reserve related items reflecting those set forth in such most recent Borrowing Base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Weekly Reporting Period</w:t>
      </w:r>
      <w:r>
        <w:rPr>
          <w:rFonts w:ascii="Times New Roman;Times;Serif" w:hAnsi="Times New Roman;Times;Serif"/>
          <w:b w:val="false"/>
          <w:i w:val="false"/>
          <w:caps w:val="false"/>
          <w:smallCaps w:val="false"/>
          <w:sz w:val="20"/>
        </w:rPr>
        <w:t>” shall mean any period (a) beginning on the date that Excess Availability is less than the greater of (i) 10% of the Maximum Borrowing Amount and (ii) $60,000,000 for five consecutive Business Days, until such time as Excess Availability has been at least the greater of (i) 10% of the Maximum Borrowing Amount and (ii) $60,000,000 for at least 20 consecutive calendar days, or (b) during which a Specified Default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 Restricted Subsidiary</w:t>
      </w:r>
      <w:r>
        <w:rPr>
          <w:rFonts w:ascii="Times New Roman;Times;Serif" w:hAnsi="Times New Roman;Times;Serif"/>
          <w:b w:val="false"/>
          <w:i w:val="false"/>
          <w:caps w:val="false"/>
          <w:smallCaps w:val="false"/>
          <w:sz w:val="20"/>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Wholly-Owned Subsidiary</w:t>
      </w:r>
      <w:r>
        <w:rPr>
          <w:rFonts w:ascii="Times New Roman;Times;Serif" w:hAnsi="Times New Roman;Times;Serif"/>
          <w:b w:val="false"/>
          <w:i w:val="false"/>
          <w:caps w:val="false"/>
          <w:smallCaps w:val="false"/>
          <w:sz w:val="20"/>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Withdrawal Liability</w:t>
      </w:r>
      <w:r>
        <w:rPr>
          <w:rFonts w:ascii="Times New Roman;Times;Serif" w:hAnsi="Times New Roman;Times;Serif"/>
          <w:b w:val="false"/>
          <w:i w:val="false"/>
          <w:caps w:val="false"/>
          <w:smallCaps w:val="false"/>
          <w:sz w:val="20"/>
        </w:rPr>
        <w:t>” shall mean liability to a Multiemployer Plan as a result of a complete or partial withdrawal from such Multiemployer Plan, as such terms are defined in Title IV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shall mean any Credit Party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Other Interpretive Provisions</w:t>
      </w:r>
      <w:r>
        <w:rPr>
          <w:rFonts w:ascii="Times New Roman;Times;Serif" w:hAnsi="Times New Roman;Times;Serif"/>
          <w:b w:val="false"/>
          <w:i w:val="false"/>
          <w:caps w:val="false"/>
          <w:smallCaps w:val="false"/>
          <w:sz w:val="20"/>
        </w:rPr>
        <w:t>. With reference to this Agreement and each other Credit Document, unless otherwise specified herein or in such other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meanings of defined terms are equally applicable to the singular and plural forms of the defined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“herein”, “hereto”, “hereof”, and “hereunder” and words of similar import when used in any Credit Document shall refer to such Credit Document as a whole and not to any particular provision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Exhibit, and Schedule references are to the Credit Document in which such reference appears.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 “including” is by way of example and not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term “documents” includes any and all instruments, documents, agreements, certificates, notices, reports, financial statements and other writings, however evidenced, whether in physical or electronic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Section headings herein and in the other Credit Documents are included for convenience of reference only and shall not affect the interpretation of this Agreement or any other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references to “knowledge” or “awareness” of any Credit Party or any Restricted Subsidiary thereof means the actual knowledge of an Authorized Officer of such Credit Party or such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For purposes of this Agreement, Loans may be classified and referred to by Class (e.g., a “Revolving Loan”) or by Type (e.g., a “Term Benchmark Loan” or an “RFR Loan”) or by Class and Type (e.g., a “Term Benchmark Revolving Loan” or an “ RFR Revolving Loan”). Borrowings also may be classified and referred to by Class (e.g., a “Revolving Borrowing”) or by Type (e.g., a “Term Benchmark Borrowing” or an “RFR Borrowing”) or by Class and Type (e.g., a “Term Benchmark Revolving Borrowing” or an “RFR Revolving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Accounting Terms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for purposes of determining compliance with any test or covenant contained in this Agreement with respect to any period during which any Specified Transaction occurs, the Consolidated Total Debt to Consolidated EBITDA Ratio shall be calculated with respect to such period and such Specified Transaction on a Pro Forma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Where reference is made to “the Borrower and the Restricted Subsidiaries on a consolidated basis” or similar language, such combination shall not include any Subsidiaries of the Borrower other than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References to Agreements, Laws, Etc.</w:t>
      </w:r>
      <w:r>
        <w:rPr>
          <w:rFonts w:ascii="Times New Roman;Times;Serif" w:hAnsi="Times New Roman;Times;Serif"/>
          <w:b w:val="false"/>
          <w:i w:val="false"/>
          <w:caps w:val="false"/>
          <w:smallCaps w:val="false"/>
          <w:sz w:val="20"/>
        </w:rPr>
        <w:t xml:space="preserve">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Requirements of Law shall include all statutory and regulatory provisions consolidating, amending, replacing, supplementing, or interpreting such Requirements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Exchange Rates</w:t>
      </w:r>
      <w:r>
        <w:rPr>
          <w:rFonts w:ascii="Times New Roman;Times;Serif" w:hAnsi="Times New Roman;Times;Serif"/>
          <w:b w:val="false"/>
          <w:i w:val="false"/>
          <w:caps w:val="false"/>
          <w:smallCaps w:val="false"/>
          <w:sz w:val="20"/>
        </w:rPr>
        <w:t xml:space="preserve">. Notwithstanding the foregoing, for purposes of any determination under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for purposes of determining compliance with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is made;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for the avoidance of doubt, the foregoing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amounts in currencies other than Dollars shall be translated into Dollars at the currency exchange rates used in preparing the most recently delivered pursuant to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Rates</w:t>
      </w:r>
      <w:r>
        <w:rPr>
          <w:rFonts w:ascii="Times New Roman;Times;Serif" w:hAnsi="Times New Roman;Times;Serif"/>
          <w:b w:val="false"/>
          <w:i w:val="false"/>
          <w:caps w:val="false"/>
          <w:smallCaps w:val="false"/>
          <w:sz w:val="20"/>
        </w:rPr>
        <w:t>. The Administrative Agent does not warrant, nor accept responsibility, nor shall the Administrative Agent have any liability with respect to the administration, submission, or any other matter related to the rates in the definition of Term SOFR Rate or Daily Simple SOFR or with respect to any comparable or successor rate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Times of Day</w:t>
      </w:r>
      <w:r>
        <w:rPr>
          <w:rFonts w:ascii="Times New Roman;Times;Serif" w:hAnsi="Times New Roman;Times;Serif"/>
          <w:b w:val="false"/>
          <w:i w:val="false"/>
          <w:caps w:val="false"/>
          <w:smallCaps w:val="false"/>
          <w:sz w:val="20"/>
        </w:rPr>
        <w:t>. Unless otherwise specified, all references herein to times of day shall be references to Eastern time (daylight or standard,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Timing of Payment or Performance</w:t>
      </w:r>
      <w:r>
        <w:rPr>
          <w:rFonts w:ascii="Times New Roman;Times;Serif" w:hAnsi="Times New Roman;Times;Serif"/>
          <w:b w:val="false"/>
          <w:i w:val="false"/>
          <w:caps w:val="false"/>
          <w:smallCaps w:val="false"/>
          <w:sz w:val="20"/>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Certifications</w:t>
      </w:r>
      <w:r>
        <w:rPr>
          <w:rFonts w:ascii="Times New Roman;Times;Serif" w:hAnsi="Times New Roman;Times;Serif"/>
          <w:b w:val="false"/>
          <w:i w:val="false"/>
          <w:caps w:val="false"/>
          <w:smallCaps w:val="false"/>
          <w:sz w:val="20"/>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Compliance with Certain Sections</w:t>
      </w:r>
      <w:r>
        <w:rPr>
          <w:rFonts w:ascii="Times New Roman;Times;Serif" w:hAnsi="Times New Roman;Times;Serif"/>
          <w:b w:val="false"/>
          <w:i w:val="false"/>
          <w:caps w:val="false"/>
          <w:smallCaps w:val="false"/>
          <w:sz w:val="20"/>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xml:space="preserve"> or any clause or subsection of </w:t>
      </w:r>
      <w:r>
        <w:rPr>
          <w:rFonts w:ascii="Times New Roman;Times;Serif" w:hAnsi="Times New Roman;Times;Serif"/>
          <w:b w:val="false"/>
          <w:i w:val="false"/>
          <w:caps w:val="false"/>
          <w:smallCaps w:val="false"/>
          <w:sz w:val="20"/>
          <w:u w:val="single"/>
        </w:rPr>
        <w:t>Sections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10.6</w:t>
      </w:r>
      <w:r>
        <w:rPr>
          <w:rFonts w:ascii="Times New Roman;Times;Serif" w:hAnsi="Times New Roman;Times;Serif"/>
          <w:b w:val="false"/>
          <w:i w:val="false"/>
          <w:caps w:val="false"/>
          <w:smallCaps w:val="false"/>
          <w:sz w:val="20"/>
        </w:rPr>
        <w:t>, then such transaction (or portion thereof) at any time shall be allocated to one or more of such clauses or subsections within the relevant sections as determined by the Borrower in its sole discretion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Pro Forma and Other Calculations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calculating the Fixed Charge Coverage Ratio and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 the Fixed Charge Coverage Ratio and Consolidated Total Debt to Consolidated EBITDA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and Consolidated Total Debt to Consolidated EBITDA Ratio) (any such amounts, including amount incurred under Consolidated EBITDA grower basket, the “</w:t>
      </w:r>
      <w:r>
        <w:rPr>
          <w:rFonts w:ascii="Times New Roman;Times;Serif" w:hAnsi="Times New Roman;Times;Serif"/>
          <w:b/>
          <w:i w:val="false"/>
          <w:caps w:val="false"/>
          <w:smallCaps w:val="false"/>
          <w:sz w:val="20"/>
        </w:rPr>
        <w:t>Fixed Amounts</w:t>
      </w:r>
      <w:r>
        <w:rPr>
          <w:rFonts w:ascii="Times New Roman;Times;Serif" w:hAnsi="Times New Roman;Times;Serif"/>
          <w:b w:val="false"/>
          <w:i w:val="false"/>
          <w:caps w:val="false"/>
          <w:smallCaps w:val="false"/>
          <w:sz w:val="20"/>
        </w:rPr>
        <w:t>”) substantially concurrently with any amounts incurred or transactions entered into (or consummated) in reliance on a provision of this Agreement that requires compliance with any such financial ratio or test (any such amounts, the “</w:t>
      </w:r>
      <w:r>
        <w:rPr>
          <w:rFonts w:ascii="Times New Roman;Times;Serif" w:hAnsi="Times New Roman;Times;Serif"/>
          <w:b/>
          <w:i w:val="false"/>
          <w:caps w:val="false"/>
          <w:smallCaps w:val="false"/>
          <w:sz w:val="20"/>
        </w:rPr>
        <w:t>Incurrence Based Amounts</w:t>
      </w:r>
      <w:r>
        <w:rPr>
          <w:rFonts w:ascii="Times New Roman;Times;Serif" w:hAnsi="Times New Roman;Times;Serif"/>
          <w:b w:val="false"/>
          <w:i w:val="false"/>
          <w:caps w:val="false"/>
          <w:smallCaps w:val="false"/>
          <w:sz w:val="20"/>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In connection with the incurrence of any Indebtedness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the definitions of Required Lenders shall be calculated on a Pro Forma Basis in accordance with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the definition of Maximum ABL Incremental Facilities Amount;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waiver, amendment or modification of the terms of this Agreement obtained as a result of such incurrence (i) will become operative only upon the incurrence of such Indebtedness; (ii) is not required in order to amend, modify or avoid a covenant Default; and (iii) does not affect the rights or duties under this Agreement of Lenders holding Loans or Commitments outstanding prior to the incurrence of such indebtedness of any then outstanding Class exclusive of the Lenders in respect of such Indebtedness to be incurred in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action being taken solely in connection with a Limited Condition Transaction, for purposes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determining compliance with any provision of the Credit Documents which requires the calculation of the Consolidated Total Debt to Consolidated EBITDA Ratio or the Fixed Charge Coverage Ratio;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xml:space="preserve">          determining the accuracy of representations and warranties in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and/or whether a Default or Event of Default shall have occurred and be continuing under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testing availability under baskets set forth in the Credit Documents (including baskets measured as a percentage of Consolidated EBITDA or Consolidated Total Assets and the Payment Conditions baskets (including the Fixed Charge Coverage Ratio as set forth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at the option of the Borrower (the Borrower’s election to exercise such option in connection with any Limited Condition Transaction, an “</w:t>
      </w:r>
      <w:r>
        <w:rPr>
          <w:rFonts w:ascii="Times New Roman;Times;Serif" w:hAnsi="Times New Roman;Times;Serif"/>
          <w:b/>
          <w:i w:val="false"/>
          <w:caps w:val="false"/>
          <w:smallCaps w:val="false"/>
          <w:sz w:val="20"/>
        </w:rPr>
        <w:t>LCT Election</w:t>
      </w:r>
      <w:r>
        <w:rPr>
          <w:rFonts w:ascii="Times New Roman;Times;Serif" w:hAnsi="Times New Roman;Times;Serif"/>
          <w:b w:val="false"/>
          <w:i w:val="false"/>
          <w:caps w:val="false"/>
          <w:smallCaps w:val="false"/>
          <w:sz w:val="20"/>
        </w:rPr>
        <w:t>”)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or such later date as the Borrower may elect (the “</w:t>
      </w:r>
      <w:r>
        <w:rPr>
          <w:rFonts w:ascii="Times New Roman;Times;Serif" w:hAnsi="Times New Roman;Times;Serif"/>
          <w:b/>
          <w:i w:val="false"/>
          <w:caps w:val="false"/>
          <w:smallCaps w:val="false"/>
          <w:sz w:val="20"/>
        </w:rPr>
        <w:t>LCT Test Date</w:t>
      </w:r>
      <w:r>
        <w:rPr>
          <w:rFonts w:ascii="Times New Roman;Times;Serif" w:hAnsi="Times New Roman;Times;Serif"/>
          <w:b w:val="false"/>
          <w:i w:val="false"/>
          <w:caps w:val="false"/>
          <w:smallCaps w:val="false"/>
          <w:sz w:val="20"/>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w:t>
      </w:r>
    </w:p>
    <w:p>
      <w:pPr>
        <w:pStyle w:val="TextBody"/>
        <w:bidi w:val="0"/>
        <w:spacing w:before="0" w:after="0"/>
        <w:ind w:left="900" w:right="0" w:firstLine="720"/>
        <w:jc w:val="both"/>
        <w:rPr>
          <w:caps w:val="false"/>
          <w:smallCaps w:val="false"/>
        </w:rPr>
      </w:pPr>
      <w:r>
        <w:rPr>
          <w:caps w:val="false"/>
          <w:smallCaps w:val="false"/>
        </w:rPr>
        <w:t> </w:t>
      </w:r>
    </w:p>
    <w:p>
      <w:pPr>
        <w:pStyle w:val="TextBody"/>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determination of Consolidated Total Assets shall be made by reference to the last day of the Test Period most recently ended on or prior to the relevant date of determination.</w:t>
      </w:r>
    </w:p>
    <w:p>
      <w:pPr>
        <w:pStyle w:val="TextBody"/>
        <w:bidi w:val="0"/>
        <w:spacing w:before="200" w:after="200"/>
        <w:ind w:left="90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-76-</w:t>
      </w:r>
    </w:p>
    <w:p>
      <w:pPr>
        <w:pStyle w:val="HorizontalLine"/>
        <w:pBdr>
          <w:bottom w:val="single" w:sz="12" w:space="0" w:color="808080"/>
        </w:pBdr>
        <w:bidi w:val="0"/>
        <w:spacing w:before="200" w:after="200"/>
        <w:jc w:val="left"/>
        <w:rPr/>
      </w:pPr>
      <w:r>
        <w:rPr/>
      </w:r>
    </w:p>
    <w:p>
      <w:pPr>
        <w:pStyle w:val="TextBody"/>
        <w:bidi w:val="0"/>
        <w:spacing w:before="0" w:after="0"/>
        <w:ind w:left="900" w:right="0" w:firstLine="720"/>
        <w:jc w:val="both"/>
        <w:rPr>
          <w:caps w:val="false"/>
          <w:smallCaps w:val="false"/>
        </w:rPr>
      </w:pPr>
      <w:r>
        <w:rPr>
          <w:caps w:val="false"/>
          <w:smallCaps w:val="false"/>
        </w:rPr>
        <w:t> </w:t>
      </w:r>
    </w:p>
    <w:p>
      <w:pPr>
        <w:pStyle w:val="TextBody"/>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leases of any Person that are or would be characterized as operating leases in accordance with GAAP immediately prior to the Closing Date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pStyle w:val="TextBody"/>
        <w:bidi w:val="0"/>
        <w:spacing w:before="0" w:after="0"/>
        <w:ind w:left="900" w:right="0" w:firstLine="720"/>
        <w:jc w:val="both"/>
        <w:rPr>
          <w:caps w:val="false"/>
          <w:smallCaps w:val="false"/>
        </w:rPr>
      </w:pPr>
      <w:r>
        <w:rPr>
          <w:caps w:val="false"/>
          <w:smallCaps w:val="false"/>
        </w:rPr>
        <w:t> </w:t>
      </w:r>
    </w:p>
    <w:p>
      <w:pPr>
        <w:pStyle w:val="TextBody"/>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otherwise specifically provided herein, all computations of Consolidated Total Assets, Available Amount, Consolidated Total Debt to Consolidated EBITDA Ratio, the Fixed Charge Coverage Ratio and other financial ratios and financial calculations (and all definitions (including accounting terms) used in determining any of the foregoing) and all computations and all definitions (including accounting terms) used in determining compliance with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shall be calculated, in each case, with respect to the Borrower and the Restricted Subsidiaries on a consolidated basis.</w:t>
      </w:r>
    </w:p>
    <w:p>
      <w:pPr>
        <w:pStyle w:val="TextBody"/>
        <w:bidi w:val="0"/>
        <w:spacing w:before="0" w:after="0"/>
        <w:ind w:left="9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Interest Rates; Benchmark Notifications</w:t>
      </w:r>
      <w:r>
        <w:rPr>
          <w:rFonts w:ascii="Times New Roman;Times;Serif" w:hAnsi="Times New Roman;Times;Serif"/>
          <w:b w:val="false"/>
          <w:i w:val="false"/>
          <w:caps w:val="false"/>
          <w:smallCaps w:val="false"/>
          <w:sz w:val="20"/>
        </w:rPr>
        <w:t>. The interest rate on a Loan denominated in dollars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replacement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2.</w:t>
      </w:r>
      <w:r>
        <w:rPr>
          <w:rFonts w:ascii="Times New Roman;Times;Serif" w:hAnsi="Times New Roman;Times;Serif"/>
          <w:b w:val="false"/>
          <w:i w:val="false"/>
          <w:caps w:val="false"/>
          <w:smallCaps w:val="false"/>
          <w:sz w:val="20"/>
          <w:u w:val="single"/>
        </w:rPr>
        <w:t xml:space="preserve">             Amount and Terms of Credit</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and upon the terms and conditions herein set forth each Revolving Credit Lender severally agrees to make Revolving Credit Loans denominated in Dollars to the Borrower from its applicable lending office (each, a “</w:t>
      </w:r>
      <w:r>
        <w:rPr>
          <w:rFonts w:ascii="Times New Roman;Times;Serif" w:hAnsi="Times New Roman;Times;Serif"/>
          <w:b/>
          <w:i w:val="false"/>
          <w:caps w:val="false"/>
          <w:smallCaps w:val="false"/>
          <w:sz w:val="20"/>
        </w:rPr>
        <w:t>Revolving Credit Loan</w:t>
      </w:r>
      <w:r>
        <w:rPr>
          <w:rFonts w:ascii="Times New Roman;Times;Serif" w:hAnsi="Times New Roman;Times;Serif"/>
          <w:b w:val="false"/>
          <w:i w:val="false"/>
          <w:caps w:val="false"/>
          <w:smallCaps w:val="false"/>
          <w:sz w:val="20"/>
        </w:rPr>
        <w:t xml:space="preserve">”) in an aggregate principal amount that shall not, after giving effect thereto and to the application of the proceeds thereof, result in (i) such Revolving Credit Lender’s Revolving Credit Exposure exceeding such Revolving Credit Lender’s Revolving Credit Commitment and (ii) the aggregate Revolving Credit Exposures exceeding the Maximum Borrowing Amount (subject to the Administrative Agent’s authority, in its sole discretion, to make Protective Advances and Overadvances pursuant to the terms of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Term Benchmark Loans that are Revolving Credit Loans (and for the avoidance of doubt, subject to Section 2.14, may not be incurred, maintained, or converted into RFR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and upon the terms and conditions herein set forth, the Swingline Lender is authorized by the Lenders to, and may, in its sole discretion, at any time and from time to time on and after the Restatement Effective Date and prior to the Swingline Maturity Date, make a loan or loans (each, a “</w:t>
      </w:r>
      <w:r>
        <w:rPr>
          <w:rFonts w:ascii="Times New Roman;Times;Serif" w:hAnsi="Times New Roman;Times;Serif"/>
          <w:b/>
          <w:i w:val="false"/>
          <w:caps w:val="false"/>
          <w:smallCaps w:val="false"/>
          <w:sz w:val="20"/>
        </w:rPr>
        <w:t>Swingline Loan</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Swingline Loans</w:t>
      </w:r>
      <w:r>
        <w:rPr>
          <w:rFonts w:ascii="Times New Roman;Times;Serif" w:hAnsi="Times New Roman;Times;Serif"/>
          <w:b w:val="false"/>
          <w:i w:val="false"/>
          <w:caps w:val="false"/>
          <w:smallCaps w:val="false"/>
          <w:sz w:val="20"/>
        </w:rPr>
        <w:t xml:space="preserve">”) to the Borrower (provided that the Swingline Lender shall not be obligated to make any Swingline Loan), which Swingline Loans (i) shall be ABR Loans, (ii) shall have the benefit of the provisions of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Maximum Borrowing Amount at such time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any Business Day, the Swingline Lender may, in its sole discretion, give notice to each Revolving Credit Lender that all then outstanding Swingline Loans shall be funded with a Borrowing of Revolving Credit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no such notice is given by the Swingline Lender within seven days of making any Swingline Loan, notice to each Revolving Credit Lender shall be deemed to be provided by the Swingline Lender in accordance with this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in which case Revolving Credit Loans constituting ABR Loans shall be made on the immediately succeeding Business Day (each such Borrowing, a “</w:t>
      </w:r>
      <w:r>
        <w:rPr>
          <w:rFonts w:ascii="Times New Roman;Times;Serif" w:hAnsi="Times New Roman;Times;Serif"/>
          <w:b/>
          <w:i w:val="false"/>
          <w:caps w:val="false"/>
          <w:smallCaps w:val="false"/>
          <w:sz w:val="20"/>
        </w:rPr>
        <w:t>Mandatory Borrowing</w:t>
      </w:r>
      <w:r>
        <w:rPr>
          <w:rFonts w:ascii="Times New Roman;Times;Serif" w:hAnsi="Times New Roman;Times;Serif"/>
          <w:b w:val="false"/>
          <w:i w:val="false"/>
          <w:caps w:val="false"/>
          <w:smallCaps w:val="false"/>
          <w:sz w:val="20"/>
        </w:rPr>
        <w:t xml:space="preserve">”)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(ii) whether any conditions specified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maturity date shall have occurred in respect of any tranche of Revolving Credit Commitments (the “</w:t>
      </w:r>
      <w:r>
        <w:rPr>
          <w:rFonts w:ascii="Times New Roman;Times;Serif" w:hAnsi="Times New Roman;Times;Serif"/>
          <w:b/>
          <w:i w:val="false"/>
          <w:caps w:val="false"/>
          <w:smallCaps w:val="false"/>
          <w:sz w:val="20"/>
        </w:rPr>
        <w:t>Expiring Credit Commitment</w:t>
      </w:r>
      <w:r>
        <w:rPr>
          <w:rFonts w:ascii="Times New Roman;Times;Serif" w:hAnsi="Times New Roman;Times;Serif"/>
          <w:b w:val="false"/>
          <w:i w:val="false"/>
          <w:caps w:val="false"/>
          <w:smallCaps w:val="false"/>
          <w:sz w:val="20"/>
        </w:rPr>
        <w:t>”) at a time when another tranche or tranches of Revolving Credit Commitments is or are in effect with a longer maturity date (each a “</w:t>
      </w:r>
      <w:r>
        <w:rPr>
          <w:rFonts w:ascii="Times New Roman;Times;Serif" w:hAnsi="Times New Roman;Times;Serif"/>
          <w:b/>
          <w:i w:val="false"/>
          <w:caps w:val="false"/>
          <w:smallCaps w:val="false"/>
          <w:sz w:val="20"/>
        </w:rPr>
        <w:t>Non-Expiring Credit Commitment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Non-Expiring Credit Commitments</w:t>
      </w:r>
      <w:r>
        <w:rPr>
          <w:rFonts w:ascii="Times New Roman;Times;Serif" w:hAnsi="Times New Roman;Times;Serif"/>
          <w:b w:val="false"/>
          <w:i w:val="false"/>
          <w:caps w:val="false"/>
          <w:smallCaps w:val="false"/>
          <w:sz w:val="20"/>
        </w:rPr>
        <w:t xml:space="preserve">”), then with respect to each outstanding Swingline Loan, if consented to by the 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to the extent that the amount of such reallocation would cause the aggregate credit exposure to exceed the aggregate amount of such Non-Expiring Credit Commitments, immediately prior to such reallocation the amount of Swingline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Minimum Amount of Each Borrowing; Maximum Number of Borrowings</w:t>
      </w:r>
      <w:r>
        <w:rPr>
          <w:rFonts w:ascii="Times New Roman;Times;Serif" w:hAnsi="Times New Roman;Times;Serif"/>
          <w:b w:val="false"/>
          <w:i w:val="false"/>
          <w:caps w:val="false"/>
          <w:smallCaps w:val="false"/>
          <w:sz w:val="20"/>
        </w:rPr>
        <w:t xml:space="preserve">. The aggregate principal amount of each Borrowing of Revolving Credit Loans shall be in a minimum amount of at least the Minimum Borrowing Amount for such Type of Loans and in a multiple of $100,000 in excess thereof and Swingline Loans shall be in a minimum amount of $50,000 and in a multiple of $100,000 in excess thereof (except that Mandatory Borrowings shall be made in the amounts required by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and Revolving Credit Loans to reimburse the Letter of Credit Issuer with respect to any Unpaid Drawing shall be made in the amounts required by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as applicable). More than one Borrowing may be incurred on any date;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at no time shall there be outstanding more than ten Borrowings of SOFR Loans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the Borrower desires to incur Revolving Credit Loans (other than Mandatory Borrowings or Borrowings to repay Unpaid Drawings), the Borrower shall give the Administrative Agent at the Administrative Agent’s Office, (i) prior to 12:00 noon (New York City time) at least two (2) Business Days’ prior written notice (or if an Extenuating Circumstance shall exist, by telephone) of each Borrowing of Term SOFR Loans that are Revolving Credit Loans, (ii) prior to 11:00 a.m. (New York City time) on the day of such Borrowing prior written notice (a “</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xml:space="preserve">”) of each Borrowing of Revolving Credit Loans that are ABR Loans and (iii) prior to 12:00 noon (New York City time) at least five (5) Business Days’ prior written notice (or if an Extenuating Circumstance shall exist, by telephone) of each Borrowing of Daily Simple SOFR Loans that are Revolving Credit Loans. Each such telephonic Notice of Borrowing, if permitted, shall be confirmed immediately upon the cessation of the Extenuating Circumstance by hand delivery, facsimile or a communication through electronic system as provided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to the Administrative Agent of a written Notice of Borrowing in a form approved by the Administrative Agent and shall be signed by an Authorized Officer of the Borrower and subject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except as otherwise expressly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shall specify (A) the aggregate principal amount of the Revolving Credit Loans to be made pursuant to such Borrowing, (B) the date of Borrowing (which shall be a Business Day) and (C) whether the respective Borrowing shall consist of ABR Loans or Term Benchmark Loans that are Revolving Credit Loans and, if Term Benchmark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the Borrower desires to incur Swingline Loans hereunder, the Borrower shall give the Swingline Lender written notice (or if an Extenuating Circumstance shall exist, by telephone) with a copy to the Administrative Agent of each Borrowing of Swingline Loans prior to 1:00 p.m. (New York City time) on the date of such Borrowing. Each such telephonic Notice of Borrowing, if permitted, shall be confirmed immediately upon the cessation of the Extenuating Circumstance by hand delivery, facsimile or a communication through electronic system as provided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to the Administrative Agent of a written notice that shall be in a form approved by the Administrative Agent and shall specify (x) the aggregate principal amount of the Swingline Loans to be made pursuant to such Borrowing and (y) the date of Borrowing (which shall be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Mandatory Borrowings shall be made upon the notice specified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with the Borrower irrevocably agreeing, by its incurrence of any Swingline Loan, to the making of Mandatory Borrowings as set forth in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Borrowings to reimburse Unpaid Drawings shall be made upon the notice specified in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Disbursement of Funds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later than 1:00 p.m. (New York City time) on the date specified in each Notice of Borrowing (including Mandatory Borrowings), each Lender shall make available its pro rata portion, if any, of each Borrowing requested to be made on such date in the manner provided below;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on the Amendment No. 2 Effective Date, such funds may be made available at such earlier time as may be agreed among the Lenders, the Borrower, and the Administrative Agent for the purpose of consummating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all Swingline Loans shall be made available to the Borrower in the full amount thereof by the Swingline Lender no later than 4:00 p.m.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Lender shall make available all amounts it is to fund to the Borrower under any Borrowing for its applicable Commitments,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NYFRB Rate or (ii) if paid by the Borrower, the then-applicable rate of interest or fees, calculated in accordance with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for the respective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Nothing in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Repayment of Loans; 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repay to the Administrative Agent for the benefit of the Revolving Credit Lenders, on the Revolving Credit Maturity Date, the then outstanding Revolving Credit Loans. The Borrower shall repay to the Administrative Agent for the benefit of the Incremental Lenders, on each Incremental Revolving Credit Maturity Date, the then outstanding amount of Incremental Revolving Credit Loans. The Borrower shall repay to the Swingline Lender, on the Swingline Maturity Date, the then outstanding Swingline Loans. The Borrower shall repay to the Administrative Agent, on the earlier of the Maturity Date and demand by the Administrative Agent, the then outstanding Protective Advances.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all times after the commencement and during the continuance of a Cash Dominion Period, and notification thereof by the Administrative Agent to the Borrower (subject to the provisions of </w:t>
      </w:r>
      <w:r>
        <w:rPr>
          <w:rFonts w:ascii="Times New Roman;Times;Serif" w:hAnsi="Times New Roman;Times;Serif"/>
          <w:b w:val="false"/>
          <w:i w:val="false"/>
          <w:caps w:val="false"/>
          <w:smallCaps w:val="false"/>
          <w:sz w:val="20"/>
          <w:u w:val="single"/>
        </w:rPr>
        <w:t>Section 9.16(b)</w:t>
      </w:r>
      <w:r>
        <w:rPr>
          <w:rFonts w:ascii="Times New Roman;Times;Serif" w:hAnsi="Times New Roman;Times;Serif"/>
          <w:b w:val="false"/>
          <w:i w:val="false"/>
          <w:caps w:val="false"/>
          <w:smallCaps w:val="false"/>
          <w:sz w:val="20"/>
        </w:rPr>
        <w:t xml:space="preserve">), on each Business Day, at or before 1:00 p.m. (New York time), the Administrative Agent shall apply all immediately available funds credited on behalf of the Borrower to a Payment Account or such other account directed by the Administrative Agent pursuant to </w:t>
      </w:r>
      <w:r>
        <w:rPr>
          <w:rFonts w:ascii="Times New Roman;Times;Serif" w:hAnsi="Times New Roman;Times;Serif"/>
          <w:b w:val="false"/>
          <w:i w:val="false"/>
          <w:caps w:val="false"/>
          <w:smallCaps w:val="false"/>
          <w:sz w:val="20"/>
          <w:u w:val="single"/>
        </w:rPr>
        <w:t>9.16</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(except (A) clause (i) thereof and (B) to Secured Cash Management Obligations and Secured Hedge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any Incremental Revolving Credit Loans are made, such Incremental Revolving Credit Loans shall, subject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be repaid by the Borrower in the amounts and on the dates set forth in the applicable Incremental Facility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Administrative Agent shall maintain the Register pursuant to </w:t>
      </w:r>
      <w:r>
        <w:rPr>
          <w:rFonts w:ascii="Times New Roman;Times;Serif" w:hAnsi="Times New Roman;Times;Serif"/>
          <w:b w:val="false"/>
          <w:i w:val="false"/>
          <w:caps w:val="false"/>
          <w:smallCaps w:val="false"/>
          <w:sz w:val="20"/>
          <w:u w:val="single"/>
        </w:rPr>
        <w:t>Section 13.6(b)</w:t>
      </w:r>
      <w:r>
        <w:rPr>
          <w:rFonts w:ascii="Times New Roman;Times;Serif" w:hAnsi="Times New Roman;Times;Serif"/>
          <w:b w:val="false"/>
          <w:i w:val="false"/>
          <w:caps w:val="false"/>
          <w:smallCaps w:val="false"/>
          <w:sz w:val="20"/>
        </w:rPr>
        <w:t>, and a subaccount for each Lender, in which Register and subaccounts (taken together) shall be recorded (i) the amount of each Loan made hereunder, whether such Loan is a Revolving Credit Loan, Incremental Revolving Credit Loan or Swingline Loan, the Type of each Loan made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entries made in the Register and accounts and subaccounts maintained pursuant to </w:t>
      </w:r>
      <w:r>
        <w:rPr>
          <w:rFonts w:ascii="Times New Roman;Times;Serif" w:hAnsi="Times New Roman;Times;Serif"/>
          <w:b w:val="false"/>
          <w:i w:val="false"/>
          <w:caps w:val="false"/>
          <w:smallCaps w:val="false"/>
          <w:sz w:val="20"/>
          <w:u w:val="single"/>
        </w:rPr>
        <w:t>clauses (d)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to the extent permitted by applicable law, be prima facie evidence of the existence and amounts of the obligations of the Borrower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of any inconsistency between the Registrar and any such account or subaccount, the Registrar shall govern;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evidencing the Revolving Loans and Swingline Loans owing to such Lender. Thereafter, unless otherwise agreed to by the applicable Lender, the Loans evidenced by such promissory note and interest thereon shall at all times (including after assignment pursuant to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be represented by one or more promissory notes in such form payable to the payee named therein (or, if requested by such payee, to such payee and its registered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Conversions and Continuations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penultimate sentence of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(x) the Borrower shall have the option on any Business Day to convert all or a portion equal to at least $5,000,000 of the outstanding principal amount of Revolving Loans of one Type into a Borrowing or Borrowings of another Type and (y) the Borrower shall have the option on any Business Day to continue the outstanding principal amount of any SOFR Loans as SOFR Loans for an additional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 partial conversion of SOFR Loans shall reduce the outstanding principal amount of SOFR Loans made pursuant to a single Borrowing to less than the Minimum Borrowing Amount, (ii) ABR Loans may not be converted into SOFR Loans if an Event of Default is in existence on the date of the conversion and the Administrative Agent has or the Required Lenders have determined in its or their sole discretion not to permit such conversion, (iii) SOFR Loans may not be continued as SOFR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shall be limited in number as provided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Each such conversion or continuation shall be effected by the Borrower by giving the Administrative Agent prior written notice (or if an Extenuating Circumstance shall exist, by telephone) at the Administrative Agent’s Office prior to 12:00 noon (New York City time) at least (i) two (2) Business Days prior, in the case of a continuation of or conversion to SOFR Loans (other than in the case of a notice delivered on the Restatement Effective Date, which shall be deemed to be effective on the Restatement Effective Date), or (ii) 10:00 a.m. (New York City time) on the proposed day of a conversion into ABR Loans (each, a “</w:t>
      </w:r>
      <w:r>
        <w:rPr>
          <w:rFonts w:ascii="Times New Roman;Times;Serif" w:hAnsi="Times New Roman;Times;Serif"/>
          <w:b/>
          <w:i w:val="false"/>
          <w:caps w:val="false"/>
          <w:smallCaps w:val="false"/>
          <w:sz w:val="20"/>
        </w:rPr>
        <w:t>Notice of Conversion or Continuation</w:t>
      </w:r>
      <w:r>
        <w:rPr>
          <w:rFonts w:ascii="Times New Roman;Times;Serif" w:hAnsi="Times New Roman;Times;Serif"/>
          <w:b w:val="false"/>
          <w:i w:val="false"/>
          <w:caps w:val="false"/>
          <w:smallCaps w:val="false"/>
          <w:sz w:val="20"/>
        </w:rPr>
        <w:t xml:space="preserve">” substantially in the form of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specifying the Loans to be so converted or continued, the Type of Loans to be converted or continued into and, if such Loans are to be converted into or continued as SOFR Loans, the Interest Period to be initially applicable thereto. Each such telephonic Notice of Conversion or Continuation, if permitted, shall be confirmed immediately upon the cessation of the Extenuating Circumstance by hand delivery, electronic system as provided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 xml:space="preserve"> or facsimile to the Administrative Agent of a written Notice of Conversion or Continuation in a form approved by the Administrative Agent and signed by an Authorized Officer of the Borrower and subject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If no Interest Period is specified in any such notice with respect to any conversion to or continuation as a SOFR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any Event of Default is in existence at the time of any proposed continuation of any SOFR Loans denominated in Dollars and the Administrative Agent has or the Required Lenders have determined in its or their sole discretion not to permit such continuation, such SOFR Loans shall be automatically converted on the last day of the current Interest Period into ABR Loans. If upon the expiration of any Interest Period in respect of SOFR Loans, the Borrower has failed to elect a new Interest Period to be applicable thereto as provided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the Borrower shall be deemed to have elected to convert such Borrowing of SOFR Loans into a Borrowing of ABR Loans, effective as of the expiration date of such current Interest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Pro Rata Borrowings</w:t>
      </w:r>
      <w:r>
        <w:rPr>
          <w:rFonts w:ascii="Times New Roman;Times;Serif" w:hAnsi="Times New Roman;Times;Serif"/>
          <w:b w:val="false"/>
          <w:i w:val="false"/>
          <w:caps w:val="false"/>
          <w:smallCaps w:val="false"/>
          <w:sz w:val="20"/>
        </w:rPr>
        <w:t>. Each Borrowing of Revolving Credit Loans under this Agreement shall be made by the Revolving Credit Lenders pro rata on the basis of their then-applicable Revolving Credit Commitment Percentages. Each Borrowing of Incremental Revolving Credit Loans under this Agreement shall be made by the Revolving Credit Lenders pro rata on the basis of their then-applicable Incremental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unpaid principal amount of each ABR Loan shall bear interest from the date of the Borrowing thereof until maturity (whether by acceleration or otherwise) at a rate per annum that shall at all times be the Applicable Margin for ABR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ABR, in each case,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unpaid principal amount of each SOFR Loan shall bear interest from the date of the Borrowing thereof until maturity thereof (whether by acceleration or otherwise) at a rate per annum that shall at all times be the Applicable Margin for SOFR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relevant Adjusted SOFR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 Event of Default has occurred and is continuing, 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that is (x) in the case of overdue principal, the rate that would otherwise be applicable thereto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2.00% or (y) in the case of any other overdue amount, including overdue interest, to the extent permitted by applicable law, the rate described in </w:t>
      </w:r>
      <w:r>
        <w:rPr>
          <w:rFonts w:ascii="Times New Roman;Times;Serif" w:hAnsi="Times New Roman;Times;Serif"/>
          <w:b w:val="false"/>
          <w:i w:val="false"/>
          <w:caps w:val="false"/>
          <w:smallCaps w:val="false"/>
          <w:sz w:val="20"/>
          <w:u w:val="single"/>
        </w:rPr>
        <w:t>Section 2.8(a)</w:t>
      </w:r>
      <w:r>
        <w:rPr>
          <w:rFonts w:ascii="Times New Roman;Times;Serif" w:hAnsi="Times New Roman;Times;Serif"/>
          <w:b w:val="false"/>
          <w:i w:val="false"/>
          <w:caps w:val="false"/>
          <w:smallCaps w:val="false"/>
          <w:sz w:val="20"/>
        </w:rPr>
        <w:t xml:space="preserve"> for the applicable Class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2.00% from the date of such non-payment to the date on which such amount is paid in full (after as well as before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Interest on each Loan shall accrue from and including the date of any Borrowing to but excluding the date of any repayment thereof and shall be payable in Dollars;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Loan that is repaid on the same date on which it is made shall bear interest for one day. Except as provided below, interest shall be payable (i) in respect of each ABR Loan, quarterly in arrears on the last Business Day of each March, June, September and December, (ii) in respect of each SOFR 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and (C) after such maturity, 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computations of interest hereunder shall be made in accordance with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Interest Periods</w:t>
      </w:r>
      <w:r>
        <w:rPr>
          <w:rFonts w:ascii="Times New Roman;Times;Serif" w:hAnsi="Times New Roman;Times;Serif"/>
          <w:b w:val="false"/>
          <w:i w:val="false"/>
          <w:caps w:val="false"/>
          <w:smallCaps w:val="false"/>
          <w:sz w:val="20"/>
        </w:rPr>
        <w:t xml:space="preserve">. At the time the Borrower gives a Notice of Borrowing or Notice of Conversion or Continuation in respect of the making of, or conversion into or continuation as, a Borrowing of SOFR Loans in accordance with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the Borrower shall give the Administrative Agent written notice of the Interest Period applicable to such Borrowing, which Interest Period shall, at the option of the Borrower, be a one, three or six month period (or if approved by all the Lenders making such SOFR Loans as determined by such Lenders in good faith based on prevailing market conditions, a twelve month or shorter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Interest Period relating to a Borrowing of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Interest Period would otherwise expire on a day that is not a Business Day, such Interest Period shall expire on the next succeeding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any Interest Period in respect of a SOFR Loan would otherwise expire on a day that is not a Business Day but is a day of the month after which no further Business Day occurs in such month, such Interest Period shall expire on the immediately preceding Business Day;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not be entitled to elect any Interest Period in respect of any SOFR Loan if such Interest Period would extend beyond the Maturity Date of such Loan.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Increased Costs, Illegality,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that (x)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below, the Administrative Agent and (y)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below, the Required Lenders or the Letter of Credit Issuers shall have reasonably determined (which determination shall, absent clearly demonstrable error, be final and conclusive and binding upon all parties hereto):</w:t>
      </w:r>
    </w:p>
    <w:p>
      <w:pPr>
        <w:pStyle w:val="TextBody"/>
        <w:shd w:fill="FFFFFF" w:val="clear"/>
        <w:bidi w:val="0"/>
        <w:spacing w:before="0" w:after="0"/>
        <w:ind w:left="90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on any date for determining the Adjusted SOFR Rate for any Interest Period that (x) deposits in the principal amounts and currencies of the Loans comprising such SOFR Borrowing are not generally available in the relevant market or (y) by reason of any changes arising on or after the Restatement Effective Date affecting the interbank SOFR market, adequate and fair means do not exist for ascertaining the applicable interest rate on the basis provided for in the definition of Adjusted SOFR Rate; or</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p>
      <w:pPr>
        <w:pStyle w:val="HorizontalLine"/>
        <w:pBdr>
          <w:bottom w:val="single" w:sz="12" w:space="0" w:color="808080"/>
        </w:pBdr>
        <w:bidi w:val="0"/>
        <w:spacing w:before="200" w:after="200"/>
        <w:jc w:val="left"/>
        <w:rPr/>
      </w:pPr>
      <w:r>
        <w:rPr/>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at any time, that such Lenders or such Letter of Credit Issuers shall incur increased costs or reductions in the amounts received or receivable hereunder with respect to any SOFR Loans or Letters of Credit (including the issuance and maintenance of thereof or participating therein or an agreement to issue or maintain a Letter of Credit or participate therein) (other than with respect to Taxes) because of any Change in Law;</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that a Change in Law shall subject any such Lenders or Letter of Credit Issuers to any Tax (other than (1) Indemnified Taxes, (2) Excluded Taxes or (3) Other Taxes) on its loans, loan principal, letters of credit, commitments or other obligations, or its deposits, reserves, other liabilities or capital attributable thereto; or</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w:t>
      </w:r>
      <w:r>
        <w:rPr>
          <w:rFonts w:ascii="Times New Roman;Times;Serif" w:hAnsi="Times New Roman;Times;Serif"/>
          <w:b w:val="false"/>
          <w:i w:val="false"/>
          <w:caps w:val="false"/>
          <w:smallCaps w:val="false"/>
          <w:sz w:val="20"/>
        </w:rPr>
        <w:t>          at any time, that the making or continuance of any SOFR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SOFR market;</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Loans, “</w:t>
      </w:r>
      <w:r>
        <w:rPr>
          <w:rFonts w:ascii="Times New Roman;Times;Serif" w:hAnsi="Times New Roman;Times;Serif"/>
          <w:b/>
          <w:i w:val="false"/>
          <w:caps w:val="false"/>
          <w:smallCaps w:val="false"/>
          <w:sz w:val="20"/>
        </w:rPr>
        <w:t>Impacted Loans</w:t>
      </w:r>
      <w:r>
        <w:rPr>
          <w:rFonts w:ascii="Times New Roman;Times;Serif" w:hAnsi="Times New Roman;Times;Serif"/>
          <w:b w:val="false"/>
          <w:i w:val="false"/>
          <w:caps w:val="false"/>
          <w:smallCaps w:val="false"/>
          <w:sz w:val="20"/>
        </w:rPr>
        <w:t xml:space="preserve">”), then, and in any such event, such Required Lenders or Letter of Credit Issuers (or the Administrative Agent,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SOFR Loans shall no longer be available until such time as the Administrative Agent notifies the Borrower and the Lenders (or Letter of Credit Issuers in the case of clause (ii) above)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SOFR Loans that have not yet been incurred shall be deemed rescinded by the Borrower, (y) in the case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the Borrower shall pay to such Lenders or Letter of Credit Issuers, promptly after receipt of written demand therefor such additional amounts (in the form of an increased rate of, or a different method of calculating, interest or otherwise as such Required Lenders or such or Letter of Credit Issuers in their reasonable discretion shall determine) as shall be required to compensate such Lenders or Letter of Credit Issuers for such actual increased costs or reductions in amounts receivable hereunder (it being agreed that a written notice as to the additional amounts owed to such Lenders or such Letter of Credit Issuers, showing in reasonable detail the basis for the calculation thereof, submitted to the Borrower by such Lenders or such Letter of Credit Issuers shall, absent clearly demonstrable error, be final and conclusive and binding upon all parties hereto), and (z) in the case of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above, the Borrower shall take one of the actions specified in </w:t>
      </w:r>
      <w:r>
        <w:rPr>
          <w:rFonts w:ascii="Times New Roman;Times;Serif" w:hAnsi="Times New Roman;Times;Serif"/>
          <w:b w:val="false"/>
          <w:i w:val="false"/>
          <w:caps w:val="false"/>
          <w:smallCaps w:val="false"/>
          <w:sz w:val="20"/>
          <w:u w:val="single"/>
        </w:rPr>
        <w:t>subclause (x)</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as applicable, of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 xml:space="preserve"> promptly and, in any event, within the time period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if the Administrative Agent has made the determination described in </w:t>
      </w:r>
      <w:r>
        <w:rPr>
          <w:rFonts w:ascii="Times New Roman;Times;Serif" w:hAnsi="Times New Roman;Times;Serif"/>
          <w:b w:val="false"/>
          <w:i w:val="false"/>
          <w:caps w:val="false"/>
          <w:smallCaps w:val="false"/>
          <w:sz w:val="20"/>
          <w:u w:val="single"/>
        </w:rPr>
        <w:t>Section 2.10(a)(i)(x)</w:t>
      </w:r>
      <w:r>
        <w:rPr>
          <w:rFonts w:ascii="Times New Roman;Times;Serif" w:hAnsi="Times New Roman;Times;Serif"/>
          <w:b w:val="false"/>
          <w:i w:val="false"/>
          <w:caps w:val="false"/>
          <w:smallCaps w:val="false"/>
          <w:sz w:val="20"/>
        </w:rPr>
        <w:t xml:space="preser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xml:space="preserve"> 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any time that any SOFR Loan is affected by the circumstances described in </w:t>
      </w:r>
      <w:r>
        <w:rPr>
          <w:rFonts w:ascii="Times New Roman;Times;Serif" w:hAnsi="Times New Roman;Times;Serif"/>
          <w:b w:val="false"/>
          <w:i w:val="false"/>
          <w:caps w:val="false"/>
          <w:smallCaps w:val="false"/>
          <w:sz w:val="20"/>
          <w:u w:val="single"/>
        </w:rPr>
        <w:t>Section 2.10(a)(ii)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the Borrower may (and in the case of a SOFR Loan affected pursuant to </w:t>
      </w:r>
      <w:r>
        <w:rPr>
          <w:rFonts w:ascii="Times New Roman;Times;Serif" w:hAnsi="Times New Roman;Times;Serif"/>
          <w:b w:val="false"/>
          <w:i w:val="false"/>
          <w:caps w:val="false"/>
          <w:smallCaps w:val="false"/>
          <w:sz w:val="20"/>
          <w:u w:val="single"/>
        </w:rPr>
        <w:t>Section 2.10(a)(iv)</w:t>
      </w:r>
      <w:r>
        <w:rPr>
          <w:rFonts w:ascii="Times New Roman;Times;Serif" w:hAnsi="Times New Roman;Times;Serif"/>
          <w:b w:val="false"/>
          <w:i w:val="false"/>
          <w:caps w:val="false"/>
          <w:smallCaps w:val="false"/>
          <w:sz w:val="20"/>
        </w:rPr>
        <w:t xml:space="preserve"> shall) either (x) if a Notice of Borrowing or Notice of Conversion or Continuation with respect to the affected SOFR Loan has been submitted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but the affected SOFR Loan has not been funded or continued, cancel such requested Borrowing by giving the Administrative Agent written notice thereof on the same date that the Borrower was notified by Lenders pursuant to </w:t>
      </w:r>
      <w:r>
        <w:rPr>
          <w:rFonts w:ascii="Times New Roman;Times;Serif" w:hAnsi="Times New Roman;Times;Serif"/>
          <w:b w:val="false"/>
          <w:i w:val="false"/>
          <w:caps w:val="false"/>
          <w:smallCaps w:val="false"/>
          <w:sz w:val="20"/>
          <w:u w:val="single"/>
        </w:rPr>
        <w:t>Section 2.10(a)(ii)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or (y) if the affected SOFR Loan is then outstanding, upon at least three Business Days’ notice to the Administrative Agent, require the affected Lender to convert each such SOFR Loan into an ABR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more than one Lender is affected at any time, then all affected Lenders must be treated in the same manner pursuant to this </w:t>
      </w:r>
      <w:r>
        <w:rPr>
          <w:rFonts w:ascii="Times New Roman;Times;Serif" w:hAnsi="Times New Roman;Times;Serif"/>
          <w:b w:val="false"/>
          <w:i w:val="false"/>
          <w:caps w:val="false"/>
          <w:smallCaps w:val="false"/>
          <w:sz w:val="20"/>
          <w:u w:val="single"/>
        </w:rPr>
        <w:t>Section 2.10(b)</w:t>
      </w:r>
      <w:r>
        <w:rPr>
          <w:rFonts w:ascii="Times New Roman;Times;Serif" w:hAnsi="Times New Roman;Times;Serif"/>
          <w:b w:val="false"/>
          <w:i w:val="false"/>
          <w:caps w:val="false"/>
          <w:smallCaps w:val="false"/>
          <w:sz w:val="20"/>
        </w:rPr>
        <w:t>.</w:t>
      </w:r>
    </w:p>
    <w:p>
      <w:pPr>
        <w:pStyle w:val="TextBody"/>
        <w:bidi w:val="0"/>
        <w:spacing w:before="200" w:after="200"/>
        <w:ind w:left="90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p>
      <w:pPr>
        <w:pStyle w:val="HorizontalLine"/>
        <w:pBdr>
          <w:bottom w:val="single" w:sz="12" w:space="0" w:color="808080"/>
        </w:pBdr>
        <w:bidi w:val="0"/>
        <w:spacing w:before="200" w:after="200"/>
        <w:jc w:val="left"/>
        <w:rPr/>
      </w:pPr>
      <w:r>
        <w:rPr/>
      </w:r>
    </w:p>
    <w:p>
      <w:pPr>
        <w:pStyle w:val="TextBody"/>
        <w:shd w:fill="FFFFFF" w:val="clear"/>
        <w:bidi w:val="0"/>
        <w:spacing w:before="0" w:after="0"/>
        <w:ind w:left="900" w:right="0" w:firstLine="720"/>
        <w:jc w:val="both"/>
        <w:rPr>
          <w:caps w:val="false"/>
          <w:smallCaps w:val="false"/>
        </w:rPr>
      </w:pPr>
      <w:r>
        <w:rPr>
          <w:caps w:val="false"/>
          <w:smallCaps w:val="false"/>
        </w:rPr>
        <w:t> </w:t>
      </w:r>
    </w:p>
    <w:p>
      <w:pPr>
        <w:pStyle w:val="TextBody"/>
        <w:shd w:fill="FFFFFF" w:val="clear"/>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after the Restatement Effective Date, any Change in Law relating to capital adequacy or liquidity of any Lender or Letter of Credit Issuer or compliance by any Lender or Letter of Credit Issuer or its parent with any Change in Law relating to capital adequacy or liquidity occurring after the Restatement Effective Date, has or would have the effect of reducing the actual rate of return on such Lender’s or Letter of Credit Issuer’s or their respective parent’s or its Affiliate’s capital or assets as a consequence of such Lender’s or Letter of Credit Issuer’s commitments or obligations hereunder to a level below that which such Lender or Letter of Credit Issuer or their respective parent or its Affiliate could have achieved but for such Change in Law (taking into consideration such Lender’s or Letter of Credit Issuer’s or their respective parent’s policies with respect to capital adequacy or liquidity), then from time to time, promptly after written demand by such Lender or Letter of Credit Issuer (with a copy to the Administrative Agent), the Borrower shall pay to such Lender or Letter of Credit Issuer such actual additional amount or amounts as will compensate such Lender or Letter of Credit Issuer or its parent for such actual reduction, it being understood and agreed, however, that a Lender or Letter of Credit Issuer shall not be entitled to such compensation as a result of such Lender’s or Letter of Credit Issuer’s compliance with, or pursuant to any request or directive to comply with, any law, rule or regulation as in effect on the Restatement Effective Date or to the extent such Lender or Letter of Credit Issuer is not imposing such charges on, or requesting such compensation from, borrowers (similarly situated to the Borrower hereunder) under comparable syndicated credit facilities similar to the Credit Facilities. Each Lender and Letter of Credit Issuer, upon determining in good faith that any additional amounts will be payable pursuant to this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release or diminish the Borrower’s obligations to pay additional amounts pursuant to this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promptly following receipt of such notice.</w:t>
      </w:r>
    </w:p>
    <w:p>
      <w:pPr>
        <w:pStyle w:val="TextBody"/>
        <w:shd w:fill="FFFFFF" w:val="clear"/>
        <w:bidi w:val="0"/>
        <w:spacing w:before="0" w:after="0"/>
        <w:ind w:left="900" w:right="0" w:firstLine="720"/>
        <w:jc w:val="both"/>
        <w:rPr>
          <w:caps w:val="false"/>
          <w:smallCaps w:val="false"/>
        </w:rPr>
      </w:pPr>
      <w:r>
        <w:rPr>
          <w:caps w:val="false"/>
          <w:smallCaps w:val="false"/>
        </w:rPr>
        <w:t> </w:t>
      </w:r>
    </w:p>
    <w:p>
      <w:pPr>
        <w:pStyle w:val="TextBody"/>
        <w:shd w:fill="FFFFFF" w:val="clear"/>
        <w:bidi w:val="0"/>
        <w:spacing w:before="0" w:after="0"/>
        <w:ind w:left="9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Administrative Agent shall have received notice from the Required Lenders that the Adjusted SOFR Rate determined or to be determined for such Interest Period will not adequately and fairly reflect the cost to such Lenders (as certified by such Lenders) of making or maintaining their affected SOFR Loans during such Interest Period, the Administrative Agent shall give telecopy or telephonic notice thereof to the Borrower and the Lenders as soon as practicable thereafter (which notice shall include supporting calculations in reasonable detail). If such notice is given, (i) any SOFR Loan requested to be made on the first day of such Interest Period shall be made an ABR Loan, (ii) any Loans that were to have been converted on the first day of such Interest Period to SOFR Loans shall be continued as an ABR Loan and (iii) any outstanding SOFR Loans shall be converted, on the first day of such Interest Period, to ABR Loans. Until such notice has been withdrawn by the Administrative Agent, no further SOFR Loans shall be made or continued as such, nor shall the Borrower have the right to convert ABR Loans to SOFR Loans.</w:t>
      </w:r>
    </w:p>
    <w:p>
      <w:pPr>
        <w:pStyle w:val="TextBody"/>
        <w:shd w:fill="FFFFFF" w:val="clear"/>
        <w:bidi w:val="0"/>
        <w:spacing w:before="0" w:after="0"/>
        <w:ind w:left="9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xml:space="preserve">. If (a) any payment of principal of any SOFR Loan is made by the Borrower to or for the account of a Lender other than on the last day of the Interest Period for such SOFR Loan as a result of a payment or conversion pursuant to </w:t>
      </w:r>
      <w:r>
        <w:rPr>
          <w:rFonts w:ascii="Times New Roman;Times;Serif" w:hAnsi="Times New Roman;Times;Serif"/>
          <w:b w:val="false"/>
          <w:i w:val="false"/>
          <w:caps w:val="false"/>
          <w:smallCaps w:val="false"/>
          <w:sz w:val="20"/>
          <w:u w:val="single"/>
        </w:rPr>
        <w:t>Sections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13.7</w:t>
      </w:r>
      <w:r>
        <w:rPr>
          <w:rFonts w:ascii="Times New Roman;Times;Serif" w:hAnsi="Times New Roman;Times;Serif"/>
          <w:b w:val="false"/>
          <w:i w:val="false"/>
          <w:caps w:val="false"/>
          <w:smallCaps w:val="false"/>
          <w:sz w:val="20"/>
        </w:rPr>
        <w:t xml:space="preserve">, as a result of acceleration of the maturity of the Loans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or for any other reason, (b) any Borrowing of SOFR Loans is not made as a result of a withdrawn Notice of Borrowing or a failure to satisfy borrowing conditions, (c) any ABR Loan is not converted into a SOFR Loan as a result of a withdrawn Notice of Conversion or Continuation, (d) any SOFR Loan is not continued as a SOFR Loan, as the case may be, as a result of a withdrawn Notice of Conversion or Continuation or (e) any prepayment of principal of any SOFR Loan is not made as a result of a withdrawn notice of prepayment pursuant to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SOFR Loan. A certificate of a Lender setting forth the amount or amounts necessary to compensate such Lender as specified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setting forth in reasonable detail the manner in which such amount or amounts were determined shall be delivered to the Borrower and shall be conclusive, absent manifest error. The obligations of the Borrower under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survive the payment in full of the Loans and the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Change of Lending Office</w:t>
      </w:r>
      <w:r>
        <w:rPr>
          <w:rFonts w:ascii="Times New Roman;Times;Serif" w:hAnsi="Times New Roman;Times;Serif"/>
          <w:b w:val="false"/>
          <w:i w:val="false"/>
          <w:caps w:val="false"/>
          <w:smallCaps w:val="false"/>
          <w:sz w:val="20"/>
        </w:rPr>
        <w:t xml:space="preserve">. Each Lender agrees that, upon the occurrence of any event giving rise to the operation of </w:t>
      </w:r>
      <w:r>
        <w:rPr>
          <w:rFonts w:ascii="Times New Roman;Times;Serif" w:hAnsi="Times New Roman;Times;Serif"/>
          <w:b w:val="false"/>
          <w:i w:val="false"/>
          <w:caps w:val="false"/>
          <w:smallCaps w:val="false"/>
          <w:sz w:val="20"/>
          <w:u w:val="single"/>
        </w:rPr>
        <w:t>Sections 2.10, 3.5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with respect to such Lender, it will, if requested by the Borrower, use reasonable efforts (subject to overall policy considerations of such Lender) to designate another lending office for any Loans affected by such event;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affect or postpone any of the obligations of the Borrower or the right of any Lender provided in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Notice of Certain Costs</w:t>
      </w:r>
      <w:r>
        <w:rPr>
          <w:rFonts w:ascii="Times New Roman;Times;Serif" w:hAnsi="Times New Roman;Times;Serif"/>
          <w:b w:val="false"/>
          <w:i w:val="false"/>
          <w:caps w:val="false"/>
          <w:smallCaps w:val="false"/>
          <w:sz w:val="20"/>
        </w:rPr>
        <w:t xml:space="preserve">. Notwithstanding anything in this Agreement to the contrary, to the extent any notice required by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as the case may be, for any such amounts incurred or accruing prior to the 121st day prior to the giving of such notice to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clauses (b), (c), (d), (e), and (f) of this Section 2.14,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and binding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Adjusted Daily Simple SOFR; 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the Adjusted Daily Simple SOFR will not adequately and fairly reflect the cost to such Lenders (or Lender) of making or maintaining their Loans (or its Loan) included in such Borrowing;</w:t>
      </w:r>
    </w:p>
    <w:p>
      <w:pPr>
        <w:pStyle w:val="TextBody"/>
        <w:bidi w:val="0"/>
        <w:spacing w:before="0" w:after="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Administrative Agent shall give notice thereof to the Borrower and the Lenders through electronic system as provided in Section 13.2 as promptly as practicable thereafter and, until (x) the Administrative Agent notifies the Borrower and the Lenders that the circumstances giving rise to such notice no longer exist with respect to the relevant Benchmark and (y) the Borrower delivers a new Notice of Conversion or Continuation in accordance with the terms of Section 2.6 or a new Notice of Borrowing in accordance with the terms of Section 2.3, (1) any Notice of Conversion or Continuation that requests the conversion of any Borrowing to, or continuation of any Borrowing as, a Term Benchmark Borrowing and any Notice of Borrowing that requests a Term Benchmark Borrowing shall instead be deemed to be a Notice of Conversion or Continuation or a Notice of Borrowing, as applicable, for (x) an RFR Borrowing or RFR Loan, as applicable, so long as the Adjusted Daily Simple SOFR is not also the subject of Section 2.14(a)(i) or (ii) above or (y) an ABR Loan or ABR Borrowing, as applicable, if the Adjusted Daily Simple SOFR also is the subject of Section 2.14(a)(i) or (ii) above and (2) any Notice of Conversion or Continuation that requests the conversion of any Borrowing to, or continuation of any Borrowing as, a RFR Borrowing and any Notice of Borrowing that requests an RFR Borrowing shall instead be deemed to be a Notice of Conversion or Continuation or a Notice of Borrowing, as applicable, for an ABR Loan or ABR Borrowing, as applicable, if the Adjusted Daily Simple SOFR also is the subject of Section 2.14(a)(i) or (ii) above;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of Conversion or Continuation in accordance with the terms of Section 2.6 or a new Notice of Borrowing in accordance with the terms of Section 2.3, (1) any Term Benchmark Loan shall on the last day of the Interest Period applicable to such Loan be converted by the Administrative Agent to, and shall constitute, (x) an RFR Loan so long as the Adjusted Daily Simple SOFR is not also the subject of Section 2.14(a)(i) or (ii) above, on such day, or (y) an ABR Loan if the Adjusted Daily Simple SOFR also is the subject of Section 2.14(a)(i) or (ii) above, on such day, and (2) any RFR Loan shall on and from such day be converted by the Administrative Agent to, and shall constitute an ABR Loan if the Adjusted Daily Simple SOFR also is the subject of Section 2.14(a)(i) or (ii) above,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Credit Document (and any Hedge Agreement shall be deemed not to be a “Credit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Credit Document, the Administrative Agent will have the right to make Benchmark Replacement Conforming Changes (but, solely in respect of Term Benchmark Loans, in consultation with the Borrower)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Credit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(1) any such request for a Term Benchmark Borrowing into a request for a Borrowing of or conversion to (A) an RFR Borrowing or RFR Loan, as applicable, so long as the Adjusted Daily Simple SOFR is not the subject of a Benchmark Transition Event or (B) an ABR Borrowing or ABR Loan, as applicable, if the Adjusted Daily Simple SOFR is the subject of a Benchmark Transition Event or (2) any such request for an RFR Borrowing into a request for an ABR Borrowing or ABR Loan, as applicable, if the Adjusted Daily Simple SOFR is the subject of a Benchmark Transition Event.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Loan so long as the Adjusted Daily Simple SOFR is not the subject of a Benchmark Transition Event, on such day or (y) an ABR Loan if the Adjusted Daily Simple SOFR is the subject of a Benchmark Transition Event, on such day and (2) any RFR Loan shall on and from such day be converted by the Administrative Agent to, and shall constitute an ABR Loan if the Adjusted Daily Simple SOFR is the subject of a Benchmark Transition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and from time to time after the Restatement Effective Date, subject to the terms and conditions set forth herein, the Borrower may, by notice to the Administrative Agent (whereupon the Administrative Agent shall promptly make available to each of the Lenders), request to effect one or more increases in the Revolving Credit Commitments (or, solely to the extent set forth in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xml:space="preserve"> below, provide commitments under a new facility constituting a Last Out Tranche) (an “</w:t>
      </w:r>
      <w:r>
        <w:rPr>
          <w:rFonts w:ascii="Times New Roman;Times;Serif" w:hAnsi="Times New Roman;Times;Serif"/>
          <w:b/>
          <w:i w:val="false"/>
          <w:caps w:val="false"/>
          <w:smallCaps w:val="false"/>
          <w:sz w:val="20"/>
        </w:rPr>
        <w:t>Incremental Commitment</w:t>
      </w:r>
      <w:r>
        <w:rPr>
          <w:rFonts w:ascii="Times New Roman;Times;Serif" w:hAnsi="Times New Roman;Times;Serif"/>
          <w:b w:val="false"/>
          <w:i w:val="false"/>
          <w:caps w:val="false"/>
          <w:smallCaps w:val="false"/>
          <w:sz w:val="20"/>
        </w:rPr>
        <w:t xml:space="preserve">”) from one or more Incremental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at the time of each such request and upon the effectiveness of each Incremental Facility Amendment, no Event of Default shall have occurred and be continuing (except in connection with a Permitted Acquisition or any other Investment not prohibited by the terms of this Agreement, which shall be subject to no continuing Event of Default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 xml:space="preserve">) or shall result therefrom, (B) the arrangement, upfront or similar fees in respect of such Incremental Commitment and the extensions of credit thereunder shall be determined by the Borrower and the applicable Incremental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except with respect to any Last Out Tranche under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xml:space="preserve"> below, the Applicable Margins and Commitment Fees hereunder shall be increased if necessary to be consistent with that for such Incremental Commitment, and (C) except as set forth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or, with respect to any Last Out Tranche under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xml:space="preserve"> below, any Incremental Commitment shall be on the same terms and pursuant to the same documentation applicable to the existing Revolving Credit Commitments hereunder. Notwithstanding anything to the contrary herein, the aggregate principal amount of all Incremental Commitments plus the Total Revolving Credit Commitment shall not exceed $1,250,000,000 (the “</w:t>
      </w:r>
      <w:r>
        <w:rPr>
          <w:rFonts w:ascii="Times New Roman;Times;Serif" w:hAnsi="Times New Roman;Times;Serif"/>
          <w:b/>
          <w:i w:val="false"/>
          <w:caps w:val="false"/>
          <w:smallCaps w:val="false"/>
          <w:sz w:val="20"/>
        </w:rPr>
        <w:t>Maximum ABL Incremental Facilities Amount</w:t>
      </w:r>
      <w:r>
        <w:rPr>
          <w:rFonts w:ascii="Times New Roman;Times;Serif" w:hAnsi="Times New Roman;Times;Serif"/>
          <w:b w:val="false"/>
          <w:i w:val="false"/>
          <w:caps w:val="false"/>
          <w:smallCaps w:val="false"/>
          <w:sz w:val="20"/>
        </w:rPr>
        <w:t xml:space="preserve">”). Each Incremental Commitment shall be in a minimum principal amount of $10,000,000 and integral multiples of $5,000,000 in excess thereof (unless the Borrower and the Administrative Agent otherwise agree);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amount may be less than $10,000,000 if such amount represents all the remaining availability under the aggregate principal amount of Incremental Commitments set forth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notice from the Borrower pursuant to this Section shall set forth the requested amount of the relevant Incremental Commitments.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Incremental Commitments shall become Commitments under this Agreement pursuant to an amendment (an “</w:t>
      </w:r>
      <w:r>
        <w:rPr>
          <w:rFonts w:ascii="Times New Roman;Times;Serif" w:hAnsi="Times New Roman;Times;Serif"/>
          <w:b/>
          <w:i w:val="false"/>
          <w:caps w:val="false"/>
          <w:smallCaps w:val="false"/>
          <w:sz w:val="20"/>
        </w:rPr>
        <w:t>Incremental Facility Amendment</w:t>
      </w:r>
      <w:r>
        <w:rPr>
          <w:rFonts w:ascii="Times New Roman;Times;Serif" w:hAnsi="Times New Roman;Times;Serif"/>
          <w:b w:val="false"/>
          <w:i w:val="false"/>
          <w:caps w:val="false"/>
          <w:smallCaps w:val="false"/>
          <w:sz w:val="20"/>
        </w:rPr>
        <w:t xml:space="preserve">”) to this Agreement and, as appropriate, the other Credit Documents executed by the Borrower, such applicable Incremental Lenders and the Administrative Agent. Incremental Commitments shall be provided by Incremental Lenders (including any existing Lender (it being understood that no existing Lender shall have any right to participate in any Incremental Commitments or, unless it agrees, be obligated to provide any Incremental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Incremental Lender (except in respect of a Last Out Tranche) (other than any Person that is a Lender or an Affiliate of a Lender) shall be subject to the written consent of the Administrative Agent, each Letter of Credit Issuer, the Swingline Lender and the Borrower (such approval in each case not to be unreasonably withheld or delayed). An Incremental Facility Amendment may, without the consent of any other Lenders, effect such amendments to any Credit Documents as may be necessary or appropriate, in the reasonable opinion of the Administrative Agent, to (x) effect the provisions of this Section and/or (y) so long as such amendments are not, in the reasonable opinion of the Administrative Agent, materially adverse to the Lenders, maintain the “fungibility” of any such Incremental Commitments with any tranche of then outstanding Loans and or Commitments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Revolving Loan made pursuant to an Incremental Commitment shall be a “Revolving Loan” for all purposes of this Agreement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Incremental Commitment may be in the form of a separate “last-out” tranche (the “</w:t>
      </w:r>
      <w:r>
        <w:rPr>
          <w:rFonts w:ascii="Times New Roman;Times;Serif" w:hAnsi="Times New Roman;Times;Serif"/>
          <w:b/>
          <w:i w:val="false"/>
          <w:caps w:val="false"/>
          <w:smallCaps w:val="false"/>
          <w:sz w:val="20"/>
        </w:rPr>
        <w:t>Last Out Tranche</w:t>
      </w:r>
      <w:r>
        <w:rPr>
          <w:rFonts w:ascii="Times New Roman;Times;Serif" w:hAnsi="Times New Roman;Times;Serif"/>
          <w:b w:val="false"/>
          <w:i w:val="false"/>
          <w:caps w:val="false"/>
          <w:smallCaps w:val="false"/>
          <w:sz w:val="20"/>
        </w:rPr>
        <w:t xml:space="preserve">”) with interest rate margins, rate floors, upfront fees, funding discounts and original issue discounts and advance rates, in each case to be agreed upon (which, for the avoidance of doubt, shall not require any adjustment to the Applicable Margin or other Loans) among the Borrower and the Incremental Lenders providing the Last Out Tranche so long as (1) any loans and related obligations in respect of the Last Out Tranche are not be guaranteed by any Person other than the Guarantors and are not secured by any assets other than Collateral; (2) as between (x) the Revolving Loans (other than the Last Out Tranche), L/C Obligations, the Noticed Cash Management Obligations and the Noticed Hedges and (y) the Last Out Tranche, all proceeds from the liquidation or other realization of the Collateral (including ABL Priority Collateral) or application of funds under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shall be applied, first to obligations owing under, or with respect to, the Revolving Loans (other than the Last Out Tranche), the LC Obligations, the Noticed Cash Management Obligations and the Noticed Hedges, and second to the Last Out Tranche; (3) the Borrower may not prepay Revolving Loans under the Last Out Tranche or terminate or reduce the commitments in respect thereof at any time that other Revolving Loans (including Swingline Loans) and/or amounts owed in respect of Letters of Credit (unless cash collateralized or otherwise provided for in a manner reasonably satisfactory to the Administrative Agent) are outstanding; (4) the Required Lenders(not including holders of the Last Out Tranche until all Revolving Loans, LC obligations, Noticed Cash Management Obligations and Noticed Hedges are paid in full) shall, subject to the terms of the ABL Intercreditor Agreement, exercise control of remedies in respect of the Collateral; (5) no changes affecting the priority status of the Revolving Loans (other than the Last Out Tranche), the LC Obligations, the Noticed Cash Management Obligations and the Noticed Hedges vis-à-vis the Last Out Tranche may be made without the consent of each of the Revolving Credit Lenders (other than the Revolving Credit Lenders under Last Out Tranche), (6) the final maturity of any Last Out Tranche shall not occur, and no Last Out Tranche shall require mandatory commitment reductions prior to, the Latest Maturity Date at such time and (7) except as otherwise set forth in this </w:t>
      </w:r>
      <w:r>
        <w:rPr>
          <w:rFonts w:ascii="Times New Roman;Times;Serif" w:hAnsi="Times New Roman;Times;Serif"/>
          <w:b w:val="false"/>
          <w:i w:val="false"/>
          <w:caps w:val="false"/>
          <w:smallCaps w:val="false"/>
          <w:sz w:val="20"/>
          <w:u w:val="single"/>
        </w:rPr>
        <w:t>Section 2.15(d)</w:t>
      </w:r>
      <w:r>
        <w:rPr>
          <w:rFonts w:ascii="Times New Roman;Times;Serif" w:hAnsi="Times New Roman;Times;Serif"/>
          <w:b w:val="false"/>
          <w:i w:val="false"/>
          <w:caps w:val="false"/>
          <w:smallCaps w:val="false"/>
          <w:sz w:val="20"/>
        </w:rPr>
        <w:t>, the terms of any Last Out Tranche are not materially less favorable to the Borrower than those hereunder (including, without limitation, the inclusion of any additional financial or other material covenant without the consent of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this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shall supersede any provisions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13.20</w:t>
      </w:r>
      <w:r>
        <w:rPr>
          <w:rFonts w:ascii="Times New Roman;Times;Serif" w:hAnsi="Times New Roman;Times;Serif"/>
          <w:b w:val="false"/>
          <w:i w:val="false"/>
          <w:caps w:val="false"/>
          <w:smallCaps w:val="false"/>
          <w:sz w:val="20"/>
        </w:rPr>
        <w:t xml:space="preserv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2.16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Protective Advances and Overadvances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limitations set forth below, the Administrative Agent is authorized by the Borrower and the Lenders, from time to time in the sole discretion of the Administrative Agent (but, in any such case, none of them shall have absolutely any obligation to) to make Loans in Dollars to the Borrower on behalf of the Revolving Credit Lenders (each such Loan, a “</w:t>
      </w:r>
      <w:r>
        <w:rPr>
          <w:rFonts w:ascii="Times New Roman;Times;Serif" w:hAnsi="Times New Roman;Times;Serif"/>
          <w:b/>
          <w:i w:val="false"/>
          <w:caps w:val="false"/>
          <w:smallCaps w:val="false"/>
          <w:sz w:val="20"/>
        </w:rPr>
        <w:t>Protective Advance</w:t>
      </w:r>
      <w:r>
        <w:rPr>
          <w:rFonts w:ascii="Times New Roman;Times;Serif" w:hAnsi="Times New Roman;Times;Serif"/>
          <w:b w:val="false"/>
          <w:i w:val="false"/>
          <w:caps w:val="false"/>
          <w:smallCaps w:val="false"/>
          <w:sz w:val="20"/>
        </w:rPr>
        <w:t xml:space="preserve">”),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the applicable Borrower pursuant to the terms of this Agreement, including payments of reimbursable expenses (including costs, fees, and expenses as described in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and other sums payable under the Credit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aggregate amount of outstanding Protective Advances (taken together with Overadvances under </w:t>
      </w:r>
      <w:r>
        <w:rPr>
          <w:rFonts w:ascii="Times New Roman;Times;Serif" w:hAnsi="Times New Roman;Times;Serif"/>
          <w:b w:val="false"/>
          <w:i w:val="false"/>
          <w:caps w:val="false"/>
          <w:smallCaps w:val="false"/>
          <w:sz w:val="20"/>
          <w:u w:val="single"/>
        </w:rPr>
        <w:t>Section 2.16(c)</w:t>
      </w:r>
      <w:r>
        <w:rPr>
          <w:rFonts w:ascii="Times New Roman;Times;Serif" w:hAnsi="Times New Roman;Times;Serif"/>
          <w:b w:val="false"/>
          <w:i w:val="false"/>
          <w:caps w:val="false"/>
          <w:smallCaps w:val="false"/>
          <w:sz w:val="20"/>
        </w:rPr>
        <w:t xml:space="preserve">) shall not, at any time, exceed (x) 10% of the Borrowing Base as determined on the date of such proposed Protective Advance or (y) when added to the aggregate Revolving Credit Exposure of all the Revolving Credit Lenders, the aggregate Commitments. Protective Advances may be made even if the conditions precedent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have not been satisfied. All Protective Advances shall be ABR Loans. The Administrative Agent’s authorization to make Protective Advances may be revoked at any time by the Required Lenders. Any such revocation must be in writing and shall become effective prospectively upon the Administrative Agent’s receipt thereof. At any time that the conditions precedent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have been satisfied, the Administrative Agent may request the Revolving Credit Lenders to make a Revolving Credit Loan to repay a Protective Advance. At any other time the Administrative Agent may require the Lenders to fund, in Dollars, their risk participation described in </w:t>
      </w:r>
      <w:r>
        <w:rPr>
          <w:rFonts w:ascii="Times New Roman;Times;Serif" w:hAnsi="Times New Roman;Times;Serif"/>
          <w:b w:val="false"/>
          <w:i w:val="false"/>
          <w:caps w:val="false"/>
          <w:smallCaps w:val="false"/>
          <w:sz w:val="20"/>
          <w:u w:val="single"/>
        </w:rPr>
        <w:t>Section 2.16(c)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making of a Protective Advance (whether before or after the occurrence of a Default) by the Administrative Agent, each Revolving Credit Lender shall be deemed, without further action by any party hereto, to have unconditionally and irrevocably purchased from the Administrative Agent, without recourse or warranty, an undivided interest and participation in such Protective Advance, on a pro rata basis with each other Revolving Credit Lender. From and after the date, if any, on which any Lender is required to fund its participation in any Protective Advance purchased hereunder, the Administrative Agent shall promptly distribute to such Lender, on a pro rata basis with each other Revolving Credit Lender, all payments of principal and interest and all proceeds of Collateral received by the Administrative Agent in respect of such Protective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elsewhere in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or this Agreement or the other Credit Documents and whether or not a Default or Event of Default exists at the time, the Administrative Agent may require the Revolving Credit Lenders to honor requests or deemed requests by the Borrower for Revolving Loans at a time that an Overadvance Condition exists or which would result in an Overadvance Condition and each relevant Lender shall be obligated to continue to make its pro rata share of any such Overadvance Loan up to a maximum amount outstanding equal to its Revolving Credit Commitment at such time, so long as the aggregate amount of such Overadvances (taken together with Protective Advances under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shall not, at any time, exceed 10% of the Maximum Borrowing Amount, but in no event shall such Overadvance exist for more than thirty (30) consecutive Business Days or more than forty-five (45) Business Days in any twelve calendar month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aggregate amount of outstanding Overadvances plus any Protective Advances described in </w:t>
      </w:r>
      <w:r>
        <w:rPr>
          <w:rFonts w:ascii="Times New Roman;Times;Serif" w:hAnsi="Times New Roman;Times;Serif"/>
          <w:b w:val="false"/>
          <w:i w:val="false"/>
          <w:caps w:val="false"/>
          <w:smallCaps w:val="false"/>
          <w:sz w:val="20"/>
          <w:u w:val="single"/>
        </w:rPr>
        <w:t>Section 2.16(a)</w:t>
      </w:r>
      <w:r>
        <w:rPr>
          <w:rFonts w:ascii="Times New Roman;Times;Serif" w:hAnsi="Times New Roman;Times;Serif"/>
          <w:b w:val="false"/>
          <w:i w:val="false"/>
          <w:caps w:val="false"/>
          <w:smallCaps w:val="false"/>
          <w:sz w:val="20"/>
        </w:rPr>
        <w:t xml:space="preserve"> plus the aggregate of all other Revolving Credit Exposures shall not exceed the Revolving Credit Commitments and (ii) the Revolving Credit Exposure of any Lender shall not exceed the Revolving Credit Commitment of such Lender. The Administrative Agent’s authorization to require Revolving Credit Lenders to honor requests or deemed requests for Overadvance Loans may be revoked at any time by the Required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that Lender is no longer a Defaulting Lender, to the extent permitted by applicable Requirements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xml:space="preserve">. Such Defaulting Lender’s right to approve or disapprove any amendment, waiver or consent with respect to this Agreement shall be restricted as set forth in the definition of Required Lenders and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the Letter of Credit Issuer or Swingline Lender 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the Letter of Credit Issuer’s Fronting Exposure with respect to such Defaulting Lender in accordance with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the payment of any amounts owing to the Borrower, the Lenders, the Letter of Credit Issuer or Swingline Lender as a result of any judgment of a court of competent jurisdiction obtained by the Borrower, any Lender, the Letter of Credit Issuer or Swingline Lender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Times;Serif" w:hAnsi="Times New Roman;Times;Serif"/>
          <w:b w:val="false"/>
          <w:i w:val="false"/>
          <w:caps w:val="false"/>
          <w:smallCaps w:val="false"/>
          <w:sz w:val="20"/>
          <w:u w:val="single"/>
        </w:rPr>
        <w:t>Section 2.17(a)(iv)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2.17(a)(ii)</w:t>
      </w:r>
      <w:r>
        <w:rPr>
          <w:rFonts w:ascii="Times New Roman;Times;Serif" w:hAnsi="Times New Roman;Times;Serif"/>
          <w:b w:val="false"/>
          <w:i w:val="false"/>
          <w:caps w:val="false"/>
          <w:smallCaps w:val="false"/>
          <w:sz w:val="20"/>
        </w:rPr>
        <w:t xml:space="preserve"> shall be deemed paid to and redirected by such Defaulting Lender, and each Lender irrevocably consents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xml:space="preserve">       No Defaulting Lender shall be entitled to receive any fee payable under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b w:val="false"/>
          <w:i w:val="false"/>
          <w:caps w:val="false"/>
          <w:smallCaps w:val="false"/>
          <w:sz w:val="20"/>
        </w:rPr>
        <w:t xml:space="preserve">       With respect to any Letter of Credit Fee not required to be paid to any Defaulting Lender pursuant to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below, (y) 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Reallocation of Applicable Percentages to Reduce Fronting Exposure</w:t>
      </w:r>
      <w:r>
        <w:rPr>
          <w:rFonts w:ascii="Times New Roman;Times;Serif" w:hAnsi="Times New Roman;Times;Serif"/>
          <w:b w:val="false"/>
          <w:i w:val="false"/>
          <w:caps w:val="false"/>
          <w:smallCaps w:val="false"/>
          <w:sz w:val="20"/>
        </w:rPr>
        <w:t>.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Cash Collateral, Repayment of Swingline Loans</w:t>
      </w:r>
      <w:r>
        <w:rPr>
          <w:rFonts w:ascii="Times New Roman;Times;Serif" w:hAnsi="Times New Roman;Times;Serif"/>
          <w:b w:val="false"/>
          <w:i w:val="false"/>
          <w:caps w:val="false"/>
          <w:smallCaps w:val="false"/>
          <w:sz w:val="20"/>
        </w:rPr>
        <w:t xml:space="preserve">.  If the reallocation described in </w:t>
      </w:r>
      <w:r>
        <w:rPr>
          <w:rFonts w:ascii="Times New Roman;Times;Serif" w:hAnsi="Times New Roman;Times;Serif"/>
          <w:b w:val="false"/>
          <w:i w:val="false"/>
          <w:caps w:val="false"/>
          <w:smallCaps w:val="false"/>
          <w:sz w:val="20"/>
          <w:u w:val="single"/>
        </w:rPr>
        <w:t>clause (a)(iv)</w:t>
      </w:r>
      <w:r>
        <w:rPr>
          <w:rFonts w:ascii="Times New Roman;Times;Serif" w:hAnsi="Times New Roman;Times;Serif"/>
          <w:b w:val="false"/>
          <w:i w:val="false"/>
          <w:caps w:val="false"/>
          <w:smallCaps w:val="false"/>
          <w:sz w:val="20"/>
        </w:rPr>
        <w:t> above cannot, or can only partially, be effected, the Borrower shall, without prejudice to any right or remedy available to them hereunder or under applicable law, (x)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prepay Swingline Loans in an amount equal to the Swingline Lender’s Fronting Exposure and (y)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Cash Collateralize the Letter of Credit Issuers’ Fronting Exposure in accordance with the procedures set forth in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Times New Roman;Times;Serif" w:hAnsi="Times New Roman;Times;Serif"/>
          <w:b w:val="false"/>
          <w:i w:val="false"/>
          <w:caps w:val="false"/>
          <w:smallCaps w:val="false"/>
          <w:sz w:val="20"/>
          <w:u w:val="single"/>
        </w:rPr>
        <w:t>Section 2.17(a)(iv)</w:t>
      </w:r>
      <w:r>
        <w:rPr>
          <w:rFonts w:ascii="Times New Roman;Times;Serif" w:hAnsi="Times New Roman;Times;Serif"/>
          <w:b w:val="false"/>
          <w:i w:val="false"/>
          <w:caps w:val="false"/>
          <w:smallCaps w:val="false"/>
          <w:sz w:val="20"/>
        </w:rPr>
        <w:t xml:space="preserve">), whereupon such Lender will cease to be a Defaulting Lender;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 adjustments will be made retroactively with respect to fees accrued or payments made by or on behalf of the Borrower while that Lender was a Defaulting Lender;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2.18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Reserves; Change in Reserves; Decisions by Agent</w:t>
      </w:r>
      <w:r>
        <w:rPr>
          <w:rFonts w:ascii="Times New Roman;Times;Serif" w:hAnsi="Times New Roman;Times;Serif"/>
          <w:b w:val="false"/>
          <w:i w:val="false"/>
          <w:caps w:val="false"/>
          <w:smallCaps w:val="false"/>
          <w:sz w:val="20"/>
        </w:rPr>
        <w:t xml:space="preserve">. The Administrative Agent may at any time and from time to time in the exercise of its Permitted Discretion establish and increase or decrease Reserves against the Borrowing Base or the Revolving Credit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as a condition to the establishment of any new category of Reserves, or any increase in Reserves resulting from a change in the manner of determination thereof, any Required Reserve Notice shall have been given 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such Required Reserve Notice shall be required for changes to any Reserves resulting solely by virtue of mathematical calculations of the amount of the Reserve in accordance with the methodology of calculations previously utilized;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during the period between delivery of such Required Reserve Notice and the expiration of the applicable advanced notice period, there shall be no making of Loans or issuance or renewal of Letters of Credit that would result in the difference between the Maximum Borrowing Amount and the aggregate Revolving Credit Exposures (including the Letter of Credit Exposure) of all Lenders at such time being less than the amount by which the Borrowing Base would be reduced after the imposition of such Reserve. Upon delivery of such notice, the Administrative Agent shall be available to discuss the proposed Reserve or increase, and the Borrower may take such action as may be required so that the event, condition or matter that is the basis for such Reserve or increase no longer exists, in a manner and to the extent reasonably satisfactory to the Administrative Agent in the exercise of its Permitted Discretion. In no event shall such notice and opportunity limit the right of the Administrative Agent to establish or change such Reserve, unless the Administrative Agent shall have determined in its Permitted Discretion that the event, condition or other matter that is the basis for such new Reserve or such change no longer exists or has otherwise been adequately addressed by the Borrower. Notwithstanding anything herein to the contrary, (x) Reserves shall not duplicate eligibility criteria contained in the definition of “Eligible Credit Card Receivables” or “Eligible Inventory” and vice versa and (y) any Reserve established as described in clause (b)(ii) or clause (c)(ii) of the definition of “Revolving Credit Maturity Date” shall not be established prior to the Business Day immediately prior to the date that is 91 days prior to the relevant earliest maturity date of the other Indebtedness referred to in such clause, and shall be established as described in such clause on such date without any requirement to deliver a Required Reserve Notice or other similar notice prior to the implementation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3.            </w:t>
      </w:r>
      <w:r>
        <w:rPr>
          <w:rFonts w:ascii="Times New Roman;Times;Serif" w:hAnsi="Times New Roman;Times;Serif"/>
          <w:b w:val="false"/>
          <w:i w:val="false"/>
          <w:caps w:val="false"/>
          <w:smallCaps w:val="false"/>
          <w:sz w:val="20"/>
          <w:u w:val="single"/>
        </w:rPr>
        <w:t xml:space="preserve"> Letters of Credit</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and upon the terms and conditions herein set forth, at any time and from time to time after the Restatement Effective Date and prior to the L/C Facility Maturity Date, each Letter of Credit Issuer agrees, in reliance upon the agreements of the Revolving Credit Lenders set forth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to issue from time to time from the Restatement Effective Date through the L/C Facility Maturity Date for the account of the Borrower (or, so long as a Borrower is the primary obligor and a signatory to the Letter of Credit Request, for the account of Holdings or any Restricted Subsidiary (other than the Borrower)) letters of credit (the “</w:t>
      </w:r>
      <w:r>
        <w:rPr>
          <w:rFonts w:ascii="Times New Roman;Times;Serif" w:hAnsi="Times New Roman;Times;Serif"/>
          <w:b/>
          <w:i w:val="false"/>
          <w:caps w:val="false"/>
          <w:smallCaps w:val="false"/>
          <w:sz w:val="20"/>
        </w:rPr>
        <w:t>Letters of Credit</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Letter of Credit</w:t>
      </w:r>
      <w:r>
        <w:rPr>
          <w:rFonts w:ascii="Times New Roman;Times;Serif" w:hAnsi="Times New Roman;Times;Serif"/>
          <w:b w:val="false"/>
          <w:i w:val="false"/>
          <w:caps w:val="false"/>
          <w:smallCaps w:val="false"/>
          <w:sz w:val="20"/>
        </w:rPr>
        <w:t>”), which Letters of Credit shall not exceed any such Letter of Credit Issuer’s Letter of Credit Commitment and in the aggregate shall not exceed the L/C Sublimit, in such form as may be approved by the applicable Letter of Credit Issuer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a Letter of Credit Issuer after it has received a written notice from any Credit Party or the Administrative Agent or the Required Lenders stating that a Default or Event of Default has occurred and is continuing until such time as such Letter of Credit Issuer shall have received a written notice of (x) rescission of such notice from the party or parties originally delivering such notice or (y) the waiver of such Default or Event of Default in accordance with the provisions of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at least two Business Days’ prior written notice to the Administrative Agent and the Letter of Credit Issuer (which notice the Administrative Agent shall promptly transmit to each of the Lenders), the Borrower shall have the right, (i) on any day, to permanently to terminate or reduce the Letter of Credit Commitment in whole or in part;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 or (ii) on any day, to increase the applicable Letter of Credit Commitment of any Letter of Credit Issuer, so long as the applicable Letter of Credit Issuer agrees to increase its Letter of Credit Commitment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Letter of Credit Issuer shall not be under any obligation to issue any Letter of Credit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any order, judgment or decree of any Governmental Authority or arbitrator shall by its terms enjoin or restrain any such Letter of Credit Issuer from issuing such Letter of Credit, or any law applicable to such Letter of Credit Issuer or any request or directive (whether or not having the force of law) from any Governmental Authority with jurisdiction over such Letter of Credit Issuer shall prohibit, or request that such Letter of Credit Issuer refrain from, the issuance of letters of credit generally or such Letter of Credit in particular or shall impose upon such Letter of Credit Issuer with respect to such Letter of Credit any restriction, reserve or capital requirement (in each case, for which such Letter of Credit Issuer is not otherwise compensated hereunder) not in effect on the Restatement Effective Date, or shall impose upon such Letter of Credit Issuer any unreimbursed loss, cost or expense which was not applicable on the Restatement Effective Date and which such Letter of Credit Issuer in good faith deems material to 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the issuance of such Letter of Credit would violate one or more policies of such Letter of Credit Issuer applicable to letters of credit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except as otherwise agreed by the applicable Letter of Credit Issuer, such Letter of Credit is in an initial Stated Amount less than $50,000, in the case of a commercial Letter of Credit, or $10,000, in the case of a standby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w:t>
      </w:r>
      <w:r>
        <w:rPr>
          <w:rFonts w:ascii="Times New Roman;Times;Serif" w:hAnsi="Times New Roman;Times;Serif"/>
          <w:b w:val="false"/>
          <w:i w:val="false"/>
          <w:caps w:val="false"/>
          <w:smallCaps w:val="false"/>
          <w:sz w:val="20"/>
        </w:rPr>
        <w:t>         such Letter of Credit is denominated in a currency other than Dollars;</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w:t>
      </w:r>
      <w:r>
        <w:rPr>
          <w:rFonts w:ascii="Times New Roman;Times;Serif" w:hAnsi="Times New Roman;Times;Serif"/>
          <w:b w:val="false"/>
          <w:i w:val="false"/>
          <w:caps w:val="false"/>
          <w:smallCaps w:val="false"/>
          <w:sz w:val="20"/>
        </w:rPr>
        <w:t>          such Letter of Credit contains any provisions for automatic reinstatement of the Stated Amount after any drawing thereunder;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w:t>
      </w:r>
      <w:r>
        <w:rPr>
          <w:rFonts w:ascii="Times New Roman;Times;Serif" w:hAnsi="Times New Roman;Times;Serif"/>
          <w:b w:val="false"/>
          <w:i w:val="false"/>
          <w:caps w:val="false"/>
          <w:smallCaps w:val="false"/>
          <w:sz w:val="20"/>
        </w:rPr>
        <w:t xml:space="preserve">         a default of any Revolving Credit Lender’s obligations to fund under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exists or any Revolving Credit Lender is at such time a Defaulting Lender hereunder, unless, in each case, the Borrower have entered into arrangements reasonably satisfactory to the applicable Letter of Credit Issuer to eliminate such Letter of Credit Issuer’s risk with respect to such Revolving Credit Lender or such risk has been reallocated in accordance with </w:t>
      </w:r>
      <w:r>
        <w:rPr>
          <w:rFonts w:ascii="Times New Roman;Times;Serif" w:hAnsi="Times New Roman;Times;Serif"/>
          <w:b w:val="false"/>
          <w:i w:val="false"/>
          <w:caps w:val="false"/>
          <w:smallCaps w:val="false"/>
          <w:sz w:val="20"/>
          <w:u w:val="single"/>
        </w:rPr>
        <w:t>Section 2.17</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Letter of Credit Issuer shall not increase the Stated Amount of any Letter of Credit if any such Letter of Credit Issuer would not be permitted at such time to issue such Letter of Credit in its amended form under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Letter of Credit Issuer shall be under no obligation to amend any Letter of Credit if (A) any such Letter of Credit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included the Letter of Credit Issuer with respect to such acts or omissions, and (B) as additionally provided herein with respect to the Letter of Credit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parties hereto agree that the Existing Letters of Credit shall be deemed to be Letters of Credit for all purposes under this Agreement, without any further action by the Borrowers, the Letter of Credit Issuer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Letter of Credit Requests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(solely with respect to any Letter of Credit issued on the Restatement Effective Date) and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not then be satisfied to the extent 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Borrower so requests in any Letter of Credit Request, the Letter of Credit Issuer shall agree to issue a Letter of Credit that has automatic extension provisions (each, an “</w:t>
      </w:r>
      <w:r>
        <w:rPr>
          <w:rFonts w:ascii="Times New Roman;Times;Serif" w:hAnsi="Times New Roman;Times;Serif"/>
          <w:b/>
          <w:i w:val="false"/>
          <w:caps w:val="false"/>
          <w:smallCaps w:val="false"/>
          <w:sz w:val="20"/>
        </w:rPr>
        <w:t>Auto-Extension Letter of Credit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Times New Roman;Times;Serif" w:hAnsi="Times New Roman;Times;Serif"/>
          <w:b/>
          <w:i w:val="false"/>
          <w:caps w:val="false"/>
          <w:smallCaps w:val="false"/>
          <w:sz w:val="20"/>
        </w:rPr>
        <w:t>Non-Extension Notice Date</w:t>
      </w:r>
      <w:r>
        <w:rPr>
          <w:rFonts w:ascii="Times New Roman;Times;Serif" w:hAnsi="Times New Roman;Times;Serif"/>
          <w:b w:val="false"/>
          <w:i w:val="false"/>
          <w:caps w:val="false"/>
          <w:smallCaps w:val="false"/>
          <w:sz w:val="20"/>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are not then satisfied, and in each such case directing the Letter of Credit Issuer not to permit such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Promptly after its delivery of any Letter of Credit or any amendment to a Letter of Credit (including any Existing Letter of Credit) to an advising bank with respect thereto or to the beneficiary thereof, the Letter of Credit Issuer will also deliver to the applicable Borrower and the Administrative Agent a true and complete copy of such Letter of Credit or amendment. On the last Business Day of each month, each Letter of Credit Issuer shall provide the Administrative Agent a list of all Letters of Credit (including any Existing Letter of Credit) issued by it that are outstanding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making of each Letter of Credit Request shall be deemed to be a representation and warranty by the Borrower that the Letter of Credit may be issued in accordance with, and will not violate the requirements of,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Letter of Credit Participations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Immediately upon the issuance by the Letter of Credit Issuer of any Letter of Credit, the Letter of Credit Issuer shall be deemed to have sold and transferred to each Revolving Credit Lender (each such Revolving Credit Lender, in its capacity under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L/C Participant</w:t>
      </w:r>
      <w:r>
        <w:rPr>
          <w:rFonts w:ascii="Times New Roman;Times;Serif" w:hAnsi="Times New Roman;Times;Serif"/>
          <w:b w:val="false"/>
          <w:i w:val="false"/>
          <w:caps w:val="false"/>
          <w:smallCaps w:val="false"/>
          <w:sz w:val="20"/>
        </w:rPr>
        <w:t>”), and each such L/C Participant shall be deemed irrevocably and unconditionally to have purchased and received from the Letter of Credit Issuer, without recourse or warranty, an undivided interest and participation (each an “</w:t>
      </w:r>
      <w:r>
        <w:rPr>
          <w:rFonts w:ascii="Times New Roman;Times;Serif" w:hAnsi="Times New Roman;Times;Serif"/>
          <w:b/>
          <w:i w:val="false"/>
          <w:caps w:val="false"/>
          <w:smallCaps w:val="false"/>
          <w:sz w:val="20"/>
        </w:rPr>
        <w:t>L/C Participation</w:t>
      </w:r>
      <w:r>
        <w:rPr>
          <w:rFonts w:ascii="Times New Roman;Times;Serif" w:hAnsi="Times New Roman;Times;Serif"/>
          <w:b w:val="false"/>
          <w:i w:val="false"/>
          <w:caps w:val="false"/>
          <w:smallCaps w:val="false"/>
          <w:sz w:val="20"/>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of Credit Fees will be paid directly to the Administrative Agent for the ratable account of the L/C Participants as provided in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and the L/C Participants shall have no right to receive any portion of any Fronting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NYFRB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Whenever the Administrative Agent receives a payment in respect of an unpaid reimbursement obligation as to which the Administrative Agent has received for the account of the Letter of Credit Issuer any payments from the L/C Participants pursuant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NYFRB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any payment received by the Administrative Agent for the account of the Letter of Credit Issuer pursuant to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is required to be returned under any of the circumstances described in </w:t>
      </w:r>
      <w:r>
        <w:rPr>
          <w:rFonts w:ascii="Times New Roman;Times;Serif" w:hAnsi="Times New Roman;Times;Serif"/>
          <w:b w:val="false"/>
          <w:i w:val="false"/>
          <w:caps w:val="false"/>
          <w:smallCaps w:val="false"/>
          <w:sz w:val="20"/>
          <w:u w:val="single"/>
        </w:rPr>
        <w:t>Section 3.20</w:t>
      </w:r>
      <w:r>
        <w:rPr>
          <w:rFonts w:ascii="Times New Roman;Times;Serif" w:hAnsi="Times New Roman;Times;Serif"/>
          <w:b w:val="false"/>
          <w:i w:val="false"/>
          <w:caps w:val="false"/>
          <w:smallCaps w:val="false"/>
          <w:sz w:val="20"/>
        </w:rPr>
        <w:t xml:space="preserve"> (including pursuant to any settlement entered into by the Letter of Credit Issuer in its discretion), each Lender shall pay to the Administrative Agent for the account of the Letter of Credit Issuer its Revolving Credit Commitment Percentage thereof on demand of the Administrative Agent,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interest thereon from the date of such demand to the date such amount is returned by such Lender, at a rate per annum equal to the applicable NYFRB Rate from time to time in effect. The obligations of the Lenders under this clause shall survive the payment in full of the Obligations and the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-96-</w:t>
      </w:r>
    </w:p>
    <w:p>
      <w:pPr>
        <w:pStyle w:val="HorizontalLine"/>
        <w:pBdr>
          <w:bottom w:val="single" w:sz="12" w:space="0" w:color="808080"/>
        </w:pBdr>
        <w:bidi w:val="0"/>
        <w:spacing w:before="200" w:after="200"/>
        <w:jc w:val="left"/>
        <w:rPr/>
      </w:pPr>
      <w:r>
        <w:rPr/>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Agreement to Repay Letter of Credit Drawings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Times New Roman;Times;Serif" w:hAnsi="Times New Roman;Times;Serif"/>
          <w:b/>
          <w:i w:val="false"/>
          <w:caps w:val="false"/>
          <w:smallCaps w:val="false"/>
          <w:sz w:val="20"/>
        </w:rPr>
        <w:t>Unpaid Drawing</w:t>
      </w:r>
      <w:r>
        <w:rPr>
          <w:rFonts w:ascii="Times New Roman;Times;Serif" w:hAnsi="Times New Roman;Times;Serif"/>
          <w:b w:val="false"/>
          <w:i w:val="false"/>
          <w:caps w:val="false"/>
          <w:smallCaps w:val="false"/>
          <w:sz w:val="20"/>
        </w:rPr>
        <w:t>”) no later than the date that is one Business Day after the date on which the Borrower receives written notice of such payment or disbursement (the “</w:t>
      </w:r>
      <w:r>
        <w:rPr>
          <w:rFonts w:ascii="Times New Roman;Times;Serif" w:hAnsi="Times New Roman;Times;Serif"/>
          <w:b/>
          <w:i w:val="false"/>
          <w:caps w:val="false"/>
          <w:smallCaps w:val="false"/>
          <w:sz w:val="20"/>
        </w:rPr>
        <w:t>Reimbursement Date</w:t>
      </w:r>
      <w:r>
        <w:rPr>
          <w:rFonts w:ascii="Times New Roman;Times;Serif" w:hAnsi="Times New Roman;Times;Serif"/>
          <w:b w:val="false"/>
          <w:i w:val="false"/>
          <w:caps w:val="false"/>
          <w:smallCaps w:val="false"/>
          <w:sz w:val="20"/>
        </w:rPr>
        <w:t xml:space="preserve">”), with interest on the amount so paid or disbursed by the Letter of Credit Issuer, to the extent not reimbursed prior to 5:00 p.m. (New York City time) on the Reimbursement Date, from the Reimbursement Date to the date the Letter of Credit Issuer is reimbursed therefor at a rate per annum that shall at all times be the Applicable Margin for ABR Loans that are Revolving Credit Loans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ABR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contained in this Agreement to the contrary, (i) unless the Borrower shall have notified the Administrative Agent and the relevant Letter of Credit Issuer prior to 12:00 noon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except that the Letter of Credit Issuer shall hold the proceeds received from the L/C Participants as contemplated above as cash collateral for such Letter of Credit to reimburse any Unpaid Drawing under such Letter of Credit and shall use such proceeds first, to reimburse itself for any Unpaid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shall affect the Borrower’s obligation to repay all outstanding Revolving Credit Loans when due in accordance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any lack of validity or enforceability of this Agreement or any of the other Credit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applicable Borrower and the beneficiary named in any such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w:t>
      </w:r>
      <w:r>
        <w:rPr>
          <w:rFonts w:ascii="Times New Roman;Times;Serif" w:hAnsi="Times New Roman;Times;Serif"/>
          <w:b w:val="false"/>
          <w:i w:val="false"/>
          <w:caps w:val="false"/>
          <w:smallCaps w:val="false"/>
          <w:sz w:val="20"/>
        </w:rPr>
        <w:t>          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w:t>
      </w:r>
      <w:r>
        <w:rPr>
          <w:rFonts w:ascii="Times New Roman;Times;Serif" w:hAnsi="Times New Roman;Times;Serif"/>
          <w:b w:val="false"/>
          <w:i w:val="false"/>
          <w:caps w:val="false"/>
          <w:smallCaps w:val="false"/>
          <w:sz w:val="20"/>
        </w:rPr>
        <w:t>          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w:t>
      </w:r>
      <w:r>
        <w:rPr>
          <w:rFonts w:ascii="Times New Roman;Times;Serif" w:hAnsi="Times New Roman;Times;Serif"/>
          <w:b w:val="false"/>
          <w:i w:val="false"/>
          <w:caps w:val="false"/>
          <w:smallCaps w:val="false"/>
          <w:sz w:val="20"/>
        </w:rPr>
        <w:t>         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w:t>
      </w:r>
      <w:r>
        <w:rPr>
          <w:rFonts w:ascii="Times New Roman;Times;Serif" w:hAnsi="Times New Roman;Times;Serif"/>
          <w:b w:val="false"/>
          <w:i w:val="false"/>
          <w:caps w:val="false"/>
          <w:smallCaps w:val="false"/>
          <w:sz w:val="20"/>
        </w:rPr>
        <w:t>        honor of a demand for payment presented electronically even if such Letter of Credit requires that demand be in the form of a draft;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w:t>
      </w:r>
      <w:r>
        <w:rPr>
          <w:rFonts w:ascii="Times New Roman;Times;Serif" w:hAnsi="Times New Roman;Times;Serif"/>
          <w:b w:val="false"/>
          <w:i w:val="false"/>
          <w:caps w:val="false"/>
          <w:smallCaps w:val="false"/>
          <w:sz w:val="20"/>
        </w:rPr>
        <w:t>       any adverse change in any relevant exchange rates or in the relevant currency markets generally;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w:t>
      </w:r>
      <w:r>
        <w:rPr>
          <w:rFonts w:ascii="Times New Roman;Times;Serif" w:hAnsi="Times New Roman;Times;Serif"/>
          <w:b w:val="false"/>
          <w:i w:val="false"/>
          <w:caps w:val="false"/>
          <w:smallCaps w:val="false"/>
          <w:sz w:val="20"/>
        </w:rPr>
        <w:t>          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 xml:space="preserve">.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a Borrower (or Holdings or other Restricted Subsidiary))), such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 The obligations of the Borrower under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shall survive the payment in full of the Obligations and the termination of this Agreement.</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-98-</w:t>
      </w:r>
    </w:p>
    <w:p>
      <w:pPr>
        <w:pStyle w:val="HorizontalLine"/>
        <w:pBdr>
          <w:bottom w:val="single" w:sz="12" w:space="0" w:color="808080"/>
        </w:pBdr>
        <w:bidi w:val="0"/>
        <w:spacing w:before="200" w:after="200"/>
        <w:jc w:val="left"/>
        <w:rPr/>
      </w:pPr>
      <w:r>
        <w:rPr/>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New or Successor Letter of Credit Issuer</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Letter of Credit Issuer may resign as the Letter of Credit Issuer upon 60 days’ prior written notice to the Administrative Agent, the Lenders, Holdings, and the Borrower. The Borrower may replace the Letter of Credit Issuer for any reason upon written notice to the Administrative Agent and the Letter of Credit Issuer. The Borrower may add Letter of Credit Issuers who agree to so act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Times New Roman;Times;Serif" w:hAnsi="Times New Roman;Times;Serif"/>
          <w:b w:val="false"/>
          <w:i w:val="false"/>
          <w:caps w:val="false"/>
          <w:smallCaps w:val="false"/>
          <w:sz w:val="20"/>
          <w:u w:val="single"/>
        </w:rPr>
        <w:t>Sections 4.1(b)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4.1(d)</w:t>
      </w:r>
      <w:r>
        <w:rPr>
          <w:rFonts w:ascii="Times New Roman;Times;Serif" w:hAnsi="Times New Roman;Times;Serif"/>
          <w:b w:val="false"/>
          <w:i w:val="false"/>
          <w:caps w:val="false"/>
          <w:smallCaps w:val="false"/>
          <w:sz w:val="20"/>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there are, at the time of any resignation or replacement as set forth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Role of Letter of Credit Issuer</w:t>
      </w:r>
      <w:r>
        <w:rPr>
          <w:rFonts w:ascii="Times New Roman;Times;Serif" w:hAnsi="Times New Roman;Times;Serif"/>
          <w:b w:val="false"/>
          <w:i w:val="false"/>
          <w:caps w:val="false"/>
          <w:smallCaps w:val="false"/>
          <w:sz w:val="20"/>
        </w:rPr>
        <w:t xml:space="preserve">.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anything in such Section to the contrary notwithstanding, the Borrower may have a claim against a Letter of Credit Issuer, and a Letter of Credit Issuer may be liable to the Borrower, to the extent, but only to the extent, of any direct, as opposed to consequential or exemplary, damages suffered by the Borrower which the Borrower proves were caused by such Letter of Credit Issuer’s willful misconduct or gross negligence or such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Letter of Credit Issuer may send a Letter of Credit or conduct any communication to or from the beneficiary via the Society for Worldwide Interbank Financial Telecommunication message or overnight courier, or any other commercially reasonable means of communicating with a beneficiary.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Certain Credit Support Events</w:t>
      </w:r>
      <w:r>
        <w:rPr>
          <w:rFonts w:ascii="Times New Roman;Times;Serif" w:hAnsi="Times New Roman;Times;Serif"/>
          <w:b w:val="false"/>
          <w:i w:val="false"/>
          <w:caps w:val="false"/>
          <w:smallCaps w:val="false"/>
          <w:sz w:val="20"/>
        </w:rPr>
        <w:t xml:space="preserve">. Upon the written request of the Administrative Agent or the Letter of Credit Issuer, if (i) as of the L/C Facility Maturity Date, any L/C Obligation for any reason remains outstanding, (ii) the Borrower shall be required to provide Cash Collateral pursuant to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or (iii) the provisions of </w:t>
      </w:r>
      <w:r>
        <w:rPr>
          <w:rFonts w:ascii="Times New Roman;Times;Serif" w:hAnsi="Times New Roman;Times;Serif"/>
          <w:b w:val="false"/>
          <w:i w:val="false"/>
          <w:caps w:val="false"/>
          <w:smallCaps w:val="false"/>
          <w:sz w:val="20"/>
          <w:u w:val="single"/>
        </w:rPr>
        <w:t>Section 2.17(a)(v)</w:t>
      </w:r>
      <w:r>
        <w:rPr>
          <w:rFonts w:ascii="Times New Roman;Times;Serif" w:hAnsi="Times New Roman;Times;Serif"/>
          <w:b w:val="false"/>
          <w:i w:val="false"/>
          <w:caps w:val="false"/>
          <w:smallCaps w:val="false"/>
          <w:sz w:val="20"/>
        </w:rPr>
        <w:t xml:space="preserve"> are in effect, the Borrower shall immediately (in the case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above, after giving effect to </w:t>
      </w:r>
      <w:r>
        <w:rPr>
          <w:rFonts w:ascii="Times New Roman;Times;Serif" w:hAnsi="Times New Roman;Times;Serif"/>
          <w:b w:val="false"/>
          <w:i w:val="false"/>
          <w:caps w:val="false"/>
          <w:smallCaps w:val="false"/>
          <w:sz w:val="20"/>
          <w:u w:val="single"/>
        </w:rPr>
        <w:t>Section 2.17(a)(iv)</w:t>
      </w:r>
      <w:r>
        <w:rPr>
          <w:rFonts w:ascii="Times New Roman;Times;Serif" w:hAnsi="Times New Roman;Times;Serif"/>
          <w:b w:val="false"/>
          <w:i w:val="false"/>
          <w:caps w:val="false"/>
          <w:smallCaps w:val="false"/>
          <w:sz w:val="20"/>
        </w:rPr>
        <w:t> and any Cash Collateral provided by the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xml:space="preserve">, and all other property so provided as collateral pursuant hereto, and in all proceeds of the foregoing, all as security for the obligations to which such Cash Collateral may be applied pursuant to </w:t>
      </w:r>
      <w:r>
        <w:rPr>
          <w:rFonts w:ascii="Times New Roman;Times;Serif" w:hAnsi="Times New Roman;Times;Serif"/>
          <w:b w:val="false"/>
          <w:i w:val="false"/>
          <w:caps w:val="false"/>
          <w:smallCaps w:val="false"/>
          <w:sz w:val="20"/>
          <w:u w:val="single"/>
        </w:rPr>
        <w:t>Section 3.8(c)</w:t>
      </w:r>
      <w:r>
        <w:rPr>
          <w:rFonts w:ascii="Times New Roman;Times;Serif" w:hAnsi="Times New Roman;Times;Serif"/>
          <w:b w:val="false"/>
          <w:i w:val="false"/>
          <w:caps w:val="false"/>
          <w:smallCaps w:val="false"/>
          <w:sz w:val="20"/>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Notwithstanding anything to the contrary contained in this Agreement, Cash Collateral provided under any of this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Sections 2.17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11.13</w:t>
      </w:r>
      <w:r>
        <w:rPr>
          <w:rFonts w:ascii="Times New Roman;Times;Serif" w:hAnsi="Times New Roman;Times;Serif"/>
          <w:b w:val="false"/>
          <w:i w:val="false"/>
          <w:caps w:val="false"/>
          <w:smallCaps w:val="false"/>
          <w:sz w:val="20"/>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together with related fees, costs and customary processing charges and other obligations for which the Cash Collateral was so provided, prior to any other application of such property as may otherwise be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Times;Serif" w:hAnsi="Times New Roman;Times;Serif"/>
          <w:b w:val="false"/>
          <w:i w:val="false"/>
          <w:caps w:val="false"/>
          <w:smallCaps w:val="false"/>
          <w:sz w:val="20"/>
          <w:u w:val="single"/>
        </w:rPr>
        <w:t>Section 13.6(b)(ii)</w:t>
      </w:r>
      <w:r>
        <w:rPr>
          <w:rFonts w:ascii="Times New Roman;Times;Serif" w:hAnsi="Times New Roman;Times;Serif"/>
          <w:b w:val="false"/>
          <w:i w:val="false"/>
          <w:caps w:val="false"/>
          <w:smallCaps w:val="false"/>
          <w:sz w:val="20"/>
        </w:rPr>
        <w:t>) or there is no longer existing an Event of Default) or (ii) the determination by the Administrative Agent and the Letter of Credit Issuer that there exists excess Cash Collateral.</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Applicability of ISP and UCP</w:t>
      </w:r>
      <w:r>
        <w:rPr>
          <w:rFonts w:ascii="Times New Roman;Times;Serif" w:hAnsi="Times New Roman;Times;Serif"/>
          <w:b w:val="false"/>
          <w:i w:val="false"/>
          <w:caps w:val="false"/>
          <w:smallCaps w:val="false"/>
          <w:sz w:val="20"/>
        </w:rPr>
        <w:t>. Unless otherwise expressly agreed by the Letter of Credit Issuer and the applicable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Conflict with Issuer Documents</w:t>
      </w:r>
      <w:r>
        <w:rPr>
          <w:rFonts w:ascii="Times New Roman;Times;Serif" w:hAnsi="Times New Roman;Times;Serif"/>
          <w:b w:val="false"/>
          <w:i w:val="false"/>
          <w:caps w:val="false"/>
          <w:smallCaps w:val="false"/>
          <w:sz w:val="20"/>
        </w:rPr>
        <w:t>. In the event of any conflict between the terms hereof and the terms of any Issuer Document, the terms hereof shall control and any grant of security interest in any Issuer Documents shall be void.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Letters of Credit Issued for Restricted Subsidiaries</w:t>
      </w:r>
      <w:r>
        <w:rPr>
          <w:rFonts w:ascii="Times New Roman;Times;Serif" w:hAnsi="Times New Roman;Times;Serif"/>
          <w:b w:val="false"/>
          <w:i w:val="false"/>
          <w:caps w:val="false"/>
          <w:smallCaps w:val="false"/>
          <w:sz w:val="20"/>
        </w:rPr>
        <w:t>.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3.12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Provisions Related to Extended Revolving Credit Commitments</w:t>
      </w:r>
      <w:r>
        <w:rPr>
          <w:rFonts w:ascii="Times New Roman;Times;Serif" w:hAnsi="Times New Roman;Times;Serif"/>
          <w:b w:val="false"/>
          <w:i w:val="false"/>
          <w:caps w:val="false"/>
          <w:smallCaps w:val="false"/>
          <w:sz w:val="20"/>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Times;Serif" w:hAnsi="Times New Roman;Times;Serif"/>
          <w:b w:val="false"/>
          <w:i w:val="false"/>
          <w:caps w:val="false"/>
          <w:smallCaps w:val="false"/>
          <w:sz w:val="20"/>
          <w:u w:val="single"/>
        </w:rPr>
        <w:t>Sections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Borrower shall Cash Collateralize any such Letter of Credit in accordance with </w:t>
      </w:r>
      <w:r>
        <w:rPr>
          <w:rFonts w:ascii="Times New Roman;Times;Serif" w:hAnsi="Times New Roman;Times;Serif"/>
          <w:b w:val="false"/>
          <w:i w:val="false"/>
          <w:caps w:val="false"/>
          <w:smallCaps w:val="false"/>
          <w:sz w:val="20"/>
          <w:u w:val="single"/>
        </w:rPr>
        <w:t>Section 3.8</w:t>
      </w:r>
      <w:r>
        <w:rPr>
          <w:rFonts w:ascii="Times New Roman;Times;Serif" w:hAnsi="Times New Roman;Times;Serif"/>
          <w:b w:val="false"/>
          <w:i w:val="false"/>
          <w:caps w:val="false"/>
          <w:smallCaps w:val="false"/>
          <w:sz w:val="20"/>
        </w:rPr>
        <w:t>. Upon the maturity date of any tranche of Revolving Credit Commitments, the sublimit for Letters of Credit may be reduced as agreed between the Letter of Credit Issuer and the Borrower, without the consent of any other Person.</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w:t>
      </w:r>
    </w:p>
    <w:p>
      <w:pPr>
        <w:pStyle w:val="HorizontalLine"/>
        <w:pBdr>
          <w:bottom w:val="single" w:sz="12" w:space="0" w:color="808080"/>
        </w:pBdr>
        <w:bidi w:val="0"/>
        <w:spacing w:before="200" w:after="200"/>
        <w:jc w:val="left"/>
        <w:rPr/>
      </w:pPr>
      <w:r>
        <w:rPr/>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4.</w:t>
      </w:r>
      <w:r>
        <w:rPr>
          <w:rFonts w:ascii="Times New Roman;Times;Serif" w:hAnsi="Times New Roman;Times;Serif"/>
          <w:b w:val="false"/>
          <w:i w:val="false"/>
          <w:caps w:val="false"/>
          <w:smallCaps w:val="false"/>
          <w:sz w:val="20"/>
          <w:u w:val="single"/>
        </w:rPr>
        <w:t xml:space="preserve">             Fees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Times New Roman;Times;Serif" w:hAnsi="Times New Roman;Times;Serif"/>
          <w:b/>
          <w:i w:val="false"/>
          <w:caps w:val="false"/>
          <w:smallCaps w:val="false"/>
          <w:sz w:val="20"/>
        </w:rPr>
        <w:t>Commitment Fee</w:t>
      </w:r>
      <w:r>
        <w:rPr>
          <w:rFonts w:ascii="Times New Roman;Times;Serif" w:hAnsi="Times New Roman;Times;Serif"/>
          <w:b w:val="false"/>
          <w:i w:val="false"/>
          <w:caps w:val="false"/>
          <w:smallCaps w:val="false"/>
          <w:sz w:val="20"/>
        </w:rPr>
        <w:t xml:space="preserve">”) for each day from the Restatement Effective Date to the Revolving Credit Termination Date. Each Commitment Fee shall be payable (x) quarterly in arrears within 15 days of the last day of each fiscal quarter of the Borrower (for the quarterly period (or portion thereof) ended on such last day) and (y) on the Revolving Credit Termination Date (for the period ended on such date for which no payment has been received pursuant to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above), and shall be computed for each day during such period at a rate per annum equal to the Commitment Fee Rate in effect on such day on the Available Commitment in effect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Times New Roman;Times;Serif" w:hAnsi="Times New Roman;Times;Serif"/>
          <w:b/>
          <w:i w:val="false"/>
          <w:caps w:val="false"/>
          <w:smallCaps w:val="false"/>
          <w:sz w:val="20"/>
        </w:rPr>
        <w:t>Letter of Credit Fee</w:t>
      </w:r>
      <w:r>
        <w:rPr>
          <w:rFonts w:ascii="Times New Roman;Times;Serif" w:hAnsi="Times New Roman;Times;Serif"/>
          <w:b w:val="false"/>
          <w:i w:val="false"/>
          <w:caps w:val="false"/>
          <w:smallCaps w:val="false"/>
          <w:sz w:val="20"/>
        </w:rPr>
        <w:t xml:space="preserve">”), for the period from the date of issuance of such Letter of Credit to the termination date of such Letter of Credit computed at the per annum rate for each day equal to (i) in the case of any Letter of Credit (other than a Commercial Letter of Credit), the Applicable Margin for Revolving Credit Loans that are SOFR Loans less the Fronting Fee set forth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below and (ii) in the case of any Commercial Letter of Credit, 1.00%. Except as provided below, such Letter of Credit Fees shall be due and payable (x) quarterly in arrears within 15 days of the last day of each fiscal quarter of the Borrower and (y) on the date upon which the Total Revolving Credit Commitment terminates and the Letters of Credit Outstanding shall have been reduced to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duplication, the Borrower agrees to pay to the Administrative Agent in Dollars, for its own account, administrative agent fees as have been previously agreed in writing or as may be agreed in writing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duplication, the Borrower agree to pay to the Letter of Credit Issuer a fee in Dollars in respect of each Letter of Credit issued by it to the Borrower (the “</w:t>
      </w:r>
      <w:r>
        <w:rPr>
          <w:rFonts w:ascii="Times New Roman;Times;Serif" w:hAnsi="Times New Roman;Times;Serif"/>
          <w:b/>
          <w:i w:val="false"/>
          <w:caps w:val="false"/>
          <w:smallCaps w:val="false"/>
          <w:sz w:val="20"/>
        </w:rPr>
        <w:t>Fronting Fee</w:t>
      </w:r>
      <w:r>
        <w:rPr>
          <w:rFonts w:ascii="Times New Roman;Times;Serif" w:hAnsi="Times New Roman;Times;Serif"/>
          <w:b w:val="false"/>
          <w:i w:val="false"/>
          <w:caps w:val="false"/>
          <w:smallCaps w:val="false"/>
          <w:sz w:val="20"/>
        </w:rPr>
        <w:t>”) (i) with respect to each commercial Letter of Credit, at the rate of 0.125%, computed on the amount of such Letter of Credit, and (ii) with respect to each standby Letter of Credit, for the period from the date of issuance of such Letter of Credit to the termination date of such Letter of Credit, computed at the rate for each day equal to 0.125% per annum on the average daily Stated Amount of such Letter of Credit (or at such other rate per annum as agreed in writing between the Borrower and the Letter of Credit Issuer). Such Fronting Fees shall be due and payable (x) quarterly in arrears on the first day of each fiscal quarter of the Borrower and (y) on the date upon which the Total Revolving Credit Commitment terminates and the Letters of Credit Outstanding shall have been reduced to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duplication, the Borrower agree to pay directly to the Letter of Credit Issuer in Dollars upon each issuance or renewal of, drawing under, and/or amendment of, a Letter of Credit issued by it such amount as shall at the time of such issuance or renewal of, drawing under, and/or amendment be the standard fees, costs, and other processing charges that the Letter of Credit Issuer is customarily charging for issuances or renewals of, drawings under or amendments of, letters of credit issued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the foregoing, the Borrower shall not be obligated to pay any amounts to any Defaulting Lender pursuant to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Voluntary Reduction of Revolving Credit Commitments</w:t>
      </w:r>
      <w:r>
        <w:rPr>
          <w:rFonts w:ascii="Times New Roman;Times;Serif" w:hAnsi="Times New Roman;Times;Serif"/>
          <w:b w:val="false"/>
          <w:i w:val="false"/>
          <w:caps w:val="false"/>
          <w:smallCaps w:val="false"/>
          <w:sz w:val="20"/>
        </w:rPr>
        <w:t xml:space="preserve">. 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Incremental Commitments pursuant to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 the Revolving Credit Commitments of any one or more Lenders providing any such Incremental Commitments on such date shall be reduced in an amount equal to the amount of Revolving Credit Commitments so extended on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with respect to the ratable allocation of payments hereunder, with such allocation being determined after giving effect to any conversion pursuant to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 xml:space="preserve"> of Revolving Credit Commitments and Revolving Credit Loans into Incremental Commitments and Incremental Revolving Credit Loans pursuant to </w:t>
      </w:r>
      <w:r>
        <w:rPr>
          <w:rFonts w:ascii="Times New Roman;Times;Serif" w:hAnsi="Times New Roman;Times;Serif"/>
          <w:b w:val="false"/>
          <w:i w:val="false"/>
          <w:caps w:val="false"/>
          <w:smallCaps w:val="false"/>
          <w:sz w:val="20"/>
          <w:u w:val="single"/>
        </w:rPr>
        <w:t>Section 2.15(a)</w:t>
      </w:r>
      <w:r>
        <w:rPr>
          <w:rFonts w:ascii="Times New Roman;Times;Serif" w:hAnsi="Times New Roman;Times;Serif"/>
          <w:b w:val="false"/>
          <w:i w:val="false"/>
          <w:caps w:val="false"/>
          <w:smallCaps w:val="false"/>
          <w:sz w:val="20"/>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Mandatory Termination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Revolving Credit Commitment shall terminate at 5:00 p.m. (New York City time) on the Revolving Credit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Swingline Commitment shall terminate at 5:00 p.m. (New York City time) on the Swingline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5.</w:t>
      </w:r>
      <w:r>
        <w:rPr>
          <w:rFonts w:ascii="Times New Roman;Times;Serif" w:hAnsi="Times New Roman;Times;Serif"/>
          <w:b w:val="false"/>
          <w:i w:val="false"/>
          <w:caps w:val="false"/>
          <w:smallCaps w:val="false"/>
          <w:sz w:val="20"/>
          <w:u w:val="single"/>
        </w:rPr>
        <w:t xml:space="preserve"> Payments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Voluntary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have the right to prepay Loans, including Revolving Credit Loans and Swingline Loans, without premium or penalty, in whole or in part from time to time on the following terms and conditions: (1) the Borrower shall give the Administrative Agent at the Administrative Agent’s Office written notice of its intent to make such prepayment, the amount of such prepayment and (in the case of SOFR Loans) the specific Borrowing(s) pursuant to which made, which notice shall be given by the Borrower no later than 12:00 noon (New York City time) (i) in the case of SOFR Loans, three Business Days prior to, (ii) in the case of ABR Loans (other than Swingline Loans), one Business Day prior to, or (iii) in the case of Swingline Loans, on, the date of such prepayment and shall promptly be transmitted by the Administrative Agent to each of the Lenders or the Swingline Lender, as the case may be; (2) each partial prepayment of (i) any Borrowing of SOFR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multiplies of $100,000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partial prepayment of SOFR Loans made pursuant to a single Borrowing shall reduce the outstanding SOFR Loans made pursuant to such Borrowing to an amount less than the applicable Minimum Borrowing Amount for such SOFR Loans, and (3) in the case of any prepayment of SOFR Loans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At the Borrower’s election in connection with any prepayment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such prepayment shall not be applied to any Revolving Credit Loan of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Repayment of Revolving Credit Loans</w:t>
      </w:r>
      <w:r>
        <w:rPr>
          <w:rFonts w:ascii="Times New Roman;Times;Serif" w:hAnsi="Times New Roman;Times;Serif"/>
          <w:b w:val="false"/>
          <w:i w:val="false"/>
          <w:caps w:val="false"/>
          <w:smallCaps w:val="false"/>
          <w:sz w:val="20"/>
        </w:rPr>
        <w:t xml:space="preserve">. Except for Protective Advances and Overadvance Loans permitted under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if at any time on any date the aggregate amount of the Lenders’ Revolving Credit Exposures in respect of any Class of Revolving Loans for any reason exceeds the Maximum Borrowing Amount, at such time,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Application to Revolving Credit Loans</w:t>
      </w:r>
      <w:r>
        <w:rPr>
          <w:rFonts w:ascii="Times New Roman;Times;Serif" w:hAnsi="Times New Roman;Times;Serif"/>
          <w:b w:val="false"/>
          <w:i w:val="false"/>
          <w:caps w:val="false"/>
          <w:smallCaps w:val="false"/>
          <w:sz w:val="20"/>
        </w:rPr>
        <w:t xml:space="preserve">. With respect to each prepayment of Revolving Credit Loans, the Borrower may designate (i) the Types of Loans that are to be prepaid and the specific Borrowing(s) pursuant to which made and (ii) the Revolving Loans to be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(y) each prepayment of any Loans made pursuant to a Borrowing shall be applied pro rata among such Loans; and (z) notwithstanding the provisions of the preceding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Method and Place of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12:00 noon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payments under this Agreement that are made later than 12:00 noon (New York City time) may be deemed to have been made on the next succeeding Business Day in the Administrative Agent’s sole discretion for purposes of calculating interest thereon (or, in the case of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Net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 Obligation to Withhold; Payments on Account of Taxes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and all payments by or on account of any obligation of any Credit Party hereunder or under any other Credit Document shall to the extent permitted by applicable laws be made free and clear of and without reduction or withholding for any Taxes.</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any applicable Withholding Agent shall be required by applicable law to withhold or deduct any Taxes from any payment under any Credit Document,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each Lender (or, in the case of a payment to the Administrative Agent for its own account, the Administrative Agent) receives an amount equal to the sum it would have received had no such withholding or deductions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Borrower</w:t>
      </w:r>
      <w:r>
        <w:rPr>
          <w:rFonts w:ascii="Times New Roman;Times;Serif" w:hAnsi="Times New Roman;Times;Serif"/>
          <w:b w:val="false"/>
          <w:i w:val="false"/>
          <w:caps w:val="false"/>
          <w:smallCaps w:val="false"/>
          <w:sz w:val="20"/>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Tax Indemnifications</w:t>
      </w:r>
      <w:r>
        <w:rPr>
          <w:rFonts w:ascii="Times New Roman;Times;Serif" w:hAnsi="Times New Roman;Times;Serif"/>
          <w:b w:val="false"/>
          <w:i w:val="false"/>
          <w:caps w:val="false"/>
          <w:smallCaps w:val="false"/>
          <w:sz w:val="20"/>
        </w:rPr>
        <w:t xml:space="preserve">. Without limiting the provisions of subsection (a) or (b) above, the Borrower shall indemnify the Administrative Agent and each Lender, and shall make payment in respect thereof within 15 days after receipt of written demand therefor, for the full amount of Indemnified Taxes or Other Taxes (including Indemnified Taxes or Other Taxes imposed or asserted on or attributable to amounts payable under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payable or paid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 Any resulting refund shall be governed by </w:t>
      </w:r>
      <w:r>
        <w:rPr>
          <w:rFonts w:ascii="Times New Roman;Times;Serif" w:hAnsi="Times New Roman;Times;Serif"/>
          <w:b w:val="false"/>
          <w:i w:val="false"/>
          <w:caps w:val="false"/>
          <w:smallCaps w:val="false"/>
          <w:sz w:val="20"/>
          <w:u w:val="single"/>
        </w:rPr>
        <w:t>Section 5.4(f)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xml:space="preserve">. After any payment of Taxes by any Credit Party or the Administrative Agent to a Governmental Authority as provided in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Status of Lenders and Tax Documentation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or to enable the Borrower or the Administrative Agent to comply with any withholding or information reporting requirements. Any documentation and information required to be delivered by a Lender pursuant to this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xml:space="preserve"> (including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promptly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Each Lender hereby authorizes the Administrative Agent to deliver to the Borrower and to any successor Administrative Agent any documentation provided to the Administrative Agent pursuant to this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xml:space="preserve">. Notwithstanding anything to the contrary in the preceding three sentences, the completion, execution and submission of such documentation (other than such documentation set forth in paragraphs (e)(ii)(A), (ii)(B)(1) through (ii)(B)(4), (ii)(C) and (ii)(D) of this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Internal Revenue Service Form W-9 certifying that such Lender is exempt from U.S. federal backup withholding and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Non-U.S. Lender shall deliver to the Borrower and the Administrative Agent on or before the date on which it becomes a party to this Agreement (and from time to time thereafter upon the reasonable request of the Borrower or the Administrative Agent) two copies of whichever of the following is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executed copies of Internal Revenue Service Form W-8BEN or Form W-8BEN-E (or any applicable successor form) claiming eligibility for benefits of an income tax treaty to which the United States is a party;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Internal Revenue Service Form W-8ECI (or any successor form thereto);</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in the case of a Non-U.S. Lender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J-1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J-3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J-4</w:t>
      </w:r>
      <w:r>
        <w:rPr>
          <w:rFonts w:ascii="Times New Roman;Times;Serif" w:hAnsi="Times New Roman;Times;Serif"/>
          <w:b w:val="false"/>
          <w:i w:val="false"/>
          <w:caps w:val="false"/>
          <w:smallCaps w:val="false"/>
          <w:sz w:val="20"/>
        </w:rPr>
        <w:t>, as applicable, (a “</w:t>
      </w:r>
      <w:r>
        <w:rPr>
          <w:rFonts w:ascii="Times New Roman;Times;Serif" w:hAnsi="Times New Roman;Times;Serif"/>
          <w:b/>
          <w:i w:val="false"/>
          <w:caps w:val="false"/>
          <w:smallCaps w:val="false"/>
          <w:sz w:val="20"/>
        </w:rPr>
        <w:t>Non-Bank Tax Certificate</w:t>
      </w:r>
      <w:r>
        <w:rPr>
          <w:rFonts w:ascii="Times New Roman;Times;Serif" w:hAnsi="Times New Roman;Times;Serif"/>
          <w:b w:val="false"/>
          <w:i w:val="false"/>
          <w:caps w:val="false"/>
          <w:smallCaps w:val="false"/>
          <w:sz w:val="20"/>
        </w:rPr>
        <w:t>”), to the effect that such Non-U.S. Lender is not (A) a “bank” within the meaning of Section 881(c)(3)(A) of the Code, (B) a “10 percent shareholder” of the Borrower within the meaning of Section 881(c)(3)(B) of the Code, or (C) a “controlled foreign corporation” described in Section 881(c)(3)(C) of the Code and that no payments under any Credit Document are effectively connected with such Non-U.S. Lender’s conduct of a United States trade or business and (y) executed copies of Internal Revenue Service Form W-8BEN or Form W-8BEN-E (or any applicable successor form);</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where such Non-U.S. Lender is a partnership (for U.S. federal income tax purposes) or otherwise not a beneficial owner (e.g., where such Lender has sold a participation), executed copies of Internal Revenue Service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if the Non-U.S. Lender is a partnership and not a participating Lender, the Non-Bank Tax Certificate(s) may be provided by the Non-U.S. Lender on behalf of each direct or indirect partner);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executed copies of any other form prescribed by applicable laws as a basis for claiming exemption from or a reduction in U.S. federal withholding Tax together with such supplementary documentation as may be prescribed by applicable laws to permit the Borrower or the Administrative Agent to determine the withholding or deduction required to be made;</w:t>
      </w:r>
    </w:p>
    <w:p>
      <w:pPr>
        <w:pStyle w:val="TextBody"/>
        <w:bidi w:val="0"/>
        <w:spacing w:before="200" w:after="200"/>
        <w:ind w:left="144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-106-</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“FATCA” shall include any amendments made to FATCA after the date of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Administrative Agent is a “United States person” (as defined in Section 7701(a)(30) of the Code), it shall provide the Borrower with two duly completed copies of Internal Revenue Service Form W-9. If the Administrative Agent is not a “United States person” (as defined in Section 7701(a)(30) of the Code), it shall provide an applicable Form W-8 (together with any required accompanying documentation) with respect to payments to be received by it on behalf of the Lenders.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Notwithstanding anything to the contrary in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no Lender or the Administrative Agent shall be required to deliver any documentation that it is not legally eligible to deliver.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Governmental Authority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Administrative Agent or such Lender may delete any information therein that it reasonably deems confidential). Notwithstanding anything to the contrary in this </w:t>
      </w:r>
      <w:r>
        <w:rPr>
          <w:rFonts w:ascii="Times New Roman;Times;Serif" w:hAnsi="Times New Roman;Times;Serif"/>
          <w:b w:val="false"/>
          <w:i w:val="false"/>
          <w:caps w:val="false"/>
          <w:smallCaps w:val="false"/>
          <w:sz w:val="20"/>
          <w:u w:val="single"/>
        </w:rPr>
        <w:t>paragraph (f)</w:t>
      </w:r>
      <w:r>
        <w:rPr>
          <w:rFonts w:ascii="Times New Roman;Times;Serif" w:hAnsi="Times New Roman;Times;Serif"/>
          <w:b w:val="false"/>
          <w:i w:val="false"/>
          <w:caps w:val="false"/>
          <w:smallCaps w:val="false"/>
          <w:sz w:val="20"/>
        </w:rPr>
        <w:t xml:space="preserve">, in no event will the Administrative Agent or any Lender be required to pay any amount to the Borrower pursuant to this </w:t>
      </w:r>
      <w:r>
        <w:rPr>
          <w:rFonts w:ascii="Times New Roman;Times;Serif" w:hAnsi="Times New Roman;Times;Serif"/>
          <w:b w:val="false"/>
          <w:i w:val="false"/>
          <w:caps w:val="false"/>
          <w:smallCaps w:val="false"/>
          <w:sz w:val="20"/>
          <w:u w:val="single"/>
        </w:rPr>
        <w:t>paragraph (f)</w:t>
      </w:r>
      <w:r>
        <w:rPr>
          <w:rFonts w:ascii="Times New Roman;Times;Serif" w:hAnsi="Times New Roman;Times;Serif"/>
          <w:b w:val="false"/>
          <w:i w:val="false"/>
          <w:caps w:val="false"/>
          <w:smallCaps w:val="false"/>
          <w:sz w:val="20"/>
        </w:rPr>
        <w:t xml:space="preserve"> 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paragraph (f) shall not be construed to require the Administrative Agent or any Lender to make available its Tax returns (or any other information relating to its Taxes that it reasonably deems confidential) to any Credit Party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For the avoidance of doubt, for purposes of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the term “Lender” includes any Letter of Credit Issuer and any Swingline Lender and the term “applicable law” includes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Each party’s obligations under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Computations of Interest and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provided in the next succeeding sentence, interest on SOFR Loans shall be calculated on the basis of a 360-day year for the actual days elapsed. Interest on ABR Loans shall be calculated on the basis of a 365- (or 366-, as the case may be) day year for the actual days elapsed.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the average daily Stated Amount of Letters of Credit shall be calculated on the basis of a 360-day year for the actual days elapsed.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Limit on Rate of 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Payment Shall Exceed Lawful Rate</w:t>
      </w:r>
      <w:r>
        <w:rPr>
          <w:rFonts w:ascii="Times New Roman;Times;Serif" w:hAnsi="Times New Roman;Times;Serif"/>
          <w:b w:val="false"/>
          <w:i w:val="false"/>
          <w:caps w:val="false"/>
          <w:smallCaps w:val="false"/>
          <w:sz w:val="20"/>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at Highest Lawful Rate</w:t>
      </w:r>
      <w:r>
        <w:rPr>
          <w:rFonts w:ascii="Times New Roman;Times;Serif" w:hAnsi="Times New Roman;Times;Serif"/>
          <w:b w:val="false"/>
          <w:i w:val="false"/>
          <w:caps w:val="false"/>
          <w:smallCaps w:val="false"/>
          <w:sz w:val="20"/>
        </w:rPr>
        <w:t xml:space="preserve">. If the Borrower is not obliged to make a payment that it would otherwise be required to make, as a result of </w:t>
      </w:r>
      <w:r>
        <w:rPr>
          <w:rFonts w:ascii="Times New Roman;Times;Serif" w:hAnsi="Times New Roman;Times;Serif"/>
          <w:b w:val="false"/>
          <w:i w:val="false"/>
          <w:caps w:val="false"/>
          <w:smallCaps w:val="false"/>
          <w:sz w:val="20"/>
          <w:u w:val="single"/>
        </w:rPr>
        <w:t>Section 5.6(a)</w:t>
      </w:r>
      <w:r>
        <w:rPr>
          <w:rFonts w:ascii="Times New Roman;Times;Serif" w:hAnsi="Times New Roman;Times;Serif"/>
          <w:b w:val="false"/>
          <w:i w:val="false"/>
          <w:caps w:val="false"/>
          <w:smallCaps w:val="false"/>
          <w:sz w:val="20"/>
        </w:rPr>
        <w:t>, the Borrower shall make such payment to the maximum extent permitted by or consistent with applicable laws,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Adjustment if Any Payment Exceeds Lawful Rate</w:t>
      </w:r>
      <w:r>
        <w:rPr>
          <w:rFonts w:ascii="Times New Roman;Times;Serif" w:hAnsi="Times New Roman;Times;Serif"/>
          <w:b w:val="false"/>
          <w:i w:val="false"/>
          <w:caps w:val="false"/>
          <w:smallCaps w:val="false"/>
          <w:sz w:val="20"/>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6.</w:t>
      </w:r>
      <w:r>
        <w:rPr>
          <w:rFonts w:ascii="Times New Roman;Times;Serif" w:hAnsi="Times New Roman;Times;Serif"/>
          <w:b w:val="false"/>
          <w:i w:val="false"/>
          <w:caps w:val="false"/>
          <w:smallCaps w:val="false"/>
          <w:sz w:val="20"/>
          <w:u w:val="single"/>
        </w:rPr>
        <w:t xml:space="preserve"> Conditions Precedent to Initial Borrowing</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Lenders to make Revolving Credit Loans, and the obligation of the Letter of Credit Issuer to issue any Letter of Credit, are in each case subject to the satisfaction of the following conditions precedent, except as otherwise agreed between the Borrower and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Credit Documents</w:t>
      </w:r>
      <w:r>
        <w:rPr>
          <w:rFonts w:ascii="Times New Roman;Times;Serif" w:hAnsi="Times New Roman;Times;Serif"/>
          <w:b w:val="false"/>
          <w:i w:val="false"/>
          <w:caps w:val="false"/>
          <w:smallCaps w:val="false"/>
          <w:sz w:val="20"/>
        </w:rPr>
        <w:t>. The Administrative Agent (or its counsel) shall have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executed and delivered by a duly Authorized Officer of the Borrower, the Guarantors and each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Guarantees, executed and delivered by a duly Authorized Officer of each of the respective Guarantors;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Pledge Agreement, executed and delivered by a duly Authorized Officer of Holdings, the Borrower and each Guarantor;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Security Agreement, executed and delivered by a duly Authorized Officer of the Borrower and each Guarantor;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ABL Intercreditor Agreement, executed and delivered by a duly Authorized Officer of each of the Administrative Agent, the Term Loan Administrative Agent and the collateral agent under the Term Loan Facility.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Except for any items referred to on </w:t>
      </w:r>
      <w:r>
        <w:rPr>
          <w:rFonts w:ascii="Times New Roman;Times;Serif" w:hAnsi="Times New Roman;Times;Serif"/>
          <w:b w:val="false"/>
          <w:i w:val="false"/>
          <w:caps w:val="false"/>
          <w:smallCaps w:val="false"/>
          <w:sz w:val="20"/>
          <w:u w:val="single"/>
        </w:rPr>
        <w:t>Schedule 9.14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outstanding equity interests in whatever form of the Borrower and each Restricted Subsidiary that is directly owned by or on behalf of any Credit Party and required to be pledged pursuant to the Security Documents shall have been pledged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Collateral Agent shall have received, except to the extent delivered to the Collateral Agent under the Term Loan Facility pursuant to the Term Loan Credit Documents and ABL Intercreditor Agreement, certificates representing securities of each Credit Party’s Wholly-Owned Restricted Subsidiaries and all promissory notes evidencing Indebtedness that is owing to the Borrower or any other Credit Party, in each case, to the extent required to be delivered under the Security Documents and pledged under the Security Documents to the extent certificated, accompanied by instruments of transfer and undated stock powers or allonges endorsed in blank;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Uniform Commercial Code financing statements and intellectual property security agreements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Evidence that all other actions, recordings and filings required by the Security Documents shall have been taken, completed or otherwise provided for thereunder and as provided for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The Administrative Agent (or its counsel) shall have received the executed legal opinion, in customary form, of New York counsel to the Credit Parties. The Borrower hereby instructs and agrees to instruct the other Credit Parties to have such counsel deliver such legal opinions.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Excess Availability; Borrowing Base Certificate</w:t>
      </w:r>
      <w:r>
        <w:rPr>
          <w:rFonts w:ascii="Times New Roman;Times;Serif" w:hAnsi="Times New Roman;Times;Serif"/>
          <w:b w:val="false"/>
          <w:i w:val="false"/>
          <w:caps w:val="false"/>
          <w:smallCaps w:val="false"/>
          <w:sz w:val="20"/>
        </w:rPr>
        <w:t xml:space="preserve">. After giving effect to the Borrowings and issuance of Letters of Credit on the Restatement Effective Date, the Excess Availability on the Restatement Effective Date shall be no less than $200,000,000 and the Administrative Agent shall have received a Borrowing Base Certificate prepared as of the last day of the most recent month ended at least fifteen (15) Business Days prior to the Restatement Effective Date. </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Closing Certificates</w:t>
      </w:r>
      <w:r>
        <w:rPr>
          <w:rFonts w:ascii="Times New Roman;Times;Serif" w:hAnsi="Times New Roman;Times;Serif"/>
          <w:b w:val="false"/>
          <w:i w:val="false"/>
          <w:caps w:val="false"/>
          <w:smallCaps w:val="false"/>
          <w:sz w:val="20"/>
        </w:rPr>
        <w:t xml:space="preserve">. The Administrative Agent (or its counsel) shall have received a certificate of (x) each of Holdings, the Borrower and the other Guarantors, dated the Restatement Effective Date,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with appropriate insertions, executed by any Authorized Officer and the Secretary or any Assistant Secretary of Holdings, the Borrower and each other Guarantor, as applicable, and attaching the documents referred to in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and (y) an Authorized Officer of the Borrower certifying compliance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certifying that, since January 31, 2015, there has not been any event, change, development, occurrence, or effect that has had or would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Authorization of Proceedings of Holdings, the Borrower and the Guarantors; Corporate Documents</w:t>
      </w:r>
      <w:r>
        <w:rPr>
          <w:rFonts w:ascii="Times New Roman;Times;Serif" w:hAnsi="Times New Roman;Times;Serif"/>
          <w:b w:val="false"/>
          <w:i w:val="false"/>
          <w:caps w:val="false"/>
          <w:smallCaps w:val="false"/>
          <w:sz w:val="20"/>
        </w:rPr>
        <w:t>. The Administrative Agent shall have received (i) a copy of the resolutions of the board of directors or other managers of Holdings, the Borrower and the other Guarantors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Holdings, the Borrower and the other Guarantors, and (iii) signature and incumbency certificates (or other comparable documents evidencing the same) of the Authorized Officers of Holdings, the Borrower and the other Guarantors executing the Credit Documents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Agents and Lenders shall have received, substantially simultaneously with the initial Borrowing,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initial Borrowing).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On the Restatement Effective Date, all representations made by any Credit Party contained herein or in the other Credit Documents shall be true and correct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On the Restatement Effective Date, the Administrative Agent shall have received a certificate from the Chief Executive Officer, the President, the Chief Financial Officer, the Treasurer, the Vice President-Finance, a Director, a Manager, or any other senior financial officer of the Borrower to the effect that after giving effect to the consummation of the Transactions, the Borrower on a consolidated basis with the Restricted Subsidiaries is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xml:space="preserve"> The Administrative Agent and the Joint Lead Arrangers shall have received at least two Business Days prior to the Restatement Effective Date such documentation and information as is reasonably requested in writing at least ten calendar days prior to the Restatement Effective Date by the Administrative Agent or the Joint Lead Arrangers about the Credit Parties to the extent required by regulatory authorities under applicable “know your customer” and anti-money laundering rules and regulations, including, without limitation, the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Joint Lead Arrangers and Bookrunners shall have received the Historical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January 31, 2015, there has not occurred any event, occurrence or development that has had, or would reasonably be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w:t>
      </w:r>
      <w:r>
        <w:rPr>
          <w:rFonts w:ascii="Times New Roman;Times;Serif" w:hAnsi="Times New Roman;Times;Serif"/>
          <w:b w:val="false"/>
          <w:i w:val="false"/>
          <w:caps w:val="false"/>
          <w:smallCaps w:val="false"/>
          <w:sz w:val="20"/>
          <w:u w:val="single"/>
        </w:rPr>
        <w:t>Refinancing</w:t>
      </w:r>
      <w:r>
        <w:rPr>
          <w:rFonts w:ascii="Times New Roman;Times;Serif" w:hAnsi="Times New Roman;Times;Serif"/>
          <w:b w:val="false"/>
          <w:i w:val="false"/>
          <w:caps w:val="false"/>
          <w:smallCaps w:val="false"/>
          <w:sz w:val="20"/>
        </w:rPr>
        <w:t>. Substantially simultaneously with the funding of the Initial Term Loans (as defined in the Term Loan Credit Agreement), the Restatement Effective Date Refinancing shall be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the conditions specified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on the Restatement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7.</w:t>
      </w:r>
      <w:r>
        <w:rPr>
          <w:rFonts w:ascii="Times New Roman;Times;Serif" w:hAnsi="Times New Roman;Times;Serif"/>
          <w:b w:val="false"/>
          <w:i w:val="false"/>
          <w:caps w:val="false"/>
          <w:smallCaps w:val="false"/>
          <w:sz w:val="20"/>
          <w:u w:val="single"/>
        </w:rPr>
        <w:t xml:space="preserve">              Conditions Precedent to All Credit Events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agreement of each Lender to make any Loan requested to be made by it on any date (excluding Mandatory Borrowings and Revolving Credit Loans required to be made by the Revolving Credit Lenders in respect of Unpaid Drawings pursuant to </w:t>
      </w:r>
      <w:r>
        <w:rPr>
          <w:rFonts w:ascii="Times New Roman;Times;Serif" w:hAnsi="Times New Roman;Times;Serif"/>
          <w:b w:val="false"/>
          <w:i w:val="false"/>
          <w:caps w:val="false"/>
          <w:smallCaps w:val="false"/>
          <w:sz w:val="20"/>
          <w:u w:val="single"/>
        </w:rPr>
        <w:t>Sections 3.3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3.4</w:t>
      </w:r>
      <w:r>
        <w:rPr>
          <w:rFonts w:ascii="Times New Roman;Times;Serif" w:hAnsi="Times New Roman;Times;Serif"/>
          <w:b w:val="false"/>
          <w:i w:val="false"/>
          <w:caps w:val="false"/>
          <w:smallCaps w:val="false"/>
          <w:sz w:val="20"/>
        </w:rPr>
        <w:t>) and the obligation of the Letter of Credit Issuers to issue Letters of Credit on any date is subject to the satisfaction (or waiver) of the following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No Default; Representations and Warranties; No Cure Period</w:t>
      </w:r>
      <w:r>
        <w:rPr>
          <w:rFonts w:ascii="Times New Roman;Times;Serif" w:hAnsi="Times New Roman;Times;Serif"/>
          <w:b w:val="false"/>
          <w:i w:val="false"/>
          <w:caps w:val="false"/>
          <w:smallCaps w:val="false"/>
          <w:sz w:val="20"/>
        </w:rPr>
        <w:t xml:space="preserve">. At the time of each Credit Event and also after giving effect thereto (other than any Credit Event on the Restatement Effective Date or pursuant to any Loan made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(which shall be subject to the applicable terms of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(a) no Default or Event of Default shall have occurred and be continuing, (b) all representations and warranties made by any Credit Party contained herein or in the other Credit Documents shall be true and correct in all material respects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any such representations and warranties which are qualified by materiality, material adverse effect or similar language shall be true and correct in all respects) as of such earlier date) and (c) no Cure Period shall have occurred and be continuing.</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Notice of Borrowing; Letter of Credit Request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Prior to the making of each Revolving Credit Loan (other than any Revolving Credit Loan made pursuant to </w:t>
      </w:r>
      <w:r>
        <w:rPr>
          <w:rFonts w:ascii="Times New Roman;Times;Serif" w:hAnsi="Times New Roman;Times;Serif"/>
          <w:b w:val="false"/>
          <w:i w:val="false"/>
          <w:caps w:val="false"/>
          <w:smallCaps w:val="false"/>
          <w:sz w:val="20"/>
          <w:u w:val="single"/>
        </w:rPr>
        <w:t>Section 3.4(a)</w:t>
      </w:r>
      <w:r>
        <w:rPr>
          <w:rFonts w:ascii="Times New Roman;Times;Serif" w:hAnsi="Times New Roman;Times;Serif"/>
          <w:b w:val="false"/>
          <w:i w:val="false"/>
          <w:caps w:val="false"/>
          <w:smallCaps w:val="false"/>
          <w:sz w:val="20"/>
        </w:rPr>
        <w:t xml:space="preserve">) and each Swingline Loan, the Administrative Agent shall have received a Notice of Borrowing meeting the requirements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Prior to the issuance of each Letter of Credit, the Administrative Agent and the Letter of Credit Issuer shall have received a Letter of Credit Request meeting the requirements of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7.3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Excess Availability</w:t>
      </w:r>
      <w:r>
        <w:rPr>
          <w:rFonts w:ascii="Times New Roman;Times;Serif" w:hAnsi="Times New Roman;Times;Serif"/>
          <w:b w:val="false"/>
          <w:i w:val="false"/>
          <w:caps w:val="false"/>
          <w:smallCaps w:val="false"/>
          <w:sz w:val="20"/>
        </w:rPr>
        <w:t>. On the proposed date of such Credit Event, the amount of the proposed Borrowing or Letter of Credit issuance (together with all outstanding Borrowings and Letters of Credit Outstanding) shall not exceed the Maximum Borrowing Amount.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acceptance of the benefits of each Credit Event shall constitute a representation and warranty by each Credit Party to each of the Lenders that all the applicable conditions specified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above have been satisfied as of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8.</w:t>
      </w:r>
      <w:r>
        <w:rPr>
          <w:rFonts w:ascii="Times New Roman;Times;Serif" w:hAnsi="Times New Roman;Times;Serif"/>
          <w:b w:val="false"/>
          <w:i w:val="false"/>
          <w:caps w:val="false"/>
          <w:smallCaps w:val="false"/>
          <w:sz w:val="20"/>
          <w:u w:val="single"/>
        </w:rPr>
        <w:t xml:space="preserve">             Representations and Warranties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induce the Lenders to enter into this Agreement and to make the Loans and issue or participate in Letters of Credit as provided for herein, the Borrower (and, with respect to </w:t>
      </w:r>
      <w:r>
        <w:rPr>
          <w:rFonts w:ascii="Times New Roman;Times;Serif" w:hAnsi="Times New Roman;Times;Serif"/>
          <w:b w:val="false"/>
          <w:i w:val="false"/>
          <w:caps w:val="false"/>
          <w:smallCaps w:val="false"/>
          <w:sz w:val="20"/>
          <w:u w:val="single"/>
        </w:rPr>
        <w:t>Sections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8.19</w:t>
      </w:r>
      <w:r>
        <w:rPr>
          <w:rFonts w:ascii="Times New Roman;Times;Serif" w:hAnsi="Times New Roman;Times;Serif"/>
          <w:b w:val="false"/>
          <w:i w:val="false"/>
          <w:caps w:val="false"/>
          <w:smallCaps w:val="false"/>
          <w:sz w:val="20"/>
        </w:rPr>
        <w:t xml:space="preserve"> only, Holdings and each Texas Intermediate Holdco) makes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Corporate Status</w:t>
      </w:r>
      <w:r>
        <w:rPr>
          <w:rFonts w:ascii="Times New Roman;Times;Serif" w:hAnsi="Times New Roman;Times;Serif"/>
          <w:b w:val="false"/>
          <w:i w:val="false"/>
          <w:caps w:val="false"/>
          <w:smallCaps w:val="false"/>
          <w:sz w:val="20"/>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Corporate Power and Authority</w:t>
      </w:r>
      <w:r>
        <w:rPr>
          <w:rFonts w:ascii="Times New Roman;Times;Serif" w:hAnsi="Times New Roman;Times;Serif"/>
          <w:b w:val="false"/>
          <w:i w:val="false"/>
          <w:caps w:val="false"/>
          <w:smallCaps w:val="false"/>
          <w:sz w:val="20"/>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No Violation</w:t>
      </w:r>
      <w:r>
        <w:rPr>
          <w:rFonts w:ascii="Times New Roman;Times;Serif" w:hAnsi="Times New Roman;Times;Serif"/>
          <w:b w:val="false"/>
          <w:i w:val="false"/>
          <w:caps w:val="false"/>
          <w:smallCaps w:val="false"/>
          <w:sz w:val="20"/>
        </w:rPr>
        <w:t>. Neither the execution, delivery or performance by any Credit Party of the Credit Documents to which it is a party nor compliance with the terms and provisions thereof nor the consummation of the Transactions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Times New Roman;Times;Serif" w:hAnsi="Times New Roman;Times;Serif"/>
          <w:b/>
          <w:i w:val="false"/>
          <w:caps w:val="false"/>
          <w:smallCaps w:val="false"/>
          <w:sz w:val="20"/>
        </w:rPr>
        <w:t>Contractual Requirement</w:t>
      </w:r>
      <w:r>
        <w:rPr>
          <w:rFonts w:ascii="Times New Roman;Times;Serif" w:hAnsi="Times New Roman;Times;Serif"/>
          <w:b w:val="false"/>
          <w:i w:val="false"/>
          <w:caps w:val="false"/>
          <w:smallCaps w:val="false"/>
          <w:sz w:val="20"/>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 (after giving effect to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actions, suits or proceedings pending or, to the knowledge of the Borrower, threatened in writing against the Borrower or any of the Restricted Subsidiaries that would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Margin Regulations</w:t>
      </w:r>
      <w:r>
        <w:rPr>
          <w:rFonts w:ascii="Times New Roman;Times;Serif" w:hAnsi="Times New Roman;Times;Serif"/>
          <w:b w:val="false"/>
          <w:i w:val="false"/>
          <w:caps w:val="false"/>
          <w:smallCaps w:val="false"/>
          <w:sz w:val="20"/>
        </w:rPr>
        <w:t>. Neither the making of any Loan hereunder nor the use of the proceeds thereof will violate the provisions of Regulation T, U or X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None of the Borrower or any Restricted Subsidiary is an “investment company” within the meaning of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val="false"/>
          <w:i w:val="false"/>
          <w:caps w:val="false"/>
          <w:smallCaps w:val="false"/>
          <w:sz w:val="20"/>
          <w:u w:val="single"/>
        </w:rPr>
        <w:t>True and Complete Disclosure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Times New Roman;Times;Serif" w:hAnsi="Times New Roman;Times;Serif"/>
          <w:b w:val="false"/>
          <w:i w:val="false"/>
          <w:caps w:val="false"/>
          <w:smallCaps w:val="false"/>
          <w:sz w:val="20"/>
          <w:u w:val="single"/>
        </w:rPr>
        <w:t>Section 8.8(a)</w:t>
      </w:r>
      <w:r>
        <w:rPr>
          <w:rFonts w:ascii="Times New Roman;Times;Serif" w:hAnsi="Times New Roman;Times;Serif"/>
          <w:b w:val="false"/>
          <w:i w:val="false"/>
          <w:caps w:val="false"/>
          <w:smallCaps w:val="false"/>
          <w:sz w:val="20"/>
        </w:rPr>
        <w:t xml:space="preserve">, such factual information and data shall not include </w:t>
      </w:r>
      <w:r>
        <w:rPr>
          <w:rFonts w:ascii="Times New Roman;Times;Serif" w:hAnsi="Times New Roman;Times;Serif"/>
          <w:b w:val="false"/>
          <w:i w:val="false"/>
          <w:caps w:val="false"/>
          <w:smallCaps w:val="false"/>
          <w:sz w:val="20"/>
          <w:u w:val="single"/>
        </w:rPr>
        <w:t>pro forma</w:t>
      </w:r>
      <w:r>
        <w:rPr>
          <w:rFonts w:ascii="Times New Roman;Times;Serif" w:hAnsi="Times New Roman;Times;Serif"/>
          <w:b w:val="false"/>
          <w:i w:val="false"/>
          <w:caps w:val="false"/>
          <w:smallCaps w:val="false"/>
          <w:sz w:val="20"/>
        </w:rPr>
        <w:t xml:space="preserve"> financial information, projections, estimates (including financial estimates, forecasts, and other forward-looking statements or information) or other forward looking information and information of a general economic or general industry 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projections (including financial estimates, forecasts, and other forward-looking information) contained in the information and data referred to in </w:t>
      </w:r>
      <w:r>
        <w:rPr>
          <w:rFonts w:ascii="Times New Roman;Times;Serif" w:hAnsi="Times New Roman;Times;Serif"/>
          <w:b w:val="false"/>
          <w:i w:val="false"/>
          <w:caps w:val="false"/>
          <w:smallCaps w:val="false"/>
          <w:sz w:val="20"/>
          <w:u w:val="single"/>
        </w:rPr>
        <w:t>paragraph (a)</w:t>
      </w:r>
      <w:r>
        <w:rPr>
          <w:rFonts w:ascii="Times New Roman;Times;Serif" w:hAnsi="Times New Roman;Times;Serif"/>
          <w:b w:val="false"/>
          <w:i w:val="false"/>
          <w:caps w:val="false"/>
          <w:smallCaps w:val="false"/>
          <w:sz w:val="20"/>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8.9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Financial Condition;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The unaudited historical consolidated financial information of the Borrower as set forth in the Lender Presentation, and (ii) the Historical Financial Statements, in each case present fairly in all material respects the consolidated financial position of the Borrower at the respective dates of said information, statements and results of operations for the respective periods covered thereby. The Historical Financial Statements have been prepared in accordance with GAAP consistently applied except to the extent provided in the notes to said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has been no Material Adverse Effect since the Restatement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val="false"/>
          <w:i w:val="false"/>
          <w:caps w:val="false"/>
          <w:smallCaps w:val="false"/>
          <w:sz w:val="20"/>
          <w:u w:val="single"/>
        </w:rPr>
        <w:t>Compliance with Laws; No Default</w:t>
      </w:r>
      <w:r>
        <w:rPr>
          <w:rFonts w:ascii="Times New Roman;Times;Serif" w:hAnsi="Times New Roman;Times;Serif"/>
          <w:b w:val="false"/>
          <w:i w:val="false"/>
          <w:caps w:val="false"/>
          <w:smallCaps w:val="false"/>
          <w:sz w:val="20"/>
        </w:rPr>
        <w:t>. Each Credit Party is in compliance with all Requirements of Law applicable to it or its property, except where the failure to be so in compliance would not reasonably be expected to result in a Material Adverse Effect. No Borrowing or Letter of Credit, use of proceeds, or the Transactions will violate Anti-Corruption Laws or applicable Sanctions. No Default has occurred and is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Except as would not reasonably be expected to have a Material Adverse Effect, (a) each of the Borrower and each of the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(b) each of the Borrower and each of the Restricted Subsidiaries has paid, or has provided adequate reserves (in the good faith judgment of management of the Borrower or such Restricted Subsidiary, as applicable) in accordance with GAAP for the payment of all Taxes not yet due and payable. There is no current or proposed Tax assessment, deficiency or other claim against the Borrower or any Restricted Subsidiary that would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w:t>
      </w:r>
      <w:r>
        <w:rPr>
          <w:rFonts w:ascii="Times New Roman;Times;Serif" w:hAnsi="Times New Roman;Times;Serif"/>
          <w:b w:val="false"/>
          <w:i w:val="false"/>
          <w:caps w:val="false"/>
          <w:smallCaps w:val="false"/>
          <w:sz w:val="20"/>
          <w:u w:val="single"/>
        </w:rPr>
        <w:t>Compliance with ERISA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have a Material Adverse Effect, no ERISA Event has occurred or is reasonably expected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a Material Adverse Effect, no Foreign Plan Event has occurred or is reasonably expected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8.13</w:t>
      </w:r>
      <w:r>
        <w:rPr>
          <w:rFonts w:ascii="Times New Roman;Times;Serif" w:hAnsi="Times New Roman;Times;Serif"/>
          <w:b w:val="false"/>
          <w:i w:val="false"/>
          <w:caps w:val="false"/>
          <w:smallCaps w:val="false"/>
          <w:sz w:val="20"/>
        </w:rPr>
        <w:t xml:space="preserve"> lists each Subsidiary of the Borrower (and the direct and indirect ownership interest of the Borrower therein), in each case existing on the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Each of the Borrower and the Restricted Subsidiaries owns or has the right to use all Intellectual Property that is used in or otherwise necessary for the operation of their respective businesses as currently conducted, except where the failure to own or have a right to use such Intellectual Property would not reasonably be expected to have a Material Adverse Effect. The operation of their respective businesses by each of the Borrower and the Restricted Subsidiaries does not infringe upon, misappropriate, violate or otherwise conflict with the Intellectual Property of any third party, except as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on </w:t>
      </w:r>
      <w:r>
        <w:rPr>
          <w:rFonts w:ascii="Times New Roman;Times;Serif" w:hAnsi="Times New Roman;Times;Serif"/>
          <w:b w:val="false"/>
          <w:i w:val="false"/>
          <w:caps w:val="false"/>
          <w:smallCaps w:val="false"/>
          <w:sz w:val="20"/>
          <w:u w:val="single"/>
        </w:rPr>
        <w:t>Schedule 8.15</w:t>
      </w:r>
      <w:r>
        <w:rPr>
          <w:rFonts w:ascii="Times New Roman;Times;Serif" w:hAnsi="Times New Roman;Times;Serif"/>
          <w:b w:val="false"/>
          <w:i w:val="false"/>
          <w:caps w:val="false"/>
          <w:smallCaps w:val="false"/>
          <w:sz w:val="20"/>
        </w:rPr>
        <w:t>, or as would not reasonably be expected to have a Material Adverse Effect: (i) each of the Borrower and the Restricted Subsidiaries and their respective operations and properties are in compliance with all applicable Environmental Laws; (ii) none of the Borrower or any Restricted Subsidiary has received written notice of any Environmental Claim; (iii) none of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the Borrower or any of the Restricted Subsidiaries.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on </w:t>
      </w:r>
      <w:r>
        <w:rPr>
          <w:rFonts w:ascii="Times New Roman;Times;Serif" w:hAnsi="Times New Roman;Times;Serif"/>
          <w:b w:val="false"/>
          <w:i w:val="false"/>
          <w:caps w:val="false"/>
          <w:smallCaps w:val="false"/>
          <w:sz w:val="20"/>
          <w:u w:val="single"/>
        </w:rPr>
        <w:t>Schedule 8.15</w:t>
      </w:r>
      <w:r>
        <w:rPr>
          <w:rFonts w:ascii="Times New Roman;Times;Serif" w:hAnsi="Times New Roman;Times;Serif"/>
          <w:b w:val="false"/>
          <w:i w:val="false"/>
          <w:caps w:val="false"/>
          <w:smallCaps w:val="false"/>
          <w:sz w:val="20"/>
        </w:rPr>
        <w:t>,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Each of the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Set forth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is a list of each real property owned by the Borrower or any Subsidiary Credit Party as of the Amendment No. 4 Effective Date having a Fair Market Value in excess of the greater of (a) $25,000,000 and (b) 5% of Consolidated EBITDA for the most recently ended Test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On the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 (after giving effect to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and the transactions contemplated thereby) immediately following the making of the Loans (if any) and after giving effect to the application of the proceeds of such Loans, the Borrower on a consolidated basis with the Restricted Subsidiaries will be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xml:space="preserve">. On the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 each of Holdings, the Borrower and the Restricted Subsidiaries is in compliance in all material respects with the Patriot Act, and Holdings and the Borrower have provided to the Administrative Agent all information related to Holdings, the Borrower and the Restricted Subsidiaries (including but not limited to names, addresses and tax identification numbers (if applicable)) reasonably requested in writing by the Administrative Agent and mutually agreed to be required by the Patriot Act to be obtained by the Administrative Agent or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8.19       </w:t>
      </w:r>
      <w:r>
        <w:rPr>
          <w:rFonts w:ascii="Times New Roman;Times;Serif" w:hAnsi="Times New Roman;Times;Serif"/>
          <w:b w:val="false"/>
          <w:i w:val="false"/>
          <w:caps w:val="false"/>
          <w:smallCaps w:val="false"/>
          <w:sz w:val="20"/>
          <w:u w:val="single"/>
        </w:rPr>
        <w:t>Security Interest in Collateral</w:t>
      </w:r>
      <w:r>
        <w:rPr>
          <w:rFonts w:ascii="Times New Roman;Times;Serif" w:hAnsi="Times New Roman;Times;Serif"/>
          <w:b w:val="false"/>
          <w:i w:val="false"/>
          <w:caps w:val="false"/>
          <w:smallCaps w:val="false"/>
          <w:sz w:val="20"/>
        </w:rPr>
        <w:t xml:space="preserve">. Subject to the provisions of this Agreement and the other Credit Documents, the Credit Documents create legal, valid, and enforceable Liens on all of the Collateral in favor of the Collateral Agent, for the benefit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hereby or by the applicable Credit Documents (including the filing of appropriate UCC financing statements with the office of the Secretary of State of the state of organization of each Credit Party or equivalent filings under applicable foreign law, the filing of appropriate notices with the U.S. Patent and Trademark Office and the U.S. Copyright Office, and the proper recordation of Mortgages and fixture filings with respect to any Mortgaged Property, in each case in favor of the Collateral Agent for the benefit of the Secured Parties and the delivery to the Collateral Agent of any stock certificates or promissory notes required to be delivered pursuant to the applicable Credit Documents), such Liens constitute perfected and continuing Liens on the Collateral of the type required by the Security Documents securing the Obligations to the extent such Liens may be perfected by such filings and the taking of such other actions subject to no other Liens (other than Liens permitted by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u w:val="single"/>
        </w:rPr>
        <w:t>8.20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u w:val="single"/>
        </w:rPr>
        <w:t>Disclosure</w:t>
      </w:r>
      <w:r>
        <w:rPr>
          <w:rFonts w:ascii="Times New Roman;Times;Serif" w:hAnsi="Times New Roman;Times;Serif"/>
          <w:b w:val="false"/>
          <w:i w:val="false"/>
          <w:caps w:val="false"/>
          <w:smallCaps w:val="false"/>
          <w:color w:val="0000FF"/>
          <w:sz w:val="20"/>
          <w:u w:val="single"/>
          <w:bdr w:val="single" w:sz="8" w:space="1" w:color="0000FF"/>
        </w:rPr>
        <w:t>8.20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bdr w:val="single" w:sz="8" w:space="1" w:color="0000FF"/>
        </w:rPr>
        <w:t>Disclosure</w:t>
      </w:r>
      <w:r>
        <w:rPr>
          <w:rFonts w:ascii="Times New Roman;Times;Serif" w:hAnsi="Times New Roman;Times;Serif"/>
          <w:b w:val="false"/>
          <w:i w:val="false"/>
          <w:caps w:val="false"/>
          <w:smallCaps w:val="false"/>
          <w:sz w:val="20"/>
        </w:rPr>
        <w:t xml:space="preserve">. As of the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 to the knowledge of the Borrower, the information included in the Beneficial Ownership Certification provided on or prior to the Amendment No. </w:t>
      </w:r>
      <w:r>
        <w:rPr>
          <w:rFonts w:ascii="Times New Roman;Times;Serif" w:hAnsi="Times New Roman;Times;Serif"/>
          <w:b w:val="false"/>
          <w:i w:val="false"/>
          <w:caps w:val="false"/>
          <w:smallCaps w:val="false"/>
          <w:strike/>
          <w:color w:val="FF0000"/>
          <w:sz w:val="20"/>
        </w:rPr>
        <w:t>4</w:t>
      </w:r>
      <w:r>
        <w:rPr>
          <w:rFonts w:ascii="Times New Roman;Times;Serif" w:hAnsi="Times New Roman;Times;Serif"/>
          <w:b w:val="false"/>
          <w:i w:val="false"/>
          <w:caps w:val="false"/>
          <w:smallCaps w:val="false"/>
          <w:color w:val="0000FF"/>
          <w:sz w:val="20"/>
          <w:u w:val="single"/>
          <w:bdr w:val="single" w:sz="8" w:space="1" w:color="0000FF"/>
        </w:rPr>
        <w:t>5</w:t>
      </w:r>
      <w:r>
        <w:rPr>
          <w:rFonts w:ascii="Times New Roman;Times;Serif" w:hAnsi="Times New Roman;Times;Serif"/>
          <w:b w:val="false"/>
          <w:i w:val="false"/>
          <w:caps w:val="false"/>
          <w:smallCaps w:val="false"/>
          <w:sz w:val="20"/>
        </w:rPr>
        <w:t xml:space="preserve"> Effective Date to any Lender in connection with this Agreement is true and correct in all material respects.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bdr w:val="single" w:sz="8" w:space="1" w:color="0000FF"/>
        </w:rPr>
        <w:t>8.21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bdr w:val="single" w:sz="8" w:space="1" w:color="0000FF"/>
        </w:rPr>
        <w:t>Anti-Corruption Laws and Sanctions. Each Credit Party has implemented and maintains in effect policies and procedures designed to ensure compliance by such Credit Party, its Subsidiaries and their respective directors, officers, employees and agents with applicable Anti-Corruption Laws and applicable Sanctions, and such Credit Party, its Subsidiaries and their respective officers and directors and, to the knowledge of such Credit Party, its employees and agents, are in compliance with applicable Anti-Corruption Laws and applicable Sanctions in all material respects and are not knowingly engaged in any activity that would reasonably be expected to result in any Credit Party being designated as a Sanctioned Person. None of (a) any Credit Party, any Subsidiary or any of their respective directors, officers or employees, or (b) to the knowledge of any such Credit Party or Subsidiary, any agent of such Credit Party or any Subsidiary that will act in any capacity in connection with or benefit from the credit facility established hereby, is a Sanctioned Person. No Borrowing or Letter of Credit, use of proceeds, Transaction or other transaction contemplated by this Agreement or the other Credit Documents will violate applicable Anti-Corruption Laws or applicable Sanctions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9.</w:t>
      </w:r>
      <w:r>
        <w:rPr>
          <w:rFonts w:ascii="Times New Roman;Times;Serif" w:hAnsi="Times New Roman;Times;Serif"/>
          <w:b w:val="false"/>
          <w:i w:val="false"/>
          <w:caps w:val="false"/>
          <w:smallCaps w:val="false"/>
          <w:sz w:val="20"/>
          <w:u w:val="single"/>
        </w:rPr>
        <w:t xml:space="preserve">             Affirmative Covenants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(and, with respect to </w:t>
      </w:r>
      <w:r>
        <w:rPr>
          <w:rFonts w:ascii="Times New Roman;Times;Serif" w:hAnsi="Times New Roman;Times;Serif"/>
          <w:b w:val="false"/>
          <w:i w:val="false"/>
          <w:caps w:val="false"/>
          <w:smallCaps w:val="false"/>
          <w:sz w:val="20"/>
          <w:u w:val="single"/>
        </w:rPr>
        <w:t>Sections 9.11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9.14</w:t>
      </w:r>
      <w:r>
        <w:rPr>
          <w:rFonts w:ascii="Times New Roman;Times;Serif" w:hAnsi="Times New Roman;Times;Serif"/>
          <w:b w:val="false"/>
          <w:i w:val="false"/>
          <w:caps w:val="false"/>
          <w:smallCaps w:val="false"/>
          <w:sz w:val="20"/>
        </w:rPr>
        <w:t xml:space="preserve"> only, Holdings)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Information Covenants</w:t>
      </w:r>
      <w:r>
        <w:rPr>
          <w:rFonts w:ascii="Times New Roman;Times;Serif" w:hAnsi="Times New Roman;Times;Serif"/>
          <w:b w:val="false"/>
          <w:i w:val="false"/>
          <w:caps w:val="false"/>
          <w:smallCaps w:val="false"/>
          <w:sz w:val="20"/>
        </w:rPr>
        <w:t>. The Borrower will furnish to the Administrative Agent (which shall promptly make such information available to the Lenders in accordance with its customary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xml:space="preserve">.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consolidated balance sheets of the Borrower and the Restricted Subsidiaries as at the end of each fiscal year, and the related consolidated statements of operations and cash flows for such fiscal year, setting forth comparative consolidated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 (i) an upcoming maturity date under any Indebtedness, (ii) any potential inability to satisfy a financial maintenance covenant (including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on a future date or in a future period or (iii) the activities, operations, financial results, assets or liabilities of any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45 days after the end of each such fiscal quarterly accounting period), the consolidated balance sheets of the Borrower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August 1, 2015,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year-end adjustments and the absence of footnotes.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Annual Budget.</w:t>
      </w:r>
      <w:r>
        <w:rPr>
          <w:rFonts w:ascii="Times New Roman;Times;Serif" w:hAnsi="Times New Roman;Times;Serif"/>
          <w:b w:val="false"/>
          <w:i w:val="false"/>
          <w:caps w:val="false"/>
          <w:smallCaps w:val="false"/>
          <w:sz w:val="20"/>
        </w:rPr>
        <w:t xml:space="preserve"> Within 90 days after the commencement of each fiscal year of the Borrower, a consolidated budget of the Borrower in reasonable detail on a quarterly basis for such fiscal year as customarily prepared by management of the Borrower for its internal use, setting forth the principal assumptions upon which such budget is based (collectively, the “</w:t>
      </w:r>
      <w:r>
        <w:rPr>
          <w:rFonts w:ascii="Times New Roman;Times;Serif" w:hAnsi="Times New Roman;Times;Serif"/>
          <w:b/>
          <w:i w:val="false"/>
          <w:caps w:val="false"/>
          <w:smallCaps w:val="false"/>
          <w:sz w:val="20"/>
        </w:rPr>
        <w:t>Budget</w:t>
      </w:r>
      <w:r>
        <w:rPr>
          <w:rFonts w:ascii="Times New Roman;Times;Serif" w:hAnsi="Times New Roman;Times;Serif"/>
          <w:b w:val="false"/>
          <w:i w:val="false"/>
          <w:caps w:val="false"/>
          <w:smallCaps w:val="false"/>
          <w:sz w:val="20"/>
        </w:rPr>
        <w:t>”), which Budget shall be prepared in good faith on the basis of the assumptions stated therein, which assumptions were believed to be reasonable at the time of preparation of such Budget, it being understood and agreed that such Budget and assumptions as to future events are not to be viewed as facts or as a guarantee of performance and are subject to significant uncertainties and contingencies, which are beyond the control of Holdings and its Subsidiaries, no assurances can be given that the Budget and any projections will be realized and that actual results during the period or periods covered by any such Budget may differ from the projected results and such differences may be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 xml:space="preserve">. At the time of the delivery of the financial statements provided for in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(B) a Compliance Certificate setting forth the Fixed Charge Coverage Ratio for the last Test Period regardless of whether a Compliance Period exists. At the time of the delivery of the financial statements provided for in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Notice of Material Events</w:t>
      </w:r>
      <w:r>
        <w:rPr>
          <w:rFonts w:ascii="Times New Roman;Times;Serif" w:hAnsi="Times New Roman;Times;Serif"/>
          <w:b w:val="false"/>
          <w:i w:val="false"/>
          <w:caps w:val="false"/>
          <w:smallCaps w:val="false"/>
          <w:sz w:val="20"/>
        </w:rPr>
        <w:t>.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(ii) any litigation or governmental proceeding pending against the Borrower or any of the Subsidiaries that would reasonably be expected to be determined adversely and, if so determined, to result in a Material Adverse Effect and (iii) any change in the information provided in the Beneficial Ownership Certification delivered to such Lender that would result in a change to the list of beneficial owners identified in part 1 of such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any pending or threatened Environmental Claim against any Credit Party or any Real Estate;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the conduct of any investigation, or any removal, remedial or other corrective action in response to the actual or alleged presence, Release or threatened Release of any Hazardous Material on, at, under or from any Real Estate.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notices shall describe in reasonable detail the nature of the claim, investigation or removal, remedial or other corrective action in response thereto. The term “</w:t>
      </w:r>
      <w:r>
        <w:rPr>
          <w:rFonts w:ascii="Times New Roman;Times;Serif" w:hAnsi="Times New Roman;Times;Serif"/>
          <w:b/>
          <w:i w:val="false"/>
          <w:caps w:val="false"/>
          <w:smallCaps w:val="false"/>
          <w:sz w:val="20"/>
        </w:rPr>
        <w:t>Real Estate</w:t>
      </w:r>
      <w:r>
        <w:rPr>
          <w:rFonts w:ascii="Times New Roman;Times;Serif" w:hAnsi="Times New Roman;Times;Serif"/>
          <w:b w:val="false"/>
          <w:i w:val="false"/>
          <w:caps w:val="false"/>
          <w:smallCaps w:val="false"/>
          <w:sz w:val="20"/>
        </w:rPr>
        <w:t>” shall mean land, buildings, facilities and improvements owned or leased by any Credit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xml:space="preserve">.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the Borrower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the Borrower 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(x) such other information (financial or otherwise) as the Administrative Agent on its own behalf or on behalf of any Lender (acting through the Administrative Agent) may reasonably request in writing from time to time (y) information and documentation reasonably requested by the Administrative Agent or any Lender for purposes of compliance with applicable “know your customer” and anti-money laundering rules and regulations, including the Patriot Act and the Beneficial Ownership Regulation and (z) upon the Administrative Agent’s or applicable Lender’s request, any change in the information provided in the Beneficial Ownership Certification delivered to such Lender that would result in a change to the list of beneficial owners identified in such certification;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none of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or the limitations set forth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xml:space="preserve">. As soon as available but in any event on or prior to the 15th Business Day following the end of the previous fiscal quarter, beginning with the first fiscal quarter ending after the Amendment No. 4 Effective Date (or, upon the occurrence and during the continuance of a Monthly Reporting Period, prior to the 15th Business Day following the end of the previous fiscal month), a Borrowing Base Certificate as of the close of business on the last day of the immediately preceding fiscal quarter (or fiscal month, if applicable), substantially in the form of </w:t>
      </w:r>
      <w:r>
        <w:rPr>
          <w:rFonts w:ascii="Times New Roman;Times;Serif" w:hAnsi="Times New Roman;Times;Serif"/>
          <w:b w:val="false"/>
          <w:i w:val="false"/>
          <w:caps w:val="false"/>
          <w:smallCaps w:val="false"/>
          <w:sz w:val="20"/>
          <w:u w:val="single"/>
        </w:rPr>
        <w:t>Exhibit N</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may elect to deliver the Borrowing Base Certificate on a more frequent basis but if such election is exercised, it must be continued until the date that is 30 days after the date of such election (with a frequency equal to that of the initial additional Borrowing Base Certificate delivered by the Borrower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upon the commencement and during the continuance of a Weekly Reporting Period, the Borrower shall deliver a Weekly Borrowing Base Certificate and such supporting information on Wednesday of each week (or if Wednesday is not a Business Day, on the next succeeding Business Day), as of the close of business on the immediately preceding Saturday;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upon the sale or other disposition of Collateral of any Credit Party included in the Borrowing Base outside of the ordinary course of business yielding net cash proceeds of $50,000,000 or more, the Borrower shall also furnish an updated Borrowing Base Certificate giving pro forma effect thereto promptly upon the receipt of the net cash proceeds from such sale or other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Documents required to be delivered pursuant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 on the Internet; (ii) such documents are posted on the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clauses (a) and (b) 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may be satisfied with respect to financial information of the Borrower and its Restricted Subsidiaries by furnishing (A) the Form 10-K or 10-Q (or the equivalent), as applicable, of the Borrower (or a parent company thereof) filed with the SEC or with a similar regulatory authority in a foreign jurisdiction or (B) the applicable financial statements of Holdings (or any direct or indirect parent of Holdings);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Restricted Subsidiaries on a stand-alone basis, on the other hand.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Credit Party hereby acknowledges and agrees that, unless the Borrower notifies the Administrative Agent in advance, all financial statements and certificates furnished pursuant to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are hereby deemed to be suitable for distribution, and to be made available, to all Lenders and may be treated by the Administrative Agent and the Lenders as not containing any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Books, Records, and Inspections; Field Examinations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and appraisers,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excluding any such visits and inspections during the continuation of an Event of Default, (a) only the Administrative Agent on behalf of the Required Lenders may exercise rights of the Administrative Agent and the Lenders under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(b) the Administrative Agent shall not exercise such rights more than one time in any calendar year, which such visit will be at the Borrower’s expense, and (c) notwithstanding anything to the contrary in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none of the Borrower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 independent public accountants.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reasonable times during normal business hours and upon reasonable prior notice that the Administrative Agent requests, independently of or in connection with the visits and inspections provided for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the Administrative Agent may conduct (or engage third parties to conduct) such field examinations, verifications and evaluations as the Administrative Agent may deem necessary or appropriate;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trike/>
          <w:color w:val="FF0000"/>
          <w:sz w:val="20"/>
        </w:rPr>
        <w:t xml:space="preserve">in any calendar year, </w:t>
      </w:r>
      <w:r>
        <w:rPr>
          <w:rFonts w:ascii="Times New Roman;Times;Serif" w:hAnsi="Times New Roman;Times;Serif"/>
          <w:b w:val="false"/>
          <w:i w:val="false"/>
          <w:caps w:val="false"/>
          <w:smallCaps w:val="false"/>
          <w:sz w:val="20"/>
        </w:rPr>
        <w:t xml:space="preserve">the Borrower shall only be required to cover the costs of </w:t>
      </w:r>
      <w:r>
        <w:rPr>
          <w:rFonts w:ascii="Times New Roman;Times;Serif" w:hAnsi="Times New Roman;Times;Serif"/>
          <w:b w:val="false"/>
          <w:i w:val="false"/>
          <w:caps w:val="false"/>
          <w:smallCaps w:val="false"/>
          <w:color w:val="0000FF"/>
          <w:sz w:val="20"/>
          <w:u w:val="single"/>
          <w:bdr w:val="single" w:sz="8" w:space="1" w:color="0000FF"/>
        </w:rPr>
        <w:t xml:space="preserve">(x) </w:t>
      </w:r>
      <w:r>
        <w:rPr>
          <w:rFonts w:ascii="Times New Roman;Times;Serif" w:hAnsi="Times New Roman;Times;Serif"/>
          <w:b w:val="false"/>
          <w:i w:val="false"/>
          <w:caps w:val="false"/>
          <w:smallCaps w:val="false"/>
          <w:sz w:val="20"/>
        </w:rPr>
        <w:t>one such periodic field examination</w:t>
      </w:r>
      <w:r>
        <w:rPr>
          <w:rFonts w:ascii="Times New Roman;Times;Serif" w:hAnsi="Times New Roman;Times;Serif"/>
          <w:b w:val="false"/>
          <w:i w:val="false"/>
          <w:caps w:val="false"/>
          <w:smallCaps w:val="false"/>
          <w:strike/>
          <w:color w:val="FF0000"/>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bdr w:val="single" w:sz="8" w:space="1" w:color="0000FF"/>
        </w:rPr>
        <w:t xml:space="preserve">in any two-calendar year period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color w:val="0000FF"/>
          <w:sz w:val="20"/>
          <w:u w:val="single"/>
          <w:bdr w:val="single" w:sz="8" w:space="1" w:color="0000FF"/>
        </w:rPr>
        <w:t xml:space="preserve">(y) </w:t>
      </w:r>
      <w:r>
        <w:rPr>
          <w:rFonts w:ascii="Times New Roman;Times;Serif" w:hAnsi="Times New Roman;Times;Serif"/>
          <w:b w:val="false"/>
          <w:i w:val="false"/>
          <w:caps w:val="false"/>
          <w:smallCaps w:val="false"/>
          <w:sz w:val="20"/>
        </w:rPr>
        <w:t xml:space="preserve">one such inventory appraisal </w:t>
      </w:r>
      <w:r>
        <w:rPr>
          <w:rFonts w:ascii="Times New Roman;Times;Serif" w:hAnsi="Times New Roman;Times;Serif"/>
          <w:b w:val="false"/>
          <w:i w:val="false"/>
          <w:caps w:val="false"/>
          <w:smallCaps w:val="false"/>
          <w:color w:val="0000FF"/>
          <w:sz w:val="20"/>
          <w:u w:val="single"/>
          <w:bdr w:val="single" w:sz="8" w:space="1" w:color="0000FF"/>
        </w:rPr>
        <w:t>in any calendar year</w:t>
      </w:r>
      <w:r>
        <w:rPr>
          <w:rFonts w:ascii="Times New Roman;Times;Serif" w:hAnsi="Times New Roman;Times;Serif"/>
          <w:b w:val="false"/>
          <w:i w:val="false"/>
          <w:caps w:val="false"/>
          <w:smallCaps w:val="false"/>
          <w:sz w:val="20"/>
        </w:rPr>
        <w:t>, except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FF"/>
          <w:sz w:val="20"/>
          <w:u w:val="single"/>
          <w:bdr w:val="single" w:sz="8" w:space="1" w:color="0000FF"/>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color w:val="0000FF"/>
          <w:sz w:val="20"/>
          <w:u w:val="single"/>
          <w:bdr w:val="single" w:sz="8" w:space="1" w:color="0000FF"/>
        </w:rPr>
        <w:t>If, at any time, the aggregate Revolving Credit Exposures (including the Letter of Credit Exposure) of all Lenders at such time is greater than 10% of the Maximum Borrowing Amount, no more than one such appraisal and one such field examination shall be at the Borrower’s expense during the 12-calendar month period immediately succeeding such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t>
      </w:r>
      <w:r>
        <w:rPr>
          <w:rFonts w:ascii="Times New Roman;Times;Serif" w:hAnsi="Times New Roman;Times;Serif"/>
          <w:b w:val="false"/>
          <w:i w:val="false"/>
          <w:caps w:val="false"/>
          <w:smallCaps w:val="false"/>
          <w:strike/>
          <w:color w:val="FF0000"/>
          <w:sz w:val="20"/>
        </w:rPr>
        <w:t>i</w:t>
      </w:r>
      <w:r>
        <w:rPr>
          <w:rFonts w:ascii="Times New Roman;Times;Serif" w:hAnsi="Times New Roman;Times;Serif"/>
          <w:b w:val="false"/>
          <w:i w:val="false"/>
          <w:caps w:val="false"/>
          <w:smallCaps w:val="false"/>
          <w:color w:val="0000FF"/>
          <w:sz w:val="20"/>
          <w:u w:val="single"/>
          <w:bdr w:val="single" w:sz="8" w:space="1" w:color="0000FF"/>
        </w:rPr>
        <w:t>ii</w:t>
      </w:r>
      <w:r>
        <w:rPr>
          <w:rFonts w:ascii="Times New Roman;Times;Serif" w:hAnsi="Times New Roman;Times;Serif"/>
          <w:b w:val="false"/>
          <w:i w:val="false"/>
          <w:caps w:val="false"/>
          <w:smallCaps w:val="false"/>
          <w:color w:val="010000"/>
          <w:sz w:val="20"/>
        </w:rPr>
        <w:t>)</w:t>
      </w:r>
      <w:r>
        <w:rPr>
          <w:rFonts w:ascii="Times New Roman;Times;Serif" w:hAnsi="Times New Roman;Times;Serif"/>
          <w:b w:val="false"/>
          <w:i w:val="false"/>
          <w:caps w:val="false"/>
          <w:smallCaps w:val="false"/>
          <w:sz w:val="20"/>
        </w:rPr>
        <w:t xml:space="preserve">          if Excess Availability has for any five consecutive Business Days been less than the greater of (x) 15% of the Maximum Borrowing Amount and (y) $95,000,000, no more than two such appraisals and two such field examinations shall be at the Borrower’s expense during the following 12-calendar month period;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color w:val="0000FF"/>
          <w:sz w:val="20"/>
          <w:u w:val="single"/>
          <w:bdr w:val="single" w:sz="8" w:space="1" w:color="0000FF"/>
        </w:rPr>
        <w:t>i</w:t>
      </w:r>
      <w:r>
        <w:rPr>
          <w:rFonts w:ascii="Times New Roman;Times;Serif" w:hAnsi="Times New Roman;Times;Serif"/>
          <w:b w:val="false"/>
          <w:i w:val="false"/>
          <w:caps w:val="false"/>
          <w:smallCaps w:val="false"/>
          <w:color w:val="010000"/>
          <w:sz w:val="20"/>
        </w:rPr>
        <w:t>)</w:t>
      </w:r>
      <w:r>
        <w:rPr>
          <w:rFonts w:ascii="Times New Roman;Times;Serif" w:hAnsi="Times New Roman;Times;Serif"/>
          <w:b w:val="false"/>
          <w:i w:val="false"/>
          <w:caps w:val="false"/>
          <w:smallCaps w:val="false"/>
          <w:sz w:val="20"/>
        </w:rPr>
        <w:t xml:space="preserve">          at any time after the occurrence and during the continuation of a Specified Default, as many field examinations as shall be determined by the Administrative Agent in its Permitted Discretion at the Borrower’s expense.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provide the Borrower with a reasonably detailed accounting of all such expenses payable by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Credit Parties acknowledge that the Administrative Agent, after exercising its rights of inspection, may prepare and distribute to the Lenders certain reports pertaining to the Credit Parties’ assets for internal use by the Administrative Agent and the Lenders, subject to the provisions of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(a) The Borrower will, and will cause each Material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the availability of insurance on a cost-effective basis) and against at least such risks (and with such risk retentions) as the Borrower believes (in the good faith judgment of management of the Borrower)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that is located in an area identified by the Federal Emergency Management Agency (or any successor agency) as a “special flood hazard area” with respect to which flood insurance has been made available under Flood Insurance Laws, the applicable Credit Party (i) has obtained and will maintain, with financially sound and reputable insurance companies (except to the extent that any insurance company insuring the Mortgaged Property of the Credit Party ceases to be financially sound and reputable after the Closing Date, in which case, the Borrower shall promptly replace such insurance company with a financially sound and reputable insurance company), such flood insurance in such reasonable total amount as the Administrative Agent and the Lenders may from time to time reasonably require, and otherwise sufficient to comply with all applicable rules and regulations promulgated pursuant to the Flood Insurance Laws and (ii) promptly upon request of the Administrative Agent or any Lender, will deliver to the Administrative Agent or such Lender, as applicable, evidence of such compliance in form and substance reasonably acceptable to the Administrative Agent and such Lender, including, without limitation, evidence of annual renewals of such insurance. Each such policy of insurance shall (i) name the Collateral Agent, on behalf of the Secured Parties as an additional insured thereunder as its interests may appear and (ii) in the case of each casualty insurance policy, contain a mortgagee/loss payable clause or endorsement that names the Collateral Agent, on behalf of the Secured Parties as the mortgagee/loss payee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xml:space="preserve">. The Borrower will pay and discharge, and will cause each of the Restricted Subsidiaries to pay and discharge, all Taxes imposed upon it (including in its capacity as a withholding agent) or upon its income or profits, or upon any properties belonging to it, prior to the date on which penalties attach thereto, and all lawful claims in respect of any Taxes imposed, assessed or levied that, if unpaid, would reasonably be expected to become a Lien upon any properties of the Borrower or any of the Restricted Subsidiaries;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neither the Borrower nor any of the Restricted Subsidiaries shall be required to pay any such Tax that is being contested in good faith and by proper proceedings if it has maintained adequate reserves (in the good faith judgment of management of the Borrower) with respect thereto in accordance with GAAP or the failure to pay would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Preservation of Existence; Consolidated Corporate Franchises</w:t>
      </w:r>
      <w:r>
        <w:rPr>
          <w:rFonts w:ascii="Times New Roman;Times;Serif" w:hAnsi="Times New Roman;Times;Serif"/>
          <w:b w:val="false"/>
          <w:i w:val="false"/>
          <w:caps w:val="false"/>
          <w:smallCaps w:val="false"/>
          <w:sz w:val="20"/>
        </w:rPr>
        <w:t xml:space="preserve">.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Borrower and its Subsidiaries may consummate any transaction permitted under Permitted Investments and </w:t>
      </w:r>
      <w:r>
        <w:rPr>
          <w:rFonts w:ascii="Times New Roman;Times;Serif" w:hAnsi="Times New Roman;Times;Serif"/>
          <w:b w:val="false"/>
          <w:i w:val="false"/>
          <w:caps w:val="false"/>
          <w:smallCaps w:val="false"/>
          <w:sz w:val="20"/>
          <w:u w:val="single"/>
        </w:rPr>
        <w:t>Sections 10.2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10.5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Compliance with Statutes, Regulations, Etc</w:t>
      </w:r>
      <w:r>
        <w:rPr>
          <w:rFonts w:ascii="Times New Roman;Times;Serif" w:hAnsi="Times New Roman;Times;Serif"/>
          <w:b w:val="false"/>
          <w:i w:val="false"/>
          <w:caps w:val="false"/>
          <w:smallCaps w:val="false"/>
          <w:sz w:val="20"/>
        </w:rPr>
        <w:t xml:space="preserve">. The Borrower will, and will cause each Restricted Subsidiary to, (a) comply with all applicable laws, rules, regulations, and orders applicable to it or its property, including, without limitation, applicable laws administered by the Office of Foreign Assets Control of the U.S. Department of the Treasury and the Foreign Corrupt Practices Act of 1977,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(a), (b), and (c) of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where the failure to do so would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9.7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rights granted to the Administrative Agent in this Section shall be exercised not more than once during a 12-month period,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The Borrower will, and will cause each of the Restricted Subsidiaries to, (i) keep and maintain all tangible property material to the conduct of its business in good working order and condition, ordinary wear and tear, casualty, and condemnation excepted and (ii) prosecute, maintain, enforce and protect its Intellectual Property material to the conduct of its business, except, in each case, to the extent that the failure to do so would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The Borrower will conduct, and cause each of the Restricted Subsidiaries to conduct, all transactions with any of its Affiliates (other than the Borrower and the Restricted Subsidiaries) involving aggregate payments or consideration in excess of $25,000,000 at the time of such Affiliate transaction, for any individual transaction or series of related transactions on terms that are at least substantially as favorable to the Borrower or such Restricted Subsidiary as it would obtain in a comparable arm’s-length transaction with a Person that is not an Affiliate, as determined by the board of directors of the Borrower or such Restricted Subsidiary in good faith;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foregoing restrictions shall not apply to (a) transactions permitted by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(b) consummation of the Transactions and the payment of the Transaction Expenses, (c) the issuance of Capital Stock or Stock Equivalents of the Borrower (or any direct or indirect parent thereof) or any of its Subsidiaries not otherwise prohibited by the Credit Documents, (d) loans, advances and other transactions between or among the Borrower, any Restricted Subsidiary or any joint venture (regardless of the form of legal entity) in which the Borrower or any Subsidiary has invested (and which Subsidiary or joint venture would not be an Affiliate of the Borrower but for the Borrower’s or a Subsidiary’s ownership of Capital Stock or Stock Equivalents in such joint venture or Subsidiary) to the extent permitted under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(e)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(f) payments by the Borrower (and any direct or indirect parent thereof) and the Subsidiaries pursuant to the tax sharing agreements among the Borrower (and any such parent) and the Subsidiaries that are permitted under </w:t>
      </w:r>
      <w:r>
        <w:rPr>
          <w:rFonts w:ascii="Times New Roman;Times;Serif" w:hAnsi="Times New Roman;Times;Serif"/>
          <w:b w:val="false"/>
          <w:i w:val="false"/>
          <w:caps w:val="false"/>
          <w:smallCaps w:val="false"/>
          <w:sz w:val="20"/>
          <w:u w:val="single"/>
        </w:rPr>
        <w:t>Section 10.5(b)(15)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federal, state and/or local taxes for such fiscal year had the Borrower, the Restricted Subsidiaries and the Unrestricted Subsidiaries (to the extent described above) paid such taxes separately from any such direct or indirect parent company of the Borrower, (g)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 (h) transactions undertaken pursuant to membership in a purchasing consortium, (i)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Amendment No. 4 Effective Date as determined by the Borrower in good faith), (j)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transaction was not entered into in contemplation of such designation or redesignation, as applicable, and (k) any customary transactions with a Receivables Subsidiary effected as part of a Receivables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w:t>
      </w:r>
      <w:r>
        <w:rPr>
          <w:rFonts w:ascii="Times New Roman;Times;Serif" w:hAnsi="Times New Roman;Times;Serif"/>
          <w:b w:val="false"/>
          <w:i w:val="false"/>
          <w:caps w:val="false"/>
          <w:smallCaps w:val="false"/>
          <w:sz w:val="20"/>
          <w:u w:val="single"/>
        </w:rPr>
        <w:t>End of Fiscal Years</w:t>
      </w:r>
      <w:r>
        <w:rPr>
          <w:rFonts w:ascii="Times New Roman;Times;Serif" w:hAnsi="Times New Roman;Times;Serif"/>
          <w:b w:val="false"/>
          <w:i w:val="false"/>
          <w:caps w:val="false"/>
          <w:smallCaps w:val="false"/>
          <w:sz w:val="20"/>
        </w:rPr>
        <w:t xml:space="preserve">. The Borrower will, for financial reporting purposes, cause each of its, and each of the Restricted Subsidiaries’, fiscal years to end on dates consistent with past practice;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Borrower may, upon written notice to the Administrative Agent change the financial reporting convention specified 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w:t>
      </w:r>
      <w:r>
        <w:rPr>
          <w:rFonts w:ascii="Times New Roman;Times;Serif" w:hAnsi="Times New Roman;Times;Serif"/>
          <w:b w:val="false"/>
          <w:i w:val="false"/>
          <w:caps w:val="false"/>
          <w:smallCaps w:val="false"/>
          <w:sz w:val="20"/>
          <w:u w:val="single"/>
        </w:rPr>
        <w:t>Additional Guarantors and Grantors</w:t>
      </w:r>
      <w:r>
        <w:rPr>
          <w:rFonts w:ascii="Times New Roman;Times;Serif" w:hAnsi="Times New Roman;Times;Serif"/>
          <w:b w:val="false"/>
          <w:i w:val="false"/>
          <w:caps w:val="false"/>
          <w:smallCaps w:val="false"/>
          <w:sz w:val="20"/>
        </w:rPr>
        <w:t xml:space="preserve">. Subject to any applicable limitations set forth in the Security Documents, (x) the Borrower will cause each direct or indirect Subsidiary (other than any Excluded Subsidiary) formed or otherwise purchased or acquired after the Closing Date (including pursuant to a Permitted Acquisition) and the Borrower will cause each other Subsidiary that ceases to constitute an Excluded Subsidiary and (y) subject to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Holdings will cause each direct or indirect Subsidiary (other than the Borrower and its Subsidiaries) formed or otherwise purchased or acquired after the Closing Date that directly or indirectly through a Subsidiary owns or holds any Capital Stock or Stock Equivalents of the Borrower that is required to Guarantee the Obligations pursuant to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in each case, within 60 days from the date of such formation, acquisition or cessation, as applicable (or such longer period as the Administrative Agent may agree in its reasonable discretion), and the Borrower may at its option cause any other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Borrower and the Subsidiary Credit Parties (or in the case of clause (y) above, to substantially the same extent as created and perfected by Holdings and the Texas Intermediate Holdcos) on the Closing Date and pursuant to </w:t>
      </w:r>
      <w:r>
        <w:rPr>
          <w:rFonts w:ascii="Times New Roman;Times;Serif" w:hAnsi="Times New Roman;Times;Serif"/>
          <w:b w:val="false"/>
          <w:i w:val="false"/>
          <w:caps w:val="false"/>
          <w:smallCaps w:val="false"/>
          <w:sz w:val="20"/>
          <w:u w:val="single"/>
        </w:rPr>
        <w:t>Section 9.14(d)</w:t>
      </w:r>
      <w:r>
        <w:rPr>
          <w:rFonts w:ascii="Times New Roman;Times;Serif" w:hAnsi="Times New Roman;Times;Serif"/>
          <w:b w:val="false"/>
          <w:i w:val="false"/>
          <w:caps w:val="false"/>
          <w:smallCaps w:val="false"/>
          <w:sz w:val="20"/>
        </w:rPr>
        <w:t xml:space="preserve"> in the case of such Credit Parties.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9.12       </w:t>
      </w:r>
      <w:r>
        <w:rPr>
          <w:rFonts w:ascii="Times New Roman;Times;Serif" w:hAnsi="Times New Roman;Times;Serif"/>
          <w:b w:val="false"/>
          <w:i w:val="false"/>
          <w:caps w:val="false"/>
          <w:smallCaps w:val="false"/>
          <w:sz w:val="20"/>
          <w:u w:val="single"/>
        </w:rPr>
        <w:t>Pledge of Additional Stock and Evidence of Indebtedness</w:t>
      </w:r>
      <w:r>
        <w:rPr>
          <w:rFonts w:ascii="Times New Roman;Times;Serif" w:hAnsi="Times New Roman;Times;Serif"/>
          <w:b w:val="false"/>
          <w:i w:val="false"/>
          <w:caps w:val="false"/>
          <w:smallCaps w:val="false"/>
          <w:sz w:val="20"/>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$45,000,000 and (b) 10% of Consolidated EBITDA for the most recently ended Test Period (calculated on a Pro Forma Basis) at the time of any disposition of assets pursuant to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received by Holdings, the Borrower or any of the Guarantors in connection with any disposition of assets pursuant to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and (iii) any promissory notes executed after the Closing Date evidencing Indebtedness in excess of the greater of (a) $45,000,000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the Borrower and/or its Subsidiaries need not be delivered to the Collateral Agent so long as (i) a global intercompany note superseding such promissory note has been delivered to the Collateral Agent, (ii) such promissory note is not delivered to any other party other than the Borrower or any Subsidiary Credit Party, in each case, owed money thereunder, and (iii) such promissory note indicates on its face that it is subject to the security interest of the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will use Letters of Credit and Revolving Loans for working capital and general corporate purposes (including to finance the Transactions and any transaction not prohibited by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will not request any Borrowing or Letter of Credit, and each Credit Party shall not use, and shall procure that its Subsidiaries and its or their respective directors, officers, employees and agents shall not use, the proceeds of any Borrowing or Letter of Credit </w:t>
      </w:r>
      <w:r>
        <w:rPr>
          <w:rFonts w:ascii="Times New Roman;Times;Serif" w:hAnsi="Times New Roman;Times;Serif"/>
          <w:b w:val="false"/>
          <w:i w:val="false"/>
          <w:caps w:val="false"/>
          <w:smallCaps w:val="false"/>
          <w:color w:val="0000FF"/>
          <w:sz w:val="20"/>
          <w:u w:val="single"/>
          <w:bdr w:val="single" w:sz="8" w:space="1" w:color="0000FF"/>
        </w:rPr>
        <w:t xml:space="preserve">(i) in furtherance of an offer, payment, promise to pay, or authorization of the payment or giving of money, or anything else of value, to any Person in violation of any applicable Anti-Corruption Laws, (ii) for the purpose of funding, financing or facilitating any activities, business or transaction of or with any Sanctioned Person, or in any Sanctioned Country, except to the extent permitted for a Person required to comply with applicable Sanctions, or (iii) </w:t>
      </w:r>
      <w:r>
        <w:rPr>
          <w:rFonts w:ascii="Times New Roman;Times;Serif" w:hAnsi="Times New Roman;Times;Serif"/>
          <w:b w:val="false"/>
          <w:i w:val="false"/>
          <w:caps w:val="false"/>
          <w:smallCaps w:val="false"/>
          <w:sz w:val="20"/>
        </w:rPr>
        <w:t xml:space="preserve">in any manner that would result in the violation of any </w:t>
      </w:r>
      <w:r>
        <w:rPr>
          <w:rFonts w:ascii="Times New Roman;Times;Serif" w:hAnsi="Times New Roman;Times;Serif"/>
          <w:b w:val="false"/>
          <w:i w:val="false"/>
          <w:caps w:val="false"/>
          <w:smallCaps w:val="false"/>
          <w:strike/>
          <w:color w:val="FF0000"/>
          <w:sz w:val="20"/>
        </w:rPr>
        <w:t xml:space="preserve">Anti-Corruption Laws or </w:t>
      </w:r>
      <w:r>
        <w:rPr>
          <w:rFonts w:ascii="Times New Roman;Times;Serif" w:hAnsi="Times New Roman;Times;Serif"/>
          <w:b w:val="false"/>
          <w:i w:val="false"/>
          <w:caps w:val="false"/>
          <w:smallCaps w:val="false"/>
          <w:sz w:val="20"/>
        </w:rPr>
        <w:t>Sanctions applicable to any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of </w:t>
      </w:r>
      <w:r>
        <w:rPr>
          <w:rFonts w:ascii="Times New Roman;Times;Serif" w:hAnsi="Times New Roman;Times;Serif"/>
          <w:b w:val="false"/>
          <w:i w:val="false"/>
          <w:caps w:val="false"/>
          <w:smallCaps w:val="false"/>
          <w:sz w:val="20"/>
          <w:u w:val="single"/>
        </w:rPr>
        <w:t>Sections 9.11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9.12</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reasonably determined by the Borrower in consultation with the Administrative Agent, if any assets (other than Excluded Property) (including any real estate or improvements thereto or any interest therein but excluding any real estate which the applicable Credit Party intends to dispose of pursuant to a Permitted Sale Leaseback so long as actually disposed of within 270 days of acquisition (or such longer period as the Administrative Agent may reasonably agree)) with a book value in excess of the greater of (a) $25,000,000 and (b) 5% of Consolidated EBITDA for the most recently ended Test Period (calculated on a Pro Forma Basis) (at the time of acquisition) are acquired by the Borrower or any other Subsidiary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the Borrower will cause such assets to be subjected to a Lien securing the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any Mortgage delivered pursuant to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9.14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Mortgage delivered to the Administrative Agent in accordance with the preceding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if requested by the Collateral Agent, be received as soon as commercially reasonable but in no event later than 90 days (except as set forth in the preceding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or as otherwise permitted by the Administrative Agent and otherwise in form and substance reasonably acceptable to the Administrative Agent, together with such endorsements, coinsurance and reinsurance as the Administrative Agent may reasonably request but only to the extent such endorsements are (i) available in the relevant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evidence of insurance required by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above. Notwithstanding the foregoing, the Administrative Agent shall not enter into any Mortgage in respect of any real property acquired by the Borrower or any other Credit Party after the Closing Date until (1) the date that occurs 45 days after the Administrative Agent has delivered to the Lenders (which may be delivered electronically) the following documents in respect of such real property: (i) a completed flood hazard determination from a third party vendor; (ii) if such real property is located in a “special flood hazard area”, (A) a notification to the Borrower (or applicable Credit Party) of that fact and (if applicable) notification to the Borrower(or applicable Credit Party)  that flood insurance coverage is not available and (B) evidence of the receipt by the Borrower (or applicable Credit Party) of such notice; and (iii) if such notice is required to be provided to the Borrower (or applicable Credit Party) and flood insurance is available in the community in which such real property is located, evidence of required flood insurance and (2) the Administrative Agent shall have received written confirmation from the Lenders that the flood insurance due diligence and flood insurance compliance has been completed by the Lenders (such written confirmation not to be unreasonably conditioned, withheld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Post-Closing Covenant</w:t>
      </w:r>
      <w:r>
        <w:rPr>
          <w:rFonts w:ascii="Times New Roman;Times;Serif" w:hAnsi="Times New Roman;Times;Serif"/>
          <w:b w:val="false"/>
          <w:i w:val="false"/>
          <w:caps w:val="false"/>
          <w:smallCaps w:val="false"/>
          <w:sz w:val="20"/>
        </w:rPr>
        <w:t xml:space="preserve">. The Borrower agrees that it will, or will cause its relevant Subsidiaries to, complete each of the actions described on </w:t>
      </w:r>
      <w:r>
        <w:rPr>
          <w:rFonts w:ascii="Times New Roman;Times;Serif" w:hAnsi="Times New Roman;Times;Serif"/>
          <w:b w:val="false"/>
          <w:i w:val="false"/>
          <w:caps w:val="false"/>
          <w:smallCaps w:val="false"/>
          <w:sz w:val="20"/>
          <w:u w:val="single"/>
        </w:rPr>
        <w:t>Schedule 9.14</w:t>
      </w:r>
      <w:r>
        <w:rPr>
          <w:rFonts w:ascii="Times New Roman;Times;Serif" w:hAnsi="Times New Roman;Times;Serif"/>
          <w:b w:val="false"/>
          <w:i w:val="false"/>
          <w:caps w:val="false"/>
          <w:smallCaps w:val="false"/>
          <w:sz w:val="20"/>
        </w:rPr>
        <w:t xml:space="preserve"> as soon as commercially reasonable and by no later than the date set forth in </w:t>
      </w:r>
      <w:r>
        <w:rPr>
          <w:rFonts w:ascii="Times New Roman;Times;Serif" w:hAnsi="Times New Roman;Times;Serif"/>
          <w:b w:val="false"/>
          <w:i w:val="false"/>
          <w:caps w:val="false"/>
          <w:smallCaps w:val="false"/>
          <w:sz w:val="20"/>
          <w:u w:val="single"/>
        </w:rPr>
        <w:t>Schedule 9.14</w:t>
      </w:r>
      <w:r>
        <w:rPr>
          <w:rFonts w:ascii="Times New Roman;Times;Serif" w:hAnsi="Times New Roman;Times;Serif"/>
          <w:b w:val="false"/>
          <w:i w:val="false"/>
          <w:caps w:val="false"/>
          <w:smallCaps w:val="false"/>
          <w:sz w:val="20"/>
        </w:rPr>
        <w:t xml:space="preserve"> with respect to such action or such later date as the Administrative Agent may reasonably agree.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9.15       </w:t>
      </w:r>
      <w:r>
        <w:rPr>
          <w:rFonts w:ascii="Times New Roman;Times;Serif" w:hAnsi="Times New Roman;Times;Serif"/>
          <w:b w:val="false"/>
          <w:i w:val="false"/>
          <w:caps w:val="false"/>
          <w:smallCaps w:val="false"/>
          <w:sz w:val="20"/>
          <w:u w:val="single"/>
        </w:rPr>
        <w:t>Lines of Business</w:t>
      </w:r>
      <w:r>
        <w:rPr>
          <w:rFonts w:ascii="Times New Roman;Times;Serif" w:hAnsi="Times New Roman;Times;Serif"/>
          <w:b w:val="false"/>
          <w:i w:val="false"/>
          <w:caps w:val="false"/>
          <w:smallCaps w:val="false"/>
          <w:sz w:val="20"/>
        </w:rPr>
        <w:t>. The Borrower and the Restricted Subsidiaries, taken as a whole, will not fundamentally and substantively alter the character of their business, taken as a whole, from the business conducted by the Borrower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w:t>
      </w:r>
      <w:r>
        <w:rPr>
          <w:rFonts w:ascii="Times New Roman;Times;Serif" w:hAnsi="Times New Roman;Times;Serif"/>
          <w:b w:val="false"/>
          <w:i w:val="false"/>
          <w:caps w:val="false"/>
          <w:smallCaps w:val="false"/>
          <w:sz w:val="20"/>
          <w:u w:val="single"/>
        </w:rPr>
        <w:t>Cash Management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Each Credit Party shall use commercially reasonable efforts to enter into control agreements (each, a “</w:t>
      </w:r>
      <w:r>
        <w:rPr>
          <w:rFonts w:ascii="Times New Roman;Times;Serif" w:hAnsi="Times New Roman;Times;Serif"/>
          <w:b/>
          <w:i w:val="false"/>
          <w:caps w:val="false"/>
          <w:smallCaps w:val="false"/>
          <w:sz w:val="20"/>
        </w:rPr>
        <w:t>Blocked Account Agreement</w:t>
      </w:r>
      <w:r>
        <w:rPr>
          <w:rFonts w:ascii="Times New Roman;Times;Serif" w:hAnsi="Times New Roman;Times;Serif"/>
          <w:b w:val="false"/>
          <w:i w:val="false"/>
          <w:caps w:val="false"/>
          <w:smallCaps w:val="false"/>
          <w:sz w:val="20"/>
        </w:rPr>
        <w:t>”) as soon as possible after the Restatement Effective Date and, in any event, shall have actually entered into such Blocked Account Agreements within 120 days after the Restatement Effective Date (or such later date approved by the Administrative Agent in its reasonable discretion), in a form reasonably satisfactory to the Administrative Agent, with the Administrative Agent and each other bank with which such Credit Party maintains a DDA located in the United States (other than an Excluded Account) (collectively, the “</w:t>
      </w:r>
      <w:r>
        <w:rPr>
          <w:rFonts w:ascii="Times New Roman;Times;Serif" w:hAnsi="Times New Roman;Times;Serif"/>
          <w:b/>
          <w:i w:val="false"/>
          <w:caps w:val="false"/>
          <w:smallCaps w:val="false"/>
          <w:sz w:val="20"/>
        </w:rPr>
        <w:t>Blocked Accounts</w:t>
      </w:r>
      <w:r>
        <w:rPr>
          <w:rFonts w:ascii="Times New Roman;Times;Serif" w:hAnsi="Times New Roman;Times;Serif"/>
          <w:b w:val="false"/>
          <w:i w:val="false"/>
          <w:caps w:val="false"/>
          <w:smallCaps w:val="false"/>
          <w:sz w:val="20"/>
        </w:rPr>
        <w:t xml:space="preserve">”); and (ii) upon delivery of such Blocked Account Agreements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the Borrower shall provide a schedule of DDAs, indicating for each DDA if such DDA is required to be subject to a Blocked Account Agreement pursuant to the Credit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Blocked Account Agreements with respect to each Blocked Account are not delivered to the Administrative Agent within 120 days after the Restatement Effective Date, each Credit Party shall move any such Account to the Administrative Agent or another depositary, subject to a Blocked Account Agreement in favor of the Administrative Agent.</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agrees that it will cause all proceeds of the ABL Priority Collateral (other than the Uncontrolled Cash and subject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below) to be deposited into a Blocked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Blocked Account Agreement of a Credit Party shall require (only during the continuance of a Cash Dominion Period and following delivery of notice of the commencement thereof from the Administrative Agent to the Borrower and the account bank party to such instrument or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notice shall not be delivered earlier than two Business Days following the start of a Cash Dominion Period), the ACH or wire transfer no less frequently than once per Business Day (but without limit on frequency if the Maturity Date shall have actually occurred), of all available cash balances and cash receipts, including the then contents or then entire ledger balance of each Blocked Account (net of such minimum balance as may be required to be maintained in the subject Blocked Account by the bank at which such Blocked Account is maintained and other than any Uncontrolled Cash), to one or more accounts maintained by the Administrative Agent (the “</w:t>
      </w:r>
      <w:r>
        <w:rPr>
          <w:rFonts w:ascii="Times New Roman;Times;Serif" w:hAnsi="Times New Roman;Times;Serif"/>
          <w:b/>
          <w:i w:val="false"/>
          <w:caps w:val="false"/>
          <w:smallCaps w:val="false"/>
          <w:sz w:val="20"/>
        </w:rPr>
        <w:t>Payment Accounts</w:t>
      </w:r>
      <w:r>
        <w:rPr>
          <w:rFonts w:ascii="Times New Roman;Times;Serif" w:hAnsi="Times New Roman;Times;Serif"/>
          <w:b w:val="false"/>
          <w:i w:val="false"/>
          <w:caps w:val="false"/>
          <w:smallCaps w:val="false"/>
          <w:sz w:val="20"/>
        </w:rPr>
        <w:t xml:space="preserve">”). Subject to the terms of the ABL Intercreditor Agreement, all amounts received in a Payment Account or such other account shall be applied (and allocated) by the Administrative Agent in accordance with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(except (A) pursuant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thereof and (B) to Secured Cash Management Obligations and Secured Hedge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after the occurrence and during the continuance of a Cash Dominion Period, any cash or Cash Equivalents owned by any Credit Party (other than (i) with respect to a Cash Dominion Period, an amount equal to the aggregate amount of cash and Cash Equivalents collected in Blocked Accounts during the first two Business Days of such Cash Dominion Period and that is on deposit in a segregated DDA which the Borrower designates in writing to the Administrative Agent as being the “uncontrolled cash account” (each such account, a “</w:t>
      </w:r>
      <w:r>
        <w:rPr>
          <w:rFonts w:ascii="Times New Roman;Times;Serif" w:hAnsi="Times New Roman;Times;Serif"/>
          <w:b/>
          <w:i w:val="false"/>
          <w:caps w:val="false"/>
          <w:smallCaps w:val="false"/>
          <w:sz w:val="20"/>
        </w:rPr>
        <w:t>Designated Disbursement Account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Designated Disbursement Accounts</w:t>
      </w:r>
      <w:r>
        <w:rPr>
          <w:rFonts w:ascii="Times New Roman;Times;Serif" w:hAnsi="Times New Roman;Times;Serif"/>
          <w:b w:val="false"/>
          <w:i w:val="false"/>
          <w:caps w:val="false"/>
          <w:smallCaps w:val="false"/>
          <w:sz w:val="20"/>
        </w:rPr>
        <w:t xml:space="preserve">”), which funds shall not thereafter be funded from, or when withdrawn from the Designated Disbursement Accounts, shall not be replenished by, funds constituting proceeds of the ABL Priority Collateral so long as such Cash Dominion Period continues, (ii) de minimis Permitted Investments from time to time inadvertently misapplied by any Credit Party, (iii) segregated accounts that are subject to Liens permitted pursuant to clauses (i) through (iv) of the definition of Permitted Liens and to the extent that, and for so long as, a grant of a security interest therein would violate or invalidate the agreement giving rise to such permitted lien and (iv) payroll, trust and tax withholding accounts funded in the ordinary course of business and required by applicable law and (each such account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Excluded Account</w:t>
      </w:r>
      <w:r>
        <w:rPr>
          <w:rFonts w:ascii="Times New Roman;Times;Serif" w:hAnsi="Times New Roman;Times;Serif"/>
          <w:b w:val="false"/>
          <w:i w:val="false"/>
          <w:caps w:val="false"/>
          <w:smallCaps w:val="false"/>
          <w:sz w:val="20"/>
        </w:rPr>
        <w:t>”)) are deposited to any account, or held or invested in any manner, otherwise than in a Blocked Account subject to a Blocked Account Agreement (or a DDA which swept daily to a Blocked Account) or a lockbox, the Administrative Agent shall be entitled to require the applicable Credit Party to close such account and have all funds therein transferred to a Blocked Account, and to cause all future deposits to be made to a Blocked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Credit Parties may close DDAs or Blocked Accounts and/or open new DDAs or Blocked Accounts without the Administrative Agent’s consent, subject to the prompt execution and delivery to the Administrative Agent of a Blocked Account Agreement to the extent required by the provisions of this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The Credit Parties may open or close Excluded Accounts at any time, without requirement of delivery of a Blocked Account Agreement without consent of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 long as no Cash Dominion Period is in effect, the Credit Parties may direct, and shall have sole control over, the manner of disposition of funds in their respective Blocked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Any amounts received in the Payment Accounts (including all interest and other earnings with respect thereto, if any) at any time after the payment in full of all Obligations (other than contingent indemnification obligations as to which no claim has been asserted and Secured Cash Management Obligations and Secured Hedge Obligations) and termination of the aggregate Commitments hereunder and (ii) any amounts that continue to be swept to the Payment Accounts after no Cash Dominion Period exists, shall, in each case, be remitted to the operating account of the Borrower as specified by the Borrower.</w:t>
      </w:r>
    </w:p>
    <w:p>
      <w:pPr>
        <w:pStyle w:val="TextBody"/>
        <w:bidi w:val="0"/>
        <w:spacing w:before="0" w:after="0"/>
        <w:ind w:left="0" w:right="0" w:firstLine="720"/>
        <w:jc w:val="both"/>
        <w:rPr/>
      </w:pPr>
      <w:r>
        <w:rPr/>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10.</w:t>
      </w:r>
      <w:r>
        <w:rPr>
          <w:rFonts w:ascii="Times New Roman;Times;Serif" w:hAnsi="Times New Roman;Times;Serif"/>
          <w:b w:val="false"/>
          <w:i w:val="false"/>
          <w:caps w:val="false"/>
          <w:smallCaps w:val="false"/>
          <w:sz w:val="20"/>
          <w:u w:val="single"/>
        </w:rPr>
        <w:t xml:space="preserve">       Negative Covenants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(and, with respect to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only, Holdings and each Intermediate Holdco) hereby covenants and agrees that on the Restatement Effective Date and thereafter, until the Commitments, the Swingline Commitment and each Letter of Credit have terminated or be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Limitation on Indebtedness</w:t>
      </w:r>
      <w:r>
        <w:rPr>
          <w:rFonts w:ascii="Times New Roman;Times;Serif" w:hAnsi="Times New Roman;Times;Serif"/>
          <w:b w:val="false"/>
          <w:i w:val="false"/>
          <w:caps w:val="false"/>
          <w:smallCaps w:val="false"/>
          <w:sz w:val="20"/>
        </w:rPr>
        <w:t>. The Borrower will not, and will not permit any of its Restricted Subsidiaries to create, incur, issue, assume, guarantee or otherwise become liable, contingently or otherwise (collectively, “</w:t>
      </w:r>
      <w:r>
        <w:rPr>
          <w:rFonts w:ascii="Times New Roman;Times;Serif" w:hAnsi="Times New Roman;Times;Serif"/>
          <w:b/>
          <w:i w:val="false"/>
          <w:caps w:val="false"/>
          <w:smallCaps w:val="false"/>
          <w:sz w:val="20"/>
        </w:rPr>
        <w:t>incur</w:t>
      </w:r>
      <w:r>
        <w:rPr>
          <w:rFonts w:ascii="Times New Roman;Times;Serif" w:hAnsi="Times New Roman;Times;Serif"/>
          <w:b w:val="false"/>
          <w:i w:val="false"/>
          <w:caps w:val="false"/>
          <w:smallCaps w:val="false"/>
          <w:sz w:val="20"/>
        </w:rPr>
        <w:t>” and collectively, an “</w:t>
      </w:r>
      <w:r>
        <w:rPr>
          <w:rFonts w:ascii="Times New Roman;Times;Serif" w:hAnsi="Times New Roman;Times;Serif"/>
          <w:b/>
          <w:i w:val="false"/>
          <w:caps w:val="false"/>
          <w:smallCaps w:val="false"/>
          <w:sz w:val="20"/>
        </w:rPr>
        <w:t>incurrence</w:t>
      </w:r>
      <w:r>
        <w:rPr>
          <w:rFonts w:ascii="Times New Roman;Times;Serif" w:hAnsi="Times New Roman;Times;Serif"/>
          <w:b w:val="false"/>
          <w:i w:val="false"/>
          <w:caps w:val="false"/>
          <w:smallCaps w:val="false"/>
          <w:sz w:val="20"/>
        </w:rPr>
        <w:t xml:space="preserv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and its Restricted Subsidiaries may incur unsecured Indebtedness (including Acquired Indebtedness) or issue shares of Disqualified Stock, and any Restricted Subsidiary may incur Indebtedness (including Acquired Indebtedness), issue shares of Disqualified Stock and issue shares of preferred stock;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only if the Payment Conditions are not satisfied, the final maturity of any such unsecured Indebtedness (including Acquired Indebtedness) shall not occur, and no such unsecured Indebtedness (including Acquired Indebtedness) shall require mandatory commitment reductions (other than customary amortization payments) prior to, the Latest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limitations will not apply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arising under the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 xml:space="preserve">      Indebtedness represented by the </w:t>
      </w:r>
      <w:r>
        <w:rPr>
          <w:rFonts w:ascii="Times New Roman;Times;Serif" w:hAnsi="Times New Roman;Times;Serif"/>
          <w:b w:val="false"/>
          <w:i w:val="false"/>
          <w:caps w:val="false"/>
          <w:smallCaps w:val="false"/>
          <w:strike/>
          <w:color w:val="FF0000"/>
          <w:sz w:val="20"/>
        </w:rPr>
        <w:t>Term Loan Facility and any guarantee thereof in an aggregate principal amount (together with any Refinancing Indebtedness in respect thereof and all accrued interest, fees and expenses) not to exceed the sum of (A) $400,000,000 and (B) the Maximum Incremental Facilities Amount (as defined in the Term Loan Credit Agreement) as of the date of such incurrence and (ii) Indebtedness represented by the 2027</w:t>
      </w:r>
      <w:r>
        <w:rPr>
          <w:rFonts w:ascii="Times New Roman;Times;Serif" w:hAnsi="Times New Roman;Times;Serif"/>
          <w:b w:val="false"/>
          <w:i w:val="false"/>
          <w:caps w:val="false"/>
          <w:smallCaps w:val="false"/>
          <w:color w:val="0000FF"/>
          <w:sz w:val="20"/>
          <w:u w:val="single"/>
          <w:bdr w:val="single" w:sz="8" w:space="1" w:color="0000FF"/>
        </w:rPr>
        <w:t>2031</w:t>
      </w:r>
      <w:r>
        <w:rPr>
          <w:rFonts w:ascii="Times New Roman;Times;Serif" w:hAnsi="Times New Roman;Times;Serif"/>
          <w:b w:val="false"/>
          <w:i w:val="false"/>
          <w:caps w:val="false"/>
          <w:smallCaps w:val="false"/>
          <w:sz w:val="20"/>
        </w:rPr>
        <w:t xml:space="preserve"> Senior Notes and any guarantee thereof in an aggregate principal amount (together with any Refinancing Indebtedness in respect thereof and all accrued interest, fees and expenses) not to exceed the sum of (A) $</w:t>
      </w:r>
      <w:r>
        <w:rPr>
          <w:rFonts w:ascii="Times New Roman;Times;Serif" w:hAnsi="Times New Roman;Times;Serif"/>
          <w:b w:val="false"/>
          <w:i w:val="false"/>
          <w:caps w:val="false"/>
          <w:smallCaps w:val="false"/>
          <w:strike/>
          <w:color w:val="FF0000"/>
          <w:sz w:val="20"/>
        </w:rPr>
        <w:t>400,000,000</w:t>
      </w:r>
      <w:r>
        <w:rPr>
          <w:rFonts w:ascii="Times New Roman;Times;Serif" w:hAnsi="Times New Roman;Times;Serif"/>
          <w:b w:val="false"/>
          <w:i w:val="false"/>
          <w:caps w:val="false"/>
          <w:smallCaps w:val="false"/>
          <w:color w:val="0000FF"/>
          <w:sz w:val="20"/>
          <w:u w:val="single"/>
          <w:bdr w:val="single" w:sz="8" w:space="1" w:color="0000FF"/>
        </w:rPr>
        <w:t>500,000,000</w:t>
      </w:r>
      <w:r>
        <w:rPr>
          <w:rFonts w:ascii="Times New Roman;Times;Serif" w:hAnsi="Times New Roman;Times;Serif"/>
          <w:b w:val="false"/>
          <w:i w:val="false"/>
          <w:caps w:val="false"/>
          <w:smallCaps w:val="false"/>
          <w:sz w:val="20"/>
        </w:rPr>
        <w:t xml:space="preserve"> and (B) the </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Maximum Incremental </w:t>
      </w:r>
      <w:r>
        <w:rPr>
          <w:rFonts w:ascii="Times New Roman;Times;Serif" w:hAnsi="Times New Roman;Times;Serif"/>
          <w:b w:val="false"/>
          <w:i w:val="false"/>
          <w:caps w:val="false"/>
          <w:smallCaps w:val="false"/>
          <w:strike/>
          <w:color w:val="FF0000"/>
          <w:sz w:val="20"/>
        </w:rPr>
        <w:t>Notes Amount</w:t>
      </w:r>
      <w:r>
        <w:rPr>
          <w:rFonts w:ascii="Times New Roman;Times;Serif" w:hAnsi="Times New Roman;Times;Serif"/>
          <w:b w:val="false"/>
          <w:i w:val="false"/>
          <w:caps w:val="false"/>
          <w:smallCaps w:val="false"/>
          <w:color w:val="0000FF"/>
          <w:sz w:val="20"/>
          <w:u w:val="single"/>
          <w:bdr w:val="single" w:sz="8" w:space="1" w:color="0000FF"/>
        </w:rPr>
        <w:t>Facilities Amount”</w:t>
      </w:r>
      <w:r>
        <w:rPr>
          <w:rFonts w:ascii="Times New Roman;Times;Serif" w:hAnsi="Times New Roman;Times;Serif"/>
          <w:b w:val="false"/>
          <w:i w:val="false"/>
          <w:caps w:val="false"/>
          <w:smallCaps w:val="false"/>
          <w:sz w:val="20"/>
        </w:rPr>
        <w:t xml:space="preserve"> (as defined in the </w:t>
      </w:r>
      <w:r>
        <w:rPr>
          <w:rFonts w:ascii="Times New Roman;Times;Serif" w:hAnsi="Times New Roman;Times;Serif"/>
          <w:b w:val="false"/>
          <w:i w:val="false"/>
          <w:caps w:val="false"/>
          <w:smallCaps w:val="false"/>
          <w:strike/>
          <w:color w:val="FF0000"/>
          <w:sz w:val="20"/>
        </w:rPr>
        <w:t>Notes Agreement</w:t>
      </w:r>
      <w:r>
        <w:rPr>
          <w:rFonts w:ascii="Times New Roman;Times;Serif" w:hAnsi="Times New Roman;Times;Serif"/>
          <w:b w:val="false"/>
          <w:i w:val="false"/>
          <w:caps w:val="false"/>
          <w:smallCaps w:val="false"/>
          <w:color w:val="0000FF"/>
          <w:sz w:val="20"/>
          <w:u w:val="single"/>
          <w:bdr w:val="single" w:sz="8" w:space="1" w:color="0000FF"/>
        </w:rPr>
        <w:t>Term Loan Credit Agreement as in effect immediately prior to the Amendment No. 5 Effective Date , provided, it being agreed and acknowledged that such definition (and all reference therein) shall be deemed to survive any termination of the Term Loan Credit Agreement (including, for avoidance of doubt, through repayment of all outstanding Term Loans) for the purposes of this Section 10.1(b)</w:t>
      </w:r>
      <w:r>
        <w:rPr>
          <w:rFonts w:ascii="Times New Roman;Times;Serif" w:hAnsi="Times New Roman;Times;Serif"/>
          <w:b w:val="false"/>
          <w:i w:val="false"/>
          <w:caps w:val="false"/>
          <w:smallCaps w:val="false"/>
          <w:sz w:val="20"/>
        </w:rPr>
        <w:t>) as of the date of such incurrence;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Indebtedness (including any unused commitment) outstanding on the Amendment No. 4 Effective Date listed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and (ii) intercompany Indebtedness (including any unused commitment) outstanding on the Amendment No. 4 Effective Date listed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(other than intercompany Indebtedness owed by a Credit Party to another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on-balance sheet Indebtedness of the Borrower or such Restricted Subsidiary, in an aggregate principal amount which, when aggregated with the principal amount of all other Indebtedness, Disqualified Stock and preferred stock then outstanding and incurred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and all Refinancing Indebtedness incurred to refinance any other Indebtedness, Disqualified Stock and preferred stock incurred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does not exceed the greater of (x) $295,000,000 and (y) 35% of Consolidated EBITDA for the most recently ended Test Period (calculated on a Pro Forma Basis) at the time of incurrence;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Capitalized Lease Obligations incurred by the Borrower or any Restricted Subsidiary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in connection with a Permitted Sale Leaseback shall not be subject to the foregoing limitation so long as the proceeds of such Permitted Sale Leaseback are used by the Borrower or such Restricted Subsidiary to permanently repay outstanding Term Loans or other Indebtedness secured by a Lien on the assets subject to such Permitted Sale Leaseback (excluding any Lien ranking junior to the Lien securing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Indebtedness of the Borrower to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Indebtedness owing to a Restricted Subsidiary that is not a Subsidiary Guarantor is subordinated in right of payment to the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Indebtedness of a Restricted Subsidiary owing to another Restricted Subsidiary or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Subsidiary Guarantor incurs such Indebtedness owing to a Restricted Subsidiary that is not a Subsidiary Guarantor, such Indebtedness is subordinated in right of payment to the Guarantee of such Subsidiary Guarantor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subsequent transfer of any such Indebtedness (except to the Borrower or another Subsidiary Guarantor) shall be deemed, in each case to be an incurrence of such Indebtedness not permitted by this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shares of preferred stock of a Restricted Subsidiary issued to the Borrower or another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Hedging Obligations (excluding Hedging Obligations entered into for speculative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obligations in respect of self-insurance,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 Indebtedness, Disqualified Stock and preferred stock of the Borrower or any Restricted Subsidiary in an aggregate principal amount or liquidation preference (together with any Refinancing Indebtedness in respect thereof) up to 100% of the net cash proceeds received by the Borrower since immediately after the Restatement Effective Date from the issue or sale of Equity Interests of the Borrower or cash contributed to the capital of the Borrower (in each case, other than Excluded Contributions, any Cure Amount or proceeds of Disqualified Stock or sales of Equity Interests to any of the Borrower’s Subsidiaries) as determined in accordance with </w:t>
      </w:r>
      <w:r>
        <w:rPr>
          <w:rFonts w:ascii="Times New Roman;Times;Serif" w:hAnsi="Times New Roman;Times;Serif"/>
          <w:b w:val="false"/>
          <w:i w:val="false"/>
          <w:caps w:val="false"/>
          <w:smallCaps w:val="false"/>
          <w:sz w:val="20"/>
          <w:u w:val="single"/>
        </w:rPr>
        <w:t>Sections 10.5(a)(iii)(B)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10.5(a)(iii)(C)</w:t>
      </w:r>
      <w:r>
        <w:rPr>
          <w:rFonts w:ascii="Times New Roman;Times;Serif" w:hAnsi="Times New Roman;Times;Serif"/>
          <w:b w:val="false"/>
          <w:i w:val="false"/>
          <w:caps w:val="false"/>
          <w:smallCaps w:val="false"/>
          <w:sz w:val="20"/>
        </w:rPr>
        <w:t xml:space="preserve"> to the extent such net cash proceeds or cash have not been applied pursuant to such clauses to make Restricted Payments or to make other Investments, payments or exchanges pursuant to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or to make Permitted Investments (other than Permitted Investments specified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Times New Roman;Times;Serif" w:hAnsi="Times New Roman;Times;Serif"/>
          <w:b w:val="false"/>
          <w:i w:val="false"/>
          <w:caps w:val="false"/>
          <w:smallCaps w:val="false"/>
          <w:sz w:val="20"/>
          <w:u w:val="single"/>
        </w:rPr>
        <w:t>clause (l)(ii)</w:t>
      </w:r>
      <w:r>
        <w:rPr>
          <w:rFonts w:ascii="Times New Roman;Times;Serif" w:hAnsi="Times New Roman;Times;Serif"/>
          <w:b w:val="false"/>
          <w:i w:val="false"/>
          <w:caps w:val="false"/>
          <w:smallCaps w:val="false"/>
          <w:sz w:val="20"/>
        </w:rPr>
        <w:t xml:space="preserve">, does not at any one time outstanding exceed the greater of (x) $420,000,000 and (y) 50% of Consolidated EBITDA for the most recently ended Test Period (calculated on a Pro Forma Basis) at the time of incurrence (it being understood that any Indebtedness, Disqualified Stock or preferred stock incurred pursuant to this </w:t>
      </w:r>
      <w:r>
        <w:rPr>
          <w:rFonts w:ascii="Times New Roman;Times;Serif" w:hAnsi="Times New Roman;Times;Serif"/>
          <w:b w:val="false"/>
          <w:i w:val="false"/>
          <w:caps w:val="false"/>
          <w:smallCaps w:val="false"/>
          <w:sz w:val="20"/>
          <w:u w:val="single"/>
        </w:rPr>
        <w:t>clause (l)(ii)</w:t>
      </w:r>
      <w:r>
        <w:rPr>
          <w:rFonts w:ascii="Times New Roman;Times;Serif" w:hAnsi="Times New Roman;Times;Serif"/>
          <w:b w:val="false"/>
          <w:i w:val="false"/>
          <w:caps w:val="false"/>
          <w:smallCaps w:val="false"/>
          <w:sz w:val="20"/>
        </w:rPr>
        <w:t xml:space="preserve"> shall cease to be deemed incurred or outstanding for purposes of this </w:t>
      </w:r>
      <w:r>
        <w:rPr>
          <w:rFonts w:ascii="Times New Roman;Times;Serif" w:hAnsi="Times New Roman;Times;Serif"/>
          <w:b w:val="false"/>
          <w:i w:val="false"/>
          <w:caps w:val="false"/>
          <w:smallCaps w:val="false"/>
          <w:sz w:val="20"/>
          <w:u w:val="single"/>
        </w:rPr>
        <w:t>clause (l)(ii)</w:t>
      </w:r>
      <w:r>
        <w:rPr>
          <w:rFonts w:ascii="Times New Roman;Times;Serif" w:hAnsi="Times New Roman;Times;Serif"/>
          <w:b w:val="false"/>
          <w:i w:val="false"/>
          <w:caps w:val="false"/>
          <w:smallCaps w:val="false"/>
          <w:sz w:val="20"/>
        </w:rPr>
        <w:t xml:space="preserve"> but shall be deemed incurred for the purposes of the first paragraph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from and after the first date on which the Borrower or such Restricted Subsidiary could have incurred such Indebtedness, Disqualified Stock or preferred stock under the first paragraph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without reliance on this </w:t>
      </w:r>
      <w:r>
        <w:rPr>
          <w:rFonts w:ascii="Times New Roman;Times;Serif" w:hAnsi="Times New Roman;Times;Serif"/>
          <w:b w:val="false"/>
          <w:i w:val="false"/>
          <w:caps w:val="false"/>
          <w:smallCaps w:val="false"/>
          <w:sz w:val="20"/>
          <w:u w:val="single"/>
        </w:rPr>
        <w:t>clause (l)(ii)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incurrence or issuance by the Borrower or any Restricted Subsidiary of Indebtedness, Disqualified Stock or preferred stock which serves to refinance any Indebtedness, Disqualified Stock or preferred stock incurred as permitted under the first paragraph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(l)(i)</w:t>
      </w:r>
      <w:r>
        <w:rPr>
          <w:rFonts w:ascii="Times New Roman;Times;Serif" w:hAnsi="Times New Roman;Times;Serif"/>
          <w:b w:val="false"/>
          <w:i w:val="false"/>
          <w:caps w:val="false"/>
          <w:smallCaps w:val="false"/>
          <w:sz w:val="20"/>
        </w:rPr>
        <w:t xml:space="preserve"> above, this </w:t>
      </w:r>
      <w:r>
        <w:rPr>
          <w:rFonts w:ascii="Times New Roman;Times;Serif" w:hAnsi="Times New Roman;Times;Serif"/>
          <w:b w:val="false"/>
          <w:i w:val="false"/>
          <w:caps w:val="false"/>
          <w:smallCaps w:val="false"/>
          <w:sz w:val="20"/>
          <w:u w:val="single"/>
        </w:rPr>
        <w:t>clause (m)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clause (w)</w:t>
      </w:r>
      <w:r>
        <w:rPr>
          <w:rFonts w:ascii="Times New Roman;Times;Serif" w:hAnsi="Times New Roman;Times;Serif"/>
          <w:b w:val="false"/>
          <w:i w:val="false"/>
          <w:caps w:val="false"/>
          <w:smallCaps w:val="false"/>
          <w:sz w:val="20"/>
        </w:rPr>
        <w:t xml:space="preserve"> below or any Indebtedness, Disqualified Stock or preferred stock issued to so refinance, replace, refund, extend, renew, defease, restructure, amend, restate or otherwise modify (collectively, “</w:t>
      </w:r>
      <w:r>
        <w:rPr>
          <w:rFonts w:ascii="Times New Roman;Times;Serif" w:hAnsi="Times New Roman;Times;Serif"/>
          <w:b/>
          <w:i w:val="false"/>
          <w:caps w:val="false"/>
          <w:smallCaps w:val="false"/>
          <w:sz w:val="20"/>
        </w:rPr>
        <w:t>refinance</w:t>
      </w:r>
      <w:r>
        <w:rPr>
          <w:rFonts w:ascii="Times New Roman;Times;Serif" w:hAnsi="Times New Roman;Times;Serif"/>
          <w:b w:val="false"/>
          <w:i w:val="false"/>
          <w:caps w:val="false"/>
          <w:smallCaps w:val="false"/>
          <w:sz w:val="20"/>
        </w:rPr>
        <w:t>”) such Indebtedness, Disqualified Stock or preferred stock (the “</w:t>
      </w:r>
      <w:r>
        <w:rPr>
          <w:rFonts w:ascii="Times New Roman;Times;Serif" w:hAnsi="Times New Roman;Times;Serif"/>
          <w:b/>
          <w:i w:val="false"/>
          <w:caps w:val="false"/>
          <w:smallCaps w:val="false"/>
          <w:sz w:val="20"/>
        </w:rPr>
        <w:t>Refinancing Indebtedness</w:t>
      </w:r>
      <w:r>
        <w:rPr>
          <w:rFonts w:ascii="Times New Roman;Times;Serif" w:hAnsi="Times New Roman;Times;Serif"/>
          <w:b w:val="false"/>
          <w:i w:val="false"/>
          <w:caps w:val="false"/>
          <w:smallCaps w:val="false"/>
          <w:sz w:val="20"/>
        </w:rPr>
        <w:t xml:space="preserve">”) prior to its respective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the Borrower that is not a Subsidiary Guarantor that refinances Indebtedness, Disqualified Stock or preferred stock of the Borrower or a Subsidiary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Indebtedness, Disqualified Stock or preferred stock of (x) the Borrower or a Restricted Subsidiary incurred or issued to finance an acquisition, merger, or consolidation;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amount of Indebtedness (other than Acquired Indebtedness), Disqualified Stock and preferred stock that may be incurred pursuant to the foregoing, together with any amounts incurred under the first paragraph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by Restricted Subsidiaries that are not Guarantors shall not exceed the greater of (i) $340,000,000 and (ii) 40% of Consolidated EBITDA for the most recently ended Test Period (calculated on a Pro Forma Basis) at any one time outstanding, or (y) Persons that are acquired by the Borrower or any Restricted Subsidiary or merged into or consolidated with the Borrower or a Restricted Subsidiary in accordance with the terms hereof (including designating an Unrestricted Subsidiary a Restricted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to any such acquisition, merger, consolidation or designation described in this </w:t>
      </w:r>
      <w:r>
        <w:rPr>
          <w:rFonts w:ascii="Times New Roman;Times;Serif" w:hAnsi="Times New Roman;Times;Serif"/>
          <w:b w:val="false"/>
          <w:i w:val="false"/>
          <w:caps w:val="false"/>
          <w:smallCaps w:val="false"/>
          <w:sz w:val="20"/>
          <w:u w:val="single"/>
        </w:rPr>
        <w:t>clause (n)</w:t>
      </w:r>
      <w:r>
        <w:rPr>
          <w:rFonts w:ascii="Times New Roman;Times;Serif" w:hAnsi="Times New Roman;Times;Serif"/>
          <w:b w:val="false"/>
          <w:i w:val="false"/>
          <w:caps w:val="false"/>
          <w:smallCaps w:val="false"/>
          <w:sz w:val="20"/>
        </w:rPr>
        <w:t xml:space="preserve">, (i) either (1) the Fixed Charge Coverage Ratio (as defined in the Term Loan Credit Agreement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w:t>
      </w:r>
      <w:r>
        <w:rPr>
          <w:rFonts w:ascii="Times New Roman;Times;Serif" w:hAnsi="Times New Roman;Times;Serif"/>
          <w:b w:val="false"/>
          <w:i w:val="false"/>
          <w:caps w:val="false"/>
          <w:smallCaps w:val="false"/>
          <w:sz w:val="20"/>
        </w:rPr>
        <w:t>, it being agreed and acknowledged that such definition (and all references therein) shall be deemed to survive any termination of the Term Loan Credit Agreement (including, for avoidance of doubt, through repayment of all outstanding Term Loans) for the purposes of this Section 10.1(n)) of the Borrower and the Restricted Subsidiaries (calculated on a pro forma basis) would be at least 2.00 to 1.00 or (2) the Fixed Charge Coverage Ratio (as defined in the Term Loan Credit Agreement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w:t>
      </w:r>
      <w:r>
        <w:rPr>
          <w:rFonts w:ascii="Times New Roman;Times;Serif" w:hAnsi="Times New Roman;Times;Serif"/>
          <w:b w:val="false"/>
          <w:i w:val="false"/>
          <w:caps w:val="false"/>
          <w:smallCaps w:val="false"/>
          <w:sz w:val="20"/>
        </w:rPr>
        <w:t xml:space="preserve"> of the Borrower and the Restricted Subsidiaries is equal to or greater than that immediately prior to such acquisition, merger, consolidation or designation or (ii) either (1) the Consolidated Total Debt to Consolidated EBITDA Ratio (calculated on a Pro Forma Basis) shall be either (A) less than or equal to the Consolidated Total Debt to Consolidated EBITDA Ratio immediate prior to such acquisition, merger, consolidation or designation or (2) less than or equal to 6.25:1.00;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such Indebtedness incurred under this clause (n) (x) shall not take the form of a separate asset based lending facility and (y) shall not be secured by a first priority lien on the ABL Priority Collateral;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Indebtedness arising from the honoring by a bank or other financial institution of a check, draft or similar instrument drawn against insufficient funds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(i) Indebtedness of the Borrower or any Restricted Subsidiary supported by a letter of credit, in a principal amount not in excess of the stated amount of such letter of credit so long as such letter of credit is otherwise permitted to be incurred pursuant to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(ii) 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(2) any guarantee by a Restricted Subsidiary of Indebtedness of the Borrower or (3) any co-issuance by Academy Finance Corporation of Indebtedness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Indebtedness of Restricted Subsidiaries that are not Guarantors;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principal amount of such Indebtedness of which the primary obligor or a guarantor is a Restricted Subsidiary that is not a Guarantor shall not exceed, in the aggregate at any one time outstanding, the greater of (x) $215,000,000 and (y) 25.5% of Consolidated EBITDA for the most recently ended Test Period (calculated on a Pro Forma Basis) (it being understood that any Indebtedness incurred pursuant to this </w:t>
      </w:r>
      <w:r>
        <w:rPr>
          <w:rFonts w:ascii="Times New Roman;Times;Serif" w:hAnsi="Times New Roman;Times;Serif"/>
          <w:b w:val="false"/>
          <w:i w:val="false"/>
          <w:caps w:val="false"/>
          <w:smallCaps w:val="false"/>
          <w:sz w:val="20"/>
          <w:u w:val="single"/>
        </w:rPr>
        <w:t>clause (r)</w:t>
      </w:r>
      <w:r>
        <w:rPr>
          <w:rFonts w:ascii="Times New Roman;Times;Serif" w:hAnsi="Times New Roman;Times;Serif"/>
          <w:b w:val="false"/>
          <w:i w:val="false"/>
          <w:caps w:val="false"/>
          <w:smallCaps w:val="false"/>
          <w:sz w:val="20"/>
        </w:rPr>
        <w:t xml:space="preserve"> shall cease to be deemed incurred or outstanding for purposes of this </w:t>
      </w:r>
      <w:r>
        <w:rPr>
          <w:rFonts w:ascii="Times New Roman;Times;Serif" w:hAnsi="Times New Roman;Times;Serif"/>
          <w:b w:val="false"/>
          <w:i w:val="false"/>
          <w:caps w:val="false"/>
          <w:smallCaps w:val="false"/>
          <w:sz w:val="20"/>
          <w:u w:val="single"/>
        </w:rPr>
        <w:t>clause (r)</w:t>
      </w:r>
      <w:r>
        <w:rPr>
          <w:rFonts w:ascii="Times New Roman;Times;Serif" w:hAnsi="Times New Roman;Times;Serif"/>
          <w:b w:val="false"/>
          <w:i w:val="false"/>
          <w:caps w:val="false"/>
          <w:smallCaps w:val="false"/>
          <w:sz w:val="20"/>
        </w:rPr>
        <w:t xml:space="preserve"> 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Times New Roman;Times;Serif" w:hAnsi="Times New Roman;Times;Serif"/>
          <w:b w:val="false"/>
          <w:i w:val="false"/>
          <w:caps w:val="false"/>
          <w:smallCaps w:val="false"/>
          <w:sz w:val="20"/>
          <w:u w:val="single"/>
        </w:rPr>
        <w:t>clause (r)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Indebtedness of the Borrower or any of the Restricted Subsidiaries consisting of (i) the financing of insurance premiums or (ii) take or pay obligations contained in supply arrangements in each case, incurred in the ordinary course of business or consistent with past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w:t>
      </w:r>
      <w:r>
        <w:rPr>
          <w:rFonts w:ascii="Times New Roman;Times;Serif" w:hAnsi="Times New Roman;Times;Serif"/>
          <w:b w:val="false"/>
          <w:i w:val="false"/>
          <w:caps w:val="false"/>
          <w:smallCaps w:val="false"/>
          <w:sz w:val="20"/>
          <w:u w:val="single"/>
        </w:rPr>
        <w:t>clause (4)</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Indebtedness of a Borrower or any Restricted Subsidiary as an account party in respect of Commercial Letters of Credit issued pursuant to a Secured Commercial LC Facility, in each case in a principal amount not in excess of the Stated Amount of each such Commercial Letter of Credit, in an aggregate amount not to exceed $50,000,000;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Indebtedness incurred in compliance with Section 10.1(w) of the Term Loan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Indebtedness incurred in compliance with Section 10.1(x) of the Term Loan Credit Agreement </w:t>
      </w:r>
      <w:r>
        <w:rPr>
          <w:rFonts w:ascii="Times New Roman;Times;Serif" w:hAnsi="Times New Roman;Times;Serif"/>
          <w:b w:val="false"/>
          <w:i w:val="false"/>
          <w:caps w:val="false"/>
          <w:smallCaps w:val="false"/>
          <w:color w:val="0000FF"/>
          <w:sz w:val="20"/>
          <w:u w:val="single"/>
          <w:bdr w:val="single" w:sz="8" w:space="1" w:color="0000FF"/>
        </w:rPr>
        <w:t>as in effective immediately prior to the Amendment No. 5 Effective Date</w:t>
      </w:r>
      <w:r>
        <w:rPr>
          <w:rFonts w:ascii="Times New Roman;Times;Serif" w:hAnsi="Times New Roman;Times;Serif"/>
          <w:b w:val="false"/>
          <w:i w:val="false"/>
          <w:caps w:val="false"/>
          <w:smallCaps w:val="false"/>
          <w:sz w:val="20"/>
        </w:rPr>
        <w:t xml:space="preserve">, it being agreed and acknowledged that for the purposes of this </w:t>
      </w:r>
      <w:r>
        <w:rPr>
          <w:rFonts w:ascii="Times New Roman;Times;Serif" w:hAnsi="Times New Roman;Times;Serif"/>
          <w:b w:val="false"/>
          <w:i w:val="false"/>
          <w:caps w:val="false"/>
          <w:smallCaps w:val="false"/>
          <w:sz w:val="20"/>
          <w:u w:val="single"/>
        </w:rPr>
        <w:t>Section 10.1(x)</w:t>
      </w:r>
      <w:r>
        <w:rPr>
          <w:rFonts w:ascii="Times New Roman;Times;Serif" w:hAnsi="Times New Roman;Times;Serif"/>
          <w:b w:val="false"/>
          <w:i w:val="false"/>
          <w:caps w:val="false"/>
          <w:smallCaps w:val="false"/>
          <w:sz w:val="20"/>
        </w:rPr>
        <w:t>, if the Term Loan Facility is terminated (including, for avoidance of doubt, through repayment of all outstanding Term Loans), Section 10.1(x) of the Term Loan Credit Agreement</w:t>
      </w:r>
      <w:r>
        <w:rPr>
          <w:rFonts w:ascii="Times New Roman;Times;Serif" w:hAnsi="Times New Roman;Times;Serif"/>
          <w:b w:val="false"/>
          <w:i w:val="false"/>
          <w:caps w:val="false"/>
          <w:smallCaps w:val="false"/>
          <w:color w:val="0000FF"/>
          <w:sz w:val="20"/>
          <w:u w:val="single"/>
          <w:bdr w:val="single" w:sz="8" w:space="1" w:color="0000FF"/>
        </w:rPr>
        <w:t>, as in effect immediately prior to the Amendment No. 5 Effective Date,</w:t>
      </w:r>
      <w:r>
        <w:rPr>
          <w:rFonts w:ascii="Times New Roman;Times;Serif" w:hAnsi="Times New Roman;Times;Serif"/>
          <w:b w:val="false"/>
          <w:i w:val="false"/>
          <w:caps w:val="false"/>
          <w:smallCaps w:val="false"/>
          <w:sz w:val="20"/>
        </w:rPr>
        <w:t xml:space="preserve"> and all references therein shall be deemed to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 Indebtedness in respect of Permitted Debt Exchange Notes incurred pursuant to a Permitted Debt Exchange (each as defined in the Term Loan Credit Agreement</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 it being agreed and acknowledged that such definition (and all references therein) shall be deemed to survive any termination of the Term Loan Credit Agreement (including, for avoidance of doubt, through repayment of all outstanding Term Loans),</w:t>
      </w:r>
      <w:r>
        <w:rPr>
          <w:rFonts w:ascii="Times New Roman;Times;Serif" w:hAnsi="Times New Roman;Times;Serif"/>
          <w:b w:val="false"/>
          <w:i w:val="false"/>
          <w:caps w:val="false"/>
          <w:smallCaps w:val="false"/>
          <w:sz w:val="20"/>
        </w:rPr>
        <w:t xml:space="preserve"> in accordance with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of the Term Loan Credit Agreement (and which does not generate any additional proceeds) and (ii) any refinancing, refunding, renewal or extension of any Indebtedness specified in </w:t>
      </w:r>
      <w:r>
        <w:rPr>
          <w:rFonts w:ascii="Times New Roman;Times;Serif" w:hAnsi="Times New Roman;Times;Serif"/>
          <w:b w:val="false"/>
          <w:i w:val="false"/>
          <w:caps w:val="false"/>
          <w:smallCaps w:val="false"/>
          <w:sz w:val="20"/>
          <w:u w:val="single"/>
        </w:rPr>
        <w:t>subclause (i)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(as defined in the Term Loan Credit Agreement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w:t>
      </w:r>
      <w:r>
        <w:rPr>
          <w:rFonts w:ascii="Times New Roman;Times;Serif" w:hAnsi="Times New Roman;Times;Serif"/>
          <w:b w:val="false"/>
          <w:i w:val="false"/>
          <w:caps w:val="false"/>
          <w:smallCaps w:val="false"/>
          <w:sz w:val="20"/>
        </w:rPr>
        <w:t>), it being agreed and acknowledged that for the purposes of this Section 10.1(y), if the Term Loan Facility is terminated (including, for avoidance of doubt, through repayment of all outstanding Term Loans), all references to the Term Loan Credit Agreement shall be deemed to survive;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Indebtedness of the Borrower or any of the Restricted Subsidiaries undertaken in connection with Permitted Supply Chain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premiums (if any), interest (including post-petition interest), fees, expenses, charges and additional or contingent interest on obligations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(z)</w:t>
      </w:r>
      <w:r>
        <w:rPr>
          <w:rFonts w:ascii="Times New Roman;Times;Serif" w:hAnsi="Times New Roman;Times;Serif"/>
          <w:b w:val="false"/>
          <w:i w:val="false"/>
          <w:caps w:val="false"/>
          <w:smallCaps w:val="false"/>
          <w:sz w:val="20"/>
        </w:rPr>
        <w:t xml:space="preserv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(y)</w:t>
      </w:r>
      <w:r>
        <w:rPr>
          <w:rFonts w:ascii="Times New Roman;Times;Serif" w:hAnsi="Times New Roman;Times;Serif"/>
          <w:b w:val="false"/>
          <w:i w:val="false"/>
          <w:caps w:val="false"/>
          <w:smallCaps w:val="false"/>
          <w:sz w:val="20"/>
        </w:rPr>
        <w:t xml:space="preserve"> above or is entitled to be incurred pursuant to the first paragraph of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the Borrower,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Indebtedness outstanding under the </w:t>
      </w:r>
      <w:r>
        <w:rPr>
          <w:rFonts w:ascii="Times New Roman;Times;Serif" w:hAnsi="Times New Roman;Times;Serif"/>
          <w:b w:val="false"/>
          <w:i w:val="false"/>
          <w:caps w:val="false"/>
          <w:smallCaps w:val="false"/>
          <w:strike/>
          <w:color w:val="FF0000"/>
          <w:sz w:val="20"/>
        </w:rPr>
        <w:t xml:space="preserve">Term Loan Facility and under the </w:t>
      </w:r>
      <w:r>
        <w:rPr>
          <w:rFonts w:ascii="Times New Roman;Times;Serif" w:hAnsi="Times New Roman;Times;Serif"/>
          <w:b w:val="false"/>
          <w:i w:val="false"/>
          <w:caps w:val="false"/>
          <w:smallCaps w:val="false"/>
          <w:sz w:val="20"/>
        </w:rPr>
        <w:t xml:space="preserve">Notes Agreement on the </w:t>
      </w:r>
      <w:r>
        <w:rPr>
          <w:rFonts w:ascii="Times New Roman;Times;Serif" w:hAnsi="Times New Roman;Times;Serif"/>
          <w:b w:val="false"/>
          <w:i w:val="false"/>
          <w:caps w:val="false"/>
          <w:smallCaps w:val="false"/>
          <w:strike/>
          <w:color w:val="FF0000"/>
          <w:sz w:val="20"/>
        </w:rPr>
        <w:t>Restatement</w:t>
      </w:r>
      <w:r>
        <w:rPr>
          <w:rFonts w:ascii="Times New Roman;Times;Serif" w:hAnsi="Times New Roman;Times;Serif"/>
          <w:b w:val="false"/>
          <w:i w:val="false"/>
          <w:caps w:val="false"/>
          <w:smallCaps w:val="false"/>
          <w:color w:val="0000FF"/>
          <w:sz w:val="20"/>
          <w:u w:val="single"/>
          <w:bdr w:val="single" w:sz="8" w:space="1" w:color="0000FF"/>
        </w:rPr>
        <w:t>Amendment No. 5</w:t>
      </w:r>
      <w:r>
        <w:rPr>
          <w:rFonts w:ascii="Times New Roman;Times;Serif" w:hAnsi="Times New Roman;Times;Serif"/>
          <w:b w:val="false"/>
          <w:i w:val="false"/>
          <w:caps w:val="false"/>
          <w:smallCaps w:val="false"/>
          <w:sz w:val="20"/>
        </w:rPr>
        <w:t xml:space="preserve"> Effective Date will be treated as incurred under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trike/>
          <w:color w:val="FF0000"/>
          <w:sz w:val="20"/>
        </w:rPr>
        <w:t xml:space="preserve">(i) and </w:t>
      </w:r>
      <w:r>
        <w:rPr>
          <w:rFonts w:ascii="Times New Roman;Times;Serif" w:hAnsi="Times New Roman;Times;Serif"/>
          <w:b w:val="false"/>
          <w:i w:val="false"/>
          <w:caps w:val="false"/>
          <w:smallCaps w:val="false"/>
          <w:color w:val="FF0000"/>
          <w:sz w:val="20"/>
          <w:u w:val="single"/>
        </w:rPr>
        <w:t>(b)(ii)</w:t>
      </w:r>
      <w:r>
        <w:rPr>
          <w:rFonts w:ascii="Times New Roman;Times;Serif" w:hAnsi="Times New Roman;Times;Serif"/>
          <w:b w:val="false"/>
          <w:i w:val="false"/>
          <w:caps w:val="false"/>
          <w:smallCaps w:val="false"/>
          <w:sz w:val="20"/>
        </w:rPr>
        <w:t xml:space="preserve"> above</w:t>
      </w:r>
      <w:r>
        <w:rPr>
          <w:rFonts w:ascii="Times New Roman;Times;Serif" w:hAnsi="Times New Roman;Times;Serif"/>
          <w:b w:val="false"/>
          <w:i w:val="false"/>
          <w:caps w:val="false"/>
          <w:smallCaps w:val="false"/>
          <w:strike/>
          <w:color w:val="FF0000"/>
          <w:sz w:val="20"/>
        </w:rPr>
        <w:t>, as applicable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(l)(i)</w:t>
      </w:r>
      <w:r>
        <w:rPr>
          <w:rFonts w:ascii="Times New Roman;Times;Serif" w:hAnsi="Times New Roman;Times;Serif"/>
          <w:b w:val="false"/>
          <w:i w:val="false"/>
          <w:caps w:val="false"/>
          <w:smallCaps w:val="false"/>
          <w:sz w:val="20"/>
        </w:rPr>
        <w:t xml:space="preserve"> above shall be deemed to include additional Indebtedness, Disqualified Stock or preferred stock incurred to pay premiums (including reasonable tender premiums), defeasance costs, fees, and expenses in connection with such refinancing.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will not, and will not permit any of its Restricted Subsidiaries to, create, incur, assume or suffer to exist any Lien upon any property or assets of any kind (real or personal, tangible or intangible) of the Borrower or any Restricted Subsidiary, whether now owned or hereafter acquired (each, a “</w:t>
      </w:r>
      <w:r>
        <w:rPr>
          <w:rFonts w:ascii="Times New Roman;Times;Serif" w:hAnsi="Times New Roman;Times;Serif"/>
          <w:b/>
          <w:i w:val="false"/>
          <w:caps w:val="false"/>
          <w:smallCaps w:val="false"/>
          <w:sz w:val="20"/>
        </w:rPr>
        <w:t>Subject Lien</w:t>
      </w:r>
      <w:r>
        <w:rPr>
          <w:rFonts w:ascii="Times New Roman;Times;Serif" w:hAnsi="Times New Roman;Times;Serif"/>
          <w:b w:val="false"/>
          <w:i w:val="false"/>
          <w:caps w:val="false"/>
          <w:smallCaps w:val="false"/>
          <w:sz w:val="20"/>
        </w:rPr>
        <w:t>”) that secures obligations under any Indebtedness on any asset or property of the Borrower or any Restricted Subsidiary,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if such Subject Lien is a Permitted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xml:space="preserve">       any other Subject Lien on assets or property constituting Collateral if the obligations secured by such Subject Lien are junior to the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Borrower’s election, in the case of Liens securing Permitted Other Indebtedness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Limitation on Fundamental Changes</w:t>
      </w:r>
      <w:r>
        <w:rPr>
          <w:rFonts w:ascii="Times New Roman;Times;Serif" w:hAnsi="Times New Roman;Times;Serif"/>
          <w:b w:val="false"/>
          <w:i w:val="false"/>
          <w:caps w:val="false"/>
          <w:smallCaps w:val="false"/>
          <w:sz w:val="20"/>
        </w:rPr>
        <w:t>.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so long as no Event of Default has occurred and is continuing or would result therefrom, any Subsidiary of the Borrower or any other Person may be merged, amalgamated, consolidated with or into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Borrower shall be the continuing or surviving corporation or (B) if the Person formed by or surviving any such merger, amalgamation, or consolidation is not the Borrower (such other Person, the “</w:t>
      </w:r>
      <w:r>
        <w:rPr>
          <w:rFonts w:ascii="Times New Roman;Times;Serif" w:hAnsi="Times New Roman;Times;Serif"/>
          <w:b/>
          <w:i w:val="false"/>
          <w:caps w:val="false"/>
          <w:smallCaps w:val="false"/>
          <w:sz w:val="20"/>
        </w:rPr>
        <w:t>Successor Borrower</w:t>
      </w:r>
      <w:r>
        <w:rPr>
          <w:rFonts w:ascii="Times New Roman;Times;Serif" w:hAnsi="Times New Roman;Times;Serif"/>
          <w:b w:val="false"/>
          <w:i w:val="false"/>
          <w:caps w:val="false"/>
          <w:smallCaps w:val="false"/>
          <w:sz w:val="20"/>
        </w:rPr>
        <w:t xml:space="preserve">”), (1) the Successor Borrower shall be an entity organized or existing under the laws of the United States, any state thereof, the District of Columbia or any territory thereof, (2) the Successor Borrower shall expressly assume all the obligations of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Times New Roman;Times;Serif" w:hAnsi="Times New Roman;Times;Serif"/>
          <w:b w:val="false"/>
          <w:i w:val="false"/>
          <w:caps w:val="false"/>
          <w:smallCaps w:val="false"/>
          <w:sz w:val="20"/>
          <w:u w:val="single"/>
        </w:rPr>
        <w:t>clauses (3)</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 long as no Event of Default has occurred and is continuing or would result therefrom, any Subsidiary of the Borrower or any other Person (in each case, other than the Borrower) may be merged, amalgamated, or consolidated with or into any one or more Subsidiaries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Subsidiary Guarantors, a Subsidiary Guarantor shall be the continuing or surviving Person or the Person formed by or surviving any such merger, amalgamation, or consolidation and if the surviving Person is not already a Subsidiary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any Restricted Subsidiary that is not a Credit Party may convey, sell, lease, assign, transfer or otherwise dispose of any or all of its assets (upon voluntary liquidation or dissolution or otherwise) to the Borrower or any other Restricted Subsidiary or (ii) any Subsidiary Guarantor may convey, sell, lease, assign, transfer or otherwise dispose of any or all of its assets (upon voluntary liquidation or dissolution or otherwise) to any other Subsidiary Guarantor or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Subsidiary may convey, sell, lease, assign, transfer or otherwise dispose of any or all of its assets (upon voluntary liquidation or dissolution or otherwise) to the Borrower or a Subsidiary Guarantor;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consideration for any such disposition by any Person other than a Subsidiary Guarantor shall not exceed the fair value of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Restricted Subsidiary may liquidate or dissolve if the Borrower determines in good faith that such liquidation or dissolution is in the best interests of the Borrower and is not materially disadvantageous to the Lenders;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Borrower and the Restricted Subsidiaries may consummate a merger, dissolution, liquidation, consolidation, investment or conveyance, sale, lease, assignment or disposition, the purpose of which is to effect an Asset Sale (which for purposes of this </w:t>
      </w:r>
      <w:r>
        <w:rPr>
          <w:rFonts w:ascii="Times New Roman;Times;Serif" w:hAnsi="Times New Roman;Times;Serif"/>
          <w:b w:val="false"/>
          <w:i w:val="false"/>
          <w:caps w:val="false"/>
          <w:smallCaps w:val="false"/>
          <w:sz w:val="20"/>
          <w:u w:val="single"/>
        </w:rPr>
        <w:t>Section 10.3(g)</w:t>
      </w:r>
      <w:r>
        <w:rPr>
          <w:rFonts w:ascii="Times New Roman;Times;Serif" w:hAnsi="Times New Roman;Times;Serif"/>
          <w:b w:val="false"/>
          <w:i w:val="false"/>
          <w:caps w:val="false"/>
          <w:smallCaps w:val="false"/>
          <w:sz w:val="20"/>
        </w:rPr>
        <w:t xml:space="preserve">, will include any disposition below the dollar threshold set forth in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 xml:space="preserve"> of the definition of “Asset Sale”) permitted by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or an investment permitted pursuant to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or an investment that constitutes a Permitted Investment.</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Limitation on Sale of Assets</w:t>
      </w:r>
      <w:r>
        <w:rPr>
          <w:rFonts w:ascii="Times New Roman;Times;Serif" w:hAnsi="Times New Roman;Times;Serif"/>
          <w:b w:val="false"/>
          <w:i w:val="false"/>
          <w:caps w:val="false"/>
          <w:smallCaps w:val="false"/>
          <w:sz w:val="20"/>
        </w:rPr>
        <w:t>. The Borrower will not, and will not permit any of its Restricted Subsidiaries to, consummate an Asset Sale,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in the case of a Permitted Asset Swap, if the property or assets sold or otherwise disposed of have a Fair Market Value in excess of the greater of (a) $50,000,000 and (b) 1.5% of Consolidated Total Assets for the most recently ended Test Period (calculated on a Pro Forma Basis) at the time of such disposition, at least 75% of the consideration therefor received by the Borrower or such Restricted Subsidiary, as the case may be, is in the form of cash or Cash Equivalents;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the amount 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liabilities (as reflected on the Borrower’s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Designated Non-Cash Consideration received by the Borrower or such Restricted Subsidiary in such Asset Sale having an aggregate Fair Market Value, taken together with all other Designated Non-Cash Consideration received pursuant to this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that is at that time outstanding, not to exceed the sum of (i) the greater of $210,000,000 and 6% of Consolidated Total Assets at the time of the receipt of such Designated Non-Cash Consideration, (ii) at the election of the Borrower, the General Asset Sale Exception (less any amount used under such exception) and (iii) at the election of the Borrower, the Available Amount (less any amount used thereunder), with the Fair Market Value of each item of Designated Non-Cash Consideration being measured at the time received and without giving effect to subsequent changes in value,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be deemed to be cash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provision and for no other purpose;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Asset Sale by a Credit Party to a Subsidiary which is not a Credit Party is subject to no Overadvance after giving effect to such Asset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Limitation on Restricted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will not, and will not permit any of its Restricted Subsidiaries to, directly or indirectly: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declare or pay any dividend or make any payment or distribution on account of the Borrower’s or any Restricted Subsidiary’s Equity Interests, including any dividend or distribution payable in connection with any merger or consolidation, other than: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dividends or distributions by the Borrower payable in Equity Interests (other than Disqualified Stock) of the Borrower or in options, warrants or other rights to purchase such Equity Interests,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dividends or distributions by a Restricted Subsidiary so long as, in the case of any dividend or distribution payable on or in respect of any class or series of securities issued by a Subsidiary other than a Wholly-Owned Subsidiary, the Borrower or a Restricted Subsidiary receives at least its pro rata share of such dividend or distribution in accordance with its Equity Interests in such class or series of securities;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purchase, redeem, defease or otherwise acquire or retire for value any Equity Interests of the Borrower, Holdings or any direct or indirect parent company of the Borrower, including in connection with any merger or consolidation;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make any principal payment on, or redeem, repurchase, defease or otherwise acquire or retire for value, in each case, prior to any scheduled repayment, sinking fund payment or maturity, any Junior Debt of the Borrower or any Restricted Subsidiary, other than (A) Indebtedness permitted under </w:t>
      </w:r>
      <w:r>
        <w:rPr>
          <w:rFonts w:ascii="Times New Roman;Times;Serif" w:hAnsi="Times New Roman;Times;Serif"/>
          <w:b w:val="false"/>
          <w:i w:val="false"/>
          <w:caps w:val="false"/>
          <w:smallCaps w:val="false"/>
          <w:sz w:val="20"/>
          <w:u w:val="single"/>
        </w:rPr>
        <w:t>clauses (g)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or (B) the purchase, repurchase or other acquisition of Junior Debt purchased in anticipation of satisfying a sinking fund obligation, principal installment or final maturity, in each case due within one year of the date of purchase, repurchase or acquisition;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make any Restricted Investment;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payments and other actions set forth in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above (other than any exception thereto) being collectively referred to as “</w:t>
      </w:r>
      <w:r>
        <w:rPr>
          <w:rFonts w:ascii="Times New Roman;Times;Serif" w:hAnsi="Times New Roman;Times;Serif"/>
          <w:b/>
          <w:i w:val="false"/>
          <w:caps w:val="false"/>
          <w:smallCaps w:val="false"/>
          <w:sz w:val="20"/>
        </w:rPr>
        <w:t>Restricted Payments</w:t>
      </w:r>
      <w:r>
        <w:rPr>
          <w:rFonts w:ascii="Times New Roman;Times;Serif" w:hAnsi="Times New Roman;Times;Serif"/>
          <w:b w:val="false"/>
          <w:i w:val="false"/>
          <w:caps w:val="false"/>
          <w:smallCaps w:val="false"/>
          <w:sz w:val="20"/>
        </w:rPr>
        <w:t>”), unless, at the time of such Restricted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no Event of Default shall have occurred and be continuing or would occur as a consequence thereof (or in the case of a Restricted Investment, no Event of Default under Section </w:t>
      </w:r>
      <w:r>
        <w:rPr>
          <w:rFonts w:ascii="Times New Roman;Times;Serif" w:hAnsi="Times New Roman;Times;Serif"/>
          <w:b w:val="false"/>
          <w:i w:val="false"/>
          <w:caps w:val="false"/>
          <w:smallCaps w:val="false"/>
          <w:sz w:val="20"/>
          <w:u w:val="single"/>
        </w:rPr>
        <w:t>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 xml:space="preserve"> shall have occurred and be continuing or would occur as a consequence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xml:space="preserve">         except in the case of a Restricted Investment and other than with respect to amounts attributable to </w:t>
      </w:r>
      <w:r>
        <w:rPr>
          <w:rFonts w:ascii="Times New Roman;Times;Serif" w:hAnsi="Times New Roman;Times;Serif"/>
          <w:b w:val="false"/>
          <w:i w:val="false"/>
          <w:caps w:val="false"/>
          <w:smallCaps w:val="false"/>
          <w:sz w:val="20"/>
          <w:u w:val="single"/>
        </w:rPr>
        <w:t>subclauses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below, immediately after giving effect to such transaction on a pro forma basis, the Payment Conditions are satisfied;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xml:space="preserve">        such Restricted Payment, together with the aggregate amount of all other Restricted Payments made by the Borrower and the Restricted Subsidiaries after the Restatement Effective Date (including Restricted Payments permitted by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w:t>
      </w:r>
      <w:r>
        <w:rPr>
          <w:rFonts w:ascii="Times New Roman;Times;Serif" w:hAnsi="Times New Roman;Times;Serif"/>
          <w:b w:val="false"/>
          <w:i w:val="false"/>
          <w:caps w:val="false"/>
          <w:smallCaps w:val="false"/>
          <w:sz w:val="20"/>
        </w:rPr>
        <w:t xml:space="preserve"> (with respect to the payment of dividends on Refunding Capital Stock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thereof only) and </w:t>
      </w:r>
      <w:r>
        <w:rPr>
          <w:rFonts w:ascii="Times New Roman;Times;Serif" w:hAnsi="Times New Roman;Times;Serif"/>
          <w:b w:val="false"/>
          <w:i w:val="false"/>
          <w:caps w:val="false"/>
          <w:smallCaps w:val="false"/>
          <w:sz w:val="20"/>
          <w:u w:val="single"/>
        </w:rPr>
        <w:t>(6)(C)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below, but excluding all other Restricted Payments permitted by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is less than the sum of (without duplication) (the sum of the amounts attributable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below is referred to herein as the “</w:t>
      </w:r>
      <w:r>
        <w:rPr>
          <w:rFonts w:ascii="Times New Roman;Times;Serif" w:hAnsi="Times New Roman;Times;Serif"/>
          <w:b/>
          <w:i w:val="false"/>
          <w:caps w:val="false"/>
          <w:smallCaps w:val="false"/>
          <w:sz w:val="20"/>
        </w:rPr>
        <w:t>Available Amount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val="false"/>
          <w:i w:val="false"/>
          <w:caps w:val="false"/>
          <w:smallCaps w:val="false"/>
          <w:sz w:val="20"/>
        </w:rPr>
        <w:t>       [reserved],</w:t>
      </w:r>
    </w:p>
    <w:p>
      <w:pPr>
        <w:pStyle w:val="TextBody"/>
        <w:bidi w:val="0"/>
        <w:spacing w:before="200" w:after="200"/>
        <w:ind w:left="144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-133-</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b w:val="false"/>
          <w:i w:val="false"/>
          <w:caps w:val="false"/>
          <w:smallCaps w:val="false"/>
          <w:sz w:val="20"/>
        </w:rPr>
        <w:t xml:space="preserve">       100% of the aggregate net cash proceeds and the Fair Market Value of marketable securities or other property received by the Borrower since immediately after the Restatement Effective Date (other than net cash proceeds from Cure Amounts or to the extent such net cash proceeds have been used to incur Indebtedness, Disqualified Stock or preferred stock pursuant to </w:t>
      </w:r>
      <w:r>
        <w:rPr>
          <w:rFonts w:ascii="Times New Roman;Times;Serif" w:hAnsi="Times New Roman;Times;Serif"/>
          <w:b w:val="false"/>
          <w:i w:val="false"/>
          <w:caps w:val="false"/>
          <w:smallCaps w:val="false"/>
          <w:sz w:val="20"/>
          <w:u w:val="single"/>
        </w:rPr>
        <w:t>clause (l)(i)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from the issue or sale of (x) Equity Interests of the Borrower, including Retired Capital Stock, but excluding cash proceeds and the Fair Market Value of marketable securities or other property received from the sale of (A) Equity Interests to any employee, director, manager or consultant of the Borrower, any direct or indirect parent company of the Borrower and the Borrower’s Subsidiaries after the Restatement Effective Date to the extent such amounts have been applied to Restricted Payments made in accordance with </w:t>
      </w:r>
      <w:r>
        <w:rPr>
          <w:rFonts w:ascii="Times New Roman;Times;Serif" w:hAnsi="Times New Roman;Times;Serif"/>
          <w:b w:val="false"/>
          <w:i w:val="false"/>
          <w:caps w:val="false"/>
          <w:smallCaps w:val="false"/>
          <w:sz w:val="20"/>
          <w:u w:val="single"/>
        </w:rPr>
        <w:t>clause (4)</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below, and (B) Designated Preferred Stock, and, to the extent such net cash proceeds are actually contributed to the Borrower, Equity Interests of Holdings or any other direct or indirect parent company of the Borrower (excluding contributions of the proceeds from the sale of Designated Preferred Stock of such companies or contributions to the extent such amounts have been applied to Restricted Payments made in accordance with </w:t>
      </w:r>
      <w:r>
        <w:rPr>
          <w:rFonts w:ascii="Times New Roman;Times;Serif" w:hAnsi="Times New Roman;Times;Serif"/>
          <w:b w:val="false"/>
          <w:i w:val="false"/>
          <w:caps w:val="false"/>
          <w:smallCaps w:val="false"/>
          <w:sz w:val="20"/>
          <w:u w:val="single"/>
        </w:rPr>
        <w:t>clause (4)</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below) or (y) Indebtedness of the Borrower or a Restricted Subsidiary that has been converted into or exchanged for such Equity Interests of the Borrower or Holdings or any other direct or indirect parent company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 include the proceeds from (a) Refunding Capital Stock, (b) Equity Interests or Indebtedness that has been converted or exchanged for Equity Interests of the Borrower sold to a Restricted Subsidiary or the Borrower, as the case may be, (c) Disqualified Stock or Indebtedness that has been converted or exchanged into Disqualified Stock or (d) Excluded Contributions,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b w:val="false"/>
          <w:i w:val="false"/>
          <w:caps w:val="false"/>
          <w:smallCaps w:val="false"/>
          <w:sz w:val="20"/>
        </w:rPr>
        <w:t xml:space="preserve">       100% of the aggregate amount of cash and the Fair Market Value of marketable securities or other property contributed to the capital of the Borrower following the Restatement Effective Date (other than net cash proceeds from Cure Amounts or to the extent such net cash proceeds (i) have been used to incur Indebtedness, Disqualified Stock or preferred stock pursuant to </w:t>
      </w:r>
      <w:r>
        <w:rPr>
          <w:rFonts w:ascii="Times New Roman;Times;Serif" w:hAnsi="Times New Roman;Times;Serif"/>
          <w:b w:val="false"/>
          <w:i w:val="false"/>
          <w:caps w:val="false"/>
          <w:smallCaps w:val="false"/>
          <w:sz w:val="20"/>
          <w:u w:val="single"/>
        </w:rPr>
        <w:t>clause (l)(i)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(ii) are contributed by a Restricted Subsidiary or (iii) constitute Excluded Contributions),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b w:val="false"/>
          <w:i w:val="false"/>
          <w:caps w:val="false"/>
          <w:smallCaps w:val="false"/>
          <w:sz w:val="20"/>
        </w:rPr>
        <w:t xml:space="preserve">       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Restatement Effective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below or to the extent such Investment constituted a Permitted Investment) or a dividend from an Unrestricted Subsidiary after the Restatement Effective Date,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b w:val="false"/>
          <w:i w:val="false"/>
          <w:caps w:val="false"/>
          <w:smallCaps w:val="false"/>
          <w:sz w:val="20"/>
        </w:rPr>
        <w:t xml:space="preserve">       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below or to the extent such Investment constituted a Permitted Investment, </w:t>
      </w:r>
      <w:r>
        <w:rPr>
          <w:rFonts w:ascii="Times New Roman;Times;Serif" w:hAnsi="Times New Roman;Times;Serif"/>
          <w:b w:val="false"/>
          <w:i/>
          <w:caps w:val="false"/>
          <w:smallCaps w:val="false"/>
          <w:sz w:val="20"/>
        </w:rPr>
        <w:t>plus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b w:val="false"/>
          <w:i w:val="false"/>
          <w:caps w:val="false"/>
          <w:smallCaps w:val="false"/>
          <w:sz w:val="20"/>
        </w:rPr>
        <w:t>       [reserved],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b w:val="false"/>
          <w:i w:val="false"/>
          <w:caps w:val="false"/>
          <w:smallCaps w:val="false"/>
          <w:sz w:val="20"/>
        </w:rPr>
        <w:t>       $75,000,000.</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foregoing provisions of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will not prohibit: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w:t>
      </w:r>
      <w:r>
        <w:rPr>
          <w:rFonts w:ascii="Times New Roman;Times;Serif" w:hAnsi="Times New Roman;Times;Serif"/>
          <w:b w:val="false"/>
          <w:i w:val="false"/>
          <w:caps w:val="false"/>
          <w:smallCaps w:val="false"/>
          <w:sz w:val="20"/>
        </w:rPr>
        <w:t>       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pStyle w:val="TextBody"/>
        <w:bidi w:val="0"/>
        <w:spacing w:before="200" w:after="200"/>
        <w:ind w:left="144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-134-</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w:t>
      </w:r>
      <w:r>
        <w:rPr>
          <w:rFonts w:ascii="Times New Roman;Times;Serif" w:hAnsi="Times New Roman;Times;Serif"/>
          <w:b w:val="false"/>
          <w:i w:val="false"/>
          <w:caps w:val="false"/>
          <w:smallCaps w:val="false"/>
          <w:sz w:val="20"/>
        </w:rPr>
        <w:t>       (a) the redemption, repurchase, retirement or other acquisition of any Equity Interests (“</w:t>
      </w:r>
      <w:r>
        <w:rPr>
          <w:rFonts w:ascii="Times New Roman;Times;Serif" w:hAnsi="Times New Roman;Times;Serif"/>
          <w:b/>
          <w:i w:val="false"/>
          <w:caps w:val="false"/>
          <w:smallCaps w:val="false"/>
          <w:sz w:val="20"/>
        </w:rPr>
        <w:t>Retired Capital Stock</w:t>
      </w:r>
      <w:r>
        <w:rPr>
          <w:rFonts w:ascii="Times New Roman;Times;Serif" w:hAnsi="Times New Roman;Times;Serif"/>
          <w:b w:val="false"/>
          <w:i w:val="false"/>
          <w:caps w:val="false"/>
          <w:smallCaps w:val="false"/>
          <w:sz w:val="20"/>
        </w:rPr>
        <w:t>”) or Junior Debt of the Borrower or any Restricted Subsidiary, or any Equity Interests of Holdings or any other direct or indirect parent company of the Borrower, in exchange for, or out of the proceeds of the substantially concurrent sale (other than to a Restricted Subsidiary) of, Equity Interests of the Borrower or any direct or indirect Parent Entity or management investment vehicle to the extent contributed to the Borrower (in each case, other than any Disqualified Stock) (“</w:t>
      </w:r>
      <w:r>
        <w:rPr>
          <w:rFonts w:ascii="Times New Roman;Times;Serif" w:hAnsi="Times New Roman;Times;Serif"/>
          <w:b/>
          <w:i w:val="false"/>
          <w:caps w:val="false"/>
          <w:smallCaps w:val="false"/>
          <w:sz w:val="20"/>
        </w:rPr>
        <w:t>Refunding Capital Stock</w:t>
      </w:r>
      <w:r>
        <w:rPr>
          <w:rFonts w:ascii="Times New Roman;Times;Serif" w:hAnsi="Times New Roman;Times;Serif"/>
          <w:b w:val="false"/>
          <w:i w:val="false"/>
          <w:caps w:val="false"/>
          <w:smallCaps w:val="false"/>
          <w:sz w:val="20"/>
        </w:rPr>
        <w:t xml:space="preserve">”) and (b) if immediately prior to the retirement of Retired Capital Stock, the declaration and payment of dividends thereon was permitted under </w:t>
      </w:r>
      <w:r>
        <w:rPr>
          <w:rFonts w:ascii="Times New Roman;Times;Serif" w:hAnsi="Times New Roman;Times;Serif"/>
          <w:b w:val="false"/>
          <w:i w:val="false"/>
          <w:caps w:val="false"/>
          <w:smallCaps w:val="false"/>
          <w:sz w:val="20"/>
          <w:u w:val="single"/>
        </w:rPr>
        <w:t>clause (6)</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the declaration and payment of dividends on the Refunding Capital Stock (other than Refunding Capital Stock the proceeds of which were used to redeem, repurchase, retire or otherwise acquire any Equity Interests of Holdings or any other direct or indirect parent company of the Borrower) in an aggregate amount per year no greater than the aggregate amount of dividends per annum that was declarable and payable on such Retired Capital Stock immediately prior to such retirement;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w:t>
      </w:r>
      <w:r>
        <w:rPr>
          <w:rFonts w:ascii="Times New Roman;Times;Serif" w:hAnsi="Times New Roman;Times;Serif"/>
          <w:b w:val="false"/>
          <w:i w:val="false"/>
          <w:caps w:val="false"/>
          <w:smallCaps w:val="false"/>
          <w:sz w:val="20"/>
        </w:rPr>
        <w:t xml:space="preserve">       the prepayment, redemption, defeasance, repurchase or other acquisition or retirement for value of Junior Debt of the Borrower or a Restricted Subsidiary made by exchange for, or out of the proceeds of the substantially concurrent sale of, new Indebtedness of the Borrower or a Restricted Subsidiary, as the case may be, which is incurred in compliance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Times New Roman;Times;Serif" w:hAnsi="Times New Roman;Times;Serif"/>
          <w:b w:val="false"/>
          <w:i w:val="false"/>
          <w:caps w:val="false"/>
          <w:smallCaps w:val="false"/>
          <w:sz w:val="20"/>
          <w:u w:val="single"/>
        </w:rPr>
        <w:t>Section 10.1(x)</w:t>
      </w:r>
      <w:r>
        <w:rPr>
          <w:rFonts w:ascii="Times New Roman;Times;Serif" w:hAnsi="Times New Roman;Times;Serif"/>
          <w:b w:val="false"/>
          <w:i w:val="false"/>
          <w:caps w:val="false"/>
          <w:smallCaps w:val="false"/>
          <w:sz w:val="20"/>
        </w:rPr>
        <w:t xml:space="preserve"> 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w:t>
      </w:r>
      <w:r>
        <w:rPr>
          <w:rFonts w:ascii="Times New Roman;Times;Serif" w:hAnsi="Times New Roman;Times;Serif"/>
          <w:b w:val="false"/>
          <w:i w:val="false"/>
          <w:caps w:val="false"/>
          <w:smallCaps w:val="false"/>
          <w:sz w:val="20"/>
        </w:rPr>
        <w:t xml:space="preserve">       a Restricted Payment to pay for the repurchase, retirement or other acquisition or retirement for value of Equity Interests (other than Disqualified Stock) of the Borrower or Holdings, Intermediate Holdco or any direct or 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 management equity plan or stock option or phantom equity plan or any other management or employee benefit plan or agreement, or any stock subscription or shareholder agreement (including, for the 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except with respect to non-discretionary Restricted Payments, the aggregate Restricted Payments made under this </w:t>
      </w:r>
      <w:r>
        <w:rPr>
          <w:rFonts w:ascii="Times New Roman;Times;Serif" w:hAnsi="Times New Roman;Times;Serif"/>
          <w:b w:val="false"/>
          <w:i w:val="false"/>
          <w:caps w:val="false"/>
          <w:smallCaps w:val="false"/>
          <w:sz w:val="20"/>
          <w:u w:val="single"/>
        </w:rPr>
        <w:t>clause (4)</w:t>
      </w:r>
      <w:r>
        <w:rPr>
          <w:rFonts w:ascii="Times New Roman;Times;Serif" w:hAnsi="Times New Roman;Times;Serif"/>
          <w:b w:val="false"/>
          <w:i w:val="false"/>
          <w:caps w:val="false"/>
          <w:smallCaps w:val="false"/>
          <w:sz w:val="20"/>
        </w:rPr>
        <w:t xml:space="preserve"> subsequent to the Restatement Effective Date do not exceed in any calendar year the greater of (a) $145,000,000 and (b) 17% of Consolidated EBITDA for the most recently ended Test Period (calculated on a Pro Forma Basis) (with unused amounts in any calendar year being carried over to succeeding calendar years);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Holdings or any other direct or indirect Parent Entity or management investment vehicle, in each case to any future, present or former employees, directors, managers or consultants of the Borrower, any of its Subsidiaries, Holdings or any other direct or indirect Parent Entity or management investment vehicle that occurs after the Restatement Effective Date, to the extent the cash proceeds from the sale of such Equity Interests have not otherwise been applied to the payment of Restricted Payments by virtue of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plus (B) the cash proceeds of key man life insurance policies received by the Borrower and the Restricted Subsidiaries after the Restatement Effective Date, less (C) the amount of any Restricted Payments previously made pursuant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clause (4)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cancellation of Indebtedness owing to the Borrower or any Restricted Subsidiary from any future, present or former employees, directors, managers or consultants of the Borrower, Holdings or any other direct or indirect Parent Entity or management investment vehicle or any Restricted Subsidiary, or their estates, descendants, family, spouse or former spouse in connection with a repurchase of Equity Interests of the Borrower, Holdings or any other direct or indirect Parent Entity or management investment vehicle will not be deemed to constitute a Restricted Payment for purposes of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or any other provision of this Agreement;</w:t>
      </w:r>
    </w:p>
    <w:p>
      <w:pPr>
        <w:pStyle w:val="TextBody"/>
        <w:bidi w:val="0"/>
        <w:spacing w:before="200" w:after="200"/>
        <w:ind w:left="144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-135-</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w:t>
      </w:r>
      <w:r>
        <w:rPr>
          <w:rFonts w:ascii="Times New Roman;Times;Serif" w:hAnsi="Times New Roman;Times;Serif"/>
          <w:b w:val="false"/>
          <w:i w:val="false"/>
          <w:caps w:val="false"/>
          <w:smallCaps w:val="false"/>
          <w:sz w:val="20"/>
        </w:rPr>
        <w:t xml:space="preserve">       the declaration and payment of dividends to holders of any class or series of Disqualified Stock of the Borrower or any Restricted Subsidiary or any class or series of preferred stock of any Restricted Subsidiary, in each case, issued in accordance with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.1, provided such dividends are included in the calculation of Fixed Charges for the relevant period;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w:t>
      </w:r>
      <w:r>
        <w:rPr>
          <w:rFonts w:ascii="Times New Roman;Times;Serif" w:hAnsi="Times New Roman;Times;Serif"/>
          <w:b w:val="false"/>
          <w:i w:val="false"/>
          <w:caps w:val="false"/>
          <w:smallCaps w:val="false"/>
          <w:sz w:val="20"/>
        </w:rPr>
        <w:t xml:space="preserve">        (A) the declaration and payment of dividends to holders of any class or series of Designated Preferred Stock (other than Disqualified Stock) issued by the Borrower after the Restatement Effective Date; (B) the declaration and payment of dividends to Holdings or any other direct or indirect parent company of the Borrower, the proceeds of which will be used to fund the payment of dividends to holders of any class or series of Designated Preferred Stock (other than Disqualified Stock) of such parent company issued after the Restatement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amount of dividends paid pursuant to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 exceed the aggregate amount of cash actually contributed to the Borrower from the sale of such Designated Preferred Stock; or (C) the declaration and payment of dividends on Refunding Capital Stock in excess of the dividends declarable and payable thereon pursuant to </w:t>
      </w:r>
      <w:r>
        <w:rPr>
          <w:rFonts w:ascii="Times New Roman;Times;Serif" w:hAnsi="Times New Roman;Times;Serif"/>
          <w:b w:val="false"/>
          <w:i w:val="false"/>
          <w:caps w:val="false"/>
          <w:smallCaps w:val="false"/>
          <w:sz w:val="20"/>
          <w:u w:val="single"/>
        </w:rPr>
        <w:t>clause (2)</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 the case of each of (A), (B), and (C) of this </w:t>
      </w:r>
      <w:r>
        <w:rPr>
          <w:rFonts w:ascii="Times New Roman;Times;Serif" w:hAnsi="Times New Roman;Times;Serif"/>
          <w:b w:val="false"/>
          <w:i w:val="false"/>
          <w:caps w:val="false"/>
          <w:smallCaps w:val="false"/>
          <w:sz w:val="20"/>
          <w:u w:val="single"/>
        </w:rPr>
        <w:t>clause (6)</w:t>
      </w:r>
      <w:r>
        <w:rPr>
          <w:rFonts w:ascii="Times New Roman;Times;Serif" w:hAnsi="Times New Roman;Times;Serif"/>
          <w:b w:val="false"/>
          <w:i w:val="false"/>
          <w:caps w:val="false"/>
          <w:smallCaps w:val="false"/>
          <w:sz w:val="20"/>
        </w:rPr>
        <w:t xml:space="preserve">,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Borrower and the Restricted Subsidiaries on a consolidated basis would have had a Fixed Charge Coverage Ratio (as defined in the Term Loan Credit Agreement </w:t>
      </w:r>
      <w:r>
        <w:rPr>
          <w:rFonts w:ascii="Times New Roman;Times;Serif" w:hAnsi="Times New Roman;Times;Serif"/>
          <w:b w:val="false"/>
          <w:i w:val="false"/>
          <w:caps w:val="false"/>
          <w:smallCaps w:val="false"/>
          <w:color w:val="0000FF"/>
          <w:sz w:val="20"/>
          <w:u w:val="single"/>
          <w:bdr w:val="single" w:sz="8" w:space="1" w:color="0000FF"/>
        </w:rPr>
        <w:t>as in effect immediately prior to the Amendment No. 5 Effective Date</w:t>
      </w:r>
      <w:r>
        <w:rPr>
          <w:rFonts w:ascii="Times New Roman;Times;Serif" w:hAnsi="Times New Roman;Times;Serif"/>
          <w:b w:val="false"/>
          <w:i w:val="false"/>
          <w:caps w:val="false"/>
          <w:smallCaps w:val="false"/>
          <w:sz w:val="20"/>
        </w:rPr>
        <w:t>) of at least 2.00 to 1.00</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bdr w:val="single" w:sz="8" w:space="1" w:color="0000FF"/>
        </w:rPr>
        <w:t>, provided, it being agreed and acknowledged that such definition (and all reference therein) shall be deemed to survive any termination of the Term Loan Credit Agreement (including, for avoidance of doubt, through repayment of all outstanding Term Loans) for the purposes of this Section 10.5(b)(6));</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w:t>
      </w:r>
      <w:r>
        <w:rPr>
          <w:rFonts w:ascii="Times New Roman;Times;Serif" w:hAnsi="Times New Roman;Times;Serif"/>
          <w:b w:val="false"/>
          <w:i w:val="false"/>
          <w:caps w:val="false"/>
          <w:smallCaps w:val="false"/>
          <w:sz w:val="20"/>
        </w:rPr>
        <w:t xml:space="preserve">       Investments in Unrestricted Subsidiaries having an aggregate Fair Market Value, taken together with all other Investments made pursuant to this </w:t>
      </w:r>
      <w:r>
        <w:rPr>
          <w:rFonts w:ascii="Times New Roman;Times;Serif" w:hAnsi="Times New Roman;Times;Serif"/>
          <w:b w:val="false"/>
          <w:i w:val="false"/>
          <w:caps w:val="false"/>
          <w:smallCaps w:val="false"/>
          <w:sz w:val="20"/>
          <w:u w:val="single"/>
        </w:rPr>
        <w:t>clause (7)</w:t>
      </w:r>
      <w:r>
        <w:rPr>
          <w:rFonts w:ascii="Times New Roman;Times;Serif" w:hAnsi="Times New Roman;Times;Serif"/>
          <w:b w:val="false"/>
          <w:i w:val="false"/>
          <w:caps w:val="false"/>
          <w:smallCaps w:val="false"/>
          <w:sz w:val="20"/>
        </w:rPr>
        <w:t xml:space="preserve"> that are at the time outstanding, without giving effect to the sale of an Unrestricted Subsidiary to the extent the proceeds of such sale do not consist of cash, Cash Equivalents or marketable securities, not to exceed the greater of (x) $190,000,000 and (y) 22.5% of Consolidated EBITDA for the most recently ended Test Period (calculated on a Pro Forma Basis) at the time of such Investment (with the Fair Market Value of each Investment being measured at the time made and without giving effect to subsequent changes in value);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200" w:after="200"/>
        <w:ind w:left="144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-136-</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(8)</w:t>
      </w:r>
      <w:r>
        <w:rPr>
          <w:rFonts w:ascii="Times New Roman;Times;Serif" w:hAnsi="Times New Roman;Times;Serif"/>
          <w:b w:val="false"/>
          <w:i w:val="false"/>
          <w:caps w:val="false"/>
          <w:smallCaps w:val="false"/>
          <w:sz w:val="20"/>
        </w:rPr>
        <w:t>       (i)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(9)</w:t>
      </w:r>
      <w:r>
        <w:rPr>
          <w:rFonts w:ascii="Times New Roman;Times;Serif" w:hAnsi="Times New Roman;Times;Serif"/>
          <w:b w:val="false"/>
          <w:i w:val="false"/>
          <w:caps w:val="false"/>
          <w:smallCaps w:val="false"/>
          <w:sz w:val="20"/>
        </w:rPr>
        <w:t>       on the Borrower’s common stock (or the payment of dividends to Holdings) in Restricted Payments in an aggregate amount per annum not to exceed the sum of (a) 6.0% of the net cash proceeds received by or contributed to the Borrower in or from the IPO and (b) 7.0% of the market capitalization of the Borrower after the IPO;</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(10)</w:t>
      </w:r>
      <w:r>
        <w:rPr>
          <w:rFonts w:ascii="Times New Roman;Times;Serif" w:hAnsi="Times New Roman;Times;Serif"/>
          <w:b w:val="false"/>
          <w:i w:val="false"/>
          <w:caps w:val="false"/>
          <w:smallCaps w:val="false"/>
          <w:sz w:val="20"/>
        </w:rPr>
        <w:t>       Restricted Payments in an amount that does not exceed the amount of Excluded Contributions made since the Restatement Effective Date;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(11)</w:t>
      </w:r>
      <w:r>
        <w:rPr>
          <w:rFonts w:ascii="Times New Roman;Times;Serif" w:hAnsi="Times New Roman;Times;Serif"/>
          <w:b w:val="false"/>
          <w:i w:val="false"/>
          <w:caps w:val="false"/>
          <w:smallCaps w:val="false"/>
          <w:sz w:val="20"/>
        </w:rPr>
        <w:t>       other Restricted Payments in an aggregate amount taken together with all other Restricted Payments made pursuant to this clause </w:t>
      </w:r>
      <w:r>
        <w:rPr>
          <w:rFonts w:ascii="Times New Roman;Times;Serif" w:hAnsi="Times New Roman;Times;Serif"/>
          <w:b w:val="false"/>
          <w:i w:val="false"/>
          <w:caps w:val="false"/>
          <w:smallCaps w:val="false"/>
          <w:color w:val="0000FF"/>
          <w:sz w:val="20"/>
          <w:u w:val="single"/>
          <w:bdr w:val="single" w:sz="8" w:space="1" w:color="0000FF"/>
        </w:rPr>
        <w:t xml:space="preserve">(11) </w:t>
      </w:r>
      <w:r>
        <w:rPr>
          <w:rFonts w:ascii="Times New Roman;Times;Serif" w:hAnsi="Times New Roman;Times;Serif"/>
          <w:b w:val="false"/>
          <w:i w:val="false"/>
          <w:caps w:val="false"/>
          <w:smallCaps w:val="false"/>
          <w:sz w:val="20"/>
        </w:rPr>
        <w:t xml:space="preserve">not to exceed </w:t>
      </w:r>
      <w:r>
        <w:rPr>
          <w:rFonts w:ascii="Times New Roman;Times;Serif" w:hAnsi="Times New Roman;Times;Serif"/>
          <w:b w:val="false"/>
          <w:i w:val="false"/>
          <w:caps w:val="false"/>
          <w:smallCaps w:val="false"/>
          <w:color w:val="0000FF"/>
          <w:sz w:val="20"/>
          <w:u w:val="single"/>
          <w:bdr w:val="single" w:sz="8" w:space="1" w:color="0000FF"/>
        </w:rPr>
        <w:t>the greater of (x)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25,000,000</w:t>
      </w:r>
      <w:r>
        <w:rPr>
          <w:rFonts w:ascii="Times New Roman;Times;Serif" w:hAnsi="Times New Roman;Times;Serif"/>
          <w:b w:val="false"/>
          <w:i w:val="false"/>
          <w:caps w:val="false"/>
          <w:smallCaps w:val="false"/>
          <w:color w:val="0000FF"/>
          <w:sz w:val="20"/>
          <w:u w:val="single"/>
          <w:bdr w:val="single" w:sz="8" w:space="1" w:color="0000FF"/>
        </w:rPr>
        <w:t>270,000,000 and (y) 40.0% of Consolidated EBITDA for the most recently ended Test Period (calculated on a Pro Forma Basis)</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(12)</w:t>
      </w:r>
      <w:r>
        <w:rPr>
          <w:rFonts w:ascii="Times New Roman;Times;Serif" w:hAnsi="Times New Roman;Times;Serif"/>
          <w:b w:val="false"/>
          <w:i w:val="false"/>
          <w:caps w:val="false"/>
          <w:smallCaps w:val="false"/>
          <w:sz w:val="20"/>
        </w:rPr>
        <w:t>       distributions or payments of Receivables Fees;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(13)</w:t>
      </w:r>
      <w:r>
        <w:rPr>
          <w:rFonts w:ascii="Times New Roman;Times;Serif" w:hAnsi="Times New Roman;Times;Serif"/>
          <w:b w:val="false"/>
          <w:i w:val="false"/>
          <w:caps w:val="false"/>
          <w:smallCaps w:val="false"/>
          <w:sz w:val="20"/>
        </w:rPr>
        <w:t>       [reserved];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(14)</w:t>
      </w:r>
      <w:r>
        <w:rPr>
          <w:rFonts w:ascii="Times New Roman;Times;Serif" w:hAnsi="Times New Roman;Times;Serif"/>
          <w:b w:val="false"/>
          <w:i w:val="false"/>
          <w:caps w:val="false"/>
          <w:smallCaps w:val="false"/>
          <w:sz w:val="20"/>
        </w:rPr>
        <w:t xml:space="preserve">       other Restricted Payments;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Pro Forma Effect to such Restricted Payments the Payment Conditions are satisfied;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(15)</w:t>
      </w:r>
      <w:r>
        <w:rPr>
          <w:rFonts w:ascii="Times New Roman;Times;Serif" w:hAnsi="Times New Roman;Times;Serif"/>
          <w:b w:val="false"/>
          <w:i w:val="false"/>
          <w:caps w:val="false"/>
          <w:smallCaps w:val="false"/>
          <w:sz w:val="20"/>
        </w:rPr>
        <w:t xml:space="preserve">       the declaration and payment of dividends by the Borrower to, or the making of loans to, Holdings or any other direct or indirect parent company of the Borrower in amounts required for any direct or indirect parent company to pay: (A) franchise and excise taxes, and other fees and expenses, in each case, required to maintain its organizational existence, (B) consolidated, combined or similar foreign, federal, state and local income and similar taxes (including if the Borrower is treated as a partnership or an entity disregarded from its owner for United States federal income tax purposes and its taxable income is entirely included on an income tax return of one or more direct or indirect parent companies each of which is treated as a subchapter C corporation), to the extent that such income or similar taxes are attributable to the income, revenue, receipts or capital of the Borrower and the Restricted Subsidiaries and, to the extent of the amount actually received from its Unrestricted Subsidiaries, in amounts required to pay such taxes to the extent attributable to the income, revenue, receipts or capital of such Unrestricted Subsidiaries, and including any interest or penalties related thereto; provided that in each case the amount of such payments with respect to any fiscal year does not exceed the amount that the Borrower, the Restricted Subsidiaries and the Unrestricted Subsidiaries (to the extent described above) would have been required to pay in respect of such foreign, federal, state and local income taxes, including any interest or penalties related thereto, for such fiscal year had the Borrower, the Restricted Subsidiaries and the Unrestricted Subsidiaries (to the extent described above) been a stand-alone taxpayer or stand-alone group (separate from any such direct or indirect parent company of the Borrower) for all fiscal years ending after the Restatement Effective Date, (C) customary salary, bonus, and other benefits payable to officers, employees, directors, and managers of Holdings, any Intermediate Holdco or any other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Holdings, any Intermediate Holdco or any other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w:t>
      </w:r>
      <w:r>
        <w:rPr>
          <w:rFonts w:ascii="Times New Roman;Times;Serif" w:hAnsi="Times New Roman;Times;Serif"/>
          <w:b w:val="false"/>
          <w:i w:val="false"/>
          <w:caps w:val="false"/>
          <w:smallCaps w:val="false"/>
          <w:sz w:val="20"/>
          <w:u w:val="single"/>
        </w:rPr>
        <w:t>clause (xi)</w:t>
      </w:r>
      <w:r>
        <w:rPr>
          <w:rFonts w:ascii="Times New Roman;Times;Serif" w:hAnsi="Times New Roman;Times;Serif"/>
          <w:b w:val="false"/>
          <w:i w:val="false"/>
          <w:caps w:val="false"/>
          <w:smallCaps w:val="false"/>
          <w:sz w:val="20"/>
        </w:rPr>
        <w:t xml:space="preserve"> 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and (G) repurchases deemed to occur upon the cashless exercise of stock options;</w:t>
      </w:r>
    </w:p>
    <w:p>
      <w:pPr>
        <w:pStyle w:val="TextBody"/>
        <w:bidi w:val="0"/>
        <w:spacing w:before="200" w:after="200"/>
        <w:ind w:left="1440" w:right="0" w:firstLine="14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-137-</w:t>
      </w:r>
    </w:p>
    <w:p>
      <w:pPr>
        <w:pStyle w:val="HorizontalLine"/>
        <w:pBdr>
          <w:bottom w:val="single" w:sz="12" w:space="0" w:color="808080"/>
        </w:pBdr>
        <w:bidi w:val="0"/>
        <w:spacing w:before="200" w:after="200"/>
        <w:jc w:val="left"/>
        <w:rPr/>
      </w:pPr>
      <w:r>
        <w:rPr/>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(16)</w:t>
      </w:r>
      <w:r>
        <w:rPr>
          <w:rFonts w:ascii="Times New Roman;Times;Serif" w:hAnsi="Times New Roman;Times;Serif"/>
          <w:b w:val="false"/>
          <w:i w:val="false"/>
          <w:caps w:val="false"/>
          <w:smallCaps w:val="false"/>
          <w:sz w:val="20"/>
        </w:rPr>
        <w:t>       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(17)</w:t>
      </w:r>
      <w:r>
        <w:rPr>
          <w:rFonts w:ascii="Times New Roman;Times;Serif" w:hAnsi="Times New Roman;Times;Serif"/>
          <w:b w:val="false"/>
          <w:i w:val="false"/>
          <w:caps w:val="false"/>
          <w:smallCaps w:val="false"/>
          <w:sz w:val="20"/>
        </w:rPr>
        <w:t>       the distribution, by dividend or otherwise, of shares of Capital Stock of, or Indebtedness owed to the Borrower or a Restricted Subsidiary by, Unrestricted Subsidiaries (other than Unrestricted Subsidiaries, the primary assets of which are cash and/or Cash Equivalents);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(18)</w:t>
      </w:r>
      <w:r>
        <w:rPr>
          <w:rFonts w:ascii="Times New Roman;Times;Serif" w:hAnsi="Times New Roman;Times;Serif"/>
          <w:b w:val="false"/>
          <w:i w:val="false"/>
          <w:caps w:val="false"/>
          <w:smallCaps w:val="false"/>
          <w:sz w:val="20"/>
        </w:rPr>
        <w:t xml:space="preserve">       the prepayment, redemption, defeasance, repurchase or other acquisition or retirement for value of Junior Debt in an aggregate amount pursuant to this </w:t>
      </w:r>
      <w:r>
        <w:rPr>
          <w:rFonts w:ascii="Times New Roman;Times;Serif" w:hAnsi="Times New Roman;Times;Serif"/>
          <w:b w:val="false"/>
          <w:i w:val="false"/>
          <w:caps w:val="false"/>
          <w:smallCaps w:val="false"/>
          <w:sz w:val="20"/>
          <w:u w:val="single"/>
        </w:rPr>
        <w:t>clause (18)</w:t>
      </w:r>
      <w:r>
        <w:rPr>
          <w:rFonts w:ascii="Times New Roman;Times;Serif" w:hAnsi="Times New Roman;Times;Serif"/>
          <w:b w:val="false"/>
          <w:i w:val="false"/>
          <w:caps w:val="false"/>
          <w:smallCaps w:val="false"/>
          <w:sz w:val="20"/>
        </w:rPr>
        <w:t xml:space="preserve"> not to exceed the greater of (x) $210,000,000 and (y) 25% of Consolidated EBITDA for the most recently ended Test Period (calculated on a Pro Forma Basis);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(19)</w:t>
      </w:r>
      <w:r>
        <w:rPr>
          <w:rFonts w:ascii="Times New Roman;Times;Serif" w:hAnsi="Times New Roman;Times;Serif"/>
          <w:b w:val="false"/>
          <w:i w:val="false"/>
          <w:caps w:val="false"/>
          <w:smallCaps w:val="false"/>
          <w:sz w:val="20"/>
        </w:rPr>
        <w:t>       [reserved];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(20)</w:t>
      </w:r>
      <w:r>
        <w:rPr>
          <w:rFonts w:ascii="Times New Roman;Times;Serif" w:hAnsi="Times New Roman;Times;Serif"/>
          <w:b w:val="false"/>
          <w:i w:val="false"/>
          <w:caps w:val="false"/>
          <w:smallCaps w:val="false"/>
          <w:sz w:val="20"/>
        </w:rPr>
        <w:t xml:space="preserve">       payments or distributions to satisfy dissenters’ rights, pursuant to or in connection with a consolidation, amalgamation, merger or transfer of assets that complies with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w:t>
      </w:r>
      <w:r>
        <w:rPr>
          <w:rFonts w:ascii="Times New Roman;Times;Serif" w:hAnsi="Times New Roman;Times;Serif"/>
          <w:b w:val="false"/>
          <w:i w:val="false"/>
          <w:caps w:val="false"/>
          <w:smallCaps w:val="false"/>
          <w:sz w:val="20"/>
        </w:rPr>
        <w:t>       payment of the Special Dividend;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w:t>
      </w:r>
      <w:r>
        <w:rPr>
          <w:rFonts w:ascii="Times New Roman;Times;Serif" w:hAnsi="Times New Roman;Times;Serif"/>
          <w:b w:val="false"/>
          <w:i w:val="false"/>
          <w:caps w:val="false"/>
          <w:smallCaps w:val="false"/>
          <w:sz w:val="20"/>
        </w:rPr>
        <w:t>       payments in respect of, or in connection with, the Restatement Effective Date Refinancing.</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at the time of, and after giving effect to, any Restricted Payment permitted under clauses (11), (14) and (18), no Event of Default shall have occurred and be continuing or would occur as a consequence thereof (or in the case of a Restricted Investment, no Event of Default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 xml:space="preserve"> shall have occurred and be continuing or would occur as a consequence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will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or under </w:t>
      </w:r>
      <w:r>
        <w:rPr>
          <w:rFonts w:ascii="Times New Roman;Times;Serif" w:hAnsi="Times New Roman;Times;Serif"/>
          <w:b w:val="false"/>
          <w:i w:val="false"/>
          <w:caps w:val="false"/>
          <w:smallCaps w:val="false"/>
          <w:sz w:val="20"/>
          <w:u w:val="single"/>
        </w:rPr>
        <w:t>clauses (7)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10.5(b)</w:t>
      </w:r>
      <w:r>
        <w:rPr>
          <w:rFonts w:ascii="Times New Roman;Times;Serif" w:hAnsi="Times New Roman;Times;Serif"/>
          <w:b w:val="false"/>
          <w:i w:val="false"/>
          <w:caps w:val="false"/>
          <w:smallCaps w:val="false"/>
          <w:sz w:val="20"/>
        </w:rPr>
        <w:t>, or pursuant to the definition of Permitted Investments, and if such Subsidiary otherwise meets the definition of an Unrestricted Subsidiary. Unrestricted Subsidiaries will not be subject to any of the restrictive covenants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determining compliance with this covenant, in the event that a proposed Restricted Payment or Investment (or a portion thereof) meets the criteria of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(18)</w:t>
      </w:r>
      <w:r>
        <w:rPr>
          <w:rFonts w:ascii="Times New Roman;Times;Serif" w:hAnsi="Times New Roman;Times;Serif"/>
          <w:b w:val="false"/>
          <w:i w:val="false"/>
          <w:caps w:val="false"/>
          <w:smallCaps w:val="false"/>
          <w:sz w:val="20"/>
        </w:rPr>
        <w:t xml:space="preserve"> above or is entitled to be made pursuant to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and/or one or more of the exceptions contained in the definition of Permitted Investments, the Borrower will be entitled to classify or later reclassify (based on circumstances existing on the date of such reclassification) such Restricted Payment (or portion thereof) among such </w:t>
      </w:r>
      <w:r>
        <w:rPr>
          <w:rFonts w:ascii="Times New Roman;Times;Serif" w:hAnsi="Times New Roman;Times;Serif"/>
          <w:b w:val="false"/>
          <w:i w:val="false"/>
          <w:caps w:val="false"/>
          <w:smallCaps w:val="false"/>
          <w:sz w:val="20"/>
          <w:u w:val="single"/>
        </w:rPr>
        <w:t>clauses (1)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10.5(a)</w:t>
      </w:r>
      <w:r>
        <w:rPr>
          <w:rFonts w:ascii="Times New Roman;Times;Serif" w:hAnsi="Times New Roman;Times;Serif"/>
          <w:b w:val="false"/>
          <w:i w:val="false"/>
          <w:caps w:val="false"/>
          <w:smallCaps w:val="false"/>
          <w:sz w:val="20"/>
        </w:rPr>
        <w:t xml:space="preserve"> and/or one or more of the exceptions contained in the definition of “Permitted Investments”, in a manner that otherwise complies with this covenant.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Limitation on Subsidiary Distributions</w:t>
      </w:r>
      <w:r>
        <w:rPr>
          <w:rFonts w:ascii="Times New Roman;Times;Serif" w:hAnsi="Times New Roman;Times;Serif"/>
          <w:b w:val="false"/>
          <w:i w:val="false"/>
          <w:caps w:val="false"/>
          <w:smallCaps w:val="false"/>
          <w:sz w:val="20"/>
        </w:rPr>
        <w:t>. The Borrower will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pay dividends or make any other distributions to the Borrower or any Restricted Subsidiary on its Capital Stock or with respect to any other interest or participation in, or measured by, its profits or (ii) pay any Indebtedness owed to the Borrower or any Restricted Subsidiary;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loans or advances to the Borrower or any Restricted Subsidiary;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 lease or transfer any of its properties or assets to the Borrower or any Restricted Subsidiary;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each case) for such encumbrances or restrictions (x) which the Borrower has reasonably determined in good faith will not materially impair the Borrower’s ability to make payments under this Agreement when due or (y) existing under or by reason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contractual encumbrances or restrictions in effect on the Restatement Effective Date, including pursuant to this Agreement and the related documentation and related Hedging Obligations;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trike/>
          <w:color w:val="FF0000"/>
          <w:sz w:val="20"/>
        </w:rPr>
        <w:t>Term Loan Credit</w:t>
      </w:r>
      <w:r>
        <w:rPr>
          <w:rFonts w:ascii="Times New Roman;Times;Serif" w:hAnsi="Times New Roman;Times;Serif"/>
          <w:b w:val="false"/>
          <w:i w:val="false"/>
          <w:caps w:val="false"/>
          <w:smallCaps w:val="false"/>
          <w:color w:val="0000FF"/>
          <w:sz w:val="20"/>
          <w:u w:val="single"/>
          <w:bdr w:val="single" w:sz="8" w:space="1" w:color="0000FF"/>
        </w:rPr>
        <w:t>Notes</w:t>
      </w:r>
      <w:r>
        <w:rPr>
          <w:rFonts w:ascii="Times New Roman;Times;Serif" w:hAnsi="Times New Roman;Times;Serif"/>
          <w:b w:val="false"/>
          <w:i w:val="false"/>
          <w:caps w:val="false"/>
          <w:smallCaps w:val="false"/>
          <w:sz w:val="20"/>
        </w:rPr>
        <w:t xml:space="preserve"> Documents and the </w:t>
      </w:r>
      <w:r>
        <w:rPr>
          <w:rFonts w:ascii="Times New Roman;Times;Serif" w:hAnsi="Times New Roman;Times;Serif"/>
          <w:b w:val="false"/>
          <w:i w:val="false"/>
          <w:caps w:val="false"/>
          <w:smallCaps w:val="false"/>
          <w:strike/>
          <w:color w:val="FF0000"/>
          <w:sz w:val="20"/>
        </w:rPr>
        <w:t>Term Loans</w:t>
      </w:r>
      <w:r>
        <w:rPr>
          <w:rFonts w:ascii="Times New Roman;Times;Serif" w:hAnsi="Times New Roman;Times;Serif"/>
          <w:b w:val="false"/>
          <w:i w:val="false"/>
          <w:caps w:val="false"/>
          <w:smallCaps w:val="false"/>
          <w:color w:val="0000FF"/>
          <w:sz w:val="20"/>
          <w:u w:val="single"/>
          <w:bdr w:val="single" w:sz="8" w:space="1" w:color="0000FF"/>
        </w:rPr>
        <w:t>2031 Senior Notes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xml:space="preserve">       purchase money obligations for property acquired in the ordinary course of business or consistent with past practice and Capitalized Lease Obligations that impose restrictions of the nature discussed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above on the property so acquired;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w:t>
      </w:r>
      <w:r>
        <w:rPr>
          <w:rFonts w:ascii="Times New Roman;Times;Serif" w:hAnsi="Times New Roman;Times;Serif"/>
          <w:b w:val="false"/>
          <w:i w:val="false"/>
          <w:caps w:val="false"/>
          <w:smallCaps w:val="false"/>
          <w:sz w:val="20"/>
        </w:rPr>
        <w:t>       Requirements of Law or any applicable rule, regulation or order;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w:t>
      </w:r>
      <w:r>
        <w:rPr>
          <w:rFonts w:ascii="Times New Roman;Times;Serif" w:hAnsi="Times New Roman;Times;Serif"/>
          <w:b w:val="false"/>
          <w:i w:val="false"/>
          <w:caps w:val="false"/>
          <w:smallCaps w:val="false"/>
          <w:sz w:val="20"/>
        </w:rPr>
        <w:t>       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w:t>
      </w:r>
      <w:r>
        <w:rPr>
          <w:rFonts w:ascii="Times New Roman;Times;Serif" w:hAnsi="Times New Roman;Times;Serif"/>
          <w:b w:val="false"/>
          <w:i w:val="false"/>
          <w:caps w:val="false"/>
          <w:smallCaps w:val="false"/>
          <w:sz w:val="20"/>
        </w:rPr>
        <w:t>       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w:t>
      </w:r>
      <w:r>
        <w:rPr>
          <w:rFonts w:ascii="Times New Roman;Times;Serif" w:hAnsi="Times New Roman;Times;Serif"/>
          <w:b w:val="false"/>
          <w:i w:val="false"/>
          <w:caps w:val="false"/>
          <w:smallCaps w:val="false"/>
          <w:sz w:val="20"/>
        </w:rPr>
        <w:t xml:space="preserve">       (x) secured Indebtedness otherwise permitted to be incurred pursuant to </w:t>
      </w:r>
      <w:r>
        <w:rPr>
          <w:rFonts w:ascii="Times New Roman;Times;Serif" w:hAnsi="Times New Roman;Times;Serif"/>
          <w:b w:val="false"/>
          <w:i w:val="false"/>
          <w:caps w:val="false"/>
          <w:smallCaps w:val="false"/>
          <w:sz w:val="20"/>
          <w:u w:val="single"/>
        </w:rPr>
        <w:t>Sections 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10.2</w:t>
      </w:r>
      <w:r>
        <w:rPr>
          <w:rFonts w:ascii="Times New Roman;Times;Serif" w:hAnsi="Times New Roman;Times;Serif"/>
          <w:b w:val="false"/>
          <w:i w:val="false"/>
          <w:caps w:val="false"/>
          <w:smallCaps w:val="false"/>
          <w:sz w:val="20"/>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w:t>
      </w:r>
      <w:r>
        <w:rPr>
          <w:rFonts w:ascii="Times New Roman;Times;Serif" w:hAnsi="Times New Roman;Times;Serif"/>
          <w:b w:val="false"/>
          <w:i w:val="false"/>
          <w:caps w:val="false"/>
          <w:smallCaps w:val="false"/>
          <w:sz w:val="20"/>
        </w:rPr>
        <w:t>       restrictions on cash or other deposits or net worth imposed by customers under contracts entered into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w:t>
      </w:r>
      <w:r>
        <w:rPr>
          <w:rFonts w:ascii="Times New Roman;Times;Serif" w:hAnsi="Times New Roman;Times;Serif"/>
          <w:b w:val="false"/>
          <w:i w:val="false"/>
          <w:caps w:val="false"/>
          <w:smallCaps w:val="false"/>
          <w:sz w:val="20"/>
        </w:rPr>
        <w:t xml:space="preserve">       other Indebtedness, Disqualified Stock or preferred stock of Restricted Subsidiaries permitted to be incurred subsequent to the Restatement Effective Date pursuant to the provisions of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w:t>
      </w:r>
      <w:r>
        <w:rPr>
          <w:rFonts w:ascii="Times New Roman;Times;Serif" w:hAnsi="Times New Roman;Times;Serif"/>
          <w:b w:val="false"/>
          <w:i w:val="false"/>
          <w:caps w:val="false"/>
          <w:smallCaps w:val="false"/>
          <w:sz w:val="20"/>
        </w:rPr>
        <w:t>       customary provisions in joint venture agreements or arrangements and other similar agreements or arrangements relating solely to such joint venture and the Equity Interests issued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w:t>
      </w:r>
      <w:r>
        <w:rPr>
          <w:rFonts w:ascii="Times New Roman;Times;Serif" w:hAnsi="Times New Roman;Times;Serif"/>
          <w:b w:val="false"/>
          <w:i w:val="false"/>
          <w:caps w:val="false"/>
          <w:smallCaps w:val="false"/>
          <w:sz w:val="20"/>
        </w:rPr>
        <w:t>       customary provisions contained in leases, sub-leases, licenses, sub-licenses or similar agreements, in each case, entered into in the ordinary course of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w:t>
      </w:r>
      <w:r>
        <w:rPr>
          <w:rFonts w:ascii="Times New Roman;Times;Serif" w:hAnsi="Times New Roman;Times;Serif"/>
          <w:b w:val="false"/>
          <w:i w:val="false"/>
          <w:caps w:val="false"/>
          <w:smallCaps w:val="false"/>
          <w:sz w:val="20"/>
        </w:rPr>
        <w:t>       restrictions created in connection with any Receivables Facility that, in the good faith determination of the board of directors of the Borrower, are necessary or advisable to effect such Receivables Facility;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(xiii)</w:t>
      </w:r>
      <w:r>
        <w:rPr>
          <w:rFonts w:ascii="Times New Roman;Times;Serif" w:hAnsi="Times New Roman;Times;Serif"/>
          <w:b w:val="false"/>
          <w:i w:val="false"/>
          <w:caps w:val="false"/>
          <w:smallCaps w:val="false"/>
          <w:sz w:val="20"/>
        </w:rPr>
        <w:t xml:space="preserve">       any encumbrances or restrictions of the type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above imposed by any amendments, modifications, restatements, renewals, increases, supplements, refundings, replacements or refinancings of the contracts, instruments or obligations referred to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(xii)</w:t>
      </w:r>
      <w:r>
        <w:rPr>
          <w:rFonts w:ascii="Times New Roman;Times;Serif" w:hAnsi="Times New Roman;Times;Serif"/>
          <w:b w:val="false"/>
          <w:i w:val="false"/>
          <w:caps w:val="false"/>
          <w:smallCaps w:val="false"/>
          <w:sz w:val="20"/>
        </w:rPr>
        <w:t xml:space="preserve">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amendments, modifications, restatements, renewals, increases, supplements, refundings, replacements, or refinancings (x)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pStyle w:val="TextBody"/>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10.7</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xml:space="preserve">. Holdings will not permit the Fixed Charge Coverage Ratio for any Test Period to be lower than 1.00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Fixed Charge Coverage Ratio will only be tested (a) on the date on which a Compliance Period begins, as of the last day of the Test Period ending immediately prior to the date on which such Compliance Period shall have commenced and (b) as of the last day of each Test Period thereafter until such Compliance Period is no longer continuing.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11.</w:t>
      </w:r>
      <w:r>
        <w:rPr>
          <w:rFonts w:ascii="Times New Roman;Times;Serif" w:hAnsi="Times New Roman;Times;Serif"/>
          <w:b w:val="false"/>
          <w:i w:val="false"/>
          <w:caps w:val="false"/>
          <w:smallCaps w:val="false"/>
          <w:sz w:val="20"/>
          <w:u w:val="single"/>
        </w:rPr>
        <w:t xml:space="preserve">          Events of Default</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occurrence of any of the following specified events set forth in </w:t>
      </w:r>
      <w:r>
        <w:rPr>
          <w:rFonts w:ascii="Times New Roman;Times;Serif" w:hAnsi="Times New Roman;Times;Serif"/>
          <w:b w:val="false"/>
          <w:i w:val="false"/>
          <w:caps w:val="false"/>
          <w:smallCaps w:val="false"/>
          <w:sz w:val="20"/>
          <w:u w:val="single"/>
        </w:rPr>
        <w:t>Sections 11.1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11.11</w:t>
      </w:r>
      <w:r>
        <w:rPr>
          <w:rFonts w:ascii="Times New Roman;Times;Serif" w:hAnsi="Times New Roman;Times;Serif"/>
          <w:b w:val="false"/>
          <w:i w:val="false"/>
          <w:caps w:val="false"/>
          <w:smallCaps w:val="false"/>
          <w:sz w:val="20"/>
        </w:rPr>
        <w:t xml:space="preserve"> (each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val="false"/>
          <w:i w:val="false"/>
          <w:caps w:val="false"/>
          <w:smallCaps w:val="false"/>
          <w:sz w:val="20"/>
          <w:u w:val="single"/>
        </w:rPr>
        <w:t>Representations, Etc</w:t>
      </w:r>
      <w:r>
        <w:rPr>
          <w:rFonts w:ascii="Times New Roman;Times;Serif" w:hAnsi="Times New Roman;Times;Serif"/>
          <w:b w:val="false"/>
          <w:i w:val="false"/>
          <w:caps w:val="false"/>
          <w:smallCaps w:val="false"/>
          <w:sz w:val="20"/>
        </w:rPr>
        <w:t>.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Any Credit Party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default in the due performance or observance by it of any term, covenant or agreement contained in the last paragraph of </w:t>
      </w:r>
      <w:r>
        <w:rPr>
          <w:rFonts w:ascii="Times New Roman;Times;Serif" w:hAnsi="Times New Roman;Times;Serif"/>
          <w:b w:val="false"/>
          <w:i w:val="false"/>
          <w:caps w:val="false"/>
          <w:smallCaps w:val="false"/>
          <w:sz w:val="20"/>
          <w:u w:val="single"/>
        </w:rPr>
        <w:t>Section 9.1(e)(i)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(solely with respect to the Borrower), </w:t>
      </w:r>
      <w:r>
        <w:rPr>
          <w:rFonts w:ascii="Times New Roman;Times;Serif" w:hAnsi="Times New Roman;Times;Serif"/>
          <w:b w:val="false"/>
          <w:i w:val="false"/>
          <w:caps w:val="false"/>
          <w:smallCaps w:val="false"/>
          <w:sz w:val="20"/>
          <w:u w:val="single"/>
        </w:rPr>
        <w:t>Section 9.14(d)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9.16</w:t>
      </w:r>
      <w:r>
        <w:rPr>
          <w:rFonts w:ascii="Times New Roman;Times;Serif" w:hAnsi="Times New Roman;Times;Serif"/>
          <w:b w:val="false"/>
          <w:i w:val="false"/>
          <w:caps w:val="false"/>
          <w:smallCaps w:val="false"/>
          <w:sz w:val="20"/>
        </w:rPr>
        <w:t xml:space="preserve"> (during a Cash Dominion Period only) or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Event of Default under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is subject to cure as provided in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and an Event of Default with respect to such Section shall not occur until the expiration of the 10th Business Day subsequent to the date the relevant financial statements are required to be delivered for the applicable fiscal quarter pursuant to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(such period, the “</w:t>
      </w:r>
      <w:r>
        <w:rPr>
          <w:rFonts w:ascii="Times New Roman;Times;Serif" w:hAnsi="Times New Roman;Times;Serif"/>
          <w:b/>
          <w:i w:val="false"/>
          <w:caps w:val="false"/>
          <w:smallCaps w:val="false"/>
          <w:sz w:val="20"/>
        </w:rPr>
        <w:t>Cure Period</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default in the due performance or observance by it of any term, covenant or agreement (other than those referred to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11.3</w:t>
      </w:r>
      <w:r>
        <w:rPr>
          <w:rFonts w:ascii="Times New Roman;Times;Serif" w:hAnsi="Times New Roman;Times;Serif"/>
          <w:b w:val="false"/>
          <w:i w:val="false"/>
          <w:caps w:val="false"/>
          <w:smallCaps w:val="false"/>
          <w:sz w:val="20"/>
        </w:rPr>
        <w:t xml:space="preserve">) contained in this Agreement or any Security Document and such default shall continue unremedied for a period of at least 30 days (or 5 Business Days in the case of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after receipt of written notice by the Borrower from the Administrative Agent or the Required Lenders;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val="false"/>
          <w:i w:val="false"/>
          <w:caps w:val="false"/>
          <w:smallCaps w:val="false"/>
          <w:sz w:val="20"/>
          <w:u w:val="single"/>
        </w:rPr>
        <w:t>Default Under Other Agreements</w:t>
      </w:r>
      <w:r>
        <w:rPr>
          <w:rFonts w:ascii="Times New Roman;Times;Serif" w:hAnsi="Times New Roman;Times;Serif"/>
          <w:b w:val="false"/>
          <w:i w:val="false"/>
          <w:caps w:val="false"/>
          <w:smallCaps w:val="false"/>
          <w:sz w:val="20"/>
        </w:rPr>
        <w:t xml:space="preserve">. (a)  the Borrower or any of the Restricted Subsidiaries shall (i) fail to make any payment with respect to any Indebtedness (other than the Obligations under the Credit Documents) in excess of the greater of (x) $145,000,000 and (y) 17% of Consolidated EBITDA for the most recently ended Test Period (calculated on a Pro Forma Basis) in the aggregate, for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Times New Roman;Times;Serif" w:hAnsi="Times New Roman;Times;Serif"/>
          <w:b w:val="false"/>
          <w:i w:val="false"/>
          <w:caps w:val="false"/>
          <w:smallCaps w:val="false"/>
          <w:sz w:val="20"/>
          <w:u w:val="single"/>
        </w:rPr>
        <w:t>clause (a)(i)</w:t>
      </w:r>
      <w:r>
        <w:rPr>
          <w:rFonts w:ascii="Times New Roman;Times;Serif" w:hAnsi="Times New Roman;Times;Serif"/>
          <w:b w:val="false"/>
          <w:i w:val="false"/>
          <w:caps w:val="false"/>
          <w:smallCaps w:val="false"/>
          <w:sz w:val="20"/>
        </w:rPr>
        <w:t xml:space="preserve"> shall apply to any failure to make any payment in excess of the greater of (x) $145,000,000 and (y) 17% of Consolidated EBITDA for the most recently ended Test Period (calculated on a Pro Forma Basis)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Times New Roman;Times;Serif" w:hAnsi="Times New Roman;Times;Serif"/>
          <w:b w:val="false"/>
          <w:i w:val="false"/>
          <w:caps w:val="false"/>
          <w:smallCaps w:val="false"/>
          <w:sz w:val="20"/>
          <w:u w:val="single"/>
        </w:rPr>
        <w:t>clause (a)(i)</w:t>
      </w:r>
      <w:r>
        <w:rPr>
          <w:rFonts w:ascii="Times New Roman;Times;Serif" w:hAnsi="Times New Roman;Times;Serif"/>
          <w:b w:val="false"/>
          <w:i w:val="false"/>
          <w:caps w:val="false"/>
          <w:smallCaps w:val="false"/>
          <w:sz w:val="20"/>
        </w:rPr>
        <w:t xml:space="preserve"> above shall apply to any failure to make any payment in excess of the greater of (x) $145,000,000 and (y) 17% of Consolidated EBITDA for the most recently ended Test Period (calculated on a Pro Forma Basis) that is required as a result of any such termination or equivalent event and that is not otherwise being contested in good faith)), prior to the stated maturity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the Borrower or the applicable Restricted Subsidiary or (II) waived (including in the form of amendment) by the required holders of the applicable item of Indebtedness, in either case, prior to the acceleration of Loans pursuant to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Bankruptcy, Etc</w:t>
      </w:r>
      <w:r>
        <w:rPr>
          <w:rFonts w:ascii="Times New Roman;Times;Serif" w:hAnsi="Times New Roman;Times;Serif"/>
          <w:b w:val="false"/>
          <w:i w:val="false"/>
          <w:caps w:val="false"/>
          <w:smallCaps w:val="false"/>
          <w:sz w:val="20"/>
        </w:rPr>
        <w:t xml:space="preserve">. Except as otherwise permitted by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Holdings, any Intermediate Holdco, the Borrower or any Significant Subsidiary commences a voluntary case, proceeding or action concerning itself under Title 11 of the United States Code entitled “Bankruptcy” as now or hereafter in effect, or any successor thereto (collectively,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or an involuntary case, proceeding or action is commenced against Holdings, any Intermediate Holdco, the Borrower or any Significant Subsidiary and the petition is not controverted within 60 days after commencement of the case, proceeding or action; or an involuntary case, proceeding or action is commenced against Holdings, any Intermediate Holdco,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any Intermediate Holdco, the Borrower or any Significant Subsidiary; or Holdings, any Intermediate Holdco,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any Intermediate Holdco, the Borrower or any Significant Subsidiary; or there is commenced against the Holdings, any Intermediate Holdco, the Borrower or any Significant Subsidiary any such proceeding or action that remains undismissed for a period of 60 days; or Holdings, any Intermediate Holdco, the Borrower or any Significant Subsidiary is adjudicated bankrupt; or any order of relief or other order approving any such case or proceeding or action is entered; or Holdings, any Intermediate Holdco, the Borrower or any Significant Subsidiary suffers any appointment of any custodian receiver, receiver manager, trustee, administrator or the like for it or any substantial part of its property to continue undischarged or unstayed for a period of 60 days; or Holdings, any Intermediate Holdco, the Borrower or any Significant Subsidiary makes a general assignment for the benefit of creditors;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above, such event or condition, together with all other such events or conditions, if any, would reasonably be expected to result in a Material Adverse Effect;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Pledge Agreement</w:t>
      </w:r>
      <w:r>
        <w:rPr>
          <w:rFonts w:ascii="Times New Roman;Times;Serif" w:hAnsi="Times New Roman;Times;Serif"/>
          <w:b w:val="false"/>
          <w:i w:val="false"/>
          <w:caps w:val="false"/>
          <w:smallCaps w:val="false"/>
          <w:sz w:val="20"/>
        </w:rPr>
        <w:t xml:space="preserve">. Other than as expressly permitted hereunder, </w:t>
      </w:r>
      <w:r>
        <w:rPr>
          <w:rFonts w:ascii="Times New Roman;Times;Serif" w:hAnsi="Times New Roman;Times;Serif"/>
          <w:b w:val="false"/>
          <w:i w:val="false"/>
          <w:caps w:val="false"/>
          <w:smallCaps w:val="false"/>
          <w:color w:val="0000FF"/>
          <w:sz w:val="20"/>
          <w:u w:val="single"/>
          <w:bdr w:val="single" w:sz="8" w:space="1" w:color="0000FF"/>
        </w:rPr>
        <w:t xml:space="preserve">(i) </w:t>
      </w:r>
      <w:r>
        <w:rPr>
          <w:rFonts w:ascii="Times New Roman;Times;Serif" w:hAnsi="Times New Roman;Times;Serif"/>
          <w:b w:val="false"/>
          <w:i w:val="false"/>
          <w:caps w:val="false"/>
          <w:smallCaps w:val="false"/>
          <w:sz w:val="20"/>
        </w:rPr>
        <w:t>the Pledge Agreement or any other Security Document pursuant to which the Capital Stock or Stock Equivalents of the Borrower or any Subsidiary is pledged or any material provision thereof shall cease to be in full force or effect</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other than</w:t>
      </w:r>
      <w:r>
        <w:rPr>
          <w:rFonts w:ascii="Times New Roman;Times;Serif" w:hAnsi="Times New Roman;Times;Serif"/>
          <w:b w:val="false"/>
          <w:i w:val="false"/>
          <w:caps w:val="false"/>
          <w:smallCaps w:val="false"/>
          <w:color w:val="0000FF"/>
          <w:sz w:val="20"/>
          <w:u w:val="single"/>
          <w:bdr w:val="single" w:sz="8" w:space="1" w:color="0000FF"/>
        </w:rPr>
        <w:t>ii) the Liens created by the Pledge Agreement or any other Security Document pursuant to which the Capital Stock or Stock Equivalents of the Borrower or any Subsidiary is pledged shall cease to be perfected and enforceable in accordance with its terms or of the same effect as to perfection and priority purported to be created thereby with respect to any material portion of the Collateral, subject to the qualifications with respect to perfection contained in the Credit Documents and the ABL Intercreditor Agreement (in each case of the preceding clauses (i) and (ii), other than (x)</w:t>
      </w:r>
      <w:r>
        <w:rPr>
          <w:rFonts w:ascii="Times New Roman;Times;Serif" w:hAnsi="Times New Roman;Times;Serif"/>
          <w:b w:val="false"/>
          <w:i w:val="false"/>
          <w:caps w:val="false"/>
          <w:smallCaps w:val="false"/>
          <w:sz w:val="20"/>
        </w:rPr>
        <w:t xml:space="preserve"> pursuant to the terms hereof or thereof</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bdr w:val="single" w:sz="8" w:space="1" w:color="0000FF"/>
        </w:rPr>
        <w:t>or (y) (A)</w:t>
      </w:r>
      <w:r>
        <w:rPr>
          <w:rFonts w:ascii="Times New Roman;Times;Serif" w:hAnsi="Times New Roman;Times;Serif"/>
          <w:b w:val="false"/>
          <w:i w:val="false"/>
          <w:caps w:val="false"/>
          <w:smallCaps w:val="false"/>
          <w:sz w:val="20"/>
        </w:rPr>
        <w:t xml:space="preserve"> solely as a result of acts or omissions of the Collateral Agent or any Lender or </w:t>
      </w:r>
      <w:r>
        <w:rPr>
          <w:rFonts w:ascii="Times New Roman;Times;Serif" w:hAnsi="Times New Roman;Times;Serif"/>
          <w:b w:val="false"/>
          <w:i w:val="false"/>
          <w:caps w:val="false"/>
          <w:smallCaps w:val="false"/>
          <w:color w:val="0000FF"/>
          <w:sz w:val="20"/>
          <w:u w:val="single"/>
          <w:bdr w:val="single" w:sz="8" w:space="1" w:color="0000FF"/>
        </w:rPr>
        <w:t xml:space="preserve">(B) </w:t>
      </w:r>
      <w:r>
        <w:rPr>
          <w:rFonts w:ascii="Times New Roman;Times;Serif" w:hAnsi="Times New Roman;Times;Serif"/>
          <w:b w:val="false"/>
          <w:i w:val="false"/>
          <w:caps w:val="false"/>
          <w:smallCaps w:val="false"/>
          <w:sz w:val="20"/>
        </w:rPr>
        <w:t xml:space="preserve">solely as a result of the Collateral Agent’s failure to maintain possession of any Capital Stock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Stock Equivalents</w:t>
      </w:r>
      <w:r>
        <w:rPr>
          <w:rFonts w:ascii="Times New Roman;Times;Serif" w:hAnsi="Times New Roman;Times;Serif"/>
          <w:b w:val="false"/>
          <w:i w:val="false"/>
          <w:caps w:val="false"/>
          <w:smallCaps w:val="false"/>
          <w:color w:val="0000FF"/>
          <w:sz w:val="20"/>
          <w:u w:val="single"/>
          <w:bdr w:val="single" w:sz="8" w:space="1" w:color="0000FF"/>
        </w:rPr>
        <w:t>, promissory notes or other instruments</w:t>
      </w:r>
      <w:r>
        <w:rPr>
          <w:rFonts w:ascii="Times New Roman;Times;Serif" w:hAnsi="Times New Roman;Times;Serif"/>
          <w:b w:val="false"/>
          <w:i w:val="false"/>
          <w:caps w:val="false"/>
          <w:smallCaps w:val="false"/>
          <w:sz w:val="20"/>
        </w:rPr>
        <w:t xml:space="preserve"> that have been previously delivered to it</w:t>
      </w:r>
      <w:r>
        <w:rPr>
          <w:rFonts w:ascii="Times New Roman;Times;Serif" w:hAnsi="Times New Roman;Times;Serif"/>
          <w:b w:val="false"/>
          <w:i w:val="false"/>
          <w:caps w:val="false"/>
          <w:smallCaps w:val="false"/>
          <w:strike/>
          <w:color w:val="FF0000"/>
          <w:sz w:val="20"/>
        </w:rPr>
        <w:t>) 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bdr w:val="single" w:sz="8" w:space="1" w:color="0000FF"/>
        </w:rPr>
        <w:t>or the Collateral Agent’s failure to timely file a Uniform Commercial Code continuation statement) or (iii)</w:t>
      </w:r>
      <w:r>
        <w:rPr>
          <w:rFonts w:ascii="Times New Roman;Times;Serif" w:hAnsi="Times New Roman;Times;Serif"/>
          <w:b w:val="false"/>
          <w:i w:val="false"/>
          <w:caps w:val="false"/>
          <w:smallCaps w:val="false"/>
          <w:sz w:val="20"/>
        </w:rPr>
        <w:t xml:space="preserve"> any pledgor thereunder or any Credit Party shall deny or disaffirm in writing any pledgor’s obligations under any Security Document;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xml:space="preserve">. Other than as expressly permitted hereunder, </w:t>
      </w:r>
      <w:r>
        <w:rPr>
          <w:rFonts w:ascii="Times New Roman;Times;Serif" w:hAnsi="Times New Roman;Times;Serif"/>
          <w:b w:val="false"/>
          <w:i w:val="false"/>
          <w:caps w:val="false"/>
          <w:smallCaps w:val="false"/>
          <w:color w:val="0000FF"/>
          <w:sz w:val="20"/>
          <w:u w:val="single"/>
          <w:bdr w:val="single" w:sz="8" w:space="1" w:color="0000FF"/>
        </w:rPr>
        <w:t xml:space="preserve">(i) </w:t>
      </w:r>
      <w:r>
        <w:rPr>
          <w:rFonts w:ascii="Times New Roman;Times;Serif" w:hAnsi="Times New Roman;Times;Serif"/>
          <w:b w:val="false"/>
          <w:i w:val="false"/>
          <w:caps w:val="false"/>
          <w:smallCaps w:val="false"/>
          <w:sz w:val="20"/>
        </w:rPr>
        <w:t xml:space="preserve">the Security Agreement or any other Security Document pursuant to which the assets of Holdings, any Intermediate Holdco, the Borrower or any Material Subsidiary are pledged as Collateral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any material provision thereof shall cease to be in full force or effect</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FF0000"/>
          <w:sz w:val="20"/>
        </w:rPr>
        <w:t>other than</w:t>
      </w:r>
      <w:r>
        <w:rPr>
          <w:rFonts w:ascii="Times New Roman;Times;Serif" w:hAnsi="Times New Roman;Times;Serif"/>
          <w:b w:val="false"/>
          <w:i w:val="false"/>
          <w:caps w:val="false"/>
          <w:smallCaps w:val="false"/>
          <w:color w:val="0000FF"/>
          <w:sz w:val="20"/>
          <w:u w:val="single"/>
          <w:bdr w:val="single" w:sz="8" w:space="1" w:color="0000FF"/>
        </w:rPr>
        <w:t>ii) the Liens created by the Security Agreement or any other Security Document pursuant to which the assets of Holdings, any Intermediate Holdco, the Borrower or any Material Subsidiary are pledged as Collateral shall cease to be perfected and enforceable in accordance with its terms or of the same effect as to perfection and priority purported to be created thereby with respect to any material portion of the Collateral, subject to the qualifications with respect to perfection contained in the Credit Documents and the ABL Intercreditor Agreement (in each case of the preceding clauses (i) and (ii), other than (x)</w:t>
      </w:r>
      <w:r>
        <w:rPr>
          <w:rFonts w:ascii="Times New Roman;Times;Serif" w:hAnsi="Times New Roman;Times;Serif"/>
          <w:b w:val="false"/>
          <w:i w:val="false"/>
          <w:caps w:val="false"/>
          <w:smallCaps w:val="false"/>
          <w:sz w:val="20"/>
        </w:rPr>
        <w:t xml:space="preserve"> pursuant to the terms hereof or thereof</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bdr w:val="single" w:sz="8" w:space="1" w:color="0000FF"/>
        </w:rPr>
        <w:t>or (y) (A)</w:t>
      </w:r>
      <w:r>
        <w:rPr>
          <w:rFonts w:ascii="Times New Roman;Times;Serif" w:hAnsi="Times New Roman;Times;Serif"/>
          <w:b w:val="false"/>
          <w:i w:val="false"/>
          <w:caps w:val="false"/>
          <w:smallCaps w:val="false"/>
          <w:sz w:val="20"/>
        </w:rPr>
        <w:t xml:space="preserve"> solely as a result of acts or omissions of the Collateral Agent </w:t>
      </w:r>
      <w:r>
        <w:rPr>
          <w:rFonts w:ascii="Times New Roman;Times;Serif" w:hAnsi="Times New Roman;Times;Serif"/>
          <w:b w:val="false"/>
          <w:i w:val="false"/>
          <w:caps w:val="false"/>
          <w:smallCaps w:val="false"/>
          <w:strike/>
          <w:color w:val="FF0000"/>
          <w:sz w:val="20"/>
        </w:rPr>
        <w:t>in respect of certificates, promissory notes or instruments actually delivered to it (including</w:t>
      </w:r>
      <w:r>
        <w:rPr>
          <w:rFonts w:ascii="Times New Roman;Times;Serif" w:hAnsi="Times New Roman;Times;Serif"/>
          <w:b w:val="false"/>
          <w:i w:val="false"/>
          <w:caps w:val="false"/>
          <w:smallCaps w:val="false"/>
          <w:color w:val="0000FF"/>
          <w:sz w:val="20"/>
          <w:u w:val="single"/>
          <w:bdr w:val="single" w:sz="8" w:space="1" w:color="0000FF"/>
        </w:rPr>
        <w:t>or any Lender or (B) solely</w:t>
      </w:r>
      <w:r>
        <w:rPr>
          <w:rFonts w:ascii="Times New Roman;Times;Serif" w:hAnsi="Times New Roman;Times;Serif"/>
          <w:b w:val="false"/>
          <w:i w:val="false"/>
          <w:caps w:val="false"/>
          <w:smallCaps w:val="false"/>
          <w:sz w:val="20"/>
        </w:rPr>
        <w:t xml:space="preserve"> as a result of the Collateral Agent’s failure to </w:t>
      </w:r>
      <w:r>
        <w:rPr>
          <w:rFonts w:ascii="Times New Roman;Times;Serif" w:hAnsi="Times New Roman;Times;Serif"/>
          <w:b w:val="false"/>
          <w:i w:val="false"/>
          <w:caps w:val="false"/>
          <w:smallCaps w:val="false"/>
          <w:color w:val="0000FF"/>
          <w:sz w:val="20"/>
          <w:u w:val="single"/>
          <w:bdr w:val="single" w:sz="8" w:space="1" w:color="0000FF"/>
        </w:rPr>
        <w:t xml:space="preserve">maintain possession of any Capital Stock, Stock Equivalents promissory notes or other instruments that have been previously delivered to it or the Collateral Agent’s failure to timely </w:t>
      </w:r>
      <w:r>
        <w:rPr>
          <w:rFonts w:ascii="Times New Roman;Times;Serif" w:hAnsi="Times New Roman;Times;Serif"/>
          <w:b w:val="false"/>
          <w:i w:val="false"/>
          <w:caps w:val="false"/>
          <w:smallCaps w:val="false"/>
          <w:sz w:val="20"/>
        </w:rPr>
        <w:t>file a Uniform Commercial Code continuation statement</w:t>
      </w:r>
      <w:r>
        <w:rPr>
          <w:rFonts w:ascii="Times New Roman;Times;Serif" w:hAnsi="Times New Roman;Times;Serif"/>
          <w:b w:val="false"/>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color w:val="0000FF"/>
          <w:sz w:val="20"/>
          <w:u w:val="single"/>
          <w:bdr w:val="single" w:sz="8" w:space="1" w:color="0000FF"/>
        </w:rPr>
        <w:t xml:space="preserve">(iii) </w:t>
      </w:r>
      <w:r>
        <w:rPr>
          <w:rFonts w:ascii="Times New Roman;Times;Serif" w:hAnsi="Times New Roman;Times;Serif"/>
          <w:b w:val="false"/>
          <w:i w:val="false"/>
          <w:caps w:val="false"/>
          <w:smallCaps w:val="false"/>
          <w:sz w:val="20"/>
        </w:rPr>
        <w:t>any grantor thereunder or any Credit Party shall deny or disaffirm in writing any grantor’s obligations under the Security Agreement or any other Security Document;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One or more judgments or decrees shall be entered against the Borrower or any of the Restricted Subsidiaries involving a liability in excess of the greater of (x) $145,000,000 and (y) 17%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A Change of Control shall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any event, and at any time thereafter, if an Event of Default occurs and is continuing, the Administrative Agent shall, upon the written request of the Required Lenders, by written notice to the Borrower, without prejudice to the rights of the Administrative Agent or any Lender to enforce its claims against the Borrower, take any or all of the following actions, except as otherwise specifically provided for in this Agreement,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with respect to the Borrower, it will pay) to the Administrative Agent at the Administrative Agent’s Office such additional amounts of cash, to be held as security for the Borrower’s respective reimbursement obligations for Unpaid Drawings that may subsequently occur thereunder, equal to the aggregate Stated Amount of all Letters of Credit issued and then outstanding. In the case of an Event of Default under </w:t>
      </w:r>
      <w:r>
        <w:rPr>
          <w:rFonts w:ascii="Times New Roman;Times;Serif" w:hAnsi="Times New Roman;Times;Serif"/>
          <w:b w:val="false"/>
          <w:i w:val="false"/>
          <w:caps w:val="false"/>
          <w:smallCaps w:val="false"/>
          <w:sz w:val="20"/>
          <w:u w:val="single"/>
        </w:rPr>
        <w:t>Section 11.3(a)</w:t>
      </w:r>
      <w:r>
        <w:rPr>
          <w:rFonts w:ascii="Times New Roman;Times;Serif" w:hAnsi="Times New Roman;Times;Serif"/>
          <w:b w:val="false"/>
          <w:i w:val="false"/>
          <w:caps w:val="false"/>
          <w:smallCaps w:val="false"/>
          <w:sz w:val="20"/>
        </w:rPr>
        <w:t xml:space="preserve"> in respect of a failure to observe or perform the covenant under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the actions previously described will be permitted to occur only following the expiration of the ability to effectuate the Cure Right;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an Event of Default specified in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shall occur with respect to the Borrower, the result that would occur upon the giving of written notice by the Administrative Agent shall occur automatically without the giving of any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val="false"/>
          <w:i w:val="false"/>
          <w:caps w:val="false"/>
          <w:smallCaps w:val="false"/>
          <w:sz w:val="20"/>
          <w:u w:val="single"/>
        </w:rPr>
        <w:t>Application of Proceeds</w:t>
      </w:r>
      <w:r>
        <w:rPr>
          <w:rFonts w:ascii="Times New Roman;Times;Serif" w:hAnsi="Times New Roman;Times;Serif"/>
          <w:b w:val="false"/>
          <w:i w:val="false"/>
          <w:caps w:val="false"/>
          <w:smallCaps w:val="false"/>
          <w:sz w:val="20"/>
        </w:rPr>
        <w:t xml:space="preserve">. Subject to the terms of the ABL Intercreditor Agreement and, in each case if executed, the First Lien Intercreditor Agreement and the Second Lien Intercreditor Agreement,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 xml:space="preserve"> shall be applied: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ratably to pay the Obligations in respect of any Indemnified Liabilities, indemnities and other amounts then due to the Agents until paid in full;</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ratably to pay any Indemnified Liabilities and indemnities, and to pay any fees then due to the Lenders, until paid in full; and</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ratably to pay interest accrued in respect of the Obligations until paid in full;</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fourth, </w:t>
      </w:r>
      <w:r>
        <w:rPr>
          <w:rFonts w:ascii="Times New Roman;Times;Serif" w:hAnsi="Times New Roman;Times;Serif"/>
          <w:b w:val="false"/>
          <w:i w:val="false"/>
          <w:caps w:val="false"/>
          <w:smallCaps w:val="false"/>
          <w:sz w:val="20"/>
        </w:rPr>
        <w:t>to pay principal due in respect of the Swingline Loans until paid in full;</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ratably (A) to pay the unpaid principal in respect of the Loans, (B) Unpaid Drawings and (C) to pay outstanding Secured Bank Product Obligations, including Cash Collateralization of outstanding Noticed Hedges (other than such amount of the outstanding Secured Bank Product Obligations that exceeds the amount of the Bank Product Reserve as determined by the Administrative Agent and established in respect of such Secured Bank Product Obligations);</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ratably to be held by the Administrative Agent, for the ratable benefit of the Letter of Credit Issuers and the Lenders to Cash Collateralize the then extant undrawn Stated Amount of Letters of Credit, in each case until paid in full;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to pay outstanding Secured Bank Product Obligations, including Cash Collateralization of outstanding Noticed Hedges, that exceed the amount of the Bank Product Reserve as determined by the Administrative Agent and established in respect of such Secured Bank Product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eighth, </w:t>
      </w:r>
      <w:r>
        <w:rPr>
          <w:rFonts w:ascii="Times New Roman;Times;Serif" w:hAnsi="Times New Roman;Times;Serif"/>
          <w:b w:val="false"/>
          <w:i w:val="false"/>
          <w:caps w:val="false"/>
          <w:smallCaps w:val="false"/>
          <w:sz w:val="20"/>
        </w:rPr>
        <w:t>ratably to pay any other outstanding Obligations of the Credit Parties (other than Obligations in respect of Secured Commercial LC Facilities);</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xml:space="preserve">ninth, </w:t>
      </w:r>
      <w:r>
        <w:rPr>
          <w:rFonts w:ascii="Times New Roman;Times;Serif" w:hAnsi="Times New Roman;Times;Serif"/>
          <w:b w:val="false"/>
          <w:i w:val="false"/>
          <w:caps w:val="false"/>
          <w:smallCaps w:val="false"/>
          <w:sz w:val="20"/>
        </w:rPr>
        <w:t>ratably to pay other Obligations in respect of Secured Commercial LC Facilities, until paid in full; and</w:t>
      </w:r>
    </w:p>
    <w:p>
      <w:pPr>
        <w:pStyle w:val="TextBody"/>
        <w:shd w:fill="FFFFFF" w:val="clear"/>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tenth</w:t>
      </w:r>
      <w:r>
        <w:rPr>
          <w:rFonts w:ascii="Times New Roman;Times;Serif" w:hAnsi="Times New Roman;Times;Serif"/>
          <w:b w:val="false"/>
          <w:i w:val="false"/>
          <w:caps w:val="false"/>
          <w:smallCaps w:val="false"/>
          <w:sz w:val="20"/>
        </w:rPr>
        <w:t>, to the Borrower or such other Person entitled thereto under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distributed with respect to any Secured Bank Product Obligations shall be the lesser of the maximum Secured Bank Product Obligations last reported to the Administrative Agent or the actual Secured Bank Product Obligations as calculated by the methodology reported to the Administrative Agent for determining the amount due. The Administrative Agent shall have no obligation to calculate the amount to be distributed with respect to any Secured Bank Product Obligations, and may request a reasonably detailed calculation of such amount from the applicable Secured Party. If a Secured Party fails to deliver such calculation within five (5) days following request by the Administrative Agent, the Administrative Agent may assume the amount to be distributed is zero. The allocations set forth in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are solely to determine the rights and priorities of the Agents and Secured Parties as among themselves, and may be changed by agreement among them without the consent of any Credit Party. Notwithstanding the foregoing, amounts received from any Guarantor that is not an “Eligible Contract Participant” (as defined in the Commodity Exchange Act) shall not be applied to its Obligations that are Excluded Swap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11.13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Equity Cure</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in the event that Holdings fails to comply with the requirement of the financial covenant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from the beginning of any fiscal period until the expiration of the 10th Business Day following the date financial statements referred to in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Times New Roman;Times;Serif" w:hAnsi="Times New Roman;Times;Serif"/>
          <w:b/>
          <w:i w:val="false"/>
          <w:caps w:val="false"/>
          <w:smallCaps w:val="false"/>
          <w:sz w:val="20"/>
        </w:rPr>
        <w:t>Cure Right</w:t>
      </w:r>
      <w:r>
        <w:rPr>
          <w:rFonts w:ascii="Times New Roman;Times;Serif" w:hAnsi="Times New Roman;Times;Serif"/>
          <w:b w:val="false"/>
          <w:i w:val="false"/>
          <w:caps w:val="false"/>
          <w:smallCaps w:val="false"/>
          <w:sz w:val="20"/>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either Borrower, and upon receipt by such Borrower of such cash contribution (such cash amount being referred to as the “</w:t>
      </w:r>
      <w:r>
        <w:rPr>
          <w:rFonts w:ascii="Times New Roman;Times;Serif" w:hAnsi="Times New Roman;Times;Serif"/>
          <w:b/>
          <w:i w:val="false"/>
          <w:caps w:val="false"/>
          <w:smallCaps w:val="false"/>
          <w:sz w:val="20"/>
        </w:rPr>
        <w:t>Cure Amount</w:t>
      </w:r>
      <w:r>
        <w:rPr>
          <w:rFonts w:ascii="Times New Roman;Times;Serif" w:hAnsi="Times New Roman;Times;Serif"/>
          <w:b w:val="false"/>
          <w:i w:val="false"/>
          <w:caps w:val="false"/>
          <w:smallCaps w:val="false"/>
          <w:sz w:val="20"/>
        </w:rPr>
        <w:t>”) pursuant to the exercise of such Cure Right, such financial covenant shall be recalculated giving effect to the following pro forma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Consolidated EBITDA shall be increased, solely for the purpose of determining the existence of an Event of Default resulting from a breach of the financial covenant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with respect to any period of four consecutive fiscal quarters that includes the fiscal quarter for which the Cure Right was exercised and not for any other purpose under this Agreement, by an amount equal to the Cure Amount;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Consolidated Total Debt shall be decreased for purposes of determining compliance with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solely to the extent proceeds of the Cure Amount are actually applied to prepay Indebtedness, and in no event shall any reduction be given effect during the fiscal quarter with regard to which the Cure Right is exercised; and</w:t>
      </w:r>
    </w:p>
    <w:p>
      <w:pPr>
        <w:pStyle w:val="TextBody"/>
        <w:bidi w:val="0"/>
        <w:spacing w:before="200" w:after="200"/>
        <w:ind w:left="720" w:right="0" w:firstLine="108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after giving effect to the foregoing recalculations, Holdings shall then be in compliance with the requirements of the financial covenant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(calculated on a Pro Forma Basis), Holdings shall be deemed to have satisfied the requirements of the financial covenant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as of the relevant date of determination with the same effect as though there had been no failure to comply therewith at such date, and the applicable breach or default of such financial covenants that had occurred shall be deemed cured for the purposes of this Agreement;</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expected to be required to cause the Borrower to be in compliance with the financial covenant set forth in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and (iv) all Cure Amounts shall be disregarded for the purposes of any financial ratio determination under the Credit Documents other than for determining compliance with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12.         </w:t>
      </w:r>
      <w:r>
        <w:rPr>
          <w:rFonts w:ascii="Times New Roman;Times;Serif" w:hAnsi="Times New Roman;Times;Serif"/>
          <w:b w:val="false"/>
          <w:i w:val="false"/>
          <w:caps w:val="false"/>
          <w:smallCaps w:val="false"/>
          <w:sz w:val="20"/>
          <w:u w:val="single"/>
        </w:rPr>
        <w:t xml:space="preserve"> The Agents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(other than </w:t>
      </w:r>
      <w:r>
        <w:rPr>
          <w:rFonts w:ascii="Times New Roman;Times;Serif" w:hAnsi="Times New Roman;Times;Serif"/>
          <w:b w:val="false"/>
          <w:i w:val="false"/>
          <w:caps w:val="false"/>
          <w:smallCaps w:val="false"/>
          <w:sz w:val="20"/>
          <w:u w:val="single"/>
        </w:rPr>
        <w:t>Section 12.1(c)</w:t>
      </w:r>
      <w:r>
        <w:rPr>
          <w:rFonts w:ascii="Times New Roman;Times;Serif" w:hAnsi="Times New Roman;Times;Serif"/>
          <w:b w:val="false"/>
          <w:i w:val="false"/>
          <w:caps w:val="false"/>
          <w:smallCaps w:val="false"/>
          <w:sz w:val="20"/>
        </w:rPr>
        <w:t xml:space="preserve"> with respect to the Joint Lead Arrangers and Bookrunners and </w:t>
      </w:r>
      <w:r>
        <w:rPr>
          <w:rFonts w:ascii="Times New Roman;Times;Serif" w:hAnsi="Times New Roman;Times;Serif"/>
          <w:b w:val="false"/>
          <w:i w:val="false"/>
          <w:caps w:val="false"/>
          <w:smallCaps w:val="false"/>
          <w:sz w:val="20"/>
          <w:u w:val="single"/>
        </w:rPr>
        <w:t>Sections 12.1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12.12</w:t>
      </w:r>
      <w:r>
        <w:rPr>
          <w:rFonts w:ascii="Times New Roman;Times;Serif" w:hAnsi="Times New Roman;Times;Serif"/>
          <w:b w:val="false"/>
          <w:i w:val="false"/>
          <w:caps w:val="false"/>
          <w:smallCaps w:val="false"/>
          <w:sz w:val="20"/>
        </w:rPr>
        <w:t xml:space="preserve"> with respect to the Borrower) are solely for the benefit of the Agents and the Lenders, neither the Borrower nor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and the Letter of Credit Issuer and no implied covenants, functions, responsibilities, duties, obligations or liabilities shall be read into this Agreement or any other Credit Document or otherwise exist against the Collateral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of the Joint Lead Arrangers and Bookrunners each in its capacity as such, shall not have any obligations, duties or responsibilities under this Agreement but shall be entitled to all benefits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xml:space="preserve">. No Agent nor any of its Affiliates nor any of their respective officers, directors, employees, agents, partners, members, trustees, administrators, managers, representatives, attorneys-in-fact and advisors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(including, for the avoidance of doubt, in connection with the Administrative Agent’s reliance on any Electronic Signature transmitted by telecopy, emailed pdf. or any other electronic means that reproduces an image of an actual executed signature page),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and (c) the Administrative Agent does not warrant nor accept any responsibility nor shall the Administrative Agent have any liability with respect to (i) any Benchmark Replacement Conforming Changes, (ii) the administration, submission or any matter relating to any Benchmark Replacement or (iii) the effect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val="false"/>
          <w:caps w:val="false"/>
          <w:smallCaps w:val="false"/>
          <w:sz w:val="20"/>
          <w:u w:val="single"/>
        </w:rPr>
        <w:t>Reliance by Agents</w:t>
      </w:r>
      <w:r>
        <w:rPr>
          <w:rFonts w:ascii="Times New Roman;Times;Serif" w:hAnsi="Times New Roman;Times;Serif"/>
          <w:b w:val="false"/>
          <w:i w:val="false"/>
          <w:caps w:val="false"/>
          <w:smallCaps w:val="false"/>
          <w:sz w:val="20"/>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(and exculpated in a manner that is)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and the Collateral Agent shall not be required to take any action that, in its opinion or in the opinion of its counsel, may expose it to liability or that is contrary to any Credit Document or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val="false"/>
          <w:caps w:val="false"/>
          <w:smallCaps w:val="false"/>
          <w:sz w:val="20"/>
          <w:u w:val="single"/>
        </w:rPr>
        <w:t>Non-Reliance on Administrative Agent, Collateral Agent, and Other Lenders</w:t>
      </w:r>
      <w:r>
        <w:rPr>
          <w:rFonts w:ascii="Times New Roman;Times;Serif" w:hAnsi="Times New Roman;Times;Serif"/>
          <w:b w:val="false"/>
          <w:i w:val="false"/>
          <w:caps w:val="false"/>
          <w:smallCaps w:val="false"/>
          <w:sz w:val="20"/>
        </w:rPr>
        <w:t>. Each Lender and each Letter of Credit Issuer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and the Letter of Credit Issuer. Each of the Lenders,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 investigation into the business, operations, property, financial and other condition and creditworthiness of the Borrower and each other Credit Party and made its own decision to make its Loans hereunder and enter into this Agreement and that it is sophisticated with respect to decisions to make, acquire and/or hold commercial loans and to provide other facilities set forth herein, as may be applicable to such Lender or such Letter of Credit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Letter of Credit Issuer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xml:space="preserve"> shall survive the payment of the Loans and all other amounts payable hereunder. The indemnity provided to each Agent under this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xml:space="preserve"> shall also apply to such Agent’s respective Affiliates, directors, officers, members, controlling persons, employees, trustees, investment advisors and agents and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val="false"/>
          <w:i w:val="false"/>
          <w:caps w:val="false"/>
          <w:smallCaps w:val="false"/>
          <w:sz w:val="20"/>
          <w:u w:val="single"/>
        </w:rPr>
        <w:t>Agents in Their Individual Capacities</w:t>
      </w:r>
      <w:r>
        <w:rPr>
          <w:rFonts w:ascii="Times New Roman;Times;Serif" w:hAnsi="Times New Roman;Times;Serif"/>
          <w:b w:val="false"/>
          <w:i w:val="false"/>
          <w:caps w:val="false"/>
          <w:smallCaps w:val="false"/>
          <w:sz w:val="20"/>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val="false"/>
          <w:i w:val="false"/>
          <w:caps w:val="false"/>
          <w:smallCaps w:val="false"/>
          <w:sz w:val="20"/>
          <w:u w:val="single"/>
        </w:rPr>
        <w:t>Successor 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Administrative Agent and the Collateral Agent may at any time give notice of its resignation to the Lenders, the Letter of Credit Issuer and the Borrower. Upon receipt of any such notice of resignation, the Required Lenders shall have the right, subject to the consent of the Borrower (not to be unreasonably withheld or delayed) so long as no Event of Default under </w:t>
      </w:r>
      <w:r>
        <w:rPr>
          <w:rFonts w:ascii="Times New Roman;Times;Serif" w:hAnsi="Times New Roman;Times;Serif"/>
          <w:b w:val="false"/>
          <w:i w:val="false"/>
          <w:caps w:val="false"/>
          <w:smallCaps w:val="false"/>
          <w:sz w:val="20"/>
          <w:u w:val="single"/>
        </w:rPr>
        <w:t>Sections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 xml:space="preserve">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 “</w:t>
      </w:r>
      <w:r>
        <w:rPr>
          <w:rFonts w:ascii="Times New Roman;Times;Serif" w:hAnsi="Times New Roman;Times;Serif"/>
          <w:b/>
          <w:i w:val="false"/>
          <w:caps w:val="false"/>
          <w:smallCaps w:val="false"/>
          <w:sz w:val="20"/>
        </w:rPr>
        <w:t>Resignation Effective Date</w:t>
      </w:r>
      <w:r>
        <w:rPr>
          <w:rFonts w:ascii="Times New Roman;Times;Serif" w:hAnsi="Times New Roman;Times;Serif"/>
          <w:b w:val="false"/>
          <w:i w:val="false"/>
          <w:caps w:val="false"/>
          <w:smallCaps w:val="false"/>
          <w:sz w:val="20"/>
        </w:rPr>
        <w:t xml:space="preserve">”), then the retiring Agent may on behalf of the Lenders, appoint a successor Agent meeting the qualifications set forth above (including receipt of the Borrower’s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Person serving as the Administrative Agent is a Defaulting Lender pursuant to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b/>
          <w:i w:val="false"/>
          <w:caps w:val="false"/>
          <w:smallCaps w:val="false"/>
          <w:sz w:val="20"/>
        </w:rPr>
        <w:t>Removal Effective Date</w:t>
      </w:r>
      <w:r>
        <w:rPr>
          <w:rFonts w:ascii="Times New Roman;Times;Serif" w:hAnsi="Times New Roman;Times;Serif"/>
          <w:b w:val="false"/>
          <w:i w:val="false"/>
          <w:caps w:val="false"/>
          <w:smallCaps w:val="false"/>
          <w:sz w:val="20"/>
        </w:rPr>
        <w:t>”), then such removal shall nonetheless become effective in accordance with such notice on the Removal Effective Date.</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Times New Roman;Times;Serif" w:hAnsi="Times New Roman;Times;Serif"/>
          <w:b w:val="false"/>
          <w:i w:val="false"/>
          <w:caps w:val="false"/>
          <w:smallCaps w:val="false"/>
          <w:sz w:val="20"/>
          <w:u w:val="single"/>
        </w:rPr>
        <w:t>Section 12.9</w:t>
      </w:r>
      <w:r>
        <w:rPr>
          <w:rFonts w:ascii="Times New Roman;Times;Serif" w:hAnsi="Times New Roman;Times;Serif"/>
          <w:b w:val="false"/>
          <w:i w:val="false"/>
          <w:caps w:val="false"/>
          <w:smallCaps w:val="false"/>
          <w:sz w:val="20"/>
        </w:rPr>
        <w:t xml:space="preserve">). Except as provided above, any resignation or removal of JPMorgan Chase Bank, N.A. as the Administrative Agent pursuant to this </w:t>
      </w:r>
      <w:r>
        <w:rPr>
          <w:rFonts w:ascii="Times New Roman;Times;Serif" w:hAnsi="Times New Roman;Times;Serif"/>
          <w:b w:val="false"/>
          <w:i w:val="false"/>
          <w:caps w:val="false"/>
          <w:smallCaps w:val="false"/>
          <w:sz w:val="20"/>
          <w:u w:val="single"/>
        </w:rPr>
        <w:t>Section 12.9</w:t>
      </w:r>
      <w:r>
        <w:rPr>
          <w:rFonts w:ascii="Times New Roman;Times;Serif" w:hAnsi="Times New Roman;Times;Serif"/>
          <w:b w:val="false"/>
          <w:i w:val="false"/>
          <w:caps w:val="false"/>
          <w:smallCaps w:val="false"/>
          <w:sz w:val="20"/>
        </w:rPr>
        <w:t xml:space="preserve"> shall also constitute the resignation or removal of JPMorgan Chase Bank, N.A. as the Collateral Agent. The fees payable 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12.7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resignation by or removal of JPMorgan Chase Bank, N.A. as the Administrative Agent pursuant to this </w:t>
      </w:r>
      <w:r>
        <w:rPr>
          <w:rFonts w:ascii="Times New Roman;Times;Serif" w:hAnsi="Times New Roman;Times;Serif"/>
          <w:b w:val="false"/>
          <w:i w:val="false"/>
          <w:caps w:val="false"/>
          <w:smallCaps w:val="false"/>
          <w:sz w:val="20"/>
          <w:u w:val="single"/>
        </w:rPr>
        <w:t>Section 12.9</w:t>
      </w:r>
      <w:r>
        <w:rPr>
          <w:rFonts w:ascii="Times New Roman;Times;Serif" w:hAnsi="Times New Roman;Times;Serif"/>
          <w:b w:val="false"/>
          <w:i w:val="false"/>
          <w:caps w:val="false"/>
          <w:smallCaps w:val="false"/>
          <w:sz w:val="20"/>
        </w:rPr>
        <w:t xml:space="preserve"> shall also constitute its resignation or removal as Swingline Lender and Letter of Credit Issuer. Upon the acceptance of a successor’s appointment as the Administrative Agent hereunder, (a) such successor shall succeed to and become vested with all of the rights, powers, privileges and duties of the retiring Swingline Lender and Letter of Credit Issuer, (b) the retiring Swingline Lender and Letter of Credit Issuer shall be discharged from all of their respective duties and obligations hereunder or under the other Credit Documents, and (c) the successor Swingline Lender and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to effectively assume the obligations of the retiring Letter of Credit Issuer with respect to such Letters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12.10       </w:t>
      </w:r>
      <w:r>
        <w:rPr>
          <w:rFonts w:ascii="Times New Roman;Times;Serif" w:hAnsi="Times New Roman;Times;Serif"/>
          <w:b w:val="false"/>
          <w:i w:val="false"/>
          <w:caps w:val="false"/>
          <w:smallCaps w:val="false"/>
          <w:sz w:val="20"/>
          <w:u w:val="single"/>
        </w:rPr>
        <w:t>Withholding Tax</w:t>
      </w:r>
      <w:r>
        <w:rPr>
          <w:rFonts w:ascii="Times New Roman;Times;Serif" w:hAnsi="Times New Roman;Times;Serif"/>
          <w:b w:val="false"/>
          <w:i w:val="false"/>
          <w:caps w:val="false"/>
          <w:smallCaps w:val="false"/>
          <w:sz w:val="20"/>
        </w:rPr>
        <w:t xml:space="preserve">. To the extent required by any applicable law (as determined in good faith by the Administrative Agent),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within 10 days after demand therefor, fully for all amounts paid, directly or indirectly, by the Administrative Agent or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Times New Roman;Times;Serif" w:hAnsi="Times New Roman;Times;Serif"/>
          <w:b w:val="false"/>
          <w:i w:val="false"/>
          <w:caps w:val="false"/>
          <w:smallCaps w:val="false"/>
          <w:sz w:val="20"/>
          <w:u w:val="single"/>
        </w:rPr>
        <w:t>Section 12.10</w:t>
      </w:r>
      <w:r>
        <w:rPr>
          <w:rFonts w:ascii="Times New Roman;Times;Serif" w:hAnsi="Times New Roman;Times;Serif"/>
          <w:b w:val="false"/>
          <w:i w:val="false"/>
          <w:caps w:val="false"/>
          <w:smallCaps w:val="false"/>
          <w:sz w:val="20"/>
        </w:rPr>
        <w:t xml:space="preserve">. The agreements in </w:t>
      </w:r>
      <w:r>
        <w:rPr>
          <w:rFonts w:ascii="Times New Roman;Times;Serif" w:hAnsi="Times New Roman;Times;Serif"/>
          <w:b w:val="false"/>
          <w:i w:val="false"/>
          <w:caps w:val="false"/>
          <w:smallCaps w:val="false"/>
          <w:sz w:val="20"/>
          <w:u w:val="single"/>
        </w:rPr>
        <w:t>Section 12.10</w:t>
      </w:r>
      <w:r>
        <w:rPr>
          <w:rFonts w:ascii="Times New Roman;Times;Serif" w:hAnsi="Times New Roman;Times;Serif"/>
          <w:b w:val="false"/>
          <w:i w:val="false"/>
          <w:caps w:val="false"/>
          <w:smallCaps w:val="false"/>
          <w:sz w:val="20"/>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Times New Roman;Times;Serif" w:hAnsi="Times New Roman;Times;Serif"/>
          <w:b w:val="false"/>
          <w:i w:val="false"/>
          <w:caps w:val="false"/>
          <w:smallCaps w:val="false"/>
          <w:sz w:val="20"/>
          <w:u w:val="single"/>
        </w:rPr>
        <w:t>Section 12.10</w:t>
      </w:r>
      <w:r>
        <w:rPr>
          <w:rFonts w:ascii="Times New Roman;Times;Serif" w:hAnsi="Times New Roman;Times;Serif"/>
          <w:b w:val="false"/>
          <w:i w:val="false"/>
          <w:caps w:val="false"/>
          <w:smallCaps w:val="false"/>
          <w:sz w:val="20"/>
        </w:rPr>
        <w:t>, the term Lender includes the Swingline Lender and the Letter of Credit Issuer.</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12.11       </w:t>
      </w:r>
      <w:r>
        <w:rPr>
          <w:rFonts w:ascii="Times New Roman;Times;Serif" w:hAnsi="Times New Roman;Times;Serif"/>
          <w:b w:val="false"/>
          <w:i w:val="false"/>
          <w:caps w:val="false"/>
          <w:smallCaps w:val="false"/>
          <w:sz w:val="20"/>
          <w:u w:val="single"/>
        </w:rPr>
        <w:t>Agents Under Security Documents and Guarantee</w:t>
      </w:r>
      <w:r>
        <w:rPr>
          <w:rFonts w:ascii="Times New Roman;Times;Serif" w:hAnsi="Times New Roman;Times;Serif"/>
          <w:b w:val="false"/>
          <w:i w:val="false"/>
          <w:caps w:val="false"/>
          <w:smallCaps w:val="false"/>
          <w:sz w:val="20"/>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(b) release any Guarantor (other than Holdings) from its obligations under the Guarantee if such Person ceases to be a Restricted Subsidiary (or becomes an Excluded Subsidiary) as a result of a transaction or designation permitted hereunder;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in the case of any prospective release of any 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 (c) subordinate any Lien on any property granted to or held by the Administrative Agent or the Collateral Agent under any Credit Document to the holder of any Lien permitted under </w:t>
      </w:r>
      <w:r>
        <w:rPr>
          <w:rFonts w:ascii="Times New Roman;Times;Serif" w:hAnsi="Times New Roman;Times;Serif"/>
          <w:b w:val="false"/>
          <w:i w:val="false"/>
          <w:caps w:val="false"/>
          <w:smallCaps w:val="false"/>
          <w:sz w:val="20"/>
          <w:u w:val="single"/>
        </w:rPr>
        <w:t>clause (vi)</w:t>
      </w:r>
      <w:r>
        <w:rPr>
          <w:rFonts w:ascii="Times New Roman;Times;Serif" w:hAnsi="Times New Roman;Times;Serif"/>
          <w:b w:val="false"/>
          <w:i w:val="false"/>
          <w:caps w:val="false"/>
          <w:smallCaps w:val="false"/>
          <w:sz w:val="20"/>
        </w:rPr>
        <w:t xml:space="preserve"> (solely with respect to </w:t>
      </w:r>
      <w:r>
        <w:rPr>
          <w:rFonts w:ascii="Times New Roman;Times;Serif" w:hAnsi="Times New Roman;Times;Serif"/>
          <w:b w:val="false"/>
          <w:i w:val="false"/>
          <w:caps w:val="false"/>
          <w:smallCaps w:val="false"/>
          <w:color w:val="0000FF"/>
          <w:sz w:val="20"/>
          <w:u w:val="single"/>
          <w:bdr w:val="single" w:sz="8" w:space="1" w:color="0000FF"/>
        </w:rPr>
        <w:t xml:space="preserve">the types of Indebtedness permitted under </w:t>
      </w:r>
      <w:r>
        <w:rPr>
          <w:rFonts w:ascii="Times New Roman;Times;Serif" w:hAnsi="Times New Roman;Times;Serif"/>
          <w:b w:val="false"/>
          <w:i w:val="false"/>
          <w:caps w:val="false"/>
          <w:smallCaps w:val="false"/>
          <w:sz w:val="20"/>
          <w:u w:val="single"/>
        </w:rPr>
        <w:t xml:space="preserve">Section 10.1(d) </w:t>
      </w:r>
      <w:r>
        <w:rPr>
          <w:rFonts w:ascii="Times New Roman;Times;Serif" w:hAnsi="Times New Roman;Times;Serif"/>
          <w:b w:val="false"/>
          <w:i w:val="false"/>
          <w:caps w:val="false"/>
          <w:smallCaps w:val="false"/>
          <w:color w:val="0000FF"/>
          <w:sz w:val="20"/>
          <w:u w:val="single"/>
          <w:bdr w:val="single" w:sz="8" w:space="1" w:color="0000FF"/>
        </w:rPr>
        <w:t>and Acquired Indebtedness</w:t>
      </w:r>
      <w:r>
        <w:rPr>
          <w:rFonts w:ascii="Times New Roman;Times;Serif" w:hAnsi="Times New Roman;Times;Serif"/>
          <w:b w:val="false"/>
          <w:i w:val="false"/>
          <w:caps w:val="false"/>
          <w:smallCaps w:val="false"/>
          <w:sz w:val="20"/>
          <w:u w:val="single"/>
        </w:rPr>
        <w:t>), and (ix)</w:t>
      </w:r>
      <w:r>
        <w:rPr>
          <w:rFonts w:ascii="Times New Roman;Times;Serif" w:hAnsi="Times New Roman;Times;Serif"/>
          <w:b w:val="false"/>
          <w:i w:val="false"/>
          <w:caps w:val="false"/>
          <w:smallCaps w:val="false"/>
          <w:sz w:val="20"/>
        </w:rPr>
        <w:t xml:space="preserve"> of the definition of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ABL Intercreditor Agreement, the First Lien Intercreditor Agreement and the Second Lien Intercreditor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Collateral Agent shall have its own independent right to demand payment of the amounts payable by the Borrower under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amount due and payable by the Borrower to the Collateral Agent under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12.12       </w:t>
      </w:r>
      <w:r>
        <w:rPr>
          <w:rFonts w:ascii="Times New Roman;Times;Serif" w:hAnsi="Times New Roman;Times;Serif"/>
          <w:b w:val="false"/>
          <w:i w:val="false"/>
          <w:caps w:val="false"/>
          <w:smallCaps w:val="false"/>
          <w:sz w:val="20"/>
          <w:u w:val="single"/>
        </w:rPr>
        <w:t>Right to Realize on Collateral and Enforce Guarantee</w:t>
      </w:r>
      <w:r>
        <w:rPr>
          <w:rFonts w:ascii="Times New Roman;Times;Serif" w:hAnsi="Times New Roman;Times;Serif"/>
          <w:b w:val="false"/>
          <w:i w:val="false"/>
          <w:caps w:val="false"/>
          <w:smallCaps w:val="false"/>
          <w:sz w:val="20"/>
        </w:rPr>
        <w:t>. Anything contained in any of the Credit Documents to the contrary notwithstanding, Holdings,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(in accordance with the directions of the Required Lenders),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12.13       </w:t>
      </w:r>
      <w:r>
        <w:rPr>
          <w:rFonts w:ascii="Times New Roman;Times;Serif" w:hAnsi="Times New Roman;Times;Serif"/>
          <w:b w:val="false"/>
          <w:i w:val="false"/>
          <w:caps w:val="false"/>
          <w:smallCaps w:val="false"/>
          <w:sz w:val="20"/>
          <w:u w:val="single"/>
        </w:rPr>
        <w:t>Intercreditor Agreement Governs</w:t>
      </w:r>
      <w:r>
        <w:rPr>
          <w:rFonts w:ascii="Times New Roman;Times;Serif" w:hAnsi="Times New Roman;Times;Serif"/>
          <w:b w:val="false"/>
          <w:i w:val="false"/>
          <w:caps w:val="false"/>
          <w:smallCaps w:val="false"/>
          <w:sz w:val="20"/>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12.14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Bank Product Providers</w:t>
      </w:r>
      <w:r>
        <w:rPr>
          <w:rFonts w:ascii="Times New Roman;Times;Serif" w:hAnsi="Times New Roman;Times;Serif"/>
          <w:b w:val="false"/>
          <w:i w:val="false"/>
          <w:caps w:val="false"/>
          <w:smallCaps w:val="false"/>
          <w:sz w:val="20"/>
        </w:rPr>
        <w:t xml:space="preserve">. Each Secured Bank Product Provider, by delivery of a notice to Agent of a Bank Product, agrees to be bound by </w:t>
      </w:r>
      <w:r>
        <w:rPr>
          <w:rFonts w:ascii="Times New Roman;Times;Serif" w:hAnsi="Times New Roman;Times;Serif"/>
          <w:b w:val="false"/>
          <w:i w:val="false"/>
          <w:caps w:val="false"/>
          <w:smallCaps w:val="false"/>
          <w:sz w:val="20"/>
          <w:u w:val="single"/>
        </w:rPr>
        <w:t>Section 11.13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Each Secured Bank Product Provider shall indemnify and hold harmless each Agent and each of its directors, officers, employees, or agents, to the extent not reimbursed by the Credit Parties, against any and all liabilities, obligations, losses, damages, penalties, actions, judgments, suits, costs, expenses and disbursements of any kind or nature whatsoever that may be imposed on, incurred by, or asserted against such Agent or its directors, officers, employees, or agents in connection with such provider’s Secured Bank Product Obligations.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-151-</w:t>
      </w:r>
    </w:p>
    <w:p>
      <w:pPr>
        <w:pStyle w:val="HorizontalLine"/>
        <w:pBdr>
          <w:bottom w:val="single" w:sz="12" w:space="0" w:color="808080"/>
        </w:pBdr>
        <w:bidi w:val="0"/>
        <w:spacing w:before="200" w:after="200"/>
        <w:jc w:val="left"/>
        <w:rPr/>
      </w:pPr>
      <w:r>
        <w:rPr/>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u w:val="single"/>
        </w:rPr>
        <w:t>Section 13.          </w:t>
      </w:r>
      <w:r>
        <w:rPr>
          <w:rFonts w:ascii="Times New Roman;Times;Serif" w:hAnsi="Times New Roman;Times;Serif"/>
          <w:b w:val="false"/>
          <w:i w:val="false"/>
          <w:caps w:val="false"/>
          <w:smallCaps w:val="false"/>
          <w:sz w:val="20"/>
          <w:u w:val="single"/>
        </w:rPr>
        <w:t xml:space="preserve"> Miscellaneous</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val="false"/>
          <w:i w:val="false"/>
          <w:caps w:val="false"/>
          <w:smallCaps w:val="false"/>
          <w:sz w:val="20"/>
          <w:u w:val="single"/>
        </w:rPr>
        <w:t>Amendments, Waivers, and Releases</w:t>
      </w:r>
      <w:r>
        <w:rPr>
          <w:rFonts w:ascii="Times New Roman;Times;Serif" w:hAnsi="Times New Roman;Times;Serif"/>
          <w:b w:val="false"/>
          <w:i w:val="false"/>
          <w:caps w:val="false"/>
          <w:smallCaps w:val="false"/>
          <w:sz w:val="20"/>
        </w:rPr>
        <w:t xml:space="preserve">. Except as otherwise expressly set forth in the Credit Documents, neither this Agreement nor any other Credit Document, nor any terms hereof or thereof, may be amended, supplemented or modified except in accordance with the provisions of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Except as provided to the contrary under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other than with respect to any amendment, modification or waiver contemplated in the proviso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below, which shall only require the consent of the Lenders expressly set forth therein and not the Required Lenders, subject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the Required Lenders may,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such waiver and each such amendment, supplement or modification shall be effective only in the specific instance and for the specific purpose for which given;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Times New Roman;Times;Serif" w:hAnsi="Times New Roman;Times;Serif"/>
          <w:b w:val="false"/>
          <w:i w:val="false"/>
          <w:caps w:val="false"/>
          <w:smallCaps w:val="false"/>
          <w:sz w:val="20"/>
          <w:u w:val="single"/>
        </w:rPr>
        <w:t>Section 2.8(c)</w:t>
      </w:r>
      <w:r>
        <w:rPr>
          <w:rFonts w:ascii="Times New Roman;Times;Serif" w:hAnsi="Times New Roman;Times;Serif"/>
          <w:b w:val="false"/>
          <w:i w:val="false"/>
          <w:caps w:val="false"/>
          <w:smallCaps w:val="false"/>
          <w:sz w:val="20"/>
        </w:rPr>
        <w:t xml:space="preserve">), or the definitions of “Average Excess Availability”, or forgive any portion thereof, or extend the date for the payment, of interest or fees payable hereunder or any principal hereunder (other than as a result of waiving the applicability of any post-default increase in interest rates) or extend the final expiration date of any Letter of Credit beyond the L/C Facility Maturity Date (except as permitted by this provision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or amend or modify any provisions of </w:t>
      </w:r>
      <w:r>
        <w:rPr>
          <w:rFonts w:ascii="Times New Roman;Times;Serif" w:hAnsi="Times New Roman;Times;Serif"/>
          <w:b w:val="false"/>
          <w:i w:val="false"/>
          <w:caps w:val="false"/>
          <w:smallCaps w:val="false"/>
          <w:sz w:val="20"/>
          <w:u w:val="single"/>
        </w:rPr>
        <w:t>Sections 5.3(a)</w:t>
      </w:r>
      <w:r>
        <w:rPr>
          <w:rFonts w:ascii="Times New Roman;Times;Serif" w:hAnsi="Times New Roman;Times;Serif"/>
          <w:b w:val="false"/>
          <w:i w:val="false"/>
          <w:caps w:val="false"/>
          <w:smallCaps w:val="false"/>
          <w:sz w:val="20"/>
        </w:rPr>
        <w:t xml:space="preserve"> (with respect to the ratable allocation of any payments only), </w:t>
      </w:r>
      <w:r>
        <w:rPr>
          <w:rFonts w:ascii="Times New Roman;Times;Serif" w:hAnsi="Times New Roman;Times;Serif"/>
          <w:b w:val="false"/>
          <w:i w:val="false"/>
          <w:caps w:val="false"/>
          <w:smallCaps w:val="false"/>
          <w:sz w:val="20"/>
          <w:u w:val="single"/>
        </w:rPr>
        <w:t>11.12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13.8(a)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13.20</w:t>
      </w:r>
      <w:r>
        <w:rPr>
          <w:rFonts w:ascii="Times New Roman;Times;Serif" w:hAnsi="Times New Roman;Times;Serif"/>
          <w:b w:val="false"/>
          <w:i w:val="false"/>
          <w:caps w:val="false"/>
          <w:smallCaps w:val="false"/>
          <w:sz w:val="20"/>
        </w:rPr>
        <w:t xml:space="preserve">, or make any Loan, interest, Fee or other amount payable in any currency other than expressly provided herein, in each case without the written consent of each Lender directly and adversely affected thereby;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a waiver of any condition precedent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consent to the assignment or transfer by the Borrower of its rights and obligations under any Credit Document to which it is a party (except as permitted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in each case without the written consent of each Lender directly and adversely affected thereby, or (iii) amend, modify or waive any provision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without the written consent of the then-current Administrative Agent and Collateral Agent in a manner that directly and adversely affects such Person, or (iv) amend, modify or waive any provision of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with respect to any Letter of Credit without the written consent of the Letter of Credit Issuer to the extent such amendment, modification or waiver directly and adversely affects the Letters of Credit Issuer, or (v) amend, modify or waive any provisions hereof relating to Swingline Loans without the written consent of the Swingline Lender in a manner that directly and adversely affects such Person, or (vi) release all or substantially all of the Guarantors under the Guarantees (except as expressly permitted by the Guarantees, the </w:t>
      </w:r>
      <w:r>
        <w:rPr>
          <w:rFonts w:ascii="Times New Roman;Times;Serif" w:hAnsi="Times New Roman;Times;Serif"/>
          <w:b w:val="false"/>
          <w:i w:val="false"/>
          <w:caps w:val="false"/>
          <w:smallCaps w:val="false"/>
          <w:color w:val="0000FF"/>
          <w:sz w:val="20"/>
          <w:u w:val="single"/>
          <w:bdr w:val="single" w:sz="8" w:space="1" w:color="0000FF"/>
        </w:rPr>
        <w:t xml:space="preserve">ABL </w:t>
      </w:r>
      <w:r>
        <w:rPr>
          <w:rFonts w:ascii="Times New Roman;Times;Serif" w:hAnsi="Times New Roman;Times;Serif"/>
          <w:b w:val="false"/>
          <w:i w:val="false"/>
          <w:caps w:val="false"/>
          <w:smallCaps w:val="false"/>
          <w:sz w:val="20"/>
        </w:rPr>
        <w:t xml:space="preserve">Intercreditor Agreement or this Agreement) or release all or substantially all of the Collateral under the Security Documents (except as expressly permitted by the Security Documents, the </w:t>
      </w:r>
      <w:r>
        <w:rPr>
          <w:rFonts w:ascii="Times New Roman;Times;Serif" w:hAnsi="Times New Roman;Times;Serif"/>
          <w:b w:val="false"/>
          <w:i w:val="false"/>
          <w:caps w:val="false"/>
          <w:smallCaps w:val="false"/>
          <w:color w:val="0000FF"/>
          <w:sz w:val="20"/>
          <w:u w:val="single"/>
          <w:bdr w:val="single" w:sz="8" w:space="1" w:color="0000FF"/>
        </w:rPr>
        <w:t xml:space="preserve">ABL </w:t>
      </w:r>
      <w:r>
        <w:rPr>
          <w:rFonts w:ascii="Times New Roman;Times;Serif" w:hAnsi="Times New Roman;Times;Serif"/>
          <w:b w:val="false"/>
          <w:i w:val="false"/>
          <w:caps w:val="false"/>
          <w:smallCaps w:val="false"/>
          <w:sz w:val="20"/>
        </w:rPr>
        <w:t>Intercreditor Agreement or this Agreement) without the prior written consent of each Lender, or (vii) reduce the percentage specified in the definition of the term Required Lenders or Super Majority Lenders or amend, modify or waive any provision of this Agreement that has the effect of decreasing the number of Lenders that must approve any amendment, modification or waiver, without the written consent of each Lender, (viii) increase any advance rates under the definition of Borrowing Base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impair the ability of the Administrative Agent to add, remove, reduce or increase Reserves against the ABL Priority Collateral included in the Borrowing Base in its Permitted Discretion) without the written consent of each Lender (other than a Defaulting Lender), </w:t>
      </w:r>
      <w:r>
        <w:rPr>
          <w:rFonts w:ascii="Times New Roman;Times;Serif" w:hAnsi="Times New Roman;Times;Serif"/>
          <w:b w:val="false"/>
          <w:i w:val="false"/>
          <w:caps w:val="false"/>
          <w:smallCaps w:val="false"/>
          <w:strike/>
          <w:color w:val="FF0000"/>
          <w:sz w:val="20"/>
        </w:rPr>
        <w:t xml:space="preserve">or </w:t>
      </w:r>
      <w:r>
        <w:rPr>
          <w:rFonts w:ascii="Times New Roman;Times;Serif" w:hAnsi="Times New Roman;Times;Serif"/>
          <w:b w:val="false"/>
          <w:i w:val="false"/>
          <w:caps w:val="false"/>
          <w:smallCaps w:val="false"/>
          <w:sz w:val="20"/>
        </w:rPr>
        <w:t xml:space="preserve">(ix) change the definition of Borrowing Base or any component definitions thereof which result in increased borrowing availability without the consent of the Super Majority Lenders </w:t>
      </w:r>
      <w:r>
        <w:rPr>
          <w:rFonts w:ascii="Times New Roman;Times;Serif" w:hAnsi="Times New Roman;Times;Serif"/>
          <w:b w:val="false"/>
          <w:i w:val="false"/>
          <w:caps w:val="false"/>
          <w:smallCaps w:val="false"/>
          <w:strike/>
          <w:color w:val="FF0000"/>
          <w:sz w:val="20"/>
        </w:rPr>
        <w:t>or</w:t>
      </w:r>
      <w:r>
        <w:rPr>
          <w:rFonts w:ascii="Times New Roman;Times;Serif" w:hAnsi="Times New Roman;Times;Serif"/>
          <w:b w:val="false"/>
          <w:i w:val="false"/>
          <w:caps w:val="false"/>
          <w:smallCaps w:val="false"/>
          <w:color w:val="0000FF"/>
          <w:sz w:val="20"/>
          <w:u w:val="single"/>
          <w:bdr w:val="single" w:sz="8" w:space="1" w:color="0000FF"/>
        </w:rPr>
        <w:t>,</w:t>
      </w:r>
      <w:r>
        <w:rPr>
          <w:rFonts w:ascii="Times New Roman;Times;Serif" w:hAnsi="Times New Roman;Times;Serif"/>
          <w:b w:val="false"/>
          <w:i w:val="false"/>
          <w:caps w:val="false"/>
          <w:smallCaps w:val="false"/>
          <w:sz w:val="20"/>
        </w:rPr>
        <w:t xml:space="preserve"> (y) notwithstanding anything to the contrary in </w:t>
      </w:r>
      <w:r>
        <w:rPr>
          <w:rFonts w:ascii="Times New Roman;Times;Serif" w:hAnsi="Times New Roman;Times;Serif"/>
          <w:b w:val="false"/>
          <w:i w:val="false"/>
          <w:caps w:val="false"/>
          <w:smallCaps w:val="false"/>
          <w:sz w:val="20"/>
          <w:u w:val="single"/>
        </w:rPr>
        <w:t>clause (x)</w:t>
      </w:r>
      <w:r>
        <w:rPr>
          <w:rFonts w:ascii="Times New Roman;Times;Serif" w:hAnsi="Times New Roman;Times;Serif"/>
          <w:b w:val="false"/>
          <w:i w:val="false"/>
          <w:caps w:val="false"/>
          <w:smallCaps w:val="false"/>
          <w:sz w:val="20"/>
        </w:rPr>
        <w:t>, (i) extend the final expiration date of any Lender’s Commitment or (ii) increase the aggregate amount of the Commitments of any Lender, in each case, without the written consent of such Lender</w:t>
      </w:r>
      <w:r>
        <w:rPr>
          <w:rFonts w:ascii="Times New Roman;Times;Serif" w:hAnsi="Times New Roman;Times;Serif"/>
          <w:b w:val="false"/>
          <w:i w:val="false"/>
          <w:caps w:val="false"/>
          <w:smallCaps w:val="false"/>
          <w:strike/>
          <w:color w:val="FF0000"/>
          <w:sz w:val="20"/>
        </w:rPr>
        <w:t>.</w:t>
      </w:r>
      <w:r>
        <w:rPr>
          <w:rFonts w:ascii="Times New Roman;Times;Serif" w:hAnsi="Times New Roman;Times;Serif"/>
          <w:b w:val="false"/>
          <w:i w:val="false"/>
          <w:caps w:val="false"/>
          <w:smallCaps w:val="false"/>
          <w:color w:val="0000FF"/>
          <w:sz w:val="20"/>
          <w:u w:val="single"/>
          <w:bdr w:val="single" w:sz="8" w:space="1" w:color="0000FF"/>
        </w:rPr>
        <w:t>, or (z) subordinate (a) the Liens securing any of the Obligations on all or substantially all of the Collateral to the Liens securing any other Indebtedness or other obligations or (b) any Obligations in contractual right of payment to any other Indebtedness, in either the case of subclause (a) or (b), other than (i) any subordination of Indebtedness permitted by this Agreement (including, without limitation, to the extent contemplated by Section 12.11(c)) or the ABL Intercreditor Agreement, in each case, as of the Amendment No. 5 Effective Date , (ii) in connection with any “debtor-in-possession” financing (or similar financing under applicable law and including use of cash collateral with respect to such financing and including any portion of the Obligations that may be “rolled up” into such financing) provided or the use of any Collateral in an insolvency proceeding or (iii) any other Indebtedness unless, in the case of this sub-clause (iii), each adversely affected Lender has been offered a bona fide opportunity to fund or otherwise provide its pro rata share (based on the amount of Obligations that are adversely affected thereby held by each Lender) of such other Indebtedness on the same terms (other than bona fide backstop fees and reimbursement of counsel fees and other expenses in connection with the negotiation of the terms of such transaction; such fees and expenses, “</w:t>
      </w:r>
      <w:r>
        <w:rPr>
          <w:rFonts w:ascii="Times New Roman;Times;Serif" w:hAnsi="Times New Roman;Times;Serif"/>
          <w:b/>
          <w:i w:val="false"/>
          <w:caps w:val="false"/>
          <w:smallCaps w:val="false"/>
          <w:color w:val="0000FF"/>
          <w:sz w:val="20"/>
          <w:u w:val="single"/>
          <w:bdr w:val="single" w:sz="8" w:space="1" w:color="0000FF"/>
        </w:rPr>
        <w:t>Ancillary Fees</w:t>
      </w:r>
      <w:r>
        <w:rPr>
          <w:rFonts w:ascii="Times New Roman;Times;Serif" w:hAnsi="Times New Roman;Times;Serif"/>
          <w:b w:val="false"/>
          <w:i w:val="false"/>
          <w:caps w:val="false"/>
          <w:smallCaps w:val="false"/>
          <w:color w:val="0000FF"/>
          <w:sz w:val="20"/>
          <w:u w:val="single"/>
          <w:bdr w:val="single" w:sz="8" w:space="1" w:color="0000FF"/>
        </w:rPr>
        <w:t>”) as offered to all other providers (or their Affiliates) of such other Indebtedness and to the extent such adversely affected Lender decides to participate in such other Indebtedness, receive its pro rata share of the fees and any other similar benefit (other than Ancillary Fees) of such other Indebtedness afforded to the providers of such other Indebtedness (or any of their Affiliates) in connection with providing such other Indebtedness pursuant to a written offer made to each such adversely affected Lender describing the material terms of the arrangements pursuant to which such other Indebtedness is to be provided, which offer shall remain open to each adversely affected Lender for a period of not less than five (5)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from the other Lender of the same Class (other than because of its status as a Defaulting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 addition to any credit extensions and related Incremental Facility Amendment(s) effectuated without the consent of Lenders in accordance with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this Agreement may be amended (or amended and restated) with the written consent of the Required Lenders, the Administrative Agent,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Revolving Credit Loans and the accrued interest and fees in respect thereof and (b) to include appropriately the Lenders holding such credit facilities in any determination of the Required Lenders and other definitions related to such new Revolving Credit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Lenders hereby irrevocably agree that the Liens granted to the Collateral Agent by the Credit Parties on any Collateral shall be automatically released (i) in full, upon the termination of this Agreement and the payment in full of all Obligations hereunder (except for (w) contingent indemnification obligations in respect of which a claim has not yet been made, (x) Secured Hedge Obligations, (y) Secured Cash Management Obligations and (z) cash collateralized Letters of Credit pursuant to arrangements reasonably acceptable to the applicable Letter of Credit Issuer),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and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in the case of any release of any 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Credit Documents may be amended to add syndication or documentation agents and make customary changes and references related thereto with the consent of only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(including, without limitation,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or any other Credit Document to the contrary, (i) this Agreement and the other Credit Documents may be amended to effect an incremental facility or extension facility pursuant to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w:t>
      </w:r>
      <w:r>
        <w:rPr>
          <w:rFonts w:ascii="Times New Roman;Times;Serif" w:hAnsi="Times New Roman;Times;Serif"/>
          <w:b w:val="false"/>
          <w:i w:val="false"/>
          <w:caps w:val="false"/>
          <w:smallCaps w:val="false"/>
          <w:color w:val="0000FF"/>
          <w:sz w:val="20"/>
          <w:u w:val="single"/>
          <w:bdr w:val="single" w:sz="8" w:space="1" w:color="0000FF"/>
        </w:rPr>
        <w:t xml:space="preserve">ABL </w:t>
      </w:r>
      <w:r>
        <w:rPr>
          <w:rFonts w:ascii="Times New Roman;Times;Serif" w:hAnsi="Times New Roman;Times;Serif"/>
          <w:b w:val="false"/>
          <w:i w:val="false"/>
          <w:caps w:val="false"/>
          <w:smallCaps w:val="false"/>
          <w:sz w:val="20"/>
        </w:rPr>
        <w:t xml:space="preserve">Intercreditor Agreement or other intercreditor agreement or arrangement permitted under this Agreement that is for the purpose of adding the holders of any Indebtedness as expressly contemplated by the terms of the </w:t>
      </w:r>
      <w:r>
        <w:rPr>
          <w:rFonts w:ascii="Times New Roman;Times;Serif" w:hAnsi="Times New Roman;Times;Serif"/>
          <w:b w:val="false"/>
          <w:i w:val="false"/>
          <w:caps w:val="false"/>
          <w:smallCaps w:val="false"/>
          <w:color w:val="0000FF"/>
          <w:sz w:val="20"/>
          <w:u w:val="single"/>
          <w:bdr w:val="single" w:sz="8" w:space="1" w:color="0000FF"/>
        </w:rPr>
        <w:t xml:space="preserve">ABL </w:t>
      </w:r>
      <w:r>
        <w:rPr>
          <w:rFonts w:ascii="Times New Roman;Times;Serif" w:hAnsi="Times New Roman;Times;Serif"/>
          <w:b w:val="false"/>
          <w:i w:val="false"/>
          <w:caps w:val="false"/>
          <w:smallCaps w:val="false"/>
          <w:sz w:val="20"/>
        </w:rPr>
        <w:t xml:space="preserve">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other changes are not adverse, in any material respect, to the interests of the Lenders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Agreement or any Security Document to the contrary, the Administrative Agent may, in its sole discretion, grant extensions of time for the satisfaction of any of the requirements under </w:t>
      </w:r>
      <w:r>
        <w:rPr>
          <w:rFonts w:ascii="Times New Roman;Times;Serif" w:hAnsi="Times New Roman;Times;Serif"/>
          <w:b w:val="false"/>
          <w:i w:val="false"/>
          <w:caps w:val="false"/>
          <w:smallCaps w:val="false"/>
          <w:sz w:val="20"/>
          <w:u w:val="single"/>
        </w:rPr>
        <w:t>Sections 9.12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9.14</w:t>
      </w:r>
      <w:r>
        <w:rPr>
          <w:rFonts w:ascii="Times New Roman;Times;Serif" w:hAnsi="Times New Roman;Times;Serif"/>
          <w:b w:val="false"/>
          <w:i w:val="false"/>
          <w:caps w:val="false"/>
          <w:smallCaps w:val="false"/>
          <w:sz w:val="20"/>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to Holdings, the Borrower, the Administrative Agent, the Collateral Agent, the Letter of Credit Issuer or the Swingline Lender to the address, facsimile number, electronic mail address or telephone number specified for such Person on </w:t>
      </w:r>
      <w:r>
        <w:rPr>
          <w:rFonts w:ascii="Times New Roman;Times;Serif" w:hAnsi="Times New Roman;Times;Serif"/>
          <w:b w:val="false"/>
          <w:i w:val="false"/>
          <w:caps w:val="false"/>
          <w:smallCaps w:val="false"/>
          <w:sz w:val="20"/>
          <w:u w:val="single"/>
        </w:rPr>
        <w:t>Schedule 13.2</w:t>
      </w:r>
      <w:r>
        <w:rPr>
          <w:rFonts w:ascii="Times New Roman;Times;Serif" w:hAnsi="Times New Roman;Times;Serif"/>
          <w:b w:val="false"/>
          <w:i w:val="false"/>
          <w:caps w:val="false"/>
          <w:smallCaps w:val="false"/>
          <w:sz w:val="20"/>
        </w:rPr>
        <w:t xml:space="preserve"> or to such other address, facsimile number, electronic mail address or telephone number as shall be designated by such party in a notice to the other parties;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or the Swingline Lender.</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notices and other communications to the Administrative Agent or the Lenders pursuant to </w:t>
      </w:r>
      <w:r>
        <w:rPr>
          <w:rFonts w:ascii="Times New Roman;Times;Serif" w:hAnsi="Times New Roman;Times;Serif"/>
          <w:b w:val="false"/>
          <w:i w:val="false"/>
          <w:caps w:val="false"/>
          <w:smallCaps w:val="false"/>
          <w:sz w:val="20"/>
          <w:u w:val="single"/>
        </w:rPr>
        <w:t>Sections 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w:t>
      </w:r>
      <w:r>
        <w:rPr>
          <w:rFonts w:ascii="Times New Roman;Times;Serif" w:hAnsi="Times New Roman;Times;Serif"/>
          <w:b w:val="false"/>
          <w:i w:val="false"/>
          <w:caps w:val="false"/>
          <w:smallCaps w:val="false"/>
          <w:sz w:val="20"/>
        </w:rPr>
        <w:t xml:space="preserve"> shall not be effective until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val="false"/>
          <w:i w:val="false"/>
          <w:caps w:val="false"/>
          <w:smallCaps w:val="false"/>
          <w:sz w:val="20"/>
          <w:u w:val="single"/>
        </w:rPr>
        <w:t>No Waiver; Cumulative Remedies</w:t>
      </w:r>
      <w:r>
        <w:rPr>
          <w:rFonts w:ascii="Times New Roman;Times;Serif" w:hAnsi="Times New Roman;Times;Serif"/>
          <w:b w:val="false"/>
          <w:i w:val="false"/>
          <w:caps w:val="false"/>
          <w:smallCaps w:val="false"/>
          <w:sz w:val="20"/>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val="false"/>
          <w:i w:val="false"/>
          <w:caps w:val="false"/>
          <w:smallCaps w:val="false"/>
          <w:sz w:val="20"/>
          <w:u w:val="single"/>
        </w:rPr>
        <w:t>Survival of Representations and Warranties</w:t>
      </w:r>
      <w:r>
        <w:rPr>
          <w:rFonts w:ascii="Times New Roman;Times;Serif" w:hAnsi="Times New Roman;Times;Serif"/>
          <w:b w:val="false"/>
          <w:i w:val="false"/>
          <w:caps w:val="false"/>
          <w:smallCaps w:val="false"/>
          <w:sz w:val="20"/>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val="false"/>
          <w:i w:val="false"/>
          <w:caps w:val="false"/>
          <w:smallCaps w:val="false"/>
          <w:sz w:val="20"/>
          <w:u w:val="single"/>
        </w:rPr>
        <w:t>Payment of Expenses;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Holdings and the Borrower, jointly and severally, agrees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and documented fees, disbursements and other charges of Simpson Thacher &amp; Bartlett LLP (or such other counsel as may be agreed by the Administrative Agent and the Borrower), and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and documented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the Letter of Credit Issuer and their respective Related Parties and their successors (without duplication) (the “</w:t>
      </w:r>
      <w:r>
        <w:rPr>
          <w:rFonts w:ascii="Times New Roman;Times;Serif" w:hAnsi="Times New Roman;Times;Serif"/>
          <w:b/>
          <w:i w:val="false"/>
          <w:caps w:val="false"/>
          <w:smallCaps w:val="false"/>
          <w:sz w:val="20"/>
        </w:rPr>
        <w:t>Indemnified Persons</w:t>
      </w:r>
      <w:r>
        <w:rPr>
          <w:rFonts w:ascii="Times New Roman;Times;Serif" w:hAnsi="Times New Roman;Times;Serif"/>
          <w:b w:val="false"/>
          <w:i w:val="false"/>
          <w:caps w:val="false"/>
          <w:smallCaps w:val="false"/>
          <w:sz w:val="20"/>
        </w:rPr>
        <w:t xml:space="preserve">”) from and against any and all losses, claims, damages, liabilities, obligations, demands, actions, judgments, suits, costs, expenses, disbursements or penalties of any kind or nature whatsoever (and the reasonable and documented out-of-pocket fees, expenses, disbursements and other charges of one firm of counsel (and, to the extent required, one local counsel and/or one regulatory counsel in each relevant jurisdiction) for all Indemnified Persons, taken as a whole (and, solely in the case of an actual or perceived conflict of interest where the Indemnified Person affected by such conflict notifies the Borrower of any existence of such conflict and in connection with the investigating or defending any of the foregoing (including the reasonable and documented fees) has retained its own counsel, of another firm of counsel for such affected Indemnified Person), (and, to the extent required, one local counsel and/or one regulatory counsel in each relevant jurisdiction to all such affected Indemnified Parties, taken as a whole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relating in any way to Holdings or any of its Subsidiaries (all the foregoing in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Holdings and the Borrower shall have no obligation hereunder to any Indemnified Person with respect to indemnified liabilities to the extent arising from (i) the gross negligence or willful misconduct of such Indemnified Person or any of its Related Parties or their successors as determined in a final and non-appealable judgment of a court of competent jurisdiction, (ii) a material breach of the obligations of such Indemnified Person or any of its Related Parties or their successors under the terms of this Agreement by such Indemnified Person or any of its Related Parties or their successors as determined in a final and non-appealable judgment of a court of competent jurisdiction, or (iii) any proceeding between and among Indemnified Persons that does not involve an act or omission by Holdings, the Borrower or their respective Restricted Subsidiaries or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Agents, to the extent acting in their capacity as such, shall remain indemnified in respect of such proceeding, to the extent that neither of the exceptions set forth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of the immediately preceding proviso applies to such person at such time. The agreements in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shall survive repayment of the Loans and all other amounts payable hereunder. This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xml:space="preserve"> shall not apply with respect to Taxes, other than any Taxes that represent losses, claims, damages, liabilities, obligations, penalties, actions, judgments, suits, costs, expenses or disbursements arising from any non-Tax claim.</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Credit Party nor any Agent, any Lender or Related Party of any Agent or any Lender (each such Person being called a “</w:t>
      </w:r>
      <w:r>
        <w:rPr>
          <w:rFonts w:ascii="Times New Roman;Times;Serif" w:hAnsi="Times New Roman;Times;Serif"/>
          <w:b/>
          <w:i w:val="false"/>
          <w:caps w:val="false"/>
          <w:smallCaps w:val="false"/>
          <w:sz w:val="20"/>
        </w:rPr>
        <w:t>Lender-Related Person</w:t>
      </w:r>
      <w:r>
        <w:rPr>
          <w:rFonts w:ascii="Times New Roman;Times;Serif" w:hAnsi="Times New Roman;Times;Serif"/>
          <w:b w:val="false"/>
          <w:i w:val="false"/>
          <w:caps w:val="false"/>
          <w:smallCaps w:val="false"/>
          <w:sz w:val="20"/>
        </w:rPr>
        <w:t xml:space="preserve">”) shall have any liability for any special, punitive, indirect or consequential damages resulting from this Agreement or any other Credit Document or arising out of its activities in connection herewith or therewith (whether before or after the Closing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limit Holdings and the Borrower’s indemnification obligations to the Indemnified Persons pursuant to </w:t>
      </w:r>
      <w:r>
        <w:rPr>
          <w:rFonts w:ascii="Times New Roman;Times;Serif" w:hAnsi="Times New Roman;Times;Serif"/>
          <w:b w:val="false"/>
          <w:i w:val="false"/>
          <w:caps w:val="false"/>
          <w:smallCaps w:val="false"/>
          <w:sz w:val="20"/>
          <w:u w:val="single"/>
        </w:rPr>
        <w:t>Section 13.5(a)</w:t>
      </w:r>
      <w:r>
        <w:rPr>
          <w:rFonts w:ascii="Times New Roman;Times;Serif" w:hAnsi="Times New Roman;Times;Serif"/>
          <w:b w:val="false"/>
          <w:i w:val="false"/>
          <w:caps w:val="false"/>
          <w:smallCaps w:val="false"/>
          <w:sz w:val="20"/>
        </w:rPr>
        <w:t xml:space="preserve"> in respect of damages incurred or paid by an Indemnified Person to a third party. No Lender-Related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Lender-Related Person as determined by a final and non-appealable judgment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val="false"/>
          <w:i w:val="false"/>
          <w:caps w:val="false"/>
          <w:smallCaps w:val="false"/>
          <w:sz w:val="20"/>
          <w:u w:val="single"/>
        </w:rPr>
        <w:t>Successors and Assigns; Participations and Assignments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except that (i) except as expressly permitted by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and, to the extent expressly contemplated hereby, the Related Parties of each of the Administrative Agent, the Collateral Agent, the Letter of Credit Issuer and the Lenders and each other Person entitled to indemnification under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 any legal or equitable right, remedy or claim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 xml:space="preserve">Subject to the conditions set forth in </w:t>
      </w:r>
      <w:r>
        <w:rPr>
          <w:rFonts w:ascii="Times New Roman;Times;Serif" w:hAnsi="Times New Roman;Times;Serif"/>
          <w:b w:val="false"/>
          <w:i w:val="false"/>
          <w:caps w:val="false"/>
          <w:smallCaps w:val="false"/>
          <w:sz w:val="20"/>
          <w:u w:val="single"/>
        </w:rPr>
        <w:t>clause (b)(ii)</w:t>
      </w:r>
      <w:r>
        <w:rPr>
          <w:rFonts w:ascii="Times New Roman;Times;Serif" w:hAnsi="Times New Roman;Times;Serif"/>
          <w:b w:val="false"/>
          <w:i w:val="false"/>
          <w:caps w:val="false"/>
          <w:smallCaps w:val="false"/>
          <w:sz w:val="20"/>
        </w:rPr>
        <w:t xml:space="preserve"> below and </w:t>
      </w:r>
      <w:r>
        <w:rPr>
          <w:rFonts w:ascii="Times New Roman;Times;Serif" w:hAnsi="Times New Roman;Times;Serif"/>
          <w:b w:val="false"/>
          <w:i w:val="false"/>
          <w:caps w:val="false"/>
          <w:smallCaps w:val="false"/>
          <w:sz w:val="20"/>
          <w:u w:val="single"/>
        </w:rPr>
        <w:t>Section 13.7</w:t>
      </w:r>
      <w:r>
        <w:rPr>
          <w:rFonts w:ascii="Times New Roman;Times;Serif" w:hAnsi="Times New Roman;Times;Serif"/>
          <w:b w:val="false"/>
          <w:i w:val="false"/>
          <w:caps w:val="false"/>
          <w:smallCaps w:val="false"/>
          <w:sz w:val="20"/>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delayed or conditioned;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Borrower shall be required for an assignment of Loans or Commitments to any assignee if an Event of Default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(with respect to the Borrower) has occurred and is continuing;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(not to be unreasonably withheld or delayed), the Swingline Lender and the Letter of Credit Issuer.</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such assignment shall be made to (i) a natural Person, Disqualified Lender or Defaulting Lender and (ii) Holdings, the Borrower or any of their Subsidiaries. For the avoidance of doubt, the Administrative Agent shall bear no responsibility or liability for ascertaining, inquiring, monitoring or enforcing the list of Persons who are Disqualified Lenders at any time.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40"/>
        <w:gridCol w:w="9708"/>
      </w:tblGrid>
      <w:tr>
        <w:trPr/>
        <w:tc>
          <w:tcPr>
            <w:tcW w:w="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(ii)</w:t>
            </w:r>
          </w:p>
        </w:tc>
        <w:tc>
          <w:tcPr>
            <w:tcW w:w="9708" w:type="dxa"/>
            <w:tcBorders/>
            <w:vAlign w:val="center"/>
          </w:tcPr>
          <w:p>
            <w:pPr>
              <w:pStyle w:val="TableContents"/>
              <w:bidi w:val="0"/>
              <w:spacing w:before="0" w:after="283"/>
              <w:jc w:val="both"/>
              <w:rPr/>
            </w:pPr>
            <w:r>
              <w:rPr/>
              <w:t>Assignments shall be subject to the following additional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$1,000,000, unless each of the Borrower and the Administrative Agent otherwise consents (which consents shall not be unreasonably withheld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consent of the Borrower shall be required if an Event of Default under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has occurred and is continuing;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partial assignment shall be made as an assignment of a proportionate part of all the assigning Lender’s rights and obligations under this Agreement;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this clause shall not be construed to prohibit the assignment of a proportionate part of all the assigning Lender’s rights and obligations in respect of one Class of Commitments or Loans;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to each assignment shall execute and deliver to the Administrative Agent an Assignment and Acceptance via an electronic settlement system or other method reasonably acceptable to the Administrative Agent;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be a Lender, shall deliver to the Administrative Agent an administrative questionnaire in a form approved by the Administrative Agent (the “</w:t>
      </w:r>
      <w:r>
        <w:rPr>
          <w:rFonts w:ascii="Times New Roman;Times;Serif" w:hAnsi="Times New Roman;Times;Serif"/>
          <w:b/>
          <w:i w:val="false"/>
          <w:caps w:val="false"/>
          <w:smallCaps w:val="false"/>
          <w:sz w:val="20"/>
        </w:rPr>
        <w:t>Administrative Questionnaire</w:t>
      </w:r>
      <w:r>
        <w:rPr>
          <w:rFonts w:ascii="Times New Roman;Times;Serif" w:hAnsi="Times New Roman;Times;Serif"/>
          <w:b w:val="false"/>
          <w:i w:val="false"/>
          <w:caps w:val="false"/>
          <w:smallCaps w:val="false"/>
          <w:sz w:val="20"/>
        </w:rPr>
        <w:t xml:space="preserve">”) and applicable tax forms (as required under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acceptance and recording thereof pursuant to </w:t>
      </w:r>
      <w:r>
        <w:rPr>
          <w:rFonts w:ascii="Times New Roman;Times;Serif" w:hAnsi="Times New Roman;Times;Serif"/>
          <w:b w:val="false"/>
          <w:i w:val="false"/>
          <w:caps w:val="false"/>
          <w:smallCaps w:val="false"/>
          <w:sz w:val="20"/>
          <w:u w:val="single"/>
        </w:rPr>
        <w:t>clause (b)(v)</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13.5</w:t>
      </w:r>
      <w:r>
        <w:rPr>
          <w:rFonts w:ascii="Times New Roman;Times;Serif" w:hAnsi="Times New Roman;Times;Serif"/>
          <w:b w:val="false"/>
          <w:i w:val="false"/>
          <w:caps w:val="false"/>
          <w:smallCaps w:val="false"/>
          <w:sz w:val="20"/>
        </w:rPr>
        <w:t xml:space="preserve">). Any assignment or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For the avoidance of doubt, in case of an assignment to a new Lender pursuant to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solely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owing to each Lender and any payment made by the Letter of Credit Issuer under any Letter of Credit pursuant to the terms hereof from time to time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and any written consent to such assignment required by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w:t>
      </w:r>
      <w:r>
        <w:rPr>
          <w:rFonts w:ascii="Times New Roman;Times;Serif" w:hAnsi="Times New Roman;Times;Serif"/>
          <w:b w:val="false"/>
          <w:i w:val="false"/>
          <w:caps w:val="false"/>
          <w:smallCaps w:val="false"/>
          <w:sz w:val="20"/>
          <w:u w:val="single"/>
        </w:rPr>
        <w:t>clause (b)(v)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Any Lender may, without the consent of the Borrower or the Administrative Agent, the Letter of Credit Issuer or the Swingline Lender sell participations to one or more banks or other entities (other than (x) a natural person, (y) Holdings and its Subsidiaries and (z) any Disqualified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w:t>
      </w:r>
      <w:r>
        <w:rPr>
          <w:rFonts w:ascii="Times New Roman;Times;Serif" w:hAnsi="Times New Roman;Times;Serif"/>
          <w:b w:val="false"/>
          <w:i w:val="false"/>
          <w:caps w:val="false"/>
          <w:smallCaps w:val="false"/>
          <w:sz w:val="20"/>
          <w:u w:val="single"/>
        </w:rPr>
        <w:t>clause (y)</w:t>
      </w:r>
      <w:r>
        <w:rPr>
          <w:rFonts w:ascii="Times New Roman;Times;Serif" w:hAnsi="Times New Roman;Times;Serif"/>
          <w:b w:val="false"/>
          <w:i w:val="false"/>
          <w:caps w:val="false"/>
          <w:smallCaps w:val="false"/>
          <w:sz w:val="20"/>
        </w:rPr>
        <w:t xml:space="preserve"> hereof, participations may be sold to Disqualified Lenders unless a list of Disqualified Lenders has been made available to all Lenders) (each,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and obligations under this Agreement (including all or a portion of its Commitments and the Loans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ascertaining, inquiring, monitoring or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of the second proviso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that affects such Participant. Subject to </w:t>
      </w:r>
      <w:r>
        <w:rPr>
          <w:rFonts w:ascii="Times New Roman;Times;Serif" w:hAnsi="Times New Roman;Times;Serif"/>
          <w:b w:val="false"/>
          <w:i w:val="false"/>
          <w:caps w:val="false"/>
          <w:smallCaps w:val="false"/>
          <w:sz w:val="20"/>
          <w:u w:val="single"/>
        </w:rPr>
        <w:t>clause (c)(ii)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the Borrower agrees that each Participant shall be entitled to the benefits of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to the same extent as if it were a Lender (subject to the limitations and requirements of those Sections and </w:t>
      </w:r>
      <w:r>
        <w:rPr>
          <w:rFonts w:ascii="Times New Roman;Times;Serif" w:hAnsi="Times New Roman;Times;Serif"/>
          <w:b w:val="false"/>
          <w:i w:val="false"/>
          <w:caps w:val="false"/>
          <w:smallCaps w:val="false"/>
          <w:sz w:val="20"/>
          <w:u w:val="single"/>
        </w:rPr>
        <w:t>Sections 2.12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13.7</w:t>
      </w:r>
      <w:r>
        <w:rPr>
          <w:rFonts w:ascii="Times New Roman;Times;Serif" w:hAnsi="Times New Roman;Times;Serif"/>
          <w:b w:val="false"/>
          <w:i w:val="false"/>
          <w:caps w:val="false"/>
          <w:smallCaps w:val="false"/>
          <w:sz w:val="20"/>
        </w:rPr>
        <w:t xml:space="preserve"> as though it were a Lender and had acquired its interest by assignment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including the requirements of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xml:space="preserve">) (it being agreed that any documentation required under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xml:space="preserve"> shall be provided solely to the participating Lender).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13.8(b)</w:t>
      </w:r>
      <w:r>
        <w:rPr>
          <w:rFonts w:ascii="Times New Roman;Times;Serif" w:hAnsi="Times New Roman;Times;Serif"/>
          <w:b w:val="false"/>
          <w:i w:val="false"/>
          <w:caps w:val="false"/>
          <w:smallCaps w:val="false"/>
          <w:sz w:val="20"/>
        </w:rPr>
        <w:t xml:space="preserve">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such Participant shall be subject to </w:t>
      </w:r>
      <w:r>
        <w:rPr>
          <w:rFonts w:ascii="Times New Roman;Times;Serif" w:hAnsi="Times New Roman;Times;Serif"/>
          <w:b w:val="false"/>
          <w:i w:val="false"/>
          <w:caps w:val="false"/>
          <w:smallCaps w:val="false"/>
          <w:sz w:val="20"/>
          <w:u w:val="single"/>
        </w:rPr>
        <w:t>Section 13.8(a)</w:t>
      </w:r>
      <w:r>
        <w:rPr>
          <w:rFonts w:ascii="Times New Roman;Times;Serif" w:hAnsi="Times New Roman;Times;Serif"/>
          <w:b w:val="false"/>
          <w:i w:val="false"/>
          <w:caps w:val="false"/>
          <w:smallCaps w:val="false"/>
          <w:sz w:val="20"/>
        </w:rPr>
        <w:t xml:space="preserve"> as though it were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Participant shall not be entitled to receive any greater payment under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or such entitlement to receive a greater payment results from a Change in Law that occurs after the Participant acquired the applicable participation.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successor or final 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shall not apply to any such pledge or assignment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the Borrower authorizes each Lender to disclose to any Participant, secured creditor of such Lender or assignee (each, a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SPV Lender</w:t>
      </w:r>
      <w:r>
        <w:rPr>
          <w:rFonts w:ascii="Times New Roman;Times;Serif" w:hAnsi="Times New Roman;Times;Serif"/>
          <w:b w:val="false"/>
          <w:i w:val="false"/>
          <w:caps w:val="false"/>
          <w:smallCaps w:val="false"/>
          <w:sz w:val="20"/>
        </w:rPr>
        <w:t>. Notwithstanding anything to the contrary contained herein, any Lender (a “</w:t>
      </w:r>
      <w:r>
        <w:rPr>
          <w:rFonts w:ascii="Times New Roman;Times;Serif" w:hAnsi="Times New Roman;Times;Serif"/>
          <w:b/>
          <w:i w:val="false"/>
          <w:caps w:val="false"/>
          <w:smallCaps w:val="false"/>
          <w:sz w:val="20"/>
        </w:rPr>
        <w:t>Granting Lender</w:t>
      </w:r>
      <w:r>
        <w:rPr>
          <w:rFonts w:ascii="Times New Roman;Times;Serif" w:hAnsi="Times New Roman;Times;Serif"/>
          <w:b w:val="false"/>
          <w:i w:val="false"/>
          <w:caps w:val="false"/>
          <w:smallCaps w:val="false"/>
          <w:sz w:val="20"/>
        </w:rPr>
        <w:t>”) may grant to a special purpose funding vehicle (an “</w:t>
      </w:r>
      <w:r>
        <w:rPr>
          <w:rFonts w:ascii="Times New Roman;Times;Serif" w:hAnsi="Times New Roman;Times;Serif"/>
          <w:b/>
          <w:i w:val="false"/>
          <w:caps w:val="false"/>
          <w:smallCaps w:val="false"/>
          <w:sz w:val="20"/>
        </w:rPr>
        <w:t>SPV</w:t>
      </w:r>
      <w:r>
        <w:rPr>
          <w:rFonts w:ascii="Times New Roman;Times;Serif" w:hAnsi="Times New Roman;Times;Serif"/>
          <w:b w:val="false"/>
          <w:i w:val="false"/>
          <w:caps w:val="false"/>
          <w:smallCaps w:val="false"/>
          <w:sz w:val="20"/>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disclose on a confidential basis any non-public information relating to its Loans to any rating agency, commercial paper dealer or provider of any surety, guarantee or credit or liquidity enhancement to such SPV. This </w:t>
      </w:r>
      <w:r>
        <w:rPr>
          <w:rFonts w:ascii="Times New Roman;Times;Serif" w:hAnsi="Times New Roman;Times;Serif"/>
          <w:b w:val="false"/>
          <w:i w:val="false"/>
          <w:caps w:val="false"/>
          <w:smallCaps w:val="false"/>
          <w:sz w:val="20"/>
          <w:u w:val="single"/>
        </w:rPr>
        <w:t>Section 13.6(g)</w:t>
      </w:r>
      <w:r>
        <w:rPr>
          <w:rFonts w:ascii="Times New Roman;Times;Serif" w:hAnsi="Times New Roman;Times;Serif"/>
          <w:b w:val="false"/>
          <w:i w:val="false"/>
          <w:caps w:val="false"/>
          <w:smallCaps w:val="false"/>
          <w:sz w:val="20"/>
        </w:rPr>
        <w:t xml:space="preserve"> may not be amended without the written consent of the SPV. Notwithstanding anything to the contrary in this Agreement but subject to the following sentence, each SPV shall be entitled to the benefits of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to the same extent as if it were a Lender (subject to the limitations and requirements of those Sections and </w:t>
      </w:r>
      <w:r>
        <w:rPr>
          <w:rFonts w:ascii="Times New Roman;Times;Serif" w:hAnsi="Times New Roman;Times;Serif"/>
          <w:b w:val="false"/>
          <w:i w:val="false"/>
          <w:caps w:val="false"/>
          <w:smallCaps w:val="false"/>
          <w:sz w:val="20"/>
          <w:u w:val="single"/>
        </w:rPr>
        <w:t>Sections 2.12 and 13.7</w:t>
      </w:r>
      <w:r>
        <w:rPr>
          <w:rFonts w:ascii="Times New Roman;Times;Serif" w:hAnsi="Times New Roman;Times;Serif"/>
          <w:b w:val="false"/>
          <w:i w:val="false"/>
          <w:caps w:val="false"/>
          <w:smallCaps w:val="false"/>
          <w:sz w:val="20"/>
        </w:rPr>
        <w:t xml:space="preserve"> as though it were a Lender and had acquired its interest by assignment pursuant to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including the requirements of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xml:space="preserve"> (it being agreed that any documentation required under </w:t>
      </w:r>
      <w:r>
        <w:rPr>
          <w:rFonts w:ascii="Times New Roman;Times;Serif" w:hAnsi="Times New Roman;Times;Serif"/>
          <w:b w:val="false"/>
          <w:i w:val="false"/>
          <w:caps w:val="false"/>
          <w:smallCaps w:val="false"/>
          <w:sz w:val="20"/>
          <w:u w:val="single"/>
        </w:rPr>
        <w:t>Section 5.4(e)</w:t>
      </w:r>
      <w:r>
        <w:rPr>
          <w:rFonts w:ascii="Times New Roman;Times;Serif" w:hAnsi="Times New Roman;Times;Serif"/>
          <w:b w:val="false"/>
          <w:i w:val="false"/>
          <w:caps w:val="false"/>
          <w:smallCaps w:val="false"/>
          <w:sz w:val="20"/>
        </w:rPr>
        <w:t xml:space="preserve"> shall be provided solely to the Granting Lender)). Notwithstanding the prior sentence, an SPV shall not be entitled to receive any greater payment under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3.5</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than its Granting Lender would have been entitled to receive absent the grant to such SPV, unless such grant to such SPV is made with the Borrower’s prior written consent (which consent shall not be unreasonably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val="false"/>
          <w:i w:val="false"/>
          <w:caps w:val="false"/>
          <w:smallCaps w:val="false"/>
          <w:sz w:val="20"/>
          <w:u w:val="single"/>
        </w:rPr>
        <w:t>Replacements of Lenders Under Certain Circumstances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(b) is affected in the manner described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and as a result thereof any of the actions described in such Section is required to be taken, or (c) becomes a Defaulting Lender, with a replacement bank or other financial institution;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replacement does not conflict with any Requirements of Law, (ii) no Event of Default under </w:t>
      </w:r>
      <w:r>
        <w:rPr>
          <w:rFonts w:ascii="Times New Roman;Times;Serif" w:hAnsi="Times New Roman;Times;Serif"/>
          <w:b w:val="false"/>
          <w:i w:val="false"/>
          <w:caps w:val="false"/>
          <w:smallCaps w:val="false"/>
          <w:sz w:val="20"/>
          <w:u w:val="single"/>
        </w:rPr>
        <w:t>Sections 11.1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11.5</w:t>
      </w:r>
      <w:r>
        <w:rPr>
          <w:rFonts w:ascii="Times New Roman;Times;Serif" w:hAnsi="Times New Roman;Times;Serif"/>
          <w:b w:val="false"/>
          <w:i w:val="false"/>
          <w:caps w:val="false"/>
          <w:smallCaps w:val="false"/>
          <w:sz w:val="20"/>
        </w:rPr>
        <w:t xml:space="preserve"> shall have occurred and be continuing at the time of such replacement, (iii) the Borrower shall repay (or the replacement bank or institution shall purchase, at par) all Loans and other amounts pursuant to </w:t>
      </w:r>
      <w:r>
        <w:rPr>
          <w:rFonts w:ascii="Times New Roman;Times;Serif" w:hAnsi="Times New Roman;Times;Serif"/>
          <w:b w:val="false"/>
          <w:i w:val="false"/>
          <w:caps w:val="false"/>
          <w:smallCaps w:val="false"/>
          <w:sz w:val="20"/>
          <w:u w:val="single"/>
        </w:rPr>
        <w:t>Sections 2.10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5.4</w:t>
      </w:r>
      <w:r>
        <w:rPr>
          <w:rFonts w:ascii="Times New Roman;Times;Serif" w:hAnsi="Times New Roman;Times;Serif"/>
          <w:b w:val="false"/>
          <w:i w:val="false"/>
          <w:caps w:val="false"/>
          <w:smallCaps w:val="false"/>
          <w:sz w:val="20"/>
        </w:rPr>
        <w:t xml:space="preserve">, as the case may be, owing to such replaced Lender prior to the date of replacement, (iv) the replacement bank or institution, if not already a Lender, an Affiliate of the Lender or Approved Fund, and the terms and conditions of such replacement, shall be reasonably satisfactory to the Administrative Agent, (v) the replacement bank or institution, if not already a Lender shall be subject to the provisions of </w:t>
      </w:r>
      <w:r>
        <w:rPr>
          <w:rFonts w:ascii="Times New Roman;Times;Serif" w:hAnsi="Times New Roman;Times;Serif"/>
          <w:b w:val="false"/>
          <w:i w:val="false"/>
          <w:caps w:val="false"/>
          <w:smallCaps w:val="false"/>
          <w:sz w:val="20"/>
          <w:u w:val="single"/>
        </w:rPr>
        <w:t>Section 13.6(b)</w:t>
      </w:r>
      <w:r>
        <w:rPr>
          <w:rFonts w:ascii="Times New Roman;Times;Serif" w:hAnsi="Times New Roman;Times;Serif"/>
          <w:b w:val="false"/>
          <w:i w:val="false"/>
          <w:caps w:val="false"/>
          <w:smallCaps w:val="false"/>
          <w:sz w:val="20"/>
        </w:rPr>
        <w:t xml:space="preserve">, (vi) the replaced Lender shall be obligated to make such replacement in accordance with the provisions of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(such Lender, a “</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xml:space="preserve">”) has failed to consent to a proposed amendment, waiver, discharge or termination that pursuant to the terms of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and (b) the replacement Lender shall purchase the foregoing by paying to such Non-Consenting Lender a price equal to the principal amount thereof plus accrued and unpaid interest thereon. In connection with any such assignment, the Borrower, the Administrative Agent, such Non-Consenting Lender and the replacement Lender shall otherwise comply with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val="false"/>
          <w:i w:val="false"/>
          <w:caps w:val="false"/>
          <w:smallCaps w:val="false"/>
          <w:sz w:val="20"/>
          <w:u w:val="single"/>
        </w:rPr>
        <w:t>Adjustments; Set-off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contemplated in </w:t>
      </w:r>
      <w:r>
        <w:rPr>
          <w:rFonts w:ascii="Times New Roman;Times;Serif" w:hAnsi="Times New Roman;Times;Serif"/>
          <w:b w:val="false"/>
          <w:i w:val="false"/>
          <w:caps w:val="false"/>
          <w:smallCaps w:val="false"/>
          <w:sz w:val="20"/>
          <w:u w:val="single"/>
        </w:rPr>
        <w:t>Section 13.6</w:t>
      </w:r>
      <w:r>
        <w:rPr>
          <w:rFonts w:ascii="Times New Roman;Times;Serif" w:hAnsi="Times New Roman;Times;Serif"/>
          <w:b w:val="false"/>
          <w:i w:val="false"/>
          <w:caps w:val="false"/>
          <w:smallCaps w:val="false"/>
          <w:sz w:val="20"/>
        </w:rPr>
        <w:t xml:space="preserve"> or elsewhere herein, if any Lender (a “</w:t>
      </w:r>
      <w:r>
        <w:rPr>
          <w:rFonts w:ascii="Times New Roman;Times;Serif" w:hAnsi="Times New Roman;Times;Serif"/>
          <w:b/>
          <w:i w:val="false"/>
          <w:caps w:val="false"/>
          <w:smallCaps w:val="false"/>
          <w:sz w:val="20"/>
        </w:rPr>
        <w:t>Benefited Lender</w:t>
      </w:r>
      <w:r>
        <w:rPr>
          <w:rFonts w:ascii="Times New Roman;Times;Serif" w:hAnsi="Times New Roman;Times;Serif"/>
          <w:b w:val="false"/>
          <w:i w:val="false"/>
          <w:caps w:val="false"/>
          <w:smallCaps w:val="false"/>
          <w:sz w:val="20"/>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all or any portion of such excess payment or benefits is thereafter recovered from such Benefited Lender, such purchase shall be rescinded, and the purchase price and benefits returned, to the extent of such recovery, but without interest. For purposes of </w:t>
      </w:r>
      <w:r>
        <w:rPr>
          <w:rFonts w:ascii="Times New Roman;Times;Serif" w:hAnsi="Times New Roman;Times;Serif"/>
          <w:b w:val="false"/>
          <w:i w:val="false"/>
          <w:caps w:val="false"/>
          <w:smallCaps w:val="false"/>
          <w:sz w:val="20"/>
          <w:u w:val="single"/>
        </w:rPr>
        <w:t>subclause (ii)(a)</w:t>
      </w:r>
      <w:r>
        <w:rPr>
          <w:rFonts w:ascii="Times New Roman;Times;Serif" w:hAnsi="Times New Roman;Times;Serif"/>
          <w:b w:val="false"/>
          <w:i w:val="false"/>
          <w:caps w:val="false"/>
          <w:smallCaps w:val="false"/>
          <w:sz w:val="20"/>
        </w:rPr>
        <w:t xml:space="preserve"> of the definition of “Excluded Taxes”, a Lender that acquires a participation pursuant to this </w:t>
      </w:r>
      <w:r>
        <w:rPr>
          <w:rFonts w:ascii="Times New Roman;Times;Serif" w:hAnsi="Times New Roman;Times;Serif"/>
          <w:b w:val="false"/>
          <w:i w:val="false"/>
          <w:caps w:val="false"/>
          <w:smallCaps w:val="false"/>
          <w:sz w:val="20"/>
          <w:u w:val="single"/>
        </w:rPr>
        <w:t>Section 13.8</w:t>
      </w:r>
      <w:r>
        <w:rPr>
          <w:rFonts w:ascii="Times New Roman;Times;Serif" w:hAnsi="Times New Roman;Times;Serif"/>
          <w:b w:val="false"/>
          <w:i w:val="false"/>
          <w:caps w:val="false"/>
          <w:smallCaps w:val="false"/>
          <w:sz w:val="20"/>
        </w:rPr>
        <w:t xml:space="preserve"> shall be treated as having acquired such participation on the date(s) on which such Lender acquired the applicable interest(s) in the Commitment(s) and/or Loan(s) to which such participation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val="false"/>
          <w:i w:val="false"/>
          <w:caps w:val="false"/>
          <w:smallCaps w:val="false"/>
          <w:sz w:val="20"/>
          <w:u w:val="single"/>
        </w:rPr>
        <w:t>Counterparts; Effectiveness; Electronic Execution</w:t>
      </w:r>
      <w:r>
        <w:rPr>
          <w:rFonts w:ascii="Times New Roman;Times;Serif" w:hAnsi="Times New Roman;Times;Serif"/>
          <w:b w:val="false"/>
          <w:i w:val="false"/>
          <w:caps w:val="false"/>
          <w:smallCaps w:val="false"/>
          <w:sz w:val="20"/>
        </w:rPr>
        <w:t xml:space="preserve">. (a) This Agreement may be executed in counterparts (and by different parties hereto on different counterparts), each of which shall constitute an original, but all of which when taken together shall constitute a single contract. Except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Delivery of an executed counterpart of a signature page of (x) this Agreement, (y) any other Credit Document and/or (z) any document, amendment, approval, consent, information, notice (including, for the avoidance of doubt, any notice delivered pursuant to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certificate, request, statement, disclosure or authorization related to this Agreement, any other Credit Document and/or the transactions contemplated hereby and/or thereby (each an “</w:t>
      </w:r>
      <w:r>
        <w:rPr>
          <w:rFonts w:ascii="Times New Roman;Times;Serif" w:hAnsi="Times New Roman;Times;Serif"/>
          <w:b/>
          <w:i w:val="false"/>
          <w:caps w:val="false"/>
          <w:smallCaps w:val="false"/>
          <w:sz w:val="20"/>
        </w:rPr>
        <w:t>Ancillary Document</w:t>
      </w:r>
      <w:r>
        <w:rPr>
          <w:rFonts w:ascii="Times New Roman;Times;Serif" w:hAnsi="Times New Roman;Times;Serif"/>
          <w:b w:val="false"/>
          <w:i w:val="false"/>
          <w:caps w:val="false"/>
          <w:smallCaps w:val="false"/>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the Administrative Agent, the Lenders, the Borrower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the Administrative Agent, any Joint Lead Arranger, any Letter of Credit Issuer, any Lender, and any Affiliate of any of the foregoing Persons and their respective directors, officers, employees, agents, advisors, controlling persons, members, representatives or the successors of any such Person and such Person’s Affiliates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the other Credit Documents represent the agreement of Holdings, the Borrower, the Texas Intermediate Holdcos, the Collateral Agent, the Administrative Agent and the Lenders with respect to the subject matter hereof, and there are no promises, undertakings, representations or warranties by Holdings, the Borrower, the Administrative Agent, the Collateral Agent or any Lender relative to subject matter hereof not expressly set forth or referred to herein or in the other Credit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RIGHTS AND OBLIGATIONS OF THE PARTIES HEREUNDER SHALL BE GOVERNED BY, AND CONSTRUED AND INTERPRETED IN ACCORDANCE WITH, THE LAW OF THE STATE OF NEW YORK. EACH LETTER OF CREDIT SHALL BE GOVERNED BY, AND CONSTRUED AND INTERPRETED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13.13     </w:t>
      </w:r>
      <w:r>
        <w:rPr>
          <w:rFonts w:ascii="Times New Roman;Times;Serif" w:hAnsi="Times New Roman;Times;Serif"/>
          <w:b w:val="false"/>
          <w:i w:val="false"/>
          <w:caps w:val="false"/>
          <w:smallCaps w:val="false"/>
          <w:sz w:val="20"/>
          <w:u w:val="single"/>
        </w:rPr>
        <w:t>Submission to Jurisdiction; Waivers</w:t>
      </w:r>
      <w:r>
        <w:rPr>
          <w:rFonts w:ascii="Times New Roman;Times;Serif" w:hAnsi="Times New Roman;Times;Serif"/>
          <w:b w:val="false"/>
          <w:i w:val="false"/>
          <w:caps w:val="false"/>
          <w:smallCaps w:val="false"/>
          <w:sz w:val="20"/>
        </w:rPr>
        <w:t>. Each party hereto irrevocably and unconditionally: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submits for itself and its property in any legal action or proceeding relating to this Agreement and the other Credit Documents to which it is a party to the exclusive general jurisdiction of the courts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consents that any such action or proceeding shall be brought in such Federal (to the extent permitted by law) or New York State court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agrees that service of process in any such action or proceeding shall be effected by mailing a copy thereof by registered or certified mail (or any substantially similar form of mail), postage prepaid, to such Person at its address set forth on </w:t>
      </w:r>
      <w:r>
        <w:rPr>
          <w:rFonts w:ascii="Times New Roman;Times;Serif" w:hAnsi="Times New Roman;Times;Serif"/>
          <w:b w:val="false"/>
          <w:i w:val="false"/>
          <w:caps w:val="false"/>
          <w:smallCaps w:val="false"/>
          <w:sz w:val="20"/>
          <w:u w:val="single"/>
        </w:rPr>
        <w:t>Schedule 13.2</w:t>
      </w:r>
      <w:r>
        <w:rPr>
          <w:rFonts w:ascii="Times New Roman;Times;Serif" w:hAnsi="Times New Roman;Times;Serif"/>
          <w:b w:val="false"/>
          <w:i w:val="false"/>
          <w:caps w:val="false"/>
          <w:smallCaps w:val="false"/>
          <w:sz w:val="20"/>
        </w:rPr>
        <w:t xml:space="preserve"> at such other address of which the Administrative Agent shall have been notified pursuant to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that nothing herein shall affect the right of the Administrative Agent, any Lender or another Secured Party to effect service of process in any other manner permitted by law or to commence legal proceedings or otherwise proceed against the Borrower or any other Credit Party in any other jurisdiction;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waives, to the maximum extent not prohibited by law, any right it may have to claim or recover in any legal action or proceeding referred to in this </w:t>
      </w:r>
      <w:r>
        <w:rPr>
          <w:rFonts w:ascii="Times New Roman;Times;Serif" w:hAnsi="Times New Roman;Times;Serif"/>
          <w:b w:val="false"/>
          <w:i w:val="false"/>
          <w:caps w:val="false"/>
          <w:smallCaps w:val="false"/>
          <w:sz w:val="20"/>
          <w:u w:val="single"/>
        </w:rPr>
        <w:t>Section 13.13</w:t>
      </w:r>
      <w:r>
        <w:rPr>
          <w:rFonts w:ascii="Times New Roman;Times;Serif" w:hAnsi="Times New Roman;Times;Serif"/>
          <w:b w:val="false"/>
          <w:i w:val="false"/>
          <w:caps w:val="false"/>
          <w:smallCaps w:val="false"/>
          <w:sz w:val="20"/>
        </w:rPr>
        <w:t xml:space="preserve"> any special, exemplary, punitive or consequential damages;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clause (e)</w:t>
      </w:r>
      <w:r>
        <w:rPr>
          <w:rFonts w:ascii="Times New Roman;Times;Serif" w:hAnsi="Times New Roman;Times;Serif"/>
          <w:b w:val="false"/>
          <w:i w:val="false"/>
          <w:caps w:val="false"/>
          <w:smallCaps w:val="false"/>
          <w:sz w:val="20"/>
        </w:rPr>
        <w:t xml:space="preserve"> shall limit the Credit Parties’ indemnification obligations set forth in </w:t>
      </w:r>
      <w:r>
        <w:rPr>
          <w:rFonts w:ascii="Times New Roman;Times;Serif" w:hAnsi="Times New Roman;Times;Serif"/>
          <w:b w:val="false"/>
          <w:i w:val="false"/>
          <w:caps w:val="false"/>
          <w:smallCaps w:val="false"/>
          <w:sz w:val="20"/>
          <w:u w:val="single"/>
        </w:rPr>
        <w:t>Section 13.5</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13.14     </w:t>
      </w:r>
      <w:r>
        <w:rPr>
          <w:rFonts w:ascii="Times New Roman;Times;Serif" w:hAnsi="Times New Roman;Times;Serif"/>
          <w:b w:val="false"/>
          <w:i w:val="false"/>
          <w:caps w:val="false"/>
          <w:smallCaps w:val="false"/>
          <w:sz w:val="20"/>
          <w:u w:val="single"/>
        </w:rPr>
        <w:t>Acknowledgments</w:t>
      </w:r>
      <w:r>
        <w:rPr>
          <w:rFonts w:ascii="Times New Roman;Times;Serif" w:hAnsi="Times New Roman;Times;Serif"/>
          <w:b w:val="false"/>
          <w:i w:val="false"/>
          <w:caps w:val="false"/>
          <w:smallCaps w:val="false"/>
          <w:sz w:val="20"/>
        </w:rPr>
        <w:t>. Each of Holdings, each Texas Intermediate Holdco and the Borrower hereby acknowledges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advised by counsel in the negotiation, execution, and delivery of this Agreement and the other Credit Documents;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trike/>
          <w:color w:val="FF0000"/>
          <w:sz w:val="20"/>
        </w:rPr>
        <w:t xml:space="preserve">(i) </w:t>
      </w:r>
      <w:r>
        <w:rPr>
          <w:rFonts w:ascii="Times New Roman;Times;Serif" w:hAnsi="Times New Roman;Times;Serif"/>
          <w:b w:val="false"/>
          <w:i w:val="false"/>
          <w:caps w:val="false"/>
          <w:smallCaps w:val="false"/>
          <w:sz w:val="20"/>
        </w:rPr>
        <w:t>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ii</w:t>
      </w:r>
      <w:r>
        <w:rPr>
          <w:rFonts w:ascii="Times New Roman;Times;Serif" w:hAnsi="Times New Roman;Times;Serif"/>
          <w:b w:val="false"/>
          <w:i w:val="false"/>
          <w:caps w:val="false"/>
          <w:smallCaps w:val="false"/>
          <w:color w:val="0000FF"/>
          <w:sz w:val="20"/>
          <w:u w:val="single"/>
          <w:bdr w:val="single" w:sz="8" w:space="1" w:color="0000FF"/>
        </w:rPr>
        <w:t>c</w:t>
      </w:r>
      <w:r>
        <w:rPr>
          <w:rFonts w:ascii="Times New Roman;Times;Serif" w:hAnsi="Times New Roman;Times;Serif"/>
          <w:b w:val="false"/>
          <w:i w:val="false"/>
          <w:caps w:val="false"/>
          <w:smallCaps w:val="false"/>
          <w:sz w:val="20"/>
        </w:rPr>
        <w:t>)           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iii</w:t>
      </w:r>
      <w:r>
        <w:rPr>
          <w:rFonts w:ascii="Times New Roman;Times;Serif" w:hAnsi="Times New Roman;Times;Serif"/>
          <w:b w:val="false"/>
          <w:i w:val="false"/>
          <w:caps w:val="false"/>
          <w:smallCaps w:val="false"/>
          <w:color w:val="0000FF"/>
          <w:sz w:val="20"/>
          <w:u w:val="single"/>
          <w:bdr w:val="single" w:sz="8" w:space="1" w:color="0000FF"/>
        </w:rPr>
        <w:t>d</w:t>
      </w:r>
      <w:r>
        <w:rPr>
          <w:rFonts w:ascii="Times New Roman;Times;Serif" w:hAnsi="Times New Roman;Times;Serif"/>
          <w:b w:val="false"/>
          <w:i w:val="false"/>
          <w:caps w:val="false"/>
          <w:smallCaps w:val="false"/>
          <w:sz w:val="20"/>
        </w:rPr>
        <w:t>)         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iv</w:t>
      </w:r>
      <w:r>
        <w:rPr>
          <w:rFonts w:ascii="Times New Roman;Times;Serif" w:hAnsi="Times New Roman;Times;Serif"/>
          <w:b w:val="false"/>
          <w:i w:val="false"/>
          <w:caps w:val="false"/>
          <w:smallCaps w:val="false"/>
          <w:color w:val="0000FF"/>
          <w:sz w:val="20"/>
          <w:u w:val="single"/>
          <w:bdr w:val="single" w:sz="8" w:space="1" w:color="0000FF"/>
        </w:rPr>
        <w:t>e</w:t>
      </w:r>
      <w:r>
        <w:rPr>
          <w:rFonts w:ascii="Times New Roman;Times;Serif" w:hAnsi="Times New Roman;Times;Serif"/>
          <w:b w:val="false"/>
          <w:i w:val="false"/>
          <w:caps w:val="false"/>
          <w:smallCaps w:val="false"/>
          <w:sz w:val="20"/>
        </w:rPr>
        <w:t>)         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v</w:t>
      </w:r>
      <w:r>
        <w:rPr>
          <w:rFonts w:ascii="Times New Roman;Times;Serif" w:hAnsi="Times New Roman;Times;Serif"/>
          <w:b w:val="false"/>
          <w:i w:val="false"/>
          <w:caps w:val="false"/>
          <w:smallCaps w:val="false"/>
          <w:color w:val="0000FF"/>
          <w:sz w:val="20"/>
          <w:u w:val="single"/>
          <w:bdr w:val="single" w:sz="8" w:space="1" w:color="0000FF"/>
        </w:rPr>
        <w:t>f</w:t>
      </w:r>
      <w:r>
        <w:rPr>
          <w:rFonts w:ascii="Times New Roman;Times;Serif" w:hAnsi="Times New Roman;Times;Serif"/>
          <w:b w:val="false"/>
          <w:i w:val="false"/>
          <w:caps w:val="false"/>
          <w:smallCaps w:val="false"/>
          <w:sz w:val="20"/>
        </w:rPr>
        <w:t>)           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Holdings, the Texas Intermediate Holdcos and the Borrower has consulted its own legal, accounting, regulatory and tax advisors to the extent it has deemed appropriate. Each of Holdings, the Texas Intermediate Holdcos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trike/>
          <w:color w:val="FF0000"/>
          <w:sz w:val="20"/>
        </w:rPr>
        <w:t>c</w:t>
      </w:r>
      <w:r>
        <w:rPr>
          <w:rFonts w:ascii="Times New Roman;Times;Serif" w:hAnsi="Times New Roman;Times;Serif"/>
          <w:b w:val="false"/>
          <w:i w:val="false"/>
          <w:caps w:val="false"/>
          <w:smallCaps w:val="false"/>
          <w:color w:val="0000FF"/>
          <w:sz w:val="20"/>
          <w:u w:val="single"/>
          <w:bdr w:val="single" w:sz="8" w:space="1" w:color="0000FF"/>
        </w:rPr>
        <w:t>g</w:t>
      </w:r>
      <w:r>
        <w:rPr>
          <w:rFonts w:ascii="Times New Roman;Times;Serif" w:hAnsi="Times New Roman;Times;Serif"/>
          <w:b w:val="false"/>
          <w:i w:val="false"/>
          <w:caps w:val="false"/>
          <w:smallCaps w:val="false"/>
          <w:sz w:val="20"/>
        </w:rPr>
        <w:t>)          no joint venture is created hereby or by the other Credit Documents or otherwise exists by virtue of the transactions contemplated hereby among the Lenders or among Holdings, the Texas Intermediate Holdcos and the Borrower, on the one hand, and any Lender, on the other hand.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13.15     </w:t>
      </w:r>
      <w:r>
        <w:rPr>
          <w:rFonts w:ascii="Times New Roman;Times;Serif" w:hAnsi="Times New Roman;Times;Serif"/>
          <w:b w:val="false"/>
          <w:i w:val="false"/>
          <w:caps w:val="false"/>
          <w:smallCaps w:val="false"/>
          <w:sz w:val="20"/>
          <w:u w:val="single"/>
        </w:rPr>
        <w:t>WAIVERS OF JURY TRIAL</w:t>
      </w:r>
      <w:r>
        <w:rPr>
          <w:rFonts w:ascii="Times New Roman;Times;Serif" w:hAnsi="Times New Roman;Times;Serif"/>
          <w:b w:val="false"/>
          <w:i w:val="false"/>
          <w:caps w:val="false"/>
          <w:smallCaps w:val="false"/>
          <w:sz w:val="20"/>
        </w:rPr>
        <w:t>. EACH PARTY HERETO IRREVOCABLY AND UNCONDITIONALLY WAIVE (TO THE EXTENT PERMITTED BY APPLICABLE LAW) TRIAL BY JURY IN ANY LEGAL ACTION OR PROCEEDING RELATING TO THIS AGREEMENT OR ANY OTHER CREDIT DOCUMENT AND FOR ANY COUNTERCLAIM THEREIN.</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Administrative Agent, each other Agent and each Lender (collectively, the “</w:t>
      </w:r>
      <w:r>
        <w:rPr>
          <w:rFonts w:ascii="Times New Roman;Times;Serif" w:hAnsi="Times New Roman;Times;Serif"/>
          <w:b/>
          <w:i w:val="false"/>
          <w:caps w:val="false"/>
          <w:smallCaps w:val="false"/>
          <w:sz w:val="20"/>
        </w:rPr>
        <w:t>Restricted Persons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Restricted Person</w:t>
      </w:r>
      <w:r>
        <w:rPr>
          <w:rFonts w:ascii="Times New Roman;Times;Serif" w:hAnsi="Times New Roman;Times;Serif"/>
          <w:b w:val="false"/>
          <w:i w:val="false"/>
          <w:caps w:val="false"/>
          <w:smallCaps w:val="false"/>
          <w:sz w:val="20"/>
        </w:rPr>
        <w:t>”) shall treat confidentially all non-public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and shall not publish, disclose or otherwise divulge such Confidential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(or confidentiality provisions at least as restrictive as those set forth in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(with each such Restricted Person, to the extent within its control, responsible for such person’s compliance with this paragraph), (g) to potential or prospective Lenders, hedge providers (or other derivative transaction counterparties) (any such person, a “</w:t>
      </w:r>
      <w:r>
        <w:rPr>
          <w:rFonts w:ascii="Times New Roman;Times;Serif" w:hAnsi="Times New Roman;Times;Serif"/>
          <w:b/>
          <w:i w:val="false"/>
          <w:caps w:val="false"/>
          <w:smallCaps w:val="false"/>
          <w:sz w:val="20"/>
        </w:rPr>
        <w:t>Derivative Counterparty</w:t>
      </w:r>
      <w:r>
        <w:rPr>
          <w:rFonts w:ascii="Times New Roman;Times;Serif" w:hAnsi="Times New Roman;Times;Serif"/>
          <w:b w:val="false"/>
          <w:i w:val="false"/>
          <w:caps w:val="false"/>
          <w:smallCaps w:val="false"/>
          <w:sz w:val="20"/>
        </w:rPr>
        <w:t xml:space="preserve">”), participants or assignees, in each case who agree (pursuant to customary syndication practice) to be bound by the terms of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(or confidentiality provisions at least as restrictive as those set forth in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disclosure of any such Confidential Information to any Lenders, Derivative Counterparties or prospective Lenders, Derivative Counterparties or participants or prospective participants referred to above shall be made subject to the acknowledgment and acceptance by such Lender, Derivative Counterparty or prospective Lender or participant or prospective participant that such Confidential Information is being disseminated on a confidential basis (on substantially the terms set forth in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or confidentiality provisions at least as restrictive as those set forth in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Credit Facilities to the extent such rating agencies are subject to customary confidentiality obligations of professional practice or agree to be bound by the terms of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(or confidentiality provisions at least as restrictive as those set forth in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Notwithstanding the foregoing, (i) Confidential Information shall not include, with respect to any Person, information available to it or its Affiliates on a non-confidential basis from a source other than the Borrower, its Subsidiaries or its Affiliates, (ii) the Administrative Agent shall not be responsible for compliance with this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13.17      </w:t>
      </w:r>
      <w:r>
        <w:rPr>
          <w:rFonts w:ascii="Times New Roman;Times;Serif" w:hAnsi="Times New Roman;Times;Serif"/>
          <w:b w:val="false"/>
          <w:i w:val="false"/>
          <w:caps w:val="false"/>
          <w:smallCaps w:val="false"/>
          <w:sz w:val="20"/>
          <w:u w:val="single"/>
        </w:rPr>
        <w:t>Direct Website Communications</w:t>
      </w:r>
      <w:r>
        <w:rPr>
          <w:rFonts w:ascii="Times New Roman;Times;Serif" w:hAnsi="Times New Roman;Times;Serif"/>
          <w:b w:val="false"/>
          <w:i w:val="false"/>
          <w:caps w:val="false"/>
          <w:smallCaps w:val="false"/>
          <w:sz w:val="20"/>
        </w:rPr>
        <w:t>.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Times New Roman;Times;Serif" w:hAnsi="Times New Roman;Times;Serif"/>
          <w:b w:val="false"/>
          <w:i w:val="false"/>
          <w:caps w:val="false"/>
          <w:smallCaps w:val="false"/>
          <w:sz w:val="20"/>
          <w:u w:val="single"/>
        </w:rPr>
        <w:t>Section 13.17</w:t>
      </w:r>
      <w:r>
        <w:rPr>
          <w:rFonts w:ascii="Times New Roman;Times;Serif" w:hAnsi="Times New Roman;Times;Serif"/>
          <w:b w:val="false"/>
          <w:i w:val="false"/>
          <w:caps w:val="false"/>
          <w:smallCaps w:val="false"/>
          <w:sz w:val="20"/>
        </w:rPr>
        <w:t xml:space="preserve"> shall prejudice the right of the Borrower, the Administrative Agent, any other Agent or any Lender to give any notice or other communication pursuant to any Credit Document in any other manner specified in such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 Each of the Lenders and the Borrower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further agrees that any Agent may make the Communications available to the Lenders by posting the Communications on IntraLinks, DebtDomain, SyndTrak, ClearPar or a substantially similar electronic transmission system (the “</w:t>
      </w:r>
      <w:r>
        <w:rPr>
          <w:rFonts w:ascii="Times New Roman;Times;Serif" w:hAnsi="Times New Roman;Times;Serif"/>
          <w:b/>
          <w:i w:val="false"/>
          <w:caps w:val="false"/>
          <w:smallCaps w:val="false"/>
          <w:sz w:val="20"/>
        </w:rPr>
        <w:t>Platform</w:t>
      </w:r>
      <w:r>
        <w:rPr>
          <w:rFonts w:ascii="Times New Roman;Times;Serif" w:hAnsi="Times New Roman;Times;Serif"/>
          <w:b w:val="false"/>
          <w:i w:val="false"/>
          <w:caps w:val="false"/>
          <w:smallCaps w:val="false"/>
          <w:sz w:val="20"/>
        </w:rPr>
        <w:t xml:space="preserve">”), so long as the access to such Platform (i) is limited to the Agents, the Lenders and Transferees or prospective Transferees and (ii) remains subject to the confidentiality requirements set forth in </w:t>
      </w:r>
      <w:r>
        <w:rPr>
          <w:rFonts w:ascii="Times New Roman;Times;Serif" w:hAnsi="Times New Roman;Times;Serif"/>
          <w:b w:val="false"/>
          <w:i w:val="false"/>
          <w:caps w:val="false"/>
          <w:smallCaps w:val="false"/>
          <w:sz w:val="20"/>
          <w:u w:val="single"/>
        </w:rPr>
        <w:t>Section 13.16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Platform and its primary web portal are secured with generally-applicable security procedures and policies implemented or modified by the Administrative Agent from time to time (including, as of the Restatement Effective Date, a user ID/password authorization system) and the Platform is secured through a per-deal authorization method whereby each user may access the Platform only on a deal-by-deal basis, each of the Lenders, the Letter of Credit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may be confidentiality and other risks associated with such distribution. Each of the Lenders, the Letter of Credit Issuers and the Borrower hereby approves distribution of the Communications through the Platform and understands and assumes the risks of such distribution.</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PLATFORM IS PROVIDED “AS IS” AND “AS AVAILABLE.” THE AGENT PARTIES DO NOT WARRANT THE ACCURACY OR COMPLETENESS OF ANY MATERIALS OR INFORMATION PROVIDED BY THE CREDIT PARTIES (THE “</w:t>
      </w:r>
      <w:r>
        <w:rPr>
          <w:rFonts w:ascii="Times New Roman;Times;Serif" w:hAnsi="Times New Roman;Times;Serif"/>
          <w:b/>
          <w:i w:val="false"/>
          <w:caps w:val="false"/>
          <w:smallCaps w:val="false"/>
          <w:sz w:val="20"/>
        </w:rPr>
        <w:t>BORROWER MATERIALS</w:t>
      </w:r>
      <w:r>
        <w:rPr>
          <w:rFonts w:ascii="Times New Roman;Times;Serif" w:hAnsi="Times New Roman;Times;Serif"/>
          <w:b w:val="false"/>
          <w:i w:val="false"/>
          <w:caps w:val="false"/>
          <w:smallCaps w:val="false"/>
          <w:sz w:val="20"/>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Times;Serif" w:hAnsi="Times New Roman;Times;Serif"/>
          <w:b/>
          <w:i w:val="false"/>
          <w:caps w:val="false"/>
          <w:smallCaps w:val="false"/>
          <w:sz w:val="20"/>
        </w:rPr>
        <w:t>Agent Parties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Agent Party</w:t>
      </w:r>
      <w:r>
        <w:rPr>
          <w:rFonts w:ascii="Times New Roman;Times;Serif" w:hAnsi="Times New Roman;Times;Serif"/>
          <w:b w:val="false"/>
          <w:i w:val="false"/>
          <w:caps w:val="false"/>
          <w:smallCaps w:val="false"/>
          <w:sz w:val="20"/>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 and each Lender acknowledge that certain of the Lenders may be “public-side” Lenders (Lenders that do not wish to receive material non-public information with respect to the Borrower, the Subsidiaries or their securities) and, if documents or notices required to be delivered pursuant to the Credit Documents or otherwise are being distributed through the Platform, any document or notice that the Borrower has indicated contains only publicly available information with respect to the Borrower may be posted on that portion of the Platform designated for such public-side Lenders. If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the Borrower, the Subsidiaries and their securities. Notwithstanding the foregoing, the Borrower shall use commercially reasonable efforts to indicate whether any document or notice contains only publicly available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Times New Roman;Times;Serif" w:hAnsi="Times New Roman;Times;Serif"/>
          <w:b w:val="false"/>
          <w:i w:val="false"/>
          <w:caps w:val="false"/>
          <w:smallCaps w:val="false"/>
          <w:sz w:val="20"/>
          <w:u w:val="single"/>
        </w:rPr>
        <w:t>Sections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13.18       </w:t>
      </w:r>
      <w:r>
        <w:rPr>
          <w:rFonts w:ascii="Times New Roman;Times;Serif" w:hAnsi="Times New Roman;Times;Serif"/>
          <w:b w:val="false"/>
          <w:i w:val="false"/>
          <w:caps w:val="false"/>
          <w:smallCaps w:val="false"/>
          <w:sz w:val="20"/>
          <w:u w:val="single"/>
        </w:rPr>
        <w:t>USA PATRIOT Act; Beneficial Ownership Regulation</w:t>
      </w:r>
      <w:r>
        <w:rPr>
          <w:rFonts w:ascii="Times New Roman;Times;Serif" w:hAnsi="Times New Roman;Times;Serif"/>
          <w:b w:val="false"/>
          <w:i w:val="false"/>
          <w:caps w:val="false"/>
          <w:smallCaps w:val="false"/>
          <w:sz w:val="20"/>
        </w:rPr>
        <w:t>. Each Lender hereby notifies each Credit Party that, pursuant to the requirements of the USA PATRIOT Act (Title III of Pub. L. 107-56 (signed into law October 26, 2001)) (the “</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and the Beneficial Ownership Regulation, it is required to obtain, verify, and record information that identifies each Credit Party, which information includes the name and address of each Credit Party and other information that will allow such Lender to identify each Credit Party in accordance with the Patriot Act and the Beneficial Ownership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13.19</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13.20       </w:t>
      </w:r>
      <w:r>
        <w:rPr>
          <w:rFonts w:ascii="Times New Roman;Times;Serif" w:hAnsi="Times New Roman;Times;Serif"/>
          <w:b w:val="false"/>
          <w:i w:val="false"/>
          <w:caps w:val="false"/>
          <w:smallCaps w:val="false"/>
          <w:sz w:val="20"/>
          <w:u w:val="single"/>
        </w:rPr>
        <w:t>Payments Set Aside</w:t>
      </w:r>
      <w:r>
        <w:rPr>
          <w:rFonts w:ascii="Times New Roman;Times;Serif" w:hAnsi="Times New Roman;Times;Serif"/>
          <w:b w:val="false"/>
          <w:i w:val="false"/>
          <w:caps w:val="false"/>
          <w:smallCaps w:val="false"/>
          <w:sz w:val="20"/>
        </w:rPr>
        <w:t>.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NYFRB Rate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acknowledges and agrees, and acknowledges its Subsidiaries’ understanding, that no Credit Party will have any obligations except those obligations expressly set forth herein and in the other Credit Documents and each Lender Party is acting solely in the capacity of an arm’s length contractual counterparty to such Credit Party with respect to the Credit Documents and the transactions contemplated herein and therein and not as a financial advisor or a fiduciary to, or an agent of, any Credit Party or any other person. Each Credit Party agrees that it will not assert any claim against any Lender Party based on an alleged breach of fiduciary duty by such Lender Party in connection with this Agreement and the transactions contemplated hereby. Additionally, each Credit Party acknowledges and agrees that no Lender Party is advising any Credit Party as to any legal, tax, investment, accounting, regulatory or any other matters in any jurisdiction. Each Credit Party shall consult with its own advisors concerning such matters and shall be responsible for making its own independent investigation and appraisal of the transactions contemplated herein or in the other Credit Documents, and the Lender Parties shall have no responsibility or liability to any Credit Party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further acknowledges and agrees, and acknowledges its Subsidiaries’ understanding, that each Lender Party, together with its Affiliates, is a full service securities or banking firm engaged in securities trading and brokerage activities as well as providing investment banking and other financial services. In the ordinary course of business, any Lender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Lender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the Borrower acknowledges and agrees, and acknowledges its Subsidiaries’ understanding, that each Lender Party and its affiliates may be providing debt financing, equity capital or other services (including financial advisory services) to other companies in respect of which the Borrower may have conflicting interests regarding the transactions described herein and otherwise. No Lender Party will use confidential information obtained from the Borrower by virtue of the transactions contemplated by the Credit Documents or its other relationships with the Borrower in connection with the performance by such Lender Party of services for other companies, and no Lender Party will furnish any such information to other companies. The Borrower also acknowledges that no Lender Party has any obligation to use in connection with the transactions contemplated by the Credit Documents, or to furnish to the Borrower, confidential information obtained from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13.22      </w:t>
      </w:r>
      <w:r>
        <w:rPr>
          <w:rFonts w:ascii="Times New Roman;Times;Serif" w:hAnsi="Times New Roman;Times;Serif"/>
          <w:b w:val="false"/>
          <w:i w:val="false"/>
          <w:caps w:val="false"/>
          <w:smallCaps w:val="false"/>
          <w:sz w:val="20"/>
          <w:u w:val="single"/>
        </w:rPr>
        <w:t>Nature of Borrower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elsewhere in this Agreement, it is understood and agreed by the various parties to this Agreement that all of the Borrower’s Obligations to repay principal of, interest on, and all other amounts with respect to, all Loans, L/C Obligations and all other Obligations of the Borrower pursuant to this Agreement (including, without limitation, all fees, indemnities, taxes and other Obligations in connection therewith or in connection with the related Commitments) shall be guaranteed pursuant to, and in accordance with the terms of,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the Borrower with respect to the Borrower’s Obligations are independent of the obligations of any Guarantor under its guaranty of the Borrower’s Obligations, and a separate action or actions may be brought and prosecuted against the Borrower, whether or not any such Guarantor is joined in any such action or actions. The Borrower waives, to the fullest extent permitted by law, the benefit of any statute of limitations affecting its liability hereunder or the enforcement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authorizes the Administrative Agent and the Lenders without notice or demand (except as shall be required by the Credit Documents and applicable statute that cannot be waived), and without affecting or impairing its liability hereunder, from time to time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exercise or refrain from exercising any rights against any Guarantor or others or otherwise act or refrain from acting;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apply any sums paid by any other Person, howsoever realized or otherwise received to or for the account of the Borrower to any liability or liabilities of such other Person regardless of what liability or liabilities of such other Person remain unpaid; and/or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consent to or waive any breach of, or act, omission or default under, this Agreement or any of the instruments or agreements referred to herein, or otherwise, by any other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is not necessary for the Administrative Agent or any other Lender to inquire into the capacity or powers of Holdings or any of its Subsidiaries or the officers, directors, members, partners or agents acting or purporting to act on its behalf.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waives any right to require the Administrative Agent or the other Lenders to (i) proceed against any Guarantor or any other party, (ii) proceed against or exhaust any security held from any Guarantor or any other party or (iii) pursue any other remedy in the Administrative Agent’s or the Lenders’ power whatsoever. The Borrower waives any defense based on or arising out of suretyship or any impairment of security held from the Borrower, any Guarantor or any other party or on or arising out of any defense of any Guarantor or any other party other than payment in full in cash of the Obligations of the Credit Parties, including, without limitation, any defense based on or arising out of the disability of any Guarantor or any other party, or the unenforceability of the Obligations of the Borrower or any part thereof from any cause, in each case other than as a result of the payment in full in cash of the Obligations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All provisions contained in any Credit Document shall be interpreted consistently with this </w:t>
      </w:r>
      <w:r>
        <w:rPr>
          <w:rFonts w:ascii="Times New Roman;Times;Serif" w:hAnsi="Times New Roman;Times;Serif"/>
          <w:b w:val="false"/>
          <w:i w:val="false"/>
          <w:caps w:val="false"/>
          <w:smallCaps w:val="false"/>
          <w:sz w:val="20"/>
          <w:u w:val="single"/>
        </w:rPr>
        <w:t>Section 13.22</w:t>
      </w:r>
      <w:r>
        <w:rPr>
          <w:rFonts w:ascii="Times New Roman;Times;Serif" w:hAnsi="Times New Roman;Times;Serif"/>
          <w:b w:val="false"/>
          <w:i w:val="false"/>
          <w:caps w:val="false"/>
          <w:smallCaps w:val="false"/>
          <w:sz w:val="20"/>
        </w:rPr>
        <w:t xml:space="preserve"> to the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13.23      </w:t>
      </w:r>
      <w:r>
        <w:rPr>
          <w:rFonts w:ascii="Times New Roman;Times;Serif" w:hAnsi="Times New Roman;Times;Serif"/>
          <w:b w:val="false"/>
          <w:i w:val="false"/>
          <w:caps w:val="false"/>
          <w:smallCaps w:val="false"/>
          <w:sz w:val="20"/>
          <w:u w:val="single"/>
        </w:rPr>
        <w:t>Amendment and Restatement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Credit Parties, the Administrative Agent and the Lenders hereby agree that upon the effectiveness of this Agreement, the terms and provisions of the Existing ABL Facility shall be and hereby are amended and restated in their entirety by the terms and conditions of this Agreement and the terms and provisions of the Existing ABL Facility, except as otherwise provided in this Agreement (including, without limitation, clause (b) of this </w:t>
      </w:r>
      <w:r>
        <w:rPr>
          <w:rFonts w:ascii="Times New Roman;Times;Serif" w:hAnsi="Times New Roman;Times;Serif"/>
          <w:b w:val="false"/>
          <w:i w:val="false"/>
          <w:caps w:val="false"/>
          <w:smallCaps w:val="false"/>
          <w:sz w:val="20"/>
          <w:u w:val="single"/>
        </w:rPr>
        <w:t>Section 13.23</w:t>
      </w:r>
      <w:r>
        <w:rPr>
          <w:rFonts w:ascii="Times New Roman;Times;Serif" w:hAnsi="Times New Roman;Times;Serif"/>
          <w:b w:val="false"/>
          <w:i w:val="false"/>
          <w:caps w:val="false"/>
          <w:smallCaps w:val="false"/>
          <w:sz w:val="20"/>
        </w:rPr>
        <w:t>), shall be superseded by this Agreement. Upon the effectiveness of this Agreement, each Credit Document that was in effect immediately prior to the date of this Agreement shall continue to be effective on its terms unless otherwise expressly stated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amendment and restatement of the Existing ABL Facility by this Agreement, the Credit Parties shall continue to be liable (i) to each Indemnified Person with respect to agreements on their part under the Existing ABL Facility to indemnify and hold harmless such Indemnified Person from and against all claims, demands, liabilities, damages, losses, costs, charges and expenses to which the Administrative Agent and the Lenders may be subject arising in connection with the Existing ABL Facility and (ii) for the Obligations (as defined in the Existing ABL Facility) of the Borrower and the other Credit Parties under the Existing ABL Facility and the other Credit Documents (as defined in the Existing ABL Facility) that remain unpaid and outstanding as of the date of this Agreement and such Obligations shall continue to exist under and be evidenced by this Agreement and the other Credit Documents. This Agreement is given as a substitution of, and not as a payment of, the obligations of the Credit Parties under the Existing ABL Facility and is not intended to constitute a novation of the Existing ABL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a Resolution Authority and agrees and consents to, and acknowledges and agrees to be bound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a reduction in full or in part or cancellation of any such liability;</w:t>
      </w:r>
    </w:p>
    <w:p>
      <w:pPr>
        <w:pStyle w:val="TextBody"/>
        <w:bidi w:val="0"/>
        <w:spacing w:before="200" w:after="200"/>
        <w:ind w:left="72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the variation of the terms of such liability in connection with the exercise of the Write-Down and Conversion Powers of the applicable Resolution Authority.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Credit Party, that at least one of the following is and will be true: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b w:val="false"/>
          <w:i w:val="false"/>
          <w:caps w:val="false"/>
          <w:smallCaps w:val="false"/>
          <w:sz w:val="20"/>
        </w:rPr>
        <w:t>        such Lender is not using “plan assets” (within the meaning of 29 CFR § 2510.3-101, as modified by Section 3(42) of ERISA) of one or more Benefit Plans in connection with the Loans, the Letters of Credit or the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w:t>
      </w:r>
      <w:r>
        <w:rPr>
          <w:rFonts w:ascii="Times New Roman;Times;Serif" w:hAnsi="Times New Roman;Times;Serif"/>
          <w:b w:val="false"/>
          <w:i w:val="false"/>
          <w:caps w:val="false"/>
          <w:smallCaps w:val="false"/>
          <w:sz w:val="20"/>
        </w:rPr>
        <w:t>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w:t>
      </w:r>
      <w:r>
        <w:rPr>
          <w:rFonts w:ascii="Times New Roman;Times;Serif" w:hAnsi="Times New Roman;Times;Serif"/>
          <w:b w:val="false"/>
          <w:i w:val="false"/>
          <w:caps w:val="false"/>
          <w:smallCaps w:val="false"/>
          <w:sz w:val="20"/>
        </w:rPr>
        <w:t>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w:t>
      </w:r>
      <w:r>
        <w:rPr>
          <w:rFonts w:ascii="Times New Roman;Times;Serif" w:hAnsi="Times New Roman;Times;Serif"/>
          <w:b w:val="false"/>
          <w:i w:val="false"/>
          <w:caps w:val="false"/>
          <w:smallCaps w:val="false"/>
          <w:sz w:val="20"/>
        </w:rPr>
        <w:t>      such other representation, warranty and covenant as may be agreed in writing between the Administrative Agent, in its sole discretion, and such Lender.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Credit Party, that none of the Administrative Agent or the Joint Lead Arrangers or any of their respective Affiliates is a fiduciary with respect to the Collateral or the assets of such Lender (including in connection with the reservation or exercise of any rights by the Administrative Agent under this Agreement, any Credit Document or any documents related to hereto or thereto).</w:t>
      </w:r>
    </w:p>
    <w:p>
      <w:pPr>
        <w:pStyle w:val="TextBody"/>
        <w:bidi w:val="0"/>
        <w:spacing w:before="200" w:after="200"/>
        <w:ind w:left="0" w:right="0" w:firstLine="72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and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Credit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13.26       </w:t>
      </w:r>
      <w:r>
        <w:rPr>
          <w:rFonts w:ascii="Times New Roman;Times;Serif" w:hAnsi="Times New Roman;Times;Serif"/>
          <w:b w:val="false"/>
          <w:i w:val="false"/>
          <w:caps w:val="false"/>
          <w:smallCaps w:val="false"/>
          <w:sz w:val="20"/>
          <w:u w:val="single"/>
        </w:rPr>
        <w:t>MIRE Events</w:t>
      </w:r>
      <w:r>
        <w:rPr>
          <w:rFonts w:ascii="Times New Roman;Times;Serif" w:hAnsi="Times New Roman;Times;Serif"/>
          <w:b w:val="false"/>
          <w:i w:val="false"/>
          <w:caps w:val="false"/>
          <w:smallCaps w:val="false"/>
          <w:sz w:val="20"/>
        </w:rPr>
        <w:t xml:space="preserve">. Each of the parties hereto acknowledges and agrees that, if there are any Mortgaged Properties, any increase, extension or renewal of any of the Commitments or Loans (including the provision of Incremental Commitments or any other incremental credit facilities hereunder, but excluding (i) any continuation or conversion of borrowings, (ii) the making of any Revolving Loans or (iii) the issuance, renewal or extension of Letters of Credit) shall be subject to (and conditioned upon): the prior delivery of all flood hazard determination certifications, acknowledgements and evidence of flood insurance and other flood-related documentation with respect to such Mortgaged Properties as required by Flood Insurance Laws and as otherwise reasonably required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effectiveness of each such event pursuant to this </w:t>
      </w:r>
      <w:r>
        <w:rPr>
          <w:rFonts w:ascii="Times New Roman;Times;Serif" w:hAnsi="Times New Roman;Times;Serif"/>
          <w:b w:val="false"/>
          <w:i w:val="false"/>
          <w:caps w:val="false"/>
          <w:smallCaps w:val="false"/>
          <w:sz w:val="20"/>
          <w:u w:val="single"/>
        </w:rPr>
        <w:t>Section 13.26</w:t>
      </w:r>
      <w:r>
        <w:rPr>
          <w:rFonts w:ascii="Times New Roman;Times;Serif" w:hAnsi="Times New Roman;Times;Serif"/>
          <w:b w:val="false"/>
          <w:i w:val="false"/>
          <w:caps w:val="false"/>
          <w:smallCaps w:val="false"/>
          <w:sz w:val="20"/>
        </w:rPr>
        <w:t xml:space="preserve"> shall be subject to such documents having been made available to the Lenders not less than five (5) Business Days prior to the date of effectiveness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13.27       </w:t>
      </w:r>
      <w:r>
        <w:rPr>
          <w:rFonts w:ascii="Times New Roman;Times;Serif" w:hAnsi="Times New Roman;Times;Serif"/>
          <w:b w:val="false"/>
          <w:i w:val="false"/>
          <w:caps w:val="false"/>
          <w:smallCaps w:val="false"/>
          <w:sz w:val="20"/>
          <w:u w:val="single"/>
        </w:rPr>
        <w:t>Acknowledgement Regarding Any Supported QFCs</w:t>
      </w:r>
      <w:r>
        <w:rPr>
          <w:rFonts w:ascii="Times New Roman;Times;Serif" w:hAnsi="Times New Roman;Times;Serif"/>
          <w:b w:val="false"/>
          <w:i w:val="false"/>
          <w:caps w:val="false"/>
          <w:smallCaps w:val="false"/>
          <w:sz w:val="20"/>
        </w:rPr>
        <w:t>. To the extent that the Credit Documents provide support, through a guarantee or otherwise, for Swap Obligations or any other agreement or instrument that is a QFC (such support “</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i w:val="false"/>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13.28       </w:t>
      </w:r>
      <w:r>
        <w:rPr>
          <w:rFonts w:ascii="Times New Roman;Times;Serif" w:hAnsi="Times New Roman;Times;Serif"/>
          <w:b w:val="false"/>
          <w:i w:val="false"/>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and Letter of Credit Issuer hereby agrees that (i) if the Administrative Agent notifies such Lender or Letter of Credit Issuer that the Administrative Agent has determined in its sole discretion that any funds received by such Lender or Letter of Credit Issuer from the Administrative Agent or any of its Affiliates (whether as a payment, prepayment or repayment of principal, interest, fees or otherwise; individually and collectively,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xml:space="preserve">”) were erroneously transmitted to such Lender or Letter of Credit Issuer (whether or not known to such Lender or Letter of Credit Issuer), and demands the return of such Payment (or a portion thereof), such Lender or Letter of Credit Issuer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Letter of Credit Issuer to the date such amount is repaid to the Administrative Agent at the greater of the NYFRB Rate and a rate determined by the Administrative Agent in accordance with banking industry rules on interbank compensation from time to time in effect, and (ii) to the extent permitted by applicable law, such Lender or Letter of Credit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Times;Serif" w:hAnsi="Times New Roman;Times;Serif"/>
          <w:b w:val="false"/>
          <w:i w:val="false"/>
          <w:caps w:val="false"/>
          <w:smallCaps w:val="false"/>
          <w:sz w:val="20"/>
          <w:u w:val="single"/>
        </w:rPr>
        <w:t>Section 13.28</w:t>
      </w:r>
      <w:r>
        <w:rPr>
          <w:rFonts w:ascii="Times New Roman;Times;Serif" w:hAnsi="Times New Roman;Times;Serif"/>
          <w:b w:val="false"/>
          <w:i w:val="false"/>
          <w:caps w:val="false"/>
          <w:smallCaps w:val="false"/>
          <w:sz w:val="20"/>
        </w:rPr>
        <w:t xml:space="preserve"> shall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and Letter of Credit Issuer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or (ii) that was not preceded or accompanied by a Payment Notice, it shall be on notice, in each such case, that an error has been made with respect to such Payment. Each Lender and Letter of Credit Issuer agrees that, in each such case, or if it otherwise becomes aware a Payment (or portion thereof) may have been sent in error, such Lender or Letter of Credit Issuer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Letter of Credit Issuer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and each other Credit Party hereby agrees that (i) in the event an erroneous Payment (or portion thereof) is not recovered from any Lender that has received such Payment (or portion thereof) for any reason, the Administrative Agent shall be subrogated to all the rights of such Lender or Letter of Credit Issuer with respect to such amount and (ii) an erroneous Payment shall not pay, prepay, repay, discharge or otherwise satisfy any Obligations owed by the Borrower or any other Credit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‎Section 13.28 shall not be interpreted to increase (or accelerate the due date for), or have the effect of increasing (or accelerating the due date for), the Obligations of the Borrower or any other Credit Party relative to the amount (and/or timing for payment) of the Obligations that would have been payable had such Payment not been made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for the avoidance of doubt, immediately preceding clauses (i) and (ii) shall not apply to the extent any such Payment is, and solely with respect to the amount of such Payment that is, comprised of funds received by the Administrative Agent from, or on behalf of (including through the exercise of remedies under any Credit Document), the Borrower for the purpose of a payment on the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party’s obligations under this </w:t>
      </w:r>
      <w:r>
        <w:rPr>
          <w:rFonts w:ascii="Times New Roman;Times;Serif" w:hAnsi="Times New Roman;Times;Serif"/>
          <w:b w:val="false"/>
          <w:i w:val="false"/>
          <w:caps w:val="false"/>
          <w:smallCaps w:val="false"/>
          <w:sz w:val="20"/>
          <w:u w:val="single"/>
        </w:rPr>
        <w:t>Section 13.28</w:t>
      </w:r>
      <w:r>
        <w:rPr>
          <w:rFonts w:ascii="Times New Roman;Times;Serif" w:hAnsi="Times New Roman;Times;Serif"/>
          <w:b w:val="false"/>
          <w:i w:val="false"/>
          <w:caps w:val="false"/>
          <w:smallCaps w:val="false"/>
          <w:sz w:val="20"/>
        </w:rPr>
        <w:t xml:space="preserve"> shall survive the resignation or replacement of the Administrative Agent or any transfer of rights or obligations by, or the replacement of, a Lender or Letter of Credit Issuer, the termination of the Commitments or the repayment, satisfaction or discharge of all Obligations under any Credit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200" w:after="20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Disclosure Schedules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p>
    <w:p>
      <w:pPr>
        <w:pStyle w:val="TextBody"/>
        <w:bidi w:val="0"/>
        <w:spacing w:before="0" w:after="0"/>
        <w:ind w:left="0" w:right="0" w:hanging="0"/>
        <w:jc w:val="center"/>
        <w:rPr/>
      </w:pPr>
      <w:r>
        <w:rPr/>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 w:name="ef20073235_ex99-1.htm"/>
      <w:bookmarkStart w:id="6" w:name="ksef20073235_ex991"/>
      <w:bookmarkStart w:id="7" w:name="ef20073235_ex99-1.htm"/>
      <w:bookmarkStart w:id="8" w:name="ksef20073235_ex991"/>
      <w:bookmarkEnd w:id="7"/>
      <w:bookmarkEnd w:id="8"/>
      <w:r>
        <w:br w:type="page"/>
      </w:r>
    </w:p>
    <w:p>
      <w:pPr>
        <w:pStyle w:val="TextBody"/>
        <w:bidi w:val="0"/>
        <w:spacing w:before="0" w:after="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 99.1</w:t>
      </w:r>
    </w:p>
    <w:p>
      <w:pPr>
        <w:pStyle w:val="TextBody"/>
        <w:bidi w:val="0"/>
        <w:spacing w:before="0" w:after="0"/>
        <w:jc w:val="center"/>
        <w:rPr>
          <w:rFonts w:ascii="Times New Roman" w:hAnsi="Times New Roman"/>
          <w:b/>
          <w:i/>
          <w:sz w:val="20"/>
        </w:rPr>
      </w:pPr>
      <w:r>
        <w:rPr>
          <w:rFonts w:ascii="Times New Roman" w:hAnsi="Times New Roman"/>
          <w:b/>
          <w:i/>
          <w:sz w:val="20"/>
        </w:rPr>
      </w:r>
    </w:p>
    <w:p>
      <w:pPr>
        <w:pStyle w:val="TextBody"/>
        <w:bidi w:val="0"/>
        <w:spacing w:before="0" w:after="0"/>
        <w:jc w:val="center"/>
        <w:rPr>
          <w:color w:val="000000"/>
        </w:rPr>
      </w:pPr>
      <w:r>
        <w:rPr>
          <w:color w:val="000000"/>
        </w:rPr>
        <w:drawing>
          <wp:inline distT="0" distB="0" distL="0" distR="0">
            <wp:extent cx="1866900"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533400"/>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Academy Sports + Outdoors Announces Closing of Senior Secured Notes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KATY, Texas, May 14, 2026 /PRNewswire/ -- Academy Sports and Outdoors, Inc. (“Academy”) (Nasdaq: ASO) today announced that its wholly-owned subsidiary, Academy, Ltd. (the “Issuer”), closed its private placement under Rule 144A and Regulation S under the Securities Act of 1933, as amended, of $500 million in aggregate principal amount of 5.875% Senior Secured Notes due 2031 (the “Notes”).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previously announced, the Issuer used the net proceeds from the Notes to fund the redemption of all of its outstanding senior secured notes due 2027, repay all outstanding amounts owing under its term loan facility, pay related fees and expenses, and for general corporate purposes.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Academy Sports + Outdoors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Section 27A of the Securities Act of 1933, as amended, and Section 21E of the Securities Exchange Act of 1934, as amended. The statements discussed in this press release that are not purely historical data are forward-looking statements. These forward-looking statements are based on our current expectations and beliefs concerning future developments and their potential effect on Academy. The forward-looking statements are subject to various risks, uncertainties, assumptions or changes in circumstances that are difficult to predict or quantify. Actual results may differ materially from these expectations due to factors that are set forth in Academy’s filings with the U.S. Securities and Exchange Commission.  Any forward-looking statement in this press release speaks only as of the date of this release. Academy undertakes no obligation to publicly update or review any forward-looking statement, except as may be required by any applicable securities laws.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inquiries: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Meredith Klein, Vice President of Communications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346.826.6615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meredith.klein@academy.com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inquiries: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 Aldridge, Vice President of 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832.739.4102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dan.aldridge@academy.com</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231340</Words>
  <Characters>1227161</Characters>
  <CharactersWithSpaces>1472715</CharactersWithSpaces>
  <Paragraphs>8387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