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15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15759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McCabe Matthew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w w:val="99"/>
              </w:rPr>
              <w:t>EVP &amp; CMO</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01/30/2025</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360" w:space="4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51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01/30/2025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497</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12,629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01/30/2025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148</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53.97</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12,481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612</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13,093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01/31/2025</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182</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54.68</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12,911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01/30/2025</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497</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634</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612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-2499995</wp:posOffset>
            </wp:positionV>
            <wp:extent cx="29210" cy="2505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050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2,125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PRSUs) may vest upon certification by the Issuer's compensation committee of achievement of certain Issuer stock price conditions as of January 30, 2026.</w:t>
      </w:r>
    </w:p>
    <w:p>
      <w:pPr>
        <w:spacing w:after="0" w:line="29"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2,445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 subject to the Reporting Person's continued service with the Issuer through each applicable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01/31/2025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244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2025-01-31T15:32:23Z</dcterms:created>
  <dcterms:modified xsi:type="dcterms:W3CDTF">2025-01-31T15:32:23Z</dcterms:modified>
</cp:coreProperties>
</file>