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356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35622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Ford Earl Carlton IV</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3840" w:type="dxa"/>
            <w:vAlign w:val="bottom"/>
            <w:gridSpan w:val="4"/>
          </w:tcPr>
          <w:p>
            <w:pPr>
              <w:ind w:left="60"/>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2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80" w:type="dxa"/>
            <w:vAlign w:val="bottom"/>
          </w:tcPr>
          <w:p>
            <w:pPr>
              <w:ind w:left="6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4"/>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9"/>
                <w:szCs w:val="9"/>
                <w:color w:val="auto"/>
              </w:rPr>
            </w:pPr>
          </w:p>
        </w:tc>
        <w:tc>
          <w:tcPr>
            <w:tcW w:w="3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EVP &amp; CFO</w:t>
            </w: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03/04/2026</w:t>
            </w: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29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135</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14,980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03/04/2026</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w w:val="82"/>
              </w:rPr>
              <w:t>F</w:t>
            </w:r>
          </w:p>
        </w:tc>
        <w:tc>
          <w:tcPr>
            <w:tcW w:w="220" w:type="dxa"/>
            <w:vAlign w:val="bottom"/>
          </w:tcPr>
          <w:p>
            <w:pPr>
              <w:spacing w:after="0"/>
              <w:rPr>
                <w:sz w:val="22"/>
                <w:szCs w:val="22"/>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0000FF"/>
              </w:rPr>
              <w:t>61</w:t>
            </w:r>
          </w:p>
        </w:tc>
        <w:tc>
          <w:tcPr>
            <w:tcW w:w="6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59.78</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14,919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135</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03/04/2026</w:t>
            </w:r>
          </w:p>
        </w:tc>
        <w:tc>
          <w:tcPr>
            <w:tcW w:w="1080" w:type="dxa"/>
            <w:vAlign w:val="bottom"/>
          </w:tcPr>
          <w:p>
            <w:pPr>
              <w:spacing w:after="0"/>
              <w:rPr>
                <w:sz w:val="6"/>
                <w:szCs w:val="6"/>
                <w:color w:val="auto"/>
              </w:rPr>
            </w:pPr>
          </w:p>
        </w:tc>
        <w:tc>
          <w:tcPr>
            <w:tcW w:w="6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6"/>
                <w:szCs w:val="6"/>
                <w:color w:val="auto"/>
              </w:rPr>
            </w:pPr>
          </w:p>
        </w:tc>
        <w:tc>
          <w:tcPr>
            <w:tcW w:w="7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135</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gridSpan w:val="2"/>
            <w:vMerge w:val="restart"/>
          </w:tcPr>
          <w:p>
            <w:pPr>
              <w:jc w:val="right"/>
              <w:ind w:right="33"/>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-2127885</wp:posOffset>
            </wp:positionV>
            <wp:extent cx="29210" cy="21329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29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jc w:val="both"/>
        <w:ind w:left="40" w:right="2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2,125 performance-based restricted stock units ("PRSUs"). These PRSUs vest if certain performance criteria and/or Issuer stock price conditions are met and certified by the Issuer's compensation committee. On March 1, 2023, the Issuer's compensation committee certified achievement of 93.7% of the performance criteria during fiscal 2022 meaning that 1,990 PRSUs were deemed earned and have fully vested as of January 30, 2026. On March 4, 2026, the Issuer's compensation committee certified achievement of certain Issuer stock price conditions as of January 30, 2026, meaning that the remaining unearned amount of this grant (i.e., 135 PRSUs) was deemed earned and vested as of the date of such certification.</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03/05/2026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84055"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2026-03-05T17:31:25Z</dcterms:created>
  <dcterms:modified xsi:type="dcterms:W3CDTF">2026-03-05T17:31:25Z</dcterms:modified>
</cp:coreProperties>
</file>