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22461765.xml.htm"/>
      <w:bookmarkStart w:id="1" w:name="kswkform4_17224617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HICKS KEN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1,244</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423,632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54.24</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423,015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1,274</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424,289</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53.3</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423,657</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03/30/2032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26,445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1,274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7,644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under the Company's 2020 Omnibus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March 31, 2021, the Reporting Person was granted 61,133 PRSUs. These PRSUs vest if certain performance criteria and/or Issuer stock price conditions are met and certified by the Issuer's compensation committee. Following certification of 100% achievement of the performance criteria during fiscal 2021 by the Issuer's compensation committee on March 2, 2022, 1/48 of the total PRSUs granted will vest for every monthly anniversary since the Vesting Commencement Date (i.e., January 31, 2021), and thereafter on each monthly anniversary of the Vesting Commencement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175746" TargetMode="External"/><Relationship Id="rId4" Type="http://schemas.openxmlformats.org/officeDocument/2006/relationships/hyperlink" Target="http://www.sec.gov/cgi-bin/browse-edgar?action=getcompany&amp;CIK=0001817358"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859</Words>
  <Characters>4719</Characters>
  <CharactersWithSpaces>5472</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