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212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HICKS KEN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9,665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463,992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3,116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51.98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460,876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9,665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-2122805</wp:posOffset>
            </wp:positionV>
            <wp:extent cx="29210" cy="2127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21, 2023, subject to the Reporting Person's continued service, the Reporting Person was granted 28,993 time-based restricted stock units that vest in three equal installments beginning on the first anniversary of the grant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75746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2026-03-23T17:11:51Z</dcterms:created>
  <dcterms:modified xsi:type="dcterms:W3CDTF">2026-03-23T17:11:51Z</dcterms:modified>
</cp:coreProperties>
</file>