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t>UNITED STATES</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2829560</wp:posOffset>
            </wp:positionH>
            <wp:positionV relativeFrom="paragraph">
              <wp:posOffset>137160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2829560</wp:posOffset>
            </wp:positionH>
            <wp:positionV relativeFrom="paragraph">
              <wp:posOffset>140335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8"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Date of report (Date of earliest event reported): March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2829560</wp:posOffset>
            </wp:positionH>
            <wp:positionV relativeFrom="paragraph">
              <wp:posOffset>133985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2632710</wp:posOffset>
            </wp:positionH>
            <wp:positionV relativeFrom="paragraph">
              <wp:posOffset>271145</wp:posOffset>
            </wp:positionV>
            <wp:extent cx="182562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Academy Sports and Outdoors, Inc.</w:t>
      </w:r>
    </w:p>
    <w:p>
      <w:pPr>
        <w:sectPr>
          <w:pgSz w:w="11900" w:h="16838" w:orient="portrait"/>
          <w:cols w:equalWidth="0" w:num="1">
            <w:col w:w="11080"/>
          </w:cols>
          <w:pgMar w:left="340" w:top="747" w:right="4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auto"/>
        </w:rPr>
        <w:t>Delaware</w:t>
      </w:r>
    </w:p>
    <w:p>
      <w:pPr>
        <w:spacing w:after="0" w:line="104" w:lineRule="exact"/>
        <w:rPr>
          <w:sz w:val="24"/>
          <w:szCs w:val="24"/>
          <w:color w:val="auto"/>
        </w:rPr>
      </w:pPr>
    </w:p>
    <w:p>
      <w:pPr>
        <w:jc w:val="both"/>
        <w:ind w:left="1240" w:firstLine="34"/>
        <w:spacing w:after="0" w:line="385" w:lineRule="auto"/>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206"/>
        </w:trPr>
        <w:tc>
          <w:tcPr>
            <w:tcW w:w="3880" w:type="dxa"/>
            <w:vAlign w:val="bottom"/>
            <w:gridSpan w:val="3"/>
          </w:tcPr>
          <w:p>
            <w:pPr>
              <w:jc w:val="center"/>
              <w:ind w:right="540"/>
              <w:spacing w:after="0"/>
              <w:rPr>
                <w:sz w:val="20"/>
                <w:szCs w:val="20"/>
                <w:color w:val="auto"/>
              </w:rPr>
            </w:pPr>
            <w:r>
              <w:rPr>
                <w:rFonts w:ascii="Arial" w:cs="Arial" w:eastAsia="Arial" w:hAnsi="Arial"/>
                <w:sz w:val="16"/>
                <w:szCs w:val="16"/>
                <w:color w:val="auto"/>
                <w:w w:val="91"/>
              </w:rPr>
              <w:t>(Exact name of registrant as specified in its charter)</w:t>
            </w:r>
          </w:p>
        </w:tc>
        <w:tc>
          <w:tcPr>
            <w:tcW w:w="1740" w:type="dxa"/>
            <w:vAlign w:val="bottom"/>
          </w:tcPr>
          <w:p>
            <w:pPr>
              <w:spacing w:after="0"/>
              <w:rPr>
                <w:sz w:val="17"/>
                <w:szCs w:val="17"/>
                <w:color w:val="auto"/>
              </w:rPr>
            </w:pPr>
          </w:p>
        </w:tc>
      </w:tr>
      <w:tr>
        <w:trPr>
          <w:trHeight w:val="182"/>
        </w:trPr>
        <w:tc>
          <w:tcPr>
            <w:tcW w:w="54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473"/>
        </w:trPr>
        <w:tc>
          <w:tcPr>
            <w:tcW w:w="2780" w:type="dxa"/>
            <w:vAlign w:val="bottom"/>
            <w:gridSpan w:val="2"/>
          </w:tcPr>
          <w:p>
            <w:pPr>
              <w:jc w:val="center"/>
              <w:ind w:left="439"/>
              <w:spacing w:after="0"/>
              <w:rPr>
                <w:sz w:val="20"/>
                <w:szCs w:val="20"/>
                <w:color w:val="auto"/>
              </w:rPr>
            </w:pPr>
            <w:r>
              <w:rPr>
                <w:rFonts w:ascii="Arial" w:cs="Arial" w:eastAsia="Arial" w:hAnsi="Arial"/>
                <w:sz w:val="16"/>
                <w:szCs w:val="16"/>
                <w:b w:val="1"/>
                <w:bCs w:val="1"/>
                <w:color w:val="auto"/>
                <w:w w:val="91"/>
              </w:rPr>
              <w:t>001-39589</w:t>
            </w:r>
          </w:p>
        </w:tc>
        <w:tc>
          <w:tcPr>
            <w:tcW w:w="1100" w:type="dxa"/>
            <w:vAlign w:val="bottom"/>
          </w:tcPr>
          <w:p>
            <w:pPr>
              <w:spacing w:after="0"/>
              <w:rPr>
                <w:sz w:val="24"/>
                <w:szCs w:val="24"/>
                <w:color w:val="auto"/>
              </w:rPr>
            </w:pPr>
          </w:p>
        </w:tc>
        <w:tc>
          <w:tcPr>
            <w:tcW w:w="1740" w:type="dxa"/>
            <w:vAlign w:val="bottom"/>
          </w:tcPr>
          <w:p>
            <w:pPr>
              <w:jc w:val="center"/>
              <w:ind w:left="459"/>
              <w:spacing w:after="0"/>
              <w:rPr>
                <w:sz w:val="20"/>
                <w:szCs w:val="20"/>
                <w:color w:val="auto"/>
              </w:rPr>
            </w:pPr>
            <w:r>
              <w:rPr>
                <w:rFonts w:ascii="Arial" w:cs="Arial" w:eastAsia="Arial" w:hAnsi="Arial"/>
                <w:sz w:val="16"/>
                <w:szCs w:val="16"/>
                <w:b w:val="1"/>
                <w:bCs w:val="1"/>
                <w:color w:val="auto"/>
                <w:w w:val="93"/>
              </w:rPr>
              <w:t>85-1800912</w:t>
            </w:r>
          </w:p>
        </w:tc>
      </w:tr>
      <w:tr>
        <w:trPr>
          <w:trHeight w:val="243"/>
        </w:trPr>
        <w:tc>
          <w:tcPr>
            <w:tcW w:w="540" w:type="dxa"/>
            <w:vAlign w:val="bottom"/>
          </w:tcPr>
          <w:p>
            <w:pPr>
              <w:spacing w:after="0"/>
              <w:rPr>
                <w:sz w:val="21"/>
                <w:szCs w:val="21"/>
                <w:color w:val="auto"/>
              </w:rPr>
            </w:pPr>
          </w:p>
        </w:tc>
        <w:tc>
          <w:tcPr>
            <w:tcW w:w="3340" w:type="dxa"/>
            <w:vAlign w:val="bottom"/>
            <w:gridSpan w:val="2"/>
          </w:tcPr>
          <w:p>
            <w:pPr>
              <w:jc w:val="center"/>
              <w:ind w:right="1100"/>
              <w:spacing w:after="0"/>
              <w:rPr>
                <w:sz w:val="20"/>
                <w:szCs w:val="20"/>
                <w:color w:val="auto"/>
              </w:rPr>
            </w:pPr>
            <w:r>
              <w:rPr>
                <w:rFonts w:ascii="Arial" w:cs="Arial" w:eastAsia="Arial" w:hAnsi="Arial"/>
                <w:sz w:val="16"/>
                <w:szCs w:val="16"/>
                <w:color w:val="auto"/>
                <w:w w:val="94"/>
              </w:rPr>
              <w:t>(Commission</w:t>
            </w:r>
          </w:p>
        </w:tc>
        <w:tc>
          <w:tcPr>
            <w:tcW w:w="1740" w:type="dxa"/>
            <w:vAlign w:val="bottom"/>
          </w:tcPr>
          <w:p>
            <w:pPr>
              <w:jc w:val="center"/>
              <w:ind w:left="459"/>
              <w:spacing w:after="0"/>
              <w:rPr>
                <w:sz w:val="20"/>
                <w:szCs w:val="20"/>
                <w:color w:val="auto"/>
              </w:rPr>
            </w:pPr>
            <w:r>
              <w:rPr>
                <w:rFonts w:ascii="Arial" w:cs="Arial" w:eastAsia="Arial" w:hAnsi="Arial"/>
                <w:sz w:val="16"/>
                <w:szCs w:val="16"/>
                <w:color w:val="auto"/>
                <w:w w:val="95"/>
              </w:rPr>
              <w:t>(I.R.S. Employer</w:t>
            </w:r>
          </w:p>
        </w:tc>
      </w:tr>
      <w:tr>
        <w:trPr>
          <w:trHeight w:val="243"/>
        </w:trPr>
        <w:tc>
          <w:tcPr>
            <w:tcW w:w="540" w:type="dxa"/>
            <w:vAlign w:val="bottom"/>
          </w:tcPr>
          <w:p>
            <w:pPr>
              <w:spacing w:after="0"/>
              <w:rPr>
                <w:sz w:val="21"/>
                <w:szCs w:val="21"/>
                <w:color w:val="auto"/>
              </w:rPr>
            </w:pPr>
          </w:p>
        </w:tc>
        <w:tc>
          <w:tcPr>
            <w:tcW w:w="3340" w:type="dxa"/>
            <w:vAlign w:val="bottom"/>
            <w:gridSpan w:val="2"/>
          </w:tcPr>
          <w:p>
            <w:pPr>
              <w:jc w:val="center"/>
              <w:ind w:right="1120"/>
              <w:spacing w:after="0"/>
              <w:rPr>
                <w:sz w:val="20"/>
                <w:szCs w:val="20"/>
                <w:color w:val="auto"/>
              </w:rPr>
            </w:pPr>
            <w:r>
              <w:rPr>
                <w:rFonts w:ascii="Arial" w:cs="Arial" w:eastAsia="Arial" w:hAnsi="Arial"/>
                <w:sz w:val="16"/>
                <w:szCs w:val="16"/>
                <w:color w:val="auto"/>
                <w:w w:val="95"/>
              </w:rPr>
              <w:t>File No.)</w:t>
            </w:r>
          </w:p>
        </w:tc>
        <w:tc>
          <w:tcPr>
            <w:tcW w:w="1740" w:type="dxa"/>
            <w:vAlign w:val="bottom"/>
          </w:tcPr>
          <w:p>
            <w:pPr>
              <w:jc w:val="center"/>
              <w:ind w:left="459"/>
              <w:spacing w:after="0"/>
              <w:rPr>
                <w:sz w:val="20"/>
                <w:szCs w:val="20"/>
                <w:color w:val="auto"/>
              </w:rPr>
            </w:pPr>
            <w:r>
              <w:rPr>
                <w:rFonts w:ascii="Arial" w:cs="Arial" w:eastAsia="Arial" w:hAnsi="Arial"/>
                <w:sz w:val="16"/>
                <w:szCs w:val="16"/>
                <w:color w:val="auto"/>
                <w:w w:val="96"/>
              </w:rPr>
              <w:t>Identification No.)</w:t>
            </w:r>
          </w:p>
        </w:tc>
      </w:tr>
      <w:tr>
        <w:trPr>
          <w:trHeight w:val="338"/>
        </w:trPr>
        <w:tc>
          <w:tcPr>
            <w:tcW w:w="540" w:type="dxa"/>
            <w:vAlign w:val="bottom"/>
          </w:tcPr>
          <w:p>
            <w:pPr>
              <w:spacing w:after="0"/>
              <w:rPr>
                <w:sz w:val="24"/>
                <w:szCs w:val="24"/>
                <w:color w:val="auto"/>
              </w:rPr>
            </w:pPr>
          </w:p>
        </w:tc>
        <w:tc>
          <w:tcPr>
            <w:tcW w:w="3340" w:type="dxa"/>
            <w:vAlign w:val="bottom"/>
            <w:gridSpan w:val="2"/>
          </w:tcPr>
          <w:p>
            <w:pPr>
              <w:jc w:val="center"/>
              <w:ind w:right="1120"/>
              <w:spacing w:after="0"/>
              <w:rPr>
                <w:sz w:val="20"/>
                <w:szCs w:val="20"/>
                <w:color w:val="auto"/>
              </w:rPr>
            </w:pPr>
            <w:r>
              <w:rPr>
                <w:rFonts w:ascii="Arial" w:cs="Arial" w:eastAsia="Arial" w:hAnsi="Arial"/>
                <w:sz w:val="16"/>
                <w:szCs w:val="16"/>
                <w:b w:val="1"/>
                <w:bCs w:val="1"/>
                <w:color w:val="auto"/>
                <w:w w:val="93"/>
              </w:rPr>
              <w:t>1800 North Mason Road</w:t>
            </w:r>
          </w:p>
        </w:tc>
        <w:tc>
          <w:tcPr>
            <w:tcW w:w="1740" w:type="dxa"/>
            <w:vAlign w:val="bottom"/>
          </w:tcPr>
          <w:p>
            <w:pPr>
              <w:spacing w:after="0"/>
              <w:rPr>
                <w:sz w:val="24"/>
                <w:szCs w:val="24"/>
                <w:color w:val="auto"/>
              </w:rPr>
            </w:pPr>
          </w:p>
        </w:tc>
      </w:tr>
      <w:tr>
        <w:trPr>
          <w:trHeight w:val="243"/>
        </w:trPr>
        <w:tc>
          <w:tcPr>
            <w:tcW w:w="540" w:type="dxa"/>
            <w:vAlign w:val="bottom"/>
          </w:tcPr>
          <w:p>
            <w:pPr>
              <w:spacing w:after="0"/>
              <w:rPr>
                <w:sz w:val="21"/>
                <w:szCs w:val="21"/>
                <w:color w:val="auto"/>
              </w:rPr>
            </w:pPr>
          </w:p>
        </w:tc>
        <w:tc>
          <w:tcPr>
            <w:tcW w:w="3340" w:type="dxa"/>
            <w:vAlign w:val="bottom"/>
            <w:gridSpan w:val="2"/>
          </w:tcPr>
          <w:p>
            <w:pPr>
              <w:jc w:val="center"/>
              <w:ind w:right="1100"/>
              <w:spacing w:after="0"/>
              <w:rPr>
                <w:sz w:val="20"/>
                <w:szCs w:val="20"/>
                <w:color w:val="auto"/>
              </w:rPr>
            </w:pPr>
            <w:r>
              <w:rPr>
                <w:rFonts w:ascii="Arial" w:cs="Arial" w:eastAsia="Arial" w:hAnsi="Arial"/>
                <w:sz w:val="16"/>
                <w:szCs w:val="16"/>
                <w:b w:val="1"/>
                <w:bCs w:val="1"/>
                <w:color w:val="auto"/>
                <w:w w:val="89"/>
              </w:rPr>
              <w:t>Katy, Texas 77449</w:t>
            </w:r>
          </w:p>
        </w:tc>
        <w:tc>
          <w:tcPr>
            <w:tcW w:w="1740" w:type="dxa"/>
            <w:vAlign w:val="bottom"/>
          </w:tcPr>
          <w:p>
            <w:pPr>
              <w:spacing w:after="0"/>
              <w:rPr>
                <w:sz w:val="21"/>
                <w:szCs w:val="21"/>
                <w:color w:val="auto"/>
              </w:rPr>
            </w:pPr>
          </w:p>
        </w:tc>
      </w:tr>
    </w:tbl>
    <w:p>
      <w:pPr>
        <w:spacing w:after="0" w:line="104" w:lineRule="exact"/>
        <w:rPr>
          <w:sz w:val="24"/>
          <w:szCs w:val="24"/>
          <w:color w:val="auto"/>
        </w:rPr>
      </w:pPr>
    </w:p>
    <w:p>
      <w:pPr>
        <w:ind w:left="480"/>
        <w:spacing w:after="0"/>
        <w:rPr>
          <w:sz w:val="20"/>
          <w:szCs w:val="20"/>
          <w:color w:val="auto"/>
        </w:rPr>
      </w:pPr>
      <w:r>
        <w:rPr>
          <w:rFonts w:ascii="Arial" w:cs="Arial" w:eastAsia="Arial" w:hAnsi="Arial"/>
          <w:sz w:val="16"/>
          <w:szCs w:val="16"/>
          <w:i w:val="1"/>
          <w:iCs w:val="1"/>
          <w:color w:val="auto"/>
        </w:rPr>
        <w:t>(Address of principal executive offices) (Zip code)</w:t>
      </w:r>
    </w:p>
    <w:p>
      <w:pPr>
        <w:spacing w:after="0" w:line="190" w:lineRule="exact"/>
        <w:rPr>
          <w:sz w:val="24"/>
          <w:szCs w:val="24"/>
          <w:color w:val="auto"/>
        </w:rPr>
      </w:pPr>
    </w:p>
    <w:p>
      <w:pPr>
        <w:jc w:val="center"/>
        <w:ind w:right="3480"/>
        <w:spacing w:after="0"/>
        <w:rPr>
          <w:sz w:val="20"/>
          <w:szCs w:val="20"/>
          <w:color w:val="auto"/>
        </w:rPr>
      </w:pPr>
      <w:r>
        <w:rPr>
          <w:rFonts w:ascii="Arial" w:cs="Arial" w:eastAsia="Arial" w:hAnsi="Arial"/>
          <w:sz w:val="16"/>
          <w:szCs w:val="16"/>
          <w:b w:val="1"/>
          <w:bCs w:val="1"/>
          <w:color w:val="auto"/>
        </w:rPr>
        <w:t>(281) 646-5200</w:t>
      </w:r>
    </w:p>
    <w:p>
      <w:pPr>
        <w:spacing w:after="0" w:line="63" w:lineRule="exact"/>
        <w:rPr>
          <w:sz w:val="24"/>
          <w:szCs w:val="24"/>
          <w:color w:val="auto"/>
        </w:rPr>
      </w:pPr>
    </w:p>
    <w:p>
      <w:pPr>
        <w:jc w:val="center"/>
        <w:ind w:right="348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50" w:lineRule="exact"/>
        <w:rPr>
          <w:sz w:val="24"/>
          <w:szCs w:val="24"/>
          <w:color w:val="auto"/>
        </w:rPr>
      </w:pPr>
    </w:p>
    <w:p>
      <w:pPr>
        <w:jc w:val="center"/>
        <w:ind w:right="3480"/>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right="3480"/>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568960</wp:posOffset>
            </wp:positionH>
            <wp:positionV relativeFrom="paragraph">
              <wp:posOffset>144145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200" w:space="360"/>
            <w:col w:w="7520"/>
          </w:cols>
          <w:pgMar w:left="340" w:top="747" w:right="479" w:bottom="1440" w:gutter="0" w:footer="0" w:header="0"/>
          <w:type w:val="continuous"/>
        </w:sect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1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22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58"/>
        </w:trPr>
        <w:tc>
          <w:tcPr>
            <w:tcW w:w="4160" w:type="dxa"/>
            <w:vAlign w:val="bottom"/>
            <w:gridSpan w:val="3"/>
          </w:tcPr>
          <w:p>
            <w:pPr>
              <w:jc w:val="center"/>
              <w:ind w:right="1280"/>
              <w:spacing w:after="0"/>
              <w:rPr>
                <w:sz w:val="20"/>
                <w:szCs w:val="20"/>
                <w:color w:val="auto"/>
              </w:rPr>
            </w:pPr>
            <w:r>
              <w:rPr>
                <w:rFonts w:ascii="Arial" w:cs="Arial" w:eastAsia="Arial" w:hAnsi="Arial"/>
                <w:sz w:val="16"/>
                <w:szCs w:val="16"/>
                <w:b w:val="1"/>
                <w:bCs w:val="1"/>
                <w:color w:val="auto"/>
                <w:w w:val="90"/>
              </w:rPr>
              <w:t>Common Stock, $0.01 par value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ASO</w:t>
            </w:r>
          </w:p>
        </w:tc>
        <w:tc>
          <w:tcPr>
            <w:tcW w:w="122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99"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4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06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113030</wp:posOffset>
            </wp:positionV>
            <wp:extent cx="7106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080"/>
          </w:cols>
          <w:pgMar w:left="340" w:top="747" w:right="479" w:bottom="1440" w:gutter="0" w:footer="0" w:header="0"/>
          <w:type w:val="continuous"/>
        </w:sectPr>
      </w:pPr>
    </w:p>
    <w:bookmarkStart w:id="1" w:name="page2"/>
    <w:bookmarkEnd w:id="1"/>
    <w:p>
      <w:pPr>
        <w:spacing w:after="0" w:line="23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Election of Director.</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Appointment of Tom Nealon to Board of Directors</w:t>
      </w:r>
    </w:p>
    <w:p>
      <w:pPr>
        <w:spacing w:after="0" w:line="25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Effective March 3, 2021, the Board of Directors (the “Board”) of the Company increased the size of the Board by one director (to a total size of ten directors) and filled the vacancy created by such increase by appointing Tom Nealon, age 60, as a Class I director. Mr. Nealon will hold office until the date of the Company’s 2021 Annual Meeting of Stockholders and until his successor shall be elected and qualified or until his earlier death, resignation, retirement, disqualification or removal. Mr. Nealon will serve on the compensation committee.</w:t>
      </w:r>
    </w:p>
    <w:p>
      <w:pPr>
        <w:spacing w:after="0" w:line="214"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Mr. Nealon serves as the President of Southwest Airlines Co. and has since January 2017. He previously served as Southwest’s Executive Vice President Strategy &amp; Innovation from January 2016 to January 2017. Before Southwest Airlines, Nealon served as Group Executive Vice President of J.C. Penney Company, Inc. from August 2010 until December 2011 and was responsible for strategy, jcp.com, information technology, customer insights, and digital ventures. Nealon also held other senior positions and consulting roles at J.C. Penney, The Feld Group, and Frito-Lay, a division of PepsiCo, Inc. Nealon previously served on the Board of Directors of Southwest Airlines from December 2010 to November 2015, as well as on the Board of Directors and the Audit Committee of the Fossil Group, Inc. from April 2012 to May 2020. Mr. Nealon was selected to the Board because of his extensive experience in retailing, technology, eCommerce, marketing, and customer service.</w:t>
      </w:r>
    </w:p>
    <w:p>
      <w:pPr>
        <w:spacing w:after="0" w:line="204" w:lineRule="exact"/>
        <w:rPr>
          <w:sz w:val="20"/>
          <w:szCs w:val="20"/>
          <w:color w:val="auto"/>
        </w:rPr>
      </w:pPr>
    </w:p>
    <w:p>
      <w:pPr>
        <w:jc w:val="both"/>
        <w:ind w:firstLine="401"/>
        <w:spacing w:after="0" w:line="301" w:lineRule="auto"/>
        <w:rPr>
          <w:sz w:val="20"/>
          <w:szCs w:val="20"/>
          <w:color w:val="auto"/>
        </w:rPr>
      </w:pPr>
      <w:r>
        <w:rPr>
          <w:rFonts w:ascii="Arial" w:cs="Arial" w:eastAsia="Arial" w:hAnsi="Arial"/>
          <w:sz w:val="16"/>
          <w:szCs w:val="16"/>
          <w:color w:val="auto"/>
        </w:rPr>
        <w:t>The Board has determined that Mr. Nealon qualifies as an independent director under the corporate governance standards of Nasdaq and the independence requirements of Rule 10A-3 under the Securities Exchange Act of 1934, as amended (the “Exchange Act”). Mr. Nealon was not appointed to the Board pursuant to any arrangement or understanding with any other person. Mr. Nealon has no family relationships with any director or executive officer of the Company and there are no transactions in which Mr. Nealon has an interest requiring disclosure under Item 404(a) of Regulation S-K.</w:t>
      </w:r>
    </w:p>
    <w:p>
      <w:pPr>
        <w:spacing w:after="0" w:line="184"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Mr. Nealon will be entitled to the annual compensation paid to non-employee directors, consisting of an annual cash retainer of $100,000 (prorated for commencing service during the fiscal year), payable quarterly in arrears, and an annual grant of restricted stock units having a grant date fair market value equal to $130,000 (prorated for commencing service during the fiscal year) pursuant to the Academy Sports and Outdoors, Inc. 2020 Omnibus Incentive Plan (the “Omnibus Incentive Plan”). In connection with his appointment to the Board on March 3, 2021, Mr. Nealon was granted a restricted stock unit award pursuant to the Omnibus Incentive Plan with a grant date fair value of $32,767.13, which will vest in full on the earliest of (i) the first anniversary of the date of grant, or, if earlier, the date which is the business day immediately preceding the date of the Company’s 2021 Annual Meeting of Stockholders, (ii) his termination due to death or Disability (as defined in the Omnibus Incentive Plan) or (iii) a Change in Control (as defined in the Omnibus Incentive Plan), subject to continued service through the applicable vesting date.</w:t>
      </w:r>
    </w:p>
    <w:p>
      <w:pPr>
        <w:spacing w:after="0" w:line="205"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The Company and Mr. Nealon will enter into the Company’s standard form of indemnification agreement for directors, a copy of which was previously filed as Exhibit 10.37 to Amendment No. 2 to the Company’s Registration Statement on Form S-1 filed with the SEC on September 23, 2020.</w:t>
      </w:r>
    </w:p>
    <w:p>
      <w:pPr>
        <w:spacing w:after="0" w:line="15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On March 3, 2021, the Company issued a press release announcing Mr. Nealon's appointment, a copy of which is attached hereto as Exhibit 99.1 and incorporated herein by reference.</w:t>
      </w:r>
    </w:p>
    <w:p>
      <w:pPr>
        <w:sectPr>
          <w:pgSz w:w="11900" w:h="16838" w:orient="portrait"/>
          <w:cols w:equalWidth="0" w:num="1">
            <w:col w:w="11240"/>
          </w:cols>
          <w:pgMar w:left="320" w:top="1440" w:right="33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the Exhibit Index immediately preceding the signature page hereto, which is incorporated herein by reference.</w:t>
      </w:r>
    </w:p>
    <w:p>
      <w:pPr>
        <w:spacing w:after="0" w:line="352" w:lineRule="exact"/>
        <w:rPr>
          <w:sz w:val="20"/>
          <w:szCs w:val="20"/>
          <w:color w:val="auto"/>
        </w:rPr>
      </w:pPr>
    </w:p>
    <w:p>
      <w:pPr>
        <w:ind w:left="240"/>
        <w:spacing w:after="0"/>
        <w:tabs>
          <w:tab w:leader="none" w:pos="15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 of Exhibit</w:t>
      </w:r>
    </w:p>
    <w:p>
      <w:pPr>
        <w:spacing w:after="0" w:line="67" w:lineRule="exact"/>
        <w:rPr>
          <w:sz w:val="20"/>
          <w:szCs w:val="20"/>
          <w:color w:val="auto"/>
        </w:rPr>
      </w:pPr>
    </w:p>
    <w:p>
      <w:pPr>
        <w:ind w:left="940"/>
        <w:spacing w:after="0"/>
        <w:tabs>
          <w:tab w:leader="none" w:pos="158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r>
      <w:r>
        <w:rPr>
          <w:rFonts w:ascii="Arial" w:cs="Arial" w:eastAsia="Arial" w:hAnsi="Arial"/>
          <w:sz w:val="15"/>
          <w:szCs w:val="15"/>
          <w:color w:val="0000FF"/>
        </w:rPr>
        <w:t>Press Release dated March 3, 2021.</w:t>
      </w:r>
    </w:p>
    <w:p>
      <w:pPr>
        <w:sectPr>
          <w:pgSz w:w="11900" w:h="16838" w:orient="portrait"/>
          <w:cols w:equalWidth="0" w:num="1">
            <w:col w:w="10139"/>
          </w:cols>
          <w:pgMar w:left="320" w:top="1417"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324"/>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ACADEMY SPORTS AND OUTDOORS, INC.</w:t>
            </w:r>
          </w:p>
        </w:tc>
        <w:tc>
          <w:tcPr>
            <w:tcW w:w="1320" w:type="dxa"/>
            <w:vAlign w:val="bottom"/>
          </w:tcPr>
          <w:p>
            <w:pPr>
              <w:spacing w:after="0"/>
              <w:rPr>
                <w:sz w:val="20"/>
                <w:szCs w:val="20"/>
                <w:color w:val="auto"/>
              </w:rPr>
            </w:pPr>
          </w:p>
        </w:tc>
        <w:tc>
          <w:tcPr>
            <w:tcW w:w="5660" w:type="dxa"/>
            <w:vAlign w:val="bottom"/>
          </w:tcPr>
          <w:p>
            <w:pPr>
              <w:spacing w:after="0"/>
              <w:rPr>
                <w:sz w:val="20"/>
                <w:szCs w:val="20"/>
                <w:color w:val="auto"/>
              </w:rPr>
            </w:pPr>
          </w:p>
        </w:tc>
      </w:tr>
      <w:tr>
        <w:trPr>
          <w:trHeight w:val="648"/>
        </w:trPr>
        <w:tc>
          <w:tcPr>
            <w:tcW w:w="4020" w:type="dxa"/>
            <w:vAlign w:val="bottom"/>
          </w:tcPr>
          <w:p>
            <w:pPr>
              <w:spacing w:after="0"/>
              <w:rPr>
                <w:sz w:val="20"/>
                <w:szCs w:val="20"/>
                <w:color w:val="auto"/>
              </w:rPr>
            </w:pPr>
            <w:r>
              <w:rPr>
                <w:rFonts w:ascii="Arial" w:cs="Arial" w:eastAsia="Arial" w:hAnsi="Arial"/>
                <w:sz w:val="18"/>
                <w:szCs w:val="18"/>
                <w:color w:val="auto"/>
              </w:rPr>
              <w:t>Date: March 4, 2021</w:t>
            </w:r>
          </w:p>
        </w:tc>
        <w:tc>
          <w:tcPr>
            <w:tcW w:w="1320" w:type="dxa"/>
            <w:vAlign w:val="bottom"/>
          </w:tcPr>
          <w:p>
            <w:pPr>
              <w:ind w:left="500"/>
              <w:spacing w:after="0"/>
              <w:rPr>
                <w:sz w:val="20"/>
                <w:szCs w:val="20"/>
                <w:color w:val="auto"/>
              </w:rPr>
            </w:pPr>
            <w:r>
              <w:rPr>
                <w:rFonts w:ascii="Arial" w:cs="Arial" w:eastAsia="Arial" w:hAnsi="Arial"/>
                <w:sz w:val="18"/>
                <w:szCs w:val="18"/>
                <w:color w:val="auto"/>
              </w:rPr>
              <w:t>By:</w:t>
            </w:r>
          </w:p>
        </w:tc>
        <w:tc>
          <w:tcPr>
            <w:tcW w:w="5660" w:type="dxa"/>
            <w:vAlign w:val="bottom"/>
          </w:tcPr>
          <w:p>
            <w:pPr>
              <w:ind w:left="20"/>
              <w:spacing w:after="0"/>
              <w:rPr>
                <w:sz w:val="20"/>
                <w:szCs w:val="20"/>
                <w:color w:val="auto"/>
              </w:rPr>
            </w:pPr>
            <w:r>
              <w:rPr>
                <w:rFonts w:ascii="Arial" w:cs="Arial" w:eastAsia="Arial" w:hAnsi="Arial"/>
                <w:sz w:val="18"/>
                <w:szCs w:val="18"/>
                <w:color w:val="auto"/>
              </w:rPr>
              <w:t>/s/  Rene G. Casares</w:t>
            </w:r>
          </w:p>
        </w:tc>
      </w:tr>
      <w:tr>
        <w:trPr>
          <w:trHeight w:val="27"/>
        </w:trPr>
        <w:tc>
          <w:tcPr>
            <w:tcW w:w="4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1320" w:type="dxa"/>
            <w:vAlign w:val="bottom"/>
          </w:tcPr>
          <w:p>
            <w:pPr>
              <w:ind w:left="500"/>
              <w:spacing w:after="0"/>
              <w:rPr>
                <w:sz w:val="20"/>
                <w:szCs w:val="20"/>
                <w:color w:val="auto"/>
              </w:rPr>
            </w:pPr>
            <w:r>
              <w:rPr>
                <w:rFonts w:ascii="Arial" w:cs="Arial" w:eastAsia="Arial" w:hAnsi="Arial"/>
                <w:sz w:val="18"/>
                <w:szCs w:val="18"/>
                <w:color w:val="auto"/>
              </w:rPr>
              <w:t>Name:</w:t>
            </w:r>
          </w:p>
        </w:tc>
        <w:tc>
          <w:tcPr>
            <w:tcW w:w="5660" w:type="dxa"/>
            <w:vAlign w:val="bottom"/>
          </w:tcPr>
          <w:p>
            <w:pPr>
              <w:ind w:left="20"/>
              <w:spacing w:after="0"/>
              <w:rPr>
                <w:sz w:val="20"/>
                <w:szCs w:val="20"/>
                <w:color w:val="auto"/>
              </w:rPr>
            </w:pPr>
            <w:r>
              <w:rPr>
                <w:rFonts w:ascii="Arial" w:cs="Arial" w:eastAsia="Arial" w:hAnsi="Arial"/>
                <w:sz w:val="18"/>
                <w:szCs w:val="18"/>
                <w:color w:val="auto"/>
              </w:rPr>
              <w:t>Rene G. Casares</w:t>
            </w:r>
          </w:p>
        </w:tc>
      </w:tr>
      <w:tr>
        <w:trPr>
          <w:trHeight w:val="270"/>
        </w:trPr>
        <w:tc>
          <w:tcPr>
            <w:tcW w:w="4020" w:type="dxa"/>
            <w:vAlign w:val="bottom"/>
          </w:tcPr>
          <w:p>
            <w:pPr>
              <w:spacing w:after="0"/>
              <w:rPr>
                <w:sz w:val="23"/>
                <w:szCs w:val="23"/>
                <w:color w:val="auto"/>
              </w:rPr>
            </w:pPr>
          </w:p>
        </w:tc>
        <w:tc>
          <w:tcPr>
            <w:tcW w:w="1320" w:type="dxa"/>
            <w:vAlign w:val="bottom"/>
          </w:tcPr>
          <w:p>
            <w:pPr>
              <w:ind w:left="500"/>
              <w:spacing w:after="0"/>
              <w:rPr>
                <w:sz w:val="20"/>
                <w:szCs w:val="20"/>
                <w:color w:val="auto"/>
              </w:rPr>
            </w:pPr>
            <w:r>
              <w:rPr>
                <w:rFonts w:ascii="Arial" w:cs="Arial" w:eastAsia="Arial" w:hAnsi="Arial"/>
                <w:sz w:val="18"/>
                <w:szCs w:val="18"/>
                <w:color w:val="auto"/>
              </w:rPr>
              <w:t>Title:</w:t>
            </w:r>
          </w:p>
        </w:tc>
        <w:tc>
          <w:tcPr>
            <w:tcW w:w="566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40"/>
          </w:cols>
          <w:pgMar w:left="320" w:top="143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41"/>
          <w:szCs w:val="41"/>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-250825</wp:posOffset>
            </wp:positionV>
            <wp:extent cx="1825625"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8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FOR IMMEDIATE RELEASE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Academy Sports + Outdoors Announces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Appointment of Tom M. Nealon to Board of Directors</w:t>
      </w:r>
    </w:p>
    <w:p>
      <w:pPr>
        <w:spacing w:after="0" w:line="243"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b w:val="1"/>
          <w:bCs w:val="1"/>
          <w:color w:val="auto"/>
        </w:rPr>
        <w:t xml:space="preserve">KATY, TEXAS (PRNewswire — March 3, 2021) </w:t>
      </w:r>
      <w:r>
        <w:rPr>
          <w:rFonts w:ascii="Arial" w:cs="Arial" w:eastAsia="Arial" w:hAnsi="Arial"/>
          <w:sz w:val="20"/>
          <w:szCs w:val="20"/>
          <w:color w:val="auto"/>
        </w:rPr>
        <w:t>– Academy Sports and Outdoors, Inc. (“Academy”) (NASDAQ: ASO)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the appointment of Tom M. Nealon to its Board of Directors, effective today. With the addition of Nealon, Academy’s Board comprises ten directors.</w:t>
      </w:r>
    </w:p>
    <w:p>
      <w:pPr>
        <w:spacing w:after="0" w:line="222"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“We are very pleased to welcome a strategic leader of Tom’s caliber to our Board of Directors,” said Ken C. Hicks, Academy Chairman, President and CEO. “Given his robust background in retail, technology, eCommerce, marketing and customer service for beloved Texas-based brands, Tom brings us his unique knowledge of Academy’s core geographies and customer base, and he inherently understands the journey we are on to expand our substantial brand loyalty nationwide as we execute our growth strategy."</w:t>
      </w:r>
    </w:p>
    <w:p>
      <w:pPr>
        <w:spacing w:after="0" w:line="236" w:lineRule="exact"/>
        <w:rPr>
          <w:sz w:val="20"/>
          <w:szCs w:val="20"/>
          <w:color w:val="auto"/>
        </w:rPr>
      </w:pPr>
    </w:p>
    <w:p>
      <w:pPr>
        <w:ind w:right="200"/>
        <w:spacing w:after="0"/>
        <w:rPr>
          <w:sz w:val="20"/>
          <w:szCs w:val="20"/>
          <w:color w:val="auto"/>
        </w:rPr>
      </w:pPr>
      <w:r>
        <w:rPr>
          <w:rFonts w:ascii="Arial" w:cs="Arial" w:eastAsia="Arial" w:hAnsi="Arial"/>
          <w:sz w:val="20"/>
          <w:szCs w:val="20"/>
          <w:color w:val="auto"/>
        </w:rPr>
        <w:t>Nealon brings over twenty years of executive management experience developed in the airline, retail and consumer packaged goods industries. Nealon is currently the President of Southwest Airlines Co. and previously served as its Executive Vice President Strategy &amp; Innovation. Before Southwest Airlines, Nealon served as Group Executive Vice President of J.C. Penney Company, Inc., where he was responsible for strategy, jcp.com, information technology, customer insights and digital ventures. Nealon also held other senior positions and consulting roles at J.C. Penney, The Feld Group, and Frito-Lay, a division of PepsiCo, Inc. Nealon previously spent five years on the Board of Directors of Southwest Airlines, as well as eight years on the Board of Directors and the Audit Committee of the Fossil Group,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Academy Sports + Outdoors</w:t>
      </w:r>
    </w:p>
    <w:p>
      <w:pPr>
        <w:spacing w:after="0" w:line="24" w:lineRule="exact"/>
        <w:rPr>
          <w:sz w:val="20"/>
          <w:szCs w:val="20"/>
          <w:color w:val="auto"/>
        </w:rPr>
      </w:pPr>
    </w:p>
    <w:p>
      <w:pPr>
        <w:ind w:right="160"/>
        <w:spacing w:after="0"/>
        <w:rPr>
          <w:sz w:val="20"/>
          <w:szCs w:val="20"/>
          <w:color w:val="auto"/>
        </w:rPr>
      </w:pPr>
      <w:r>
        <w:rPr>
          <w:rFonts w:ascii="Arial" w:cs="Arial" w:eastAsia="Arial" w:hAnsi="Arial"/>
          <w:sz w:val="20"/>
          <w:szCs w:val="20"/>
          <w:color w:val="auto"/>
        </w:rPr>
        <w:t>Academy is a leading full-line sporting goods and outdoor recreation retailer in the United States. Originally founded in 1938 as a family business in Texas, Academy has grown to 259 stores across 16 contiguous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17 private label brands, which go well beyond traditional sporting goods and apparel offerings. For more information, visit www.academy.com.</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SOURCE: Academy Sports and Outdoors,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inquiries: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Elise Hasbrook, Vice President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281.253.8200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elise.hasbrook@academy.com</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inquiries: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Matt Hodges, 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281.646.5362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matt.hodges@academy.com</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2021-03-04T16:12:10Z</dcterms:created>
  <dcterms:modified xsi:type="dcterms:W3CDTF">2021-03-04T16:12:10Z</dcterms:modified>
</cp:coreProperties>
</file>