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6157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157595"/>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Ford Earl Carlton IV</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180" w:type="dxa"/>
            <w:vAlign w:val="bottom"/>
          </w:tcPr>
          <w:p>
            <w:pPr>
              <w:ind w:left="6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4"/>
        </w:trPr>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80" w:type="dxa"/>
            <w:vAlign w:val="bottom"/>
          </w:tcPr>
          <w:p>
            <w:pPr>
              <w:spacing w:after="0"/>
              <w:rPr>
                <w:sz w:val="7"/>
                <w:szCs w:val="7"/>
                <w:color w:val="auto"/>
              </w:rPr>
            </w:pPr>
          </w:p>
        </w:tc>
        <w:tc>
          <w:tcPr>
            <w:tcW w:w="192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920" w:type="dxa"/>
            <w:vAlign w:val="bottom"/>
            <w:vMerge w:val="restart"/>
          </w:tcPr>
          <w:p>
            <w:pPr>
              <w:ind w:left="1020"/>
              <w:spacing w:after="0"/>
              <w:rPr>
                <w:sz w:val="20"/>
                <w:szCs w:val="20"/>
                <w:color w:val="auto"/>
              </w:rPr>
            </w:pPr>
            <w:r>
              <w:rPr>
                <w:rFonts w:ascii="Times New Roman" w:cs="Times New Roman" w:eastAsia="Times New Roman" w:hAnsi="Times New Roman"/>
                <w:sz w:val="17"/>
                <w:szCs w:val="17"/>
                <w:color w:val="0000FF"/>
              </w:rPr>
              <w:t>EVP &amp; CFO</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01/30/2025</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9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360" w:space="4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jc w:val="center"/>
              <w:ind w:left="511"/>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01/30/2025</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497</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10,130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01/30/2025</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148</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53.97</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9,982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01/31/2025</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612</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10,594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01/31/2025</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182</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54.68</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10,412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497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01/30/2025</w:t>
            </w:r>
          </w:p>
        </w:tc>
        <w:tc>
          <w:tcPr>
            <w:tcW w:w="1080" w:type="dxa"/>
            <w:vAlign w:val="bottom"/>
          </w:tcPr>
          <w:p>
            <w:pPr>
              <w:spacing w:after="0"/>
              <w:rPr>
                <w:sz w:val="6"/>
                <w:szCs w:val="6"/>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76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497</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right"/>
              <w:ind w:right="20"/>
              <w:spacing w:after="0" w:line="143" w:lineRule="exact"/>
              <w:rPr>
                <w:sz w:val="20"/>
                <w:szCs w:val="20"/>
                <w:color w:val="auto"/>
              </w:rPr>
            </w:pPr>
            <w:r>
              <w:rPr>
                <w:rFonts w:ascii="Times New Roman" w:cs="Times New Roman" w:eastAsia="Times New Roman" w:hAnsi="Times New Roman"/>
                <w:sz w:val="13"/>
                <w:szCs w:val="13"/>
                <w:color w:val="0000FF"/>
              </w:rPr>
              <w:t>634</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612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01/31/2025</w:t>
            </w:r>
          </w:p>
        </w:tc>
        <w:tc>
          <w:tcPr>
            <w:tcW w:w="1080" w:type="dxa"/>
            <w:vAlign w:val="bottom"/>
          </w:tcPr>
          <w:p>
            <w:pPr>
              <w:spacing w:after="0"/>
              <w:rPr>
                <w:sz w:val="6"/>
                <w:szCs w:val="6"/>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76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612</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right"/>
              <w:ind w:right="1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-2499995</wp:posOffset>
            </wp:positionV>
            <wp:extent cx="29210" cy="2505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050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2,125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1,990 PRSUs were deemed earned. Of this earned amount, 25% of the earned amount of this grant vested on March 1, 2023, and the remaining 75% will vest in three equal annual installments beginning on January 30, 2024, subject to the Reporting Person's continued service with the Issuer through each applicable vesting date. The remaining unearned amount of this grant (i.e., 135 PRSUs) may vest upon certification by the Issuer's compensation committee of achievement of certain Issuer stock price conditions as of January 30, 2026.</w:t>
      </w:r>
    </w:p>
    <w:p>
      <w:pPr>
        <w:spacing w:after="0" w:line="29" w:lineRule="exact"/>
        <w:rPr>
          <w:rFonts w:ascii="Times New Roman" w:cs="Times New Roman" w:eastAsia="Times New Roman" w:hAnsi="Times New Roman"/>
          <w:sz w:val="13"/>
          <w:szCs w:val="13"/>
          <w:color w:val="008000"/>
        </w:rPr>
      </w:pPr>
    </w:p>
    <w:p>
      <w:pPr>
        <w:jc w:val="both"/>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2,445 PRSUs. These PRSUs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vest in three equal annual installments beginning on January 31, 2023, subject to the Reporting Person's continued service with the Issuer through each applicable vesting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01/31/2025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4055"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2025-01-31T15:24:11Z</dcterms:created>
  <dcterms:modified xsi:type="dcterms:W3CDTF">2025-01-31T15:24:11Z</dcterms:modified>
</cp:coreProperties>
</file>