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9499312.xml.htm"/>
      <w:bookmarkStart w:id="1" w:name="kswkform4_17494993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Lawrence Steven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9,917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169,534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43.46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165,631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Granted under the Company's 2020 Omnibus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June 9, 2023, subject to the Reporting Person's continued service, the Reporting Person was granted 29,750 time-based restricted stock units that vest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8845" TargetMode="External"/><Relationship Id="rId5" Type="http://schemas.openxmlformats.org/officeDocument/2006/relationships/hyperlink" Target="http://www.sec.gov/cgi-bin/browse-edgar?action=getcompany&amp;CIK=0001817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3515</Characters>
  <CharactersWithSpaces>4083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