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1356995</wp:posOffset>
            </wp:positionH>
            <wp:positionV relativeFrom="paragraph">
              <wp:posOffset>49530</wp:posOffset>
            </wp:positionV>
            <wp:extent cx="4140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jc w:val="center"/>
        <w:ind w:left="3680" w:right="1180" w:hanging="2487"/>
        <w:spacing w:after="0" w:line="280" w:lineRule="auto"/>
        <w:tabs>
          <w:tab w:leader="none" w:pos="1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October 29, 2022</w:t>
      </w: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32" w:lineRule="exact"/>
        <w:rPr>
          <w:sz w:val="24"/>
          <w:szCs w:val="24"/>
          <w:color w:val="auto"/>
        </w:rPr>
      </w:pPr>
    </w:p>
    <w:p>
      <w:pPr>
        <w:ind w:left="1380" w:hanging="193"/>
        <w:spacing w:after="0"/>
        <w:tabs>
          <w:tab w:leader="none" w:pos="13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81"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 to ___________</w:t>
      </w:r>
      <w:r>
        <w:rPr>
          <w:rFonts w:ascii="Times New Roman" w:cs="Times New Roman" w:eastAsia="Times New Roman" w:hAnsi="Times New Roman"/>
          <w:sz w:val="16"/>
          <w:szCs w:val="16"/>
          <w:color w:val="auto"/>
        </w:rPr>
        <w:t>.</w:t>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No. 001-39589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1356995</wp:posOffset>
            </wp:positionH>
            <wp:positionV relativeFrom="paragraph">
              <wp:posOffset>81915</wp:posOffset>
            </wp:positionV>
            <wp:extent cx="4140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40200" cy="8255"/>
                    </a:xfrm>
                    <a:prstGeom prst="rect">
                      <a:avLst/>
                    </a:prstGeom>
                    <a:noFill/>
                  </pic:spPr>
                </pic:pic>
              </a:graphicData>
            </a:graphic>
          </wp:anchor>
        </w:drawing>
        <w:drawing>
          <wp:anchor simplePos="0" relativeHeight="251657728" behindDoc="1" locked="0" layoutInCell="0" allowOverlap="1">
            <wp:simplePos x="0" y="0"/>
            <wp:positionH relativeFrom="column">
              <wp:posOffset>2745740</wp:posOffset>
            </wp:positionH>
            <wp:positionV relativeFrom="paragraph">
              <wp:posOffset>184785</wp:posOffset>
            </wp:positionV>
            <wp:extent cx="1371600" cy="419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0" cy="419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Academy Sports and Outdoors, Inc.</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8" w:lineRule="exact"/>
        <w:rPr>
          <w:sz w:val="24"/>
          <w:szCs w:val="24"/>
          <w:color w:val="auto"/>
        </w:rPr>
      </w:pPr>
    </w:p>
    <w:p>
      <w:pPr>
        <w:ind w:left="1820"/>
        <w:spacing w:after="0"/>
        <w:tabs>
          <w:tab w:leader="none" w:pos="8240" w:val="left"/>
        </w:tabs>
        <w:rPr>
          <w:sz w:val="20"/>
          <w:szCs w:val="20"/>
          <w:color w:val="auto"/>
        </w:rPr>
      </w:pPr>
      <w:r>
        <w:rPr>
          <w:rFonts w:ascii="Times New Roman" w:cs="Times New Roman" w:eastAsia="Times New Roman" w:hAnsi="Times New Roman"/>
          <w:sz w:val="16"/>
          <w:szCs w:val="16"/>
          <w:b w:val="1"/>
          <w:bCs w:val="1"/>
          <w:color w:val="auto"/>
        </w:rPr>
        <w:t>Delaware</w:t>
      </w:r>
      <w:r>
        <w:rPr>
          <w:sz w:val="20"/>
          <w:szCs w:val="20"/>
          <w:color w:val="auto"/>
        </w:rPr>
        <w:tab/>
      </w:r>
      <w:r>
        <w:rPr>
          <w:rFonts w:ascii="Times New Roman" w:cs="Times New Roman" w:eastAsia="Times New Roman" w:hAnsi="Times New Roman"/>
          <w:sz w:val="16"/>
          <w:szCs w:val="16"/>
          <w:b w:val="1"/>
          <w:bCs w:val="1"/>
          <w:color w:val="auto"/>
        </w:rPr>
        <w:t>85-1800912</w:t>
      </w:r>
    </w:p>
    <w:p>
      <w:pPr>
        <w:spacing w:after="0" w:line="127" w:lineRule="exact"/>
        <w:rPr>
          <w:sz w:val="24"/>
          <w:szCs w:val="24"/>
          <w:color w:val="auto"/>
        </w:rPr>
      </w:pPr>
    </w:p>
    <w:p>
      <w:pPr>
        <w:ind w:left="1200"/>
        <w:spacing w:after="0"/>
        <w:tabs>
          <w:tab w:leader="none" w:pos="8100" w:val="left"/>
        </w:tabs>
        <w:rPr>
          <w:sz w:val="20"/>
          <w:szCs w:val="20"/>
          <w:color w:val="auto"/>
        </w:rPr>
      </w:pPr>
      <w:r>
        <w:rPr>
          <w:rFonts w:ascii="Times New Roman" w:cs="Times New Roman" w:eastAsia="Times New Roman" w:hAnsi="Times New Roman"/>
          <w:sz w:val="16"/>
          <w:szCs w:val="16"/>
          <w:i w:val="1"/>
          <w:iCs w:val="1"/>
          <w:color w:val="auto"/>
        </w:rPr>
        <w:t>(State or other jurisdiction of</w:t>
      </w:r>
      <w:r>
        <w:rPr>
          <w:sz w:val="20"/>
          <w:szCs w:val="20"/>
          <w:color w:val="auto"/>
        </w:rPr>
        <w:tab/>
      </w:r>
      <w:r>
        <w:rPr>
          <w:rFonts w:ascii="Times New Roman" w:cs="Times New Roman" w:eastAsia="Times New Roman" w:hAnsi="Times New Roman"/>
          <w:sz w:val="16"/>
          <w:szCs w:val="16"/>
          <w:i w:val="1"/>
          <w:iCs w:val="1"/>
          <w:color w:val="auto"/>
        </w:rPr>
        <w:t>(I.R.S. Employer</w:t>
      </w:r>
    </w:p>
    <w:p>
      <w:pPr>
        <w:spacing w:after="0" w:line="86" w:lineRule="exact"/>
        <w:rPr>
          <w:sz w:val="24"/>
          <w:szCs w:val="24"/>
          <w:color w:val="auto"/>
        </w:rPr>
      </w:pPr>
    </w:p>
    <w:p>
      <w:pPr>
        <w:ind w:left="1140"/>
        <w:spacing w:after="0"/>
        <w:tabs>
          <w:tab w:leader="none" w:pos="8040" w:val="left"/>
        </w:tabs>
        <w:rPr>
          <w:sz w:val="20"/>
          <w:szCs w:val="20"/>
          <w:color w:val="auto"/>
        </w:rPr>
      </w:pPr>
      <w:r>
        <w:rPr>
          <w:rFonts w:ascii="Times New Roman" w:cs="Times New Roman" w:eastAsia="Times New Roman" w:hAnsi="Times New Roman"/>
          <w:sz w:val="16"/>
          <w:szCs w:val="16"/>
          <w:i w:val="1"/>
          <w:iCs w:val="1"/>
          <w:color w:val="auto"/>
        </w:rPr>
        <w:t>incorporation or organization)</w:t>
      </w:r>
      <w:r>
        <w:rPr>
          <w:sz w:val="20"/>
          <w:szCs w:val="20"/>
          <w:color w:val="auto"/>
        </w:rPr>
        <w:tab/>
      </w:r>
      <w:r>
        <w:rPr>
          <w:rFonts w:ascii="Times New Roman" w:cs="Times New Roman" w:eastAsia="Times New Roman" w:hAnsi="Times New Roman"/>
          <w:sz w:val="15"/>
          <w:szCs w:val="15"/>
          <w:i w:val="1"/>
          <w:iCs w:val="1"/>
          <w:color w:val="auto"/>
        </w:rPr>
        <w:t>Identification No.)</w:t>
      </w:r>
    </w:p>
    <w:p>
      <w:pPr>
        <w:spacing w:after="0" w:line="113"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6"/>
          <w:szCs w:val="16"/>
          <w:b w:val="1"/>
          <w:bCs w:val="1"/>
          <w:color w:val="auto"/>
        </w:rPr>
        <w:t>1800 North Mason Road</w:t>
      </w:r>
    </w:p>
    <w:p>
      <w:pPr>
        <w:spacing w:after="0" w:line="46"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6"/>
          <w:szCs w:val="16"/>
          <w:b w:val="1"/>
          <w:bCs w:val="1"/>
          <w:color w:val="auto"/>
        </w:rPr>
        <w:t>Katy, Texas 77449</w:t>
      </w:r>
    </w:p>
    <w:p>
      <w:pPr>
        <w:spacing w:after="0" w:line="3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(Zip Code)</w:t>
      </w:r>
    </w:p>
    <w:p>
      <w:pPr>
        <w:spacing w:after="0" w:line="127"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6"/>
          <w:szCs w:val="16"/>
          <w:b w:val="1"/>
          <w:bCs w:val="1"/>
          <w:color w:val="auto"/>
        </w:rPr>
        <w:t>(281) 646-5200</w:t>
      </w:r>
    </w:p>
    <w:p>
      <w:pPr>
        <w:spacing w:after="0" w:line="32"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127"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(Former name, former address and former fiscal year, if changed since last report)</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26" w:lineRule="exact"/>
        <w:rPr>
          <w:sz w:val="24"/>
          <w:szCs w:val="24"/>
          <w:color w:val="auto"/>
        </w:rPr>
      </w:pPr>
    </w:p>
    <w:tbl>
      <w:tblPr>
        <w:tblLayout w:type="fixed"/>
        <w:tblInd w:w="780" w:type="dxa"/>
        <w:tblCellMar>
          <w:top w:w="0" w:type="dxa"/>
          <w:left w:w="0" w:type="dxa"/>
          <w:bottom w:w="0" w:type="dxa"/>
          <w:right w:w="0" w:type="dxa"/>
        </w:tblCellMar>
      </w:tblPr>
      <w:tr>
        <w:trPr>
          <w:trHeight w:val="184"/>
        </w:trPr>
        <w:tc>
          <w:tcPr>
            <w:tcW w:w="760" w:type="dxa"/>
            <w:vAlign w:val="bottom"/>
          </w:tcPr>
          <w:p>
            <w:pPr>
              <w:spacing w:after="0"/>
              <w:rPr>
                <w:sz w:val="16"/>
                <w:szCs w:val="16"/>
                <w:color w:val="auto"/>
              </w:rPr>
            </w:pPr>
          </w:p>
        </w:tc>
        <w:tc>
          <w:tcPr>
            <w:tcW w:w="3240" w:type="dxa"/>
            <w:vAlign w:val="bottom"/>
            <w:gridSpan w:val="2"/>
          </w:tcPr>
          <w:p>
            <w:pPr>
              <w:jc w:val="center"/>
              <w:ind w:right="2040"/>
              <w:spacing w:after="0"/>
              <w:rPr>
                <w:sz w:val="20"/>
                <w:szCs w:val="20"/>
                <w:color w:val="auto"/>
              </w:rPr>
            </w:pPr>
            <w:r>
              <w:rPr>
                <w:rFonts w:ascii="Times New Roman" w:cs="Times New Roman" w:eastAsia="Times New Roman" w:hAnsi="Times New Roman"/>
                <w:sz w:val="16"/>
                <w:szCs w:val="16"/>
                <w:b w:val="1"/>
                <w:bCs w:val="1"/>
                <w:i w:val="1"/>
                <w:iCs w:val="1"/>
                <w:color w:val="auto"/>
              </w:rPr>
              <w:t>Title of each class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Trading Symbol(s)</w:t>
            </w:r>
          </w:p>
        </w:tc>
        <w:tc>
          <w:tcPr>
            <w:tcW w:w="1160" w:type="dxa"/>
            <w:vAlign w:val="bottom"/>
          </w:tcPr>
          <w:p>
            <w:pPr>
              <w:spacing w:after="0"/>
              <w:rPr>
                <w:sz w:val="16"/>
                <w:szCs w:val="16"/>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Name of each exchange on which registered</w:t>
            </w:r>
          </w:p>
        </w:tc>
      </w:tr>
      <w:tr>
        <w:trPr>
          <w:trHeight w:val="20"/>
        </w:trPr>
        <w:tc>
          <w:tcPr>
            <w:tcW w:w="7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r>
      <w:tr>
        <w:trPr>
          <w:trHeight w:val="230"/>
        </w:trPr>
        <w:tc>
          <w:tcPr>
            <w:tcW w:w="4000" w:type="dxa"/>
            <w:vAlign w:val="bottom"/>
            <w:gridSpan w:val="3"/>
          </w:tcPr>
          <w:p>
            <w:pPr>
              <w:jc w:val="center"/>
              <w:ind w:right="1280"/>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ASO</w:t>
            </w:r>
          </w:p>
        </w:tc>
        <w:tc>
          <w:tcPr>
            <w:tcW w:w="116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81" w:lineRule="exact"/>
        <w:rPr>
          <w:sz w:val="24"/>
          <w:szCs w:val="24"/>
          <w:color w:val="auto"/>
        </w:rPr>
      </w:pPr>
    </w:p>
    <w:p>
      <w:pPr>
        <w:spacing w:after="0" w:line="223"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ind w:right="9940" w:firstLine="2"/>
        <w:spacing w:after="0" w:line="214" w:lineRule="exact"/>
        <w:tabs>
          <w:tab w:leader="none" w:pos="203"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98" w:lineRule="exact"/>
        <w:rPr>
          <w:sz w:val="24"/>
          <w:szCs w:val="24"/>
          <w:color w:val="auto"/>
        </w:rPr>
      </w:pPr>
    </w:p>
    <w:p>
      <w:pPr>
        <w:ind w:right="180"/>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86" w:lineRule="exact"/>
        <w:rPr>
          <w:sz w:val="24"/>
          <w:szCs w:val="24"/>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140"/>
        <w:spacing w:after="0" w:line="184" w:lineRule="exact"/>
        <w:tabs>
          <w:tab w:leader="none" w:pos="648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5"/>
          <w:szCs w:val="15"/>
          <w:color w:val="auto"/>
        </w:rPr>
        <w:t>☐</w:t>
      </w:r>
    </w:p>
    <w:p>
      <w:pPr>
        <w:spacing w:after="0" w:line="50" w:lineRule="exact"/>
        <w:rPr>
          <w:sz w:val="24"/>
          <w:szCs w:val="24"/>
          <w:color w:val="auto"/>
        </w:rPr>
      </w:pPr>
    </w:p>
    <w:p>
      <w:pPr>
        <w:ind w:left="2140"/>
        <w:spacing w:after="0" w:line="184" w:lineRule="exact"/>
        <w:tabs>
          <w:tab w:leader="none" w:pos="6480" w:val="left"/>
        </w:tabs>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ind w:left="650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42" w:lineRule="exact"/>
        <w:rPr>
          <w:sz w:val="24"/>
          <w:szCs w:val="24"/>
          <w:color w:val="auto"/>
        </w:rPr>
      </w:pPr>
    </w:p>
    <w:p>
      <w:pPr>
        <w:jc w:val="both"/>
        <w:spacing w:after="0" w:line="19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November 30, 2022, Academy Sports and Outdoors, Inc. had 78,144,893 shares of common stock, par value $0.01 per share, outstanding.</w:t>
      </w:r>
    </w:p>
    <w:p>
      <w:pPr>
        <w:sectPr>
          <w:pgSz w:w="11900" w:h="16838" w:orient="portrait"/>
          <w:cols w:equalWidth="0" w:num="1">
            <w:col w:w="10800"/>
          </w:cols>
          <w:pgMar w:left="540" w:top="581" w:right="559" w:bottom="1440" w:gutter="0" w:footer="0" w:header="0"/>
        </w:sectPr>
      </w:pPr>
    </w:p>
    <w:p>
      <w:pPr>
        <w:spacing w:after="0" w:line="200" w:lineRule="exact"/>
        <w:rPr>
          <w:sz w:val="24"/>
          <w:szCs w:val="24"/>
          <w:color w:val="auto"/>
        </w:rPr>
      </w:pP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-146685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540" w:top="581" w:right="5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80" w:type="dxa"/>
            <w:vAlign w:val="bottom"/>
            <w:tcBorders>
              <w:bottom w:val="single" w:sz="8" w:color="CCEEFF"/>
            </w:tcBorders>
          </w:tcPr>
          <w:p>
            <w:pPr>
              <w:spacing w:after="0"/>
              <w:rPr>
                <w:sz w:val="20"/>
                <w:szCs w:val="20"/>
                <w:color w:val="auto"/>
              </w:rPr>
            </w:pPr>
          </w:p>
        </w:tc>
        <w:tc>
          <w:tcPr>
            <w:tcW w:w="316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9"/>
        </w:trPr>
        <w:tc>
          <w:tcPr>
            <w:tcW w:w="20" w:type="dxa"/>
            <w:vAlign w:val="bottom"/>
            <w:shd w:val="clear" w:color="auto" w:fill="CCEEFF"/>
          </w:tcPr>
          <w:p>
            <w:pPr>
              <w:spacing w:after="0"/>
              <w:rPr>
                <w:sz w:val="16"/>
                <w:szCs w:val="16"/>
                <w:color w:val="auto"/>
              </w:rPr>
            </w:pPr>
          </w:p>
        </w:tc>
        <w:tc>
          <w:tcPr>
            <w:tcW w:w="10380" w:type="dxa"/>
            <w:vAlign w:val="bottom"/>
            <w:gridSpan w:val="16"/>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0000FF"/>
              </w:rPr>
              <w:t>PART I. FINANCIAL INFORMATION</w:t>
            </w:r>
          </w:p>
        </w:tc>
        <w:tc>
          <w:tcPr>
            <w:tcW w:w="520" w:type="dxa"/>
            <w:vAlign w:val="bottom"/>
            <w:tcBorders>
              <w:right w:val="single" w:sz="8" w:color="CCEEFF"/>
            </w:tcBorders>
            <w:gridSpan w:val="2"/>
            <w:shd w:val="clear" w:color="auto" w:fill="CCEEFF"/>
          </w:tcPr>
          <w:p>
            <w:pPr>
              <w:jc w:val="center"/>
              <w:ind w:left="230"/>
              <w:spacing w:after="0" w:line="156" w:lineRule="exact"/>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10"/>
          </w:tcPr>
          <w:p>
            <w:pPr>
              <w:spacing w:after="0" w:line="183" w:lineRule="exact"/>
              <w:rPr>
                <w:sz w:val="20"/>
                <w:szCs w:val="20"/>
                <w:color w:val="auto"/>
              </w:rPr>
            </w:pPr>
            <w:r>
              <w:rPr>
                <w:rFonts w:ascii="Times New Roman" w:cs="Times New Roman" w:eastAsia="Times New Roman" w:hAnsi="Times New Roman"/>
                <w:sz w:val="18"/>
                <w:szCs w:val="18"/>
                <w:color w:val="0000FF"/>
              </w:rPr>
              <w:t>Item 1. Financial Statements</w:t>
            </w:r>
          </w:p>
        </w:tc>
        <w:tc>
          <w:tcPr>
            <w:tcW w:w="7500" w:type="dxa"/>
            <w:vAlign w:val="bottom"/>
            <w:gridSpan w:val="5"/>
          </w:tcPr>
          <w:p>
            <w:pPr>
              <w:spacing w:after="0"/>
              <w:rPr>
                <w:sz w:val="15"/>
                <w:szCs w:val="15"/>
                <w:color w:val="auto"/>
              </w:rPr>
            </w:pPr>
          </w:p>
        </w:tc>
        <w:tc>
          <w:tcPr>
            <w:tcW w:w="520" w:type="dxa"/>
            <w:vAlign w:val="bottom"/>
            <w:gridSpan w:val="2"/>
          </w:tcPr>
          <w:p>
            <w:pPr>
              <w:jc w:val="center"/>
              <w:ind w:left="230"/>
              <w:spacing w:after="0" w:line="183" w:lineRule="exact"/>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16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20</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3160" w:type="dxa"/>
            <w:vAlign w:val="bottom"/>
          </w:tcPr>
          <w:p>
            <w:pPr>
              <w:spacing w:after="0"/>
              <w:rPr>
                <w:sz w:val="16"/>
                <w:szCs w:val="16"/>
                <w:color w:val="auto"/>
              </w:rPr>
            </w:pP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37</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16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37</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38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PART II. OTHER INFORMATION</w:t>
            </w: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38</w:t>
            </w:r>
          </w:p>
        </w:tc>
      </w:tr>
      <w:tr>
        <w:trPr>
          <w:trHeight w:val="20"/>
        </w:trPr>
        <w:tc>
          <w:tcPr>
            <w:tcW w:w="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0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1. Legal Proceedings</w:t>
            </w:r>
          </w:p>
        </w:tc>
        <w:tc>
          <w:tcPr>
            <w:tcW w:w="8260" w:type="dxa"/>
            <w:vAlign w:val="bottom"/>
            <w:gridSpan w:val="9"/>
            <w:shd w:val="clear" w:color="auto" w:fill="CCEEFF"/>
          </w:tcPr>
          <w:p>
            <w:pPr>
              <w:spacing w:after="0"/>
              <w:rPr>
                <w:sz w:val="16"/>
                <w:szCs w:val="16"/>
                <w:color w:val="auto"/>
              </w:rPr>
            </w:pP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38</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Item 1A. Risk Factors</w:t>
            </w:r>
          </w:p>
        </w:tc>
        <w:tc>
          <w:tcPr>
            <w:tcW w:w="8260" w:type="dxa"/>
            <w:vAlign w:val="bottom"/>
            <w:gridSpan w:val="9"/>
          </w:tcPr>
          <w:p>
            <w:pPr>
              <w:spacing w:after="0"/>
              <w:rPr>
                <w:sz w:val="16"/>
                <w:szCs w:val="16"/>
                <w:color w:val="auto"/>
              </w:rPr>
            </w:pP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38</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16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38</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4360" w:type="dxa"/>
            <w:vAlign w:val="bottom"/>
            <w:gridSpan w:val="11"/>
          </w:tcPr>
          <w:p>
            <w:pPr>
              <w:ind w:left="20"/>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5260" w:type="dxa"/>
            <w:vAlign w:val="bottom"/>
            <w:gridSpan w:val="3"/>
          </w:tcPr>
          <w:p>
            <w:pPr>
              <w:spacing w:after="0"/>
              <w:rPr>
                <w:sz w:val="16"/>
                <w:szCs w:val="16"/>
                <w:color w:val="auto"/>
              </w:rPr>
            </w:pP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38</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9620" w:type="dxa"/>
            <w:vAlign w:val="bottom"/>
            <w:gridSpan w:val="1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39</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 5.</w:t>
            </w:r>
          </w:p>
        </w:tc>
        <w:tc>
          <w:tcPr>
            <w:tcW w:w="1780" w:type="dxa"/>
            <w:vAlign w:val="bottom"/>
            <w:gridSpan w:val="7"/>
          </w:tcPr>
          <w:p>
            <w:pPr>
              <w:ind w:left="20"/>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7840" w:type="dxa"/>
            <w:vAlign w:val="bottom"/>
            <w:gridSpan w:val="7"/>
          </w:tcPr>
          <w:p>
            <w:pPr>
              <w:spacing w:after="0"/>
              <w:rPr>
                <w:sz w:val="16"/>
                <w:szCs w:val="16"/>
                <w:color w:val="auto"/>
              </w:rPr>
            </w:pP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39</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6.</w:t>
            </w:r>
          </w:p>
        </w:tc>
        <w:tc>
          <w:tcPr>
            <w:tcW w:w="62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6"/>
              </w:rPr>
              <w:t>Exhibits</w:t>
            </w:r>
          </w:p>
        </w:tc>
        <w:tc>
          <w:tcPr>
            <w:tcW w:w="9000" w:type="dxa"/>
            <w:vAlign w:val="bottom"/>
            <w:gridSpan w:val="12"/>
            <w:shd w:val="clear" w:color="auto" w:fill="CCEEFF"/>
          </w:tcPr>
          <w:p>
            <w:pPr>
              <w:spacing w:after="0"/>
              <w:rPr>
                <w:sz w:val="16"/>
                <w:szCs w:val="16"/>
                <w:color w:val="auto"/>
              </w:rPr>
            </w:pP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40</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38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41</w:t>
            </w: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October 29, 2022</w:t>
            </w: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January 29, 2022</w:t>
            </w:r>
          </w:p>
        </w:tc>
        <w:tc>
          <w:tcPr>
            <w:tcW w:w="160" w:type="dxa"/>
            <w:vAlign w:val="bottom"/>
          </w:tcPr>
          <w:p>
            <w:pPr>
              <w:spacing w:after="0"/>
              <w:rPr>
                <w:sz w:val="20"/>
                <w:szCs w:val="20"/>
                <w:color w:val="auto"/>
              </w:rPr>
            </w:pPr>
          </w:p>
        </w:tc>
        <w:tc>
          <w:tcPr>
            <w:tcW w:w="146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October 30, 2021</w:t>
            </w:r>
          </w:p>
        </w:tc>
        <w:tc>
          <w:tcPr>
            <w:tcW w:w="0" w:type="dxa"/>
            <w:vAlign w:val="bottom"/>
          </w:tcPr>
          <w:p>
            <w:pPr>
              <w:spacing w:after="0"/>
              <w:rPr>
                <w:sz w:val="1"/>
                <w:szCs w:val="1"/>
                <w:color w:val="auto"/>
              </w:rPr>
            </w:pPr>
          </w:p>
        </w:tc>
      </w:tr>
      <w:tr>
        <w:trPr>
          <w:trHeight w:val="216"/>
        </w:trPr>
        <w:tc>
          <w:tcPr>
            <w:tcW w:w="6180" w:type="dxa"/>
            <w:vAlign w:val="bottom"/>
            <w:tcBorders>
              <w:top w:val="single" w:sz="8" w:color="CCEEFF"/>
            </w:tcBorders>
            <w:shd w:val="clear" w:color="auto" w:fill="CCEEFF"/>
          </w:tcPr>
          <w:p>
            <w:pPr>
              <w:ind w:left="274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318,167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485,998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401,297</w:t>
            </w:r>
          </w:p>
        </w:tc>
        <w:tc>
          <w:tcPr>
            <w:tcW w:w="0" w:type="dxa"/>
            <w:vAlign w:val="bottom"/>
          </w:tcPr>
          <w:p>
            <w:pPr>
              <w:spacing w:after="0"/>
              <w:rPr>
                <w:sz w:val="1"/>
                <w:szCs w:val="1"/>
                <w:color w:val="auto"/>
              </w:rPr>
            </w:pPr>
          </w:p>
        </w:tc>
      </w:tr>
      <w:tr>
        <w:trPr>
          <w:trHeight w:val="167"/>
        </w:trPr>
        <w:tc>
          <w:tcPr>
            <w:tcW w:w="6180" w:type="dxa"/>
            <w:vAlign w:val="bottom"/>
          </w:tcPr>
          <w:p>
            <w:pPr>
              <w:ind w:left="240"/>
              <w:spacing w:after="0" w:line="167" w:lineRule="exact"/>
              <w:rPr>
                <w:sz w:val="20"/>
                <w:szCs w:val="20"/>
                <w:color w:val="auto"/>
              </w:rPr>
            </w:pPr>
            <w:r>
              <w:rPr>
                <w:rFonts w:ascii="Times New Roman" w:cs="Times New Roman" w:eastAsia="Times New Roman" w:hAnsi="Times New Roman"/>
                <w:sz w:val="17"/>
                <w:szCs w:val="17"/>
                <w:color w:val="auto"/>
              </w:rPr>
              <w:t>Accounts receivable - less allowance for doubtful accounts of $1,449, $732 and</w:t>
            </w:r>
          </w:p>
        </w:tc>
        <w:tc>
          <w:tcPr>
            <w:tcW w:w="16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15,998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19,718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12,368</w:t>
            </w:r>
          </w:p>
        </w:tc>
        <w:tc>
          <w:tcPr>
            <w:tcW w:w="0" w:type="dxa"/>
            <w:vAlign w:val="bottom"/>
          </w:tcPr>
          <w:p>
            <w:pPr>
              <w:spacing w:after="0"/>
              <w:rPr>
                <w:sz w:val="1"/>
                <w:szCs w:val="1"/>
                <w:color w:val="auto"/>
              </w:rPr>
            </w:pPr>
          </w:p>
        </w:tc>
      </w:tr>
      <w:tr>
        <w:trPr>
          <w:trHeight w:val="223"/>
        </w:trPr>
        <w:tc>
          <w:tcPr>
            <w:tcW w:w="6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$1,139, respectively</w:t>
            </w:r>
          </w:p>
        </w:tc>
        <w:tc>
          <w:tcPr>
            <w:tcW w:w="16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Merchandise inventories, net</w:t>
            </w: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1,495,464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1,171,808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1,325,979</w:t>
            </w:r>
          </w:p>
        </w:tc>
        <w:tc>
          <w:tcPr>
            <w:tcW w:w="0" w:type="dxa"/>
            <w:vAlign w:val="bottom"/>
          </w:tcPr>
          <w:p>
            <w:pPr>
              <w:spacing w:after="0"/>
              <w:rPr>
                <w:sz w:val="1"/>
                <w:szCs w:val="1"/>
                <w:color w:val="auto"/>
              </w:rPr>
            </w:pPr>
          </w:p>
        </w:tc>
      </w:tr>
      <w:tr>
        <w:trPr>
          <w:trHeight w:val="228"/>
        </w:trPr>
        <w:tc>
          <w:tcPr>
            <w:tcW w:w="6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44,241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36,460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44,491</w:t>
            </w: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Assets held for sale</w:t>
            </w:r>
          </w:p>
        </w:tc>
        <w:tc>
          <w:tcPr>
            <w:tcW w:w="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1,763</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1,763</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1,763</w:t>
            </w:r>
          </w:p>
        </w:tc>
        <w:tc>
          <w:tcPr>
            <w:tcW w:w="0" w:type="dxa"/>
            <w:vAlign w:val="bottom"/>
          </w:tcPr>
          <w:p>
            <w:pPr>
              <w:spacing w:after="0"/>
              <w:rPr>
                <w:sz w:val="1"/>
                <w:szCs w:val="1"/>
                <w:color w:val="auto"/>
              </w:rPr>
            </w:pPr>
          </w:p>
        </w:tc>
      </w:tr>
      <w:tr>
        <w:trPr>
          <w:trHeight w:val="221"/>
        </w:trPr>
        <w:tc>
          <w:tcPr>
            <w:tcW w:w="6180" w:type="dxa"/>
            <w:vAlign w:val="bottom"/>
          </w:tcPr>
          <w:p>
            <w:pPr>
              <w:ind w:left="460"/>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1,875,633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1,715,747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1,785,898</w:t>
            </w:r>
          </w:p>
        </w:tc>
        <w:tc>
          <w:tcPr>
            <w:tcW w:w="0" w:type="dxa"/>
            <w:vAlign w:val="bottom"/>
          </w:tcPr>
          <w:p>
            <w:pPr>
              <w:spacing w:after="0"/>
              <w:rPr>
                <w:sz w:val="1"/>
                <w:szCs w:val="1"/>
                <w:color w:val="auto"/>
              </w:rPr>
            </w:pPr>
          </w:p>
        </w:tc>
      </w:tr>
      <w:tr>
        <w:trPr>
          <w:trHeight w:val="96"/>
        </w:trPr>
        <w:tc>
          <w:tcPr>
            <w:tcW w:w="61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PROPERTY AND EQUIPMENT, NET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354,014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345,836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358,110</w:t>
            </w: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RIGHT-OF-USE ASSETS</w:t>
            </w: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1,100,522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1,079,546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1,087,407</w:t>
            </w:r>
          </w:p>
        </w:tc>
        <w:tc>
          <w:tcPr>
            <w:tcW w:w="0" w:type="dxa"/>
            <w:vAlign w:val="bottom"/>
          </w:tcPr>
          <w:p>
            <w:pPr>
              <w:spacing w:after="0"/>
              <w:rPr>
                <w:sz w:val="1"/>
                <w:szCs w:val="1"/>
                <w:color w:val="auto"/>
              </w:rPr>
            </w:pPr>
          </w:p>
        </w:tc>
      </w:tr>
      <w:tr>
        <w:trPr>
          <w:trHeight w:val="228"/>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TRADE NAME</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577,571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577,215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577,144</w:t>
            </w: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GOODWILL</w:t>
            </w: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861,920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861,920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861,920</w:t>
            </w:r>
          </w:p>
        </w:tc>
        <w:tc>
          <w:tcPr>
            <w:tcW w:w="0" w:type="dxa"/>
            <w:vAlign w:val="bottom"/>
          </w:tcPr>
          <w:p>
            <w:pPr>
              <w:spacing w:after="0"/>
              <w:rPr>
                <w:sz w:val="1"/>
                <w:szCs w:val="1"/>
                <w:color w:val="auto"/>
              </w:rPr>
            </w:pPr>
          </w:p>
        </w:tc>
      </w:tr>
      <w:tr>
        <w:trPr>
          <w:trHeight w:val="228"/>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OTHER NONCURRENT ASSETS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12,804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4,676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5,516</w:t>
            </w: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4,782,464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4,584,940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4,675,995</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6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840,585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737,826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919,196</w:t>
            </w:r>
          </w:p>
        </w:tc>
        <w:tc>
          <w:tcPr>
            <w:tcW w:w="0" w:type="dxa"/>
            <w:vAlign w:val="bottom"/>
          </w:tcPr>
          <w:p>
            <w:pPr>
              <w:spacing w:after="0"/>
              <w:rPr>
                <w:sz w:val="1"/>
                <w:szCs w:val="1"/>
                <w:color w:val="auto"/>
              </w:rPr>
            </w:pPr>
          </w:p>
        </w:tc>
      </w:tr>
      <w:tr>
        <w:trPr>
          <w:trHeight w:val="228"/>
        </w:trPr>
        <w:tc>
          <w:tcPr>
            <w:tcW w:w="6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259,179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303,207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304,488</w:t>
            </w: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Current lease liabilities</w:t>
            </w: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88,447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83,077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86,701</w:t>
            </w:r>
          </w:p>
        </w:tc>
        <w:tc>
          <w:tcPr>
            <w:tcW w:w="0" w:type="dxa"/>
            <w:vAlign w:val="bottom"/>
          </w:tcPr>
          <w:p>
            <w:pPr>
              <w:spacing w:after="0"/>
              <w:rPr>
                <w:sz w:val="1"/>
                <w:szCs w:val="1"/>
                <w:color w:val="auto"/>
              </w:rPr>
            </w:pPr>
          </w:p>
        </w:tc>
      </w:tr>
      <w:tr>
        <w:trPr>
          <w:trHeight w:val="228"/>
        </w:trPr>
        <w:tc>
          <w:tcPr>
            <w:tcW w:w="6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Current maturities of long-term debt</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3,000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0" w:type="dxa"/>
            <w:vAlign w:val="bottom"/>
          </w:tcPr>
          <w:p>
            <w:pPr>
              <w:spacing w:after="0"/>
              <w:rPr>
                <w:sz w:val="1"/>
                <w:szCs w:val="1"/>
                <w:color w:val="auto"/>
              </w:rPr>
            </w:pPr>
          </w:p>
        </w:tc>
      </w:tr>
      <w:tr>
        <w:trPr>
          <w:trHeight w:val="225"/>
        </w:trPr>
        <w:tc>
          <w:tcPr>
            <w:tcW w:w="6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1,191,211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1,127,110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1,313,385</w:t>
            </w:r>
          </w:p>
        </w:tc>
        <w:tc>
          <w:tcPr>
            <w:tcW w:w="0" w:type="dxa"/>
            <w:vAlign w:val="bottom"/>
          </w:tcPr>
          <w:p>
            <w:pPr>
              <w:spacing w:after="0"/>
              <w:rPr>
                <w:sz w:val="1"/>
                <w:szCs w:val="1"/>
                <w:color w:val="auto"/>
              </w:rPr>
            </w:pPr>
          </w:p>
        </w:tc>
      </w:tr>
      <w:tr>
        <w:trPr>
          <w:trHeight w:val="95"/>
        </w:trPr>
        <w:tc>
          <w:tcPr>
            <w:tcW w:w="6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LONG-TERM DEBT, NET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682,803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683,585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683,845</w:t>
            </w:r>
          </w:p>
        </w:tc>
        <w:tc>
          <w:tcPr>
            <w:tcW w:w="0" w:type="dxa"/>
            <w:vAlign w:val="bottom"/>
          </w:tcPr>
          <w:p>
            <w:pPr>
              <w:spacing w:after="0"/>
              <w:rPr>
                <w:sz w:val="1"/>
                <w:szCs w:val="1"/>
                <w:color w:val="auto"/>
              </w:rPr>
            </w:pPr>
          </w:p>
        </w:tc>
      </w:tr>
      <w:tr>
        <w:trPr>
          <w:trHeight w:val="228"/>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LONG-TERM LEASE LIABILITIES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1,093,909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1,077,667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1,088,142</w:t>
            </w: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DEFERRED TAX LIABILITIES, NET</w:t>
            </w: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242,843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217,212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188,243</w:t>
            </w:r>
          </w:p>
        </w:tc>
        <w:tc>
          <w:tcPr>
            <w:tcW w:w="0" w:type="dxa"/>
            <w:vAlign w:val="bottom"/>
          </w:tcPr>
          <w:p>
            <w:pPr>
              <w:spacing w:after="0"/>
              <w:rPr>
                <w:sz w:val="1"/>
                <w:szCs w:val="1"/>
                <w:color w:val="auto"/>
              </w:rPr>
            </w:pPr>
          </w:p>
        </w:tc>
      </w:tr>
      <w:tr>
        <w:trPr>
          <w:trHeight w:val="228"/>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OTHER LONG-TERM LIABILITIES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12,779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12,420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26,386</w:t>
            </w: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3,223,545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3,117,994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3,300,001</w:t>
            </w:r>
          </w:p>
        </w:tc>
        <w:tc>
          <w:tcPr>
            <w:tcW w:w="0" w:type="dxa"/>
            <w:vAlign w:val="bottom"/>
          </w:tcPr>
          <w:p>
            <w:pPr>
              <w:spacing w:after="0"/>
              <w:rPr>
                <w:sz w:val="1"/>
                <w:szCs w:val="1"/>
                <w:color w:val="auto"/>
              </w:rPr>
            </w:pPr>
          </w:p>
        </w:tc>
      </w:tr>
      <w:tr>
        <w:trPr>
          <w:trHeight w:val="76"/>
        </w:trPr>
        <w:tc>
          <w:tcPr>
            <w:tcW w:w="6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COMMITMENTS AND CONTINGENCIES (NOTE 12)</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6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6180" w:type="dxa"/>
            <w:vAlign w:val="bottom"/>
          </w:tcPr>
          <w:p>
            <w:pPr>
              <w:ind w:left="240"/>
              <w:spacing w:after="0" w:line="167" w:lineRule="exact"/>
              <w:rPr>
                <w:sz w:val="20"/>
                <w:szCs w:val="20"/>
                <w:color w:val="auto"/>
              </w:rPr>
            </w:pPr>
            <w:r>
              <w:rPr>
                <w:rFonts w:ascii="Times New Roman" w:cs="Times New Roman" w:eastAsia="Times New Roman" w:hAnsi="Times New Roman"/>
                <w:sz w:val="17"/>
                <w:szCs w:val="17"/>
                <w:color w:val="auto"/>
              </w:rPr>
              <w:t>Preferred stock, $0.01 par value, authorized 50,000,000 shares; none issued and</w:t>
            </w:r>
          </w:p>
        </w:tc>
        <w:tc>
          <w:tcPr>
            <w:tcW w:w="160" w:type="dxa"/>
            <w:vAlign w:val="bottom"/>
          </w:tcPr>
          <w:p>
            <w:pPr>
              <w:spacing w:after="0"/>
              <w:rPr>
                <w:sz w:val="14"/>
                <w:szCs w:val="14"/>
                <w:color w:val="auto"/>
              </w:rPr>
            </w:pPr>
          </w:p>
        </w:tc>
        <w:tc>
          <w:tcPr>
            <w:tcW w:w="1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4"/>
                <w:szCs w:val="14"/>
                <w:color w:val="auto"/>
              </w:rPr>
            </w:pPr>
          </w:p>
        </w:tc>
        <w:tc>
          <w:tcPr>
            <w:tcW w:w="1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6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outstanding</w:t>
            </w:r>
          </w:p>
        </w:tc>
        <w:tc>
          <w:tcPr>
            <w:tcW w:w="160" w:type="dxa"/>
            <w:vAlign w:val="bottom"/>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6180" w:type="dxa"/>
            <w:vAlign w:val="bottom"/>
            <w:shd w:val="clear" w:color="auto" w:fill="CCEEFF"/>
          </w:tcPr>
          <w:p>
            <w:pPr>
              <w:ind w:left="240"/>
              <w:spacing w:after="0" w:line="168" w:lineRule="exact"/>
              <w:rPr>
                <w:sz w:val="20"/>
                <w:szCs w:val="20"/>
                <w:color w:val="auto"/>
              </w:rPr>
            </w:pPr>
            <w:r>
              <w:rPr>
                <w:rFonts w:ascii="Times New Roman" w:cs="Times New Roman" w:eastAsia="Times New Roman" w:hAnsi="Times New Roman"/>
                <w:sz w:val="17"/>
                <w:szCs w:val="17"/>
                <w:color w:val="auto"/>
              </w:rPr>
              <w:t>Common stock, $0.01 par value, authorized 300,000,000 shares; 77,959,530;</w:t>
            </w:r>
          </w:p>
        </w:tc>
        <w:tc>
          <w:tcPr>
            <w:tcW w:w="1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80" w:type="dxa"/>
            <w:vAlign w:val="bottom"/>
            <w:shd w:val="clear" w:color="auto" w:fill="CCEEFF"/>
          </w:tcPr>
          <w:p>
            <w:pPr>
              <w:ind w:left="240"/>
              <w:spacing w:after="0" w:line="171" w:lineRule="exact"/>
              <w:rPr>
                <w:sz w:val="20"/>
                <w:szCs w:val="20"/>
                <w:color w:val="auto"/>
              </w:rPr>
            </w:pPr>
            <w:r>
              <w:rPr>
                <w:rFonts w:ascii="Times New Roman" w:cs="Times New Roman" w:eastAsia="Times New Roman" w:hAnsi="Times New Roman"/>
                <w:sz w:val="17"/>
                <w:szCs w:val="17"/>
                <w:color w:val="auto"/>
              </w:rPr>
              <w:t>87,079,394 and 88,164,878 issued and outstanding as of October 29, 2022, January</w:t>
            </w:r>
          </w:p>
        </w:tc>
        <w:tc>
          <w:tcPr>
            <w:tcW w:w="16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779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882</w:t>
            </w: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29, 2022 and October 30, 2021, respectively.</w:t>
            </w:r>
          </w:p>
        </w:tc>
        <w:tc>
          <w:tcPr>
            <w:tcW w:w="16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203,734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198,016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188,329</w:t>
            </w: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Retained earnings</w:t>
            </w: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1,354,406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1,268,060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1,188,271</w:t>
            </w:r>
          </w:p>
        </w:tc>
        <w:tc>
          <w:tcPr>
            <w:tcW w:w="0" w:type="dxa"/>
            <w:vAlign w:val="bottom"/>
          </w:tcPr>
          <w:p>
            <w:pPr>
              <w:spacing w:after="0"/>
              <w:rPr>
                <w:sz w:val="1"/>
                <w:szCs w:val="1"/>
                <w:color w:val="auto"/>
              </w:rPr>
            </w:pPr>
          </w:p>
        </w:tc>
      </w:tr>
      <w:tr>
        <w:trPr>
          <w:trHeight w:val="228"/>
        </w:trPr>
        <w:tc>
          <w:tcPr>
            <w:tcW w:w="6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6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(1,488)</w:t>
            </w:r>
          </w:p>
        </w:tc>
        <w:tc>
          <w:tcPr>
            <w:tcW w:w="0" w:type="dxa"/>
            <w:vAlign w:val="bottom"/>
          </w:tcPr>
          <w:p>
            <w:pPr>
              <w:spacing w:after="0"/>
              <w:rPr>
                <w:sz w:val="1"/>
                <w:szCs w:val="1"/>
                <w:color w:val="auto"/>
              </w:rPr>
            </w:pPr>
          </w:p>
        </w:tc>
      </w:tr>
      <w:tr>
        <w:trPr>
          <w:trHeight w:val="223"/>
        </w:trPr>
        <w:tc>
          <w:tcPr>
            <w:tcW w:w="618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1,558,919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1,466,946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1,375,994</w:t>
            </w:r>
          </w:p>
        </w:tc>
        <w:tc>
          <w:tcPr>
            <w:tcW w:w="0" w:type="dxa"/>
            <w:vAlign w:val="bottom"/>
          </w:tcPr>
          <w:p>
            <w:pPr>
              <w:spacing w:after="0"/>
              <w:rPr>
                <w:sz w:val="1"/>
                <w:szCs w:val="1"/>
                <w:color w:val="auto"/>
              </w:rPr>
            </w:pPr>
          </w:p>
        </w:tc>
      </w:tr>
      <w:tr>
        <w:trPr>
          <w:trHeight w:val="225"/>
        </w:trPr>
        <w:tc>
          <w:tcPr>
            <w:tcW w:w="6180" w:type="dxa"/>
            <w:vAlign w:val="bottom"/>
          </w:tcPr>
          <w:p>
            <w:pPr>
              <w:ind w:left="460"/>
              <w:spacing w:after="0"/>
              <w:rPr>
                <w:sz w:val="20"/>
                <w:szCs w:val="20"/>
                <w:color w:val="auto"/>
              </w:rPr>
            </w:pPr>
            <w:r>
              <w:rPr>
                <w:rFonts w:ascii="Times New Roman" w:cs="Times New Roman" w:eastAsia="Times New Roman" w:hAnsi="Times New Roman"/>
                <w:sz w:val="17"/>
                <w:szCs w:val="17"/>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4,782,464</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4,584,940</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4,675,995</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0" w:type="dxa"/>
            <w:vAlign w:val="bottom"/>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60" w:type="dxa"/>
            <w:vAlign w:val="bottom"/>
          </w:tcPr>
          <w:p>
            <w:pPr>
              <w:spacing w:after="0"/>
              <w:rPr>
                <w:sz w:val="20"/>
                <w:szCs w:val="20"/>
                <w:color w:val="auto"/>
              </w:rPr>
            </w:pPr>
          </w:p>
        </w:tc>
        <w:tc>
          <w:tcPr>
            <w:tcW w:w="340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1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October 30, 2021</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16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October 30, 2021</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1,493,925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1,592,795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4,648,570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4,964,658</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971,454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1,031,957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3,008,612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3,197,623</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MARGIN</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522,471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1,639,958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1,767,035</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342,949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998,209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344,725</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1,057,290</w:t>
            </w:r>
          </w:p>
        </w:tc>
        <w:tc>
          <w:tcPr>
            <w:tcW w:w="0" w:type="dxa"/>
            <w:vAlign w:val="bottom"/>
          </w:tcPr>
          <w:p>
            <w:pPr>
              <w:spacing w:after="0"/>
              <w:rPr>
                <w:sz w:val="1"/>
                <w:szCs w:val="1"/>
                <w:color w:val="auto"/>
              </w:rPr>
            </w:pPr>
          </w:p>
        </w:tc>
      </w:tr>
      <w:tr>
        <w:trPr>
          <w:trHeight w:val="223"/>
        </w:trPr>
        <w:tc>
          <w:tcPr>
            <w:tcW w:w="4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179,522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641,749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709,745</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34,240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38,130</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EARLY RETIREMENT OF DEBT</w:t>
            </w: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(2,538)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(4,676)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169,897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612,185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671,122</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38,156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141,837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141,511</w:t>
            </w:r>
          </w:p>
        </w:tc>
        <w:tc>
          <w:tcPr>
            <w:tcW w:w="0" w:type="dxa"/>
            <w:vAlign w:val="bottom"/>
          </w:tcPr>
          <w:p>
            <w:pPr>
              <w:spacing w:after="0"/>
              <w:rPr>
                <w:sz w:val="1"/>
                <w:szCs w:val="1"/>
                <w:color w:val="auto"/>
              </w:rPr>
            </w:pPr>
          </w:p>
        </w:tc>
      </w:tr>
      <w:tr>
        <w:trPr>
          <w:trHeight w:val="223"/>
        </w:trPr>
        <w:tc>
          <w:tcPr>
            <w:tcW w:w="4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131,741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161,305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470,348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529,611</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30"/>
        </w:trPr>
        <w:tc>
          <w:tcPr>
            <w:tcW w:w="4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175"/>
        </w:trPr>
        <w:tc>
          <w:tcPr>
            <w:tcW w:w="4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COMMON SHARES</w:t>
            </w: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79,085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82,901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91,951</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81,379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84,910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0" w:type="dxa"/>
            <w:vAlign w:val="bottom"/>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60" w:type="dxa"/>
            <w:vAlign w:val="bottom"/>
          </w:tcPr>
          <w:p>
            <w:pPr>
              <w:spacing w:after="0"/>
              <w:rPr>
                <w:sz w:val="20"/>
                <w:szCs w:val="20"/>
                <w:color w:val="auto"/>
              </w:rPr>
            </w:pPr>
          </w:p>
        </w:tc>
        <w:tc>
          <w:tcPr>
            <w:tcW w:w="340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23"/>
        </w:trPr>
        <w:tc>
          <w:tcPr>
            <w:tcW w:w="4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14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October 30, 2021</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16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October 30, 2021</w:t>
            </w:r>
          </w:p>
        </w:tc>
      </w:tr>
      <w:tr>
        <w:trPr>
          <w:trHeight w:val="210"/>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29"/>
        </w:trPr>
        <w:tc>
          <w:tcPr>
            <w:tcW w:w="4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131,741</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161,305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470,348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529,611</w:t>
            </w:r>
          </w:p>
        </w:tc>
      </w:tr>
      <w:tr>
        <w:trPr>
          <w:trHeight w:val="230"/>
        </w:trPr>
        <w:tc>
          <w:tcPr>
            <w:tcW w:w="4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Recognized interest expense on interest rate swaps</w:t>
            </w: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w:t>
            </w:r>
          </w:p>
        </w:tc>
      </w:tr>
      <w:tr>
        <w:trPr>
          <w:trHeight w:val="229"/>
        </w:trPr>
        <w:tc>
          <w:tcPr>
            <w:tcW w:w="4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expense</w:t>
            </w:r>
          </w:p>
        </w:tc>
        <w:tc>
          <w:tcPr>
            <w:tcW w:w="16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r>
      <w:tr>
        <w:trPr>
          <w:trHeight w:val="248"/>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131,741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470,348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531,447</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7"/>
                <w:szCs w:val="17"/>
                <w:color w:val="auto"/>
              </w:rPr>
            </w:pPr>
          </w:p>
        </w:tc>
        <w:tc>
          <w:tcPr>
            <w:tcW w:w="9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5"/>
        </w:trPr>
        <w:tc>
          <w:tcPr>
            <w:tcW w:w="4800" w:type="dxa"/>
            <w:vAlign w:val="bottom"/>
          </w:tcPr>
          <w:p>
            <w:pPr>
              <w:spacing w:after="0"/>
              <w:rPr>
                <w:sz w:val="15"/>
                <w:szCs w:val="15"/>
                <w:color w:val="auto"/>
              </w:rPr>
            </w:pPr>
          </w:p>
        </w:tc>
        <w:tc>
          <w:tcPr>
            <w:tcW w:w="1960" w:type="dxa"/>
            <w:vAlign w:val="bottom"/>
            <w:gridSpan w:val="4"/>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0" w:type="dxa"/>
            <w:vAlign w:val="bottom"/>
          </w:tcPr>
          <w:p>
            <w:pPr>
              <w:spacing w:after="0"/>
              <w:rPr>
                <w:sz w:val="15"/>
                <w:szCs w:val="15"/>
                <w:color w:val="auto"/>
              </w:rPr>
            </w:pPr>
          </w:p>
        </w:tc>
        <w:tc>
          <w:tcPr>
            <w:tcW w:w="1200" w:type="dxa"/>
            <w:vAlign w:val="bottom"/>
            <w:gridSpan w:val="2"/>
          </w:tcPr>
          <w:p>
            <w:pPr>
              <w:jc w:val="center"/>
              <w:ind w:right="1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800" w:type="dxa"/>
            <w:vAlign w:val="bottom"/>
          </w:tcPr>
          <w:p>
            <w:pPr>
              <w:spacing w:after="0"/>
              <w:rPr>
                <w:sz w:val="13"/>
                <w:szCs w:val="13"/>
                <w:color w:val="auto"/>
              </w:rPr>
            </w:pPr>
          </w:p>
        </w:tc>
        <w:tc>
          <w:tcPr>
            <w:tcW w:w="1960" w:type="dxa"/>
            <w:vAlign w:val="bottom"/>
            <w:tcBorders>
              <w:bottom w:val="single" w:sz="8" w:color="auto"/>
            </w:tcBorders>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Paid-In</w:t>
            </w:r>
          </w:p>
        </w:tc>
        <w:tc>
          <w:tcPr>
            <w:tcW w:w="1040" w:type="dxa"/>
            <w:vAlign w:val="bottom"/>
            <w:gridSpan w:val="2"/>
            <w:vMerge w:val="continue"/>
          </w:tcPr>
          <w:p>
            <w:pPr>
              <w:spacing w:after="0"/>
              <w:rPr>
                <w:sz w:val="13"/>
                <w:szCs w:val="13"/>
                <w:color w:val="auto"/>
              </w:rPr>
            </w:pPr>
          </w:p>
        </w:tc>
        <w:tc>
          <w:tcPr>
            <w:tcW w:w="132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10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20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23"/>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January 29, 2022</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87,079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198,016</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$ 1,268,060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1,466,946</w:t>
            </w:r>
          </w:p>
        </w:tc>
        <w:tc>
          <w:tcPr>
            <w:tcW w:w="0" w:type="dxa"/>
            <w:vAlign w:val="bottom"/>
          </w:tcPr>
          <w:p>
            <w:pPr>
              <w:spacing w:after="0"/>
              <w:rPr>
                <w:sz w:val="1"/>
                <w:szCs w:val="1"/>
                <w:color w:val="auto"/>
              </w:rPr>
            </w:pPr>
          </w:p>
        </w:tc>
      </w:tr>
      <w:tr>
        <w:trPr>
          <w:trHeight w:val="223"/>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149,806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149,806</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 compensation</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0" w:type="dxa"/>
            <w:vAlign w:val="bottom"/>
          </w:tcPr>
          <w:p>
            <w:pPr>
              <w:spacing w:after="0"/>
              <w:rPr>
                <w:sz w:val="1"/>
                <w:szCs w:val="1"/>
                <w:color w:val="auto"/>
              </w:rPr>
            </w:pPr>
          </w:p>
        </w:tc>
      </w:tr>
      <w:tr>
        <w:trPr>
          <w:trHeight w:val="229"/>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(2,272)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(5,247)</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(83,231)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(88,501)</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Settlement of vested Restricted Stock Units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option exercises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dividends declared, $0.075 per share</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(6,536)</w:t>
            </w:r>
          </w:p>
        </w:tc>
        <w:tc>
          <w:tcPr>
            <w:tcW w:w="0" w:type="dxa"/>
            <w:vAlign w:val="bottom"/>
          </w:tcPr>
          <w:p>
            <w:pPr>
              <w:spacing w:after="0"/>
              <w:rPr>
                <w:sz w:val="1"/>
                <w:szCs w:val="1"/>
                <w:color w:val="auto"/>
              </w:rPr>
            </w:pPr>
          </w:p>
        </w:tc>
      </w:tr>
      <w:tr>
        <w:trPr>
          <w:trHeight w:val="223"/>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April 30, 2022</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85,071</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199,559</w:t>
            </w:r>
          </w:p>
        </w:tc>
        <w:tc>
          <w:tcPr>
            <w:tcW w:w="8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$ 1,328,099</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1,528,508</w:t>
            </w:r>
          </w:p>
        </w:tc>
        <w:tc>
          <w:tcPr>
            <w:tcW w:w="0" w:type="dxa"/>
            <w:vAlign w:val="bottom"/>
          </w:tcPr>
          <w:p>
            <w:pPr>
              <w:spacing w:after="0"/>
              <w:rPr>
                <w:sz w:val="1"/>
                <w:szCs w:val="1"/>
                <w:color w:val="auto"/>
              </w:rPr>
            </w:pPr>
          </w:p>
        </w:tc>
      </w:tr>
      <w:tr>
        <w:trPr>
          <w:trHeight w:val="223"/>
        </w:trPr>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188,801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188,801</w:t>
            </w:r>
          </w:p>
        </w:tc>
        <w:tc>
          <w:tcPr>
            <w:tcW w:w="0" w:type="dxa"/>
            <w:vAlign w:val="bottom"/>
          </w:tcPr>
          <w:p>
            <w:pPr>
              <w:spacing w:after="0"/>
              <w:rPr>
                <w:sz w:val="1"/>
                <w:szCs w:val="1"/>
                <w:color w:val="auto"/>
              </w:rPr>
            </w:pPr>
          </w:p>
        </w:tc>
      </w:tr>
      <w:tr>
        <w:trPr>
          <w:trHeight w:val="230"/>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 compensation</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6,158</w:t>
            </w:r>
          </w:p>
        </w:tc>
        <w:tc>
          <w:tcPr>
            <w:tcW w:w="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6,158</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(5,551)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(13,391)</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(186,665)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(200,111)</w:t>
            </w:r>
          </w:p>
        </w:tc>
        <w:tc>
          <w:tcPr>
            <w:tcW w:w="0" w:type="dxa"/>
            <w:vAlign w:val="bottom"/>
          </w:tcPr>
          <w:p>
            <w:pPr>
              <w:spacing w:after="0"/>
              <w:rPr>
                <w:sz w:val="1"/>
                <w:szCs w:val="1"/>
                <w:color w:val="auto"/>
              </w:rPr>
            </w:pPr>
          </w:p>
        </w:tc>
      </w:tr>
      <w:tr>
        <w:trPr>
          <w:trHeight w:val="230"/>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Settlement of vested Restricted Stock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480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Issuance of common stock under employee stock purchase</w:t>
            </w: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plan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0" w:type="dxa"/>
            <w:vAlign w:val="bottom"/>
          </w:tcPr>
          <w:p>
            <w:pPr>
              <w:spacing w:after="0"/>
              <w:rPr>
                <w:sz w:val="1"/>
                <w:szCs w:val="1"/>
                <w:color w:val="auto"/>
              </w:rPr>
            </w:pPr>
          </w:p>
        </w:tc>
      </w:tr>
      <w:tr>
        <w:trPr>
          <w:trHeight w:val="229"/>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option exercises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dividends declared, $0.075 per share</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(6,271)</w:t>
            </w:r>
          </w:p>
        </w:tc>
        <w:tc>
          <w:tcPr>
            <w:tcW w:w="0" w:type="dxa"/>
            <w:vAlign w:val="bottom"/>
          </w:tcPr>
          <w:p>
            <w:pPr>
              <w:spacing w:after="0"/>
              <w:rPr>
                <w:sz w:val="1"/>
                <w:szCs w:val="1"/>
                <w:color w:val="auto"/>
              </w:rPr>
            </w:pPr>
          </w:p>
        </w:tc>
      </w:tr>
      <w:tr>
        <w:trPr>
          <w:trHeight w:val="223"/>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July 30, 2022</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79,725</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196,510</w:t>
            </w:r>
          </w:p>
        </w:tc>
        <w:tc>
          <w:tcPr>
            <w:tcW w:w="8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$ 1,323,964</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1,521,271</w:t>
            </w:r>
          </w:p>
        </w:tc>
        <w:tc>
          <w:tcPr>
            <w:tcW w:w="0" w:type="dxa"/>
            <w:vAlign w:val="bottom"/>
          </w:tcPr>
          <w:p>
            <w:pPr>
              <w:spacing w:after="0"/>
              <w:rPr>
                <w:sz w:val="1"/>
                <w:szCs w:val="1"/>
                <w:color w:val="auto"/>
              </w:rPr>
            </w:pPr>
          </w:p>
        </w:tc>
      </w:tr>
      <w:tr>
        <w:trPr>
          <w:trHeight w:val="223"/>
        </w:trPr>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131,741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131,741</w:t>
            </w:r>
          </w:p>
        </w:tc>
        <w:tc>
          <w:tcPr>
            <w:tcW w:w="0" w:type="dxa"/>
            <w:vAlign w:val="bottom"/>
          </w:tcPr>
          <w:p>
            <w:pPr>
              <w:spacing w:after="0"/>
              <w:rPr>
                <w:sz w:val="1"/>
                <w:szCs w:val="1"/>
                <w:color w:val="auto"/>
              </w:rPr>
            </w:pPr>
          </w:p>
        </w:tc>
      </w:tr>
      <w:tr>
        <w:trPr>
          <w:trHeight w:val="230"/>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 compensation</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5,829</w:t>
            </w:r>
          </w:p>
        </w:tc>
        <w:tc>
          <w:tcPr>
            <w:tcW w:w="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5,829</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(2,176)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(5,477)</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(95,325)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(100,824)</w:t>
            </w:r>
          </w:p>
        </w:tc>
        <w:tc>
          <w:tcPr>
            <w:tcW w:w="0" w:type="dxa"/>
            <w:vAlign w:val="bottom"/>
          </w:tcPr>
          <w:p>
            <w:pPr>
              <w:spacing w:after="0"/>
              <w:rPr>
                <w:sz w:val="1"/>
                <w:szCs w:val="1"/>
                <w:color w:val="auto"/>
              </w:rPr>
            </w:pPr>
          </w:p>
        </w:tc>
      </w:tr>
      <w:tr>
        <w:trPr>
          <w:trHeight w:val="230"/>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Settlement of vested Restricted Stock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 option exercises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6,872</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6,876</w:t>
            </w:r>
          </w:p>
        </w:tc>
        <w:tc>
          <w:tcPr>
            <w:tcW w:w="0" w:type="dxa"/>
            <w:vAlign w:val="bottom"/>
          </w:tcPr>
          <w:p>
            <w:pPr>
              <w:spacing w:after="0"/>
              <w:rPr>
                <w:sz w:val="1"/>
                <w:szCs w:val="1"/>
                <w:color w:val="auto"/>
              </w:rPr>
            </w:pPr>
          </w:p>
        </w:tc>
      </w:tr>
      <w:tr>
        <w:trPr>
          <w:trHeight w:val="230"/>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dividends declared, $0.075 per share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(5,974)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(5,974)</w:t>
            </w:r>
          </w:p>
        </w:tc>
        <w:tc>
          <w:tcPr>
            <w:tcW w:w="0" w:type="dxa"/>
            <w:vAlign w:val="bottom"/>
          </w:tcPr>
          <w:p>
            <w:pPr>
              <w:spacing w:after="0"/>
              <w:rPr>
                <w:sz w:val="1"/>
                <w:szCs w:val="1"/>
                <w:color w:val="auto"/>
              </w:rPr>
            </w:pPr>
          </w:p>
        </w:tc>
      </w:tr>
      <w:tr>
        <w:trPr>
          <w:trHeight w:val="248"/>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October 29, 2022</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77,960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203,734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$ 1,354,406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1,558,919</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7"/>
                <w:szCs w:val="17"/>
                <w:color w:val="auto"/>
              </w:rPr>
            </w:pPr>
          </w:p>
        </w:tc>
        <w:tc>
          <w:tcPr>
            <w:tcW w:w="9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5"/>
        </w:trPr>
        <w:tc>
          <w:tcPr>
            <w:tcW w:w="4800" w:type="dxa"/>
            <w:vAlign w:val="bottom"/>
          </w:tcPr>
          <w:p>
            <w:pPr>
              <w:spacing w:after="0"/>
              <w:rPr>
                <w:sz w:val="15"/>
                <w:szCs w:val="15"/>
                <w:color w:val="auto"/>
              </w:rPr>
            </w:pPr>
          </w:p>
        </w:tc>
        <w:tc>
          <w:tcPr>
            <w:tcW w:w="1960" w:type="dxa"/>
            <w:vAlign w:val="bottom"/>
            <w:gridSpan w:val="4"/>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0" w:type="dxa"/>
            <w:vAlign w:val="bottom"/>
          </w:tcPr>
          <w:p>
            <w:pPr>
              <w:spacing w:after="0"/>
              <w:rPr>
                <w:sz w:val="15"/>
                <w:szCs w:val="15"/>
                <w:color w:val="auto"/>
              </w:rPr>
            </w:pPr>
          </w:p>
        </w:tc>
        <w:tc>
          <w:tcPr>
            <w:tcW w:w="1200" w:type="dxa"/>
            <w:vAlign w:val="bottom"/>
            <w:gridSpan w:val="2"/>
          </w:tcPr>
          <w:p>
            <w:pPr>
              <w:jc w:val="center"/>
              <w:ind w:right="1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800" w:type="dxa"/>
            <w:vAlign w:val="bottom"/>
          </w:tcPr>
          <w:p>
            <w:pPr>
              <w:spacing w:after="0"/>
              <w:rPr>
                <w:sz w:val="13"/>
                <w:szCs w:val="13"/>
                <w:color w:val="auto"/>
              </w:rPr>
            </w:pPr>
          </w:p>
        </w:tc>
        <w:tc>
          <w:tcPr>
            <w:tcW w:w="1960" w:type="dxa"/>
            <w:vAlign w:val="bottom"/>
            <w:tcBorders>
              <w:bottom w:val="single" w:sz="8" w:color="auto"/>
            </w:tcBorders>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Paid-In</w:t>
            </w:r>
          </w:p>
        </w:tc>
        <w:tc>
          <w:tcPr>
            <w:tcW w:w="1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32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10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20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23"/>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January 30, 2021</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91,114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127,228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987,168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1,111,983</w:t>
            </w:r>
          </w:p>
        </w:tc>
        <w:tc>
          <w:tcPr>
            <w:tcW w:w="0" w:type="dxa"/>
            <w:vAlign w:val="bottom"/>
          </w:tcPr>
          <w:p>
            <w:pPr>
              <w:spacing w:after="0"/>
              <w:rPr>
                <w:sz w:val="1"/>
                <w:szCs w:val="1"/>
                <w:color w:val="auto"/>
              </w:rPr>
            </w:pPr>
          </w:p>
        </w:tc>
      </w:tr>
      <w:tr>
        <w:trPr>
          <w:trHeight w:val="223"/>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177,796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177,796</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 compensation</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5,874</w:t>
            </w:r>
          </w:p>
        </w:tc>
        <w:tc>
          <w:tcPr>
            <w:tcW w:w="0" w:type="dxa"/>
            <w:vAlign w:val="bottom"/>
          </w:tcPr>
          <w:p>
            <w:pPr>
              <w:spacing w:after="0"/>
              <w:rPr>
                <w:sz w:val="1"/>
                <w:szCs w:val="1"/>
                <w:color w:val="auto"/>
              </w:rPr>
            </w:pPr>
          </w:p>
        </w:tc>
      </w:tr>
      <w:tr>
        <w:trPr>
          <w:trHeight w:val="229"/>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Settlement of vested Restricted Stock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Share-Based Award Payments adjustment for forfeitures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9"/>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option exercises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17,257</w:t>
            </w:r>
          </w:p>
        </w:tc>
        <w:tc>
          <w:tcPr>
            <w:tcW w:w="0" w:type="dxa"/>
            <w:vAlign w:val="bottom"/>
          </w:tcPr>
          <w:p>
            <w:pPr>
              <w:spacing w:after="0"/>
              <w:rPr>
                <w:sz w:val="1"/>
                <w:szCs w:val="1"/>
                <w:color w:val="auto"/>
              </w:rPr>
            </w:pPr>
          </w:p>
        </w:tc>
      </w:tr>
      <w:tr>
        <w:trPr>
          <w:trHeight w:val="184"/>
        </w:trPr>
        <w:tc>
          <w:tcPr>
            <w:tcW w:w="480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Recognized interest expense on interest rate swaps (net of tax</w:t>
            </w: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impact of $270)</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0" w:type="dxa"/>
            <w:vAlign w:val="bottom"/>
          </w:tcPr>
          <w:p>
            <w:pPr>
              <w:spacing w:after="0"/>
              <w:rPr>
                <w:sz w:val="1"/>
                <w:szCs w:val="1"/>
                <w:color w:val="auto"/>
              </w:rPr>
            </w:pPr>
          </w:p>
        </w:tc>
      </w:tr>
      <w:tr>
        <w:trPr>
          <w:trHeight w:val="223"/>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May 1, 2021</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93,887</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150,370</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1,164,964</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1,313,875</w:t>
            </w:r>
          </w:p>
        </w:tc>
        <w:tc>
          <w:tcPr>
            <w:tcW w:w="0" w:type="dxa"/>
            <w:vAlign w:val="bottom"/>
          </w:tcPr>
          <w:p>
            <w:pPr>
              <w:spacing w:after="0"/>
              <w:rPr>
                <w:sz w:val="1"/>
                <w:szCs w:val="1"/>
                <w:color w:val="auto"/>
              </w:rPr>
            </w:pPr>
          </w:p>
        </w:tc>
      </w:tr>
      <w:tr>
        <w:trPr>
          <w:trHeight w:val="223"/>
        </w:trPr>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190,510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190,510</w:t>
            </w:r>
          </w:p>
        </w:tc>
        <w:tc>
          <w:tcPr>
            <w:tcW w:w="0" w:type="dxa"/>
            <w:vAlign w:val="bottom"/>
          </w:tcPr>
          <w:p>
            <w:pPr>
              <w:spacing w:after="0"/>
              <w:rPr>
                <w:sz w:val="1"/>
                <w:szCs w:val="1"/>
                <w:color w:val="auto"/>
              </w:rPr>
            </w:pPr>
          </w:p>
        </w:tc>
      </w:tr>
      <w:tr>
        <w:trPr>
          <w:trHeight w:val="230"/>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 compensation</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27,331</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(3,230)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(94,669)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29"/>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Settlement of vested Restricted Stock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480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Issuance of common stock under employee stock purchase</w:t>
            </w: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plan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29"/>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option exercises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14,421</w:t>
            </w:r>
          </w:p>
        </w:tc>
        <w:tc>
          <w:tcPr>
            <w:tcW w:w="0" w:type="dxa"/>
            <w:vAlign w:val="bottom"/>
          </w:tcPr>
          <w:p>
            <w:pPr>
              <w:spacing w:after="0"/>
              <w:rPr>
                <w:sz w:val="1"/>
                <w:szCs w:val="1"/>
                <w:color w:val="auto"/>
              </w:rPr>
            </w:pPr>
          </w:p>
        </w:tc>
      </w:tr>
      <w:tr>
        <w:trPr>
          <w:trHeight w:val="184"/>
        </w:trPr>
        <w:tc>
          <w:tcPr>
            <w:tcW w:w="480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Recognized interest expense on interest rate swaps (net of tax</w:t>
            </w: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impact of $163)</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23"/>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July 31, 2021</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92,884</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187,746</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1,260,805</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1,447,618</w:t>
            </w:r>
          </w:p>
        </w:tc>
        <w:tc>
          <w:tcPr>
            <w:tcW w:w="0" w:type="dxa"/>
            <w:vAlign w:val="bottom"/>
          </w:tcPr>
          <w:p>
            <w:pPr>
              <w:spacing w:after="0"/>
              <w:rPr>
                <w:sz w:val="1"/>
                <w:szCs w:val="1"/>
                <w:color w:val="auto"/>
              </w:rPr>
            </w:pPr>
          </w:p>
        </w:tc>
      </w:tr>
      <w:tr>
        <w:trPr>
          <w:trHeight w:val="223"/>
        </w:trPr>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161,305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161,305</w:t>
            </w:r>
          </w:p>
        </w:tc>
        <w:tc>
          <w:tcPr>
            <w:tcW w:w="0" w:type="dxa"/>
            <w:vAlign w:val="bottom"/>
          </w:tcPr>
          <w:p>
            <w:pPr>
              <w:spacing w:after="0"/>
              <w:rPr>
                <w:sz w:val="1"/>
                <w:szCs w:val="1"/>
                <w:color w:val="auto"/>
              </w:rPr>
            </w:pPr>
          </w:p>
        </w:tc>
      </w:tr>
      <w:tr>
        <w:trPr>
          <w:trHeight w:val="230"/>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 compensation</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(5,723)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(233,839)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(245,837)</w:t>
            </w:r>
          </w:p>
        </w:tc>
        <w:tc>
          <w:tcPr>
            <w:tcW w:w="0" w:type="dxa"/>
            <w:vAlign w:val="bottom"/>
          </w:tcPr>
          <w:p>
            <w:pPr>
              <w:spacing w:after="0"/>
              <w:rPr>
                <w:sz w:val="1"/>
                <w:szCs w:val="1"/>
                <w:color w:val="auto"/>
              </w:rPr>
            </w:pPr>
          </w:p>
        </w:tc>
      </w:tr>
      <w:tr>
        <w:trPr>
          <w:trHeight w:val="230"/>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option exercises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9,613</w:t>
            </w:r>
          </w:p>
        </w:tc>
        <w:tc>
          <w:tcPr>
            <w:tcW w:w="0" w:type="dxa"/>
            <w:vAlign w:val="bottom"/>
          </w:tcPr>
          <w:p>
            <w:pPr>
              <w:spacing w:after="0"/>
              <w:rPr>
                <w:sz w:val="1"/>
                <w:szCs w:val="1"/>
                <w:color w:val="auto"/>
              </w:rPr>
            </w:pPr>
          </w:p>
        </w:tc>
      </w:tr>
      <w:tr>
        <w:trPr>
          <w:trHeight w:val="184"/>
        </w:trPr>
        <w:tc>
          <w:tcPr>
            <w:tcW w:w="480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Recognized interest expense on interest rate swaps (net of tax</w:t>
            </w: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impact of $115)</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2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October 30, 2021</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88,165</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188,329</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1,188,271</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1,375,994</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4"/>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r>
      <w:tr>
        <w:trPr>
          <w:trHeight w:val="211"/>
        </w:trPr>
        <w:tc>
          <w:tcPr>
            <w:tcW w:w="7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October 29, 2022</w:t>
            </w:r>
          </w:p>
        </w:tc>
        <w:tc>
          <w:tcPr>
            <w:tcW w:w="180" w:type="dxa"/>
            <w:vAlign w:val="bottom"/>
          </w:tcPr>
          <w:p>
            <w:pPr>
              <w:spacing w:after="0"/>
              <w:rPr>
                <w:sz w:val="18"/>
                <w:szCs w:val="18"/>
                <w:color w:val="auto"/>
              </w:rPr>
            </w:pPr>
          </w:p>
        </w:tc>
        <w:tc>
          <w:tcPr>
            <w:tcW w:w="15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October 30, 2021</w:t>
            </w:r>
          </w:p>
        </w:tc>
      </w:tr>
      <w:tr>
        <w:trPr>
          <w:trHeight w:val="198"/>
        </w:trPr>
        <w:tc>
          <w:tcPr>
            <w:tcW w:w="7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8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r>
      <w:tr>
        <w:trPr>
          <w:trHeight w:val="214"/>
        </w:trPr>
        <w:tc>
          <w:tcPr>
            <w:tcW w:w="7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470,348</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529,611</w:t>
            </w:r>
          </w:p>
        </w:tc>
      </w:tr>
      <w:tr>
        <w:trPr>
          <w:trHeight w:val="218"/>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4"/>
        </w:trPr>
        <w:tc>
          <w:tcPr>
            <w:tcW w:w="76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78,852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77,767</w:t>
            </w:r>
          </w:p>
        </w:tc>
      </w:tr>
      <w:tr>
        <w:trPr>
          <w:trHeight w:val="218"/>
        </w:trPr>
        <w:tc>
          <w:tcPr>
            <w:tcW w:w="7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Non-cash lease expense</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w:t>
            </w:r>
          </w:p>
        </w:tc>
      </w:tr>
      <w:tr>
        <w:trPr>
          <w:trHeight w:val="214"/>
        </w:trPr>
        <w:tc>
          <w:tcPr>
            <w:tcW w:w="76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Equity compensation</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15,486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36,126</w:t>
            </w:r>
          </w:p>
        </w:tc>
      </w:tr>
      <w:tr>
        <w:trPr>
          <w:trHeight w:val="218"/>
        </w:trPr>
        <w:tc>
          <w:tcPr>
            <w:tcW w:w="7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Amortization of terminated interest rate swaps, deferred loan and other costs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2,328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4,787</w:t>
            </w:r>
          </w:p>
        </w:tc>
      </w:tr>
      <w:tr>
        <w:trPr>
          <w:trHeight w:val="214"/>
        </w:trPr>
        <w:tc>
          <w:tcPr>
            <w:tcW w:w="76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25,631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48,991</w:t>
            </w:r>
          </w:p>
        </w:tc>
      </w:tr>
      <w:tr>
        <w:trPr>
          <w:trHeight w:val="218"/>
        </w:trPr>
        <w:tc>
          <w:tcPr>
            <w:tcW w:w="7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Non-cash loss on early retirement of debt</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2,239</w:t>
            </w:r>
          </w:p>
        </w:tc>
      </w:tr>
      <w:tr>
        <w:trPr>
          <w:trHeight w:val="213"/>
        </w:trPr>
        <w:tc>
          <w:tcPr>
            <w:tcW w:w="76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9"/>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Accounts receivable, net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3,720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4,938</w:t>
            </w:r>
          </w:p>
        </w:tc>
      </w:tr>
      <w:tr>
        <w:trPr>
          <w:trHeight w:val="214"/>
        </w:trPr>
        <w:tc>
          <w:tcPr>
            <w:tcW w:w="76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Merchandise inventories, net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(323,656)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(335,945)</w:t>
            </w:r>
          </w:p>
        </w:tc>
      </w:tr>
      <w:tr>
        <w:trPr>
          <w:trHeight w:val="218"/>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798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(16,177)</w:t>
            </w:r>
          </w:p>
        </w:tc>
      </w:tr>
      <w:tr>
        <w:trPr>
          <w:trHeight w:val="214"/>
        </w:trPr>
        <w:tc>
          <w:tcPr>
            <w:tcW w:w="76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Other noncurrent assets</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(8,987)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2,207</w:t>
            </w:r>
          </w:p>
        </w:tc>
      </w:tr>
      <w:tr>
        <w:trPr>
          <w:trHeight w:val="218"/>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95,183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128,743</w:t>
            </w:r>
          </w:p>
        </w:tc>
      </w:tr>
      <w:tr>
        <w:trPr>
          <w:trHeight w:val="214"/>
        </w:trPr>
        <w:tc>
          <w:tcPr>
            <w:tcW w:w="76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(39,196)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34,683</w:t>
            </w:r>
          </w:p>
        </w:tc>
      </w:tr>
      <w:tr>
        <w:trPr>
          <w:trHeight w:val="218"/>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Income taxes payable</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(12,332)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w:t>
            </w:r>
          </w:p>
        </w:tc>
      </w:tr>
      <w:tr>
        <w:trPr>
          <w:trHeight w:val="214"/>
        </w:trPr>
        <w:tc>
          <w:tcPr>
            <w:tcW w:w="76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359</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(1,785)</w:t>
            </w:r>
          </w:p>
        </w:tc>
      </w:tr>
      <w:tr>
        <w:trPr>
          <w:trHeight w:val="209"/>
        </w:trPr>
        <w:tc>
          <w:tcPr>
            <w:tcW w:w="76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309,169</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515,063</w:t>
            </w:r>
          </w:p>
        </w:tc>
      </w:tr>
      <w:tr>
        <w:trPr>
          <w:trHeight w:val="90"/>
        </w:trPr>
        <w:tc>
          <w:tcPr>
            <w:tcW w:w="7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60" w:type="dxa"/>
            <w:vAlign w:val="bottom"/>
          </w:tcPr>
          <w:p>
            <w:pPr>
              <w:spacing w:after="0"/>
              <w:rPr>
                <w:sz w:val="7"/>
                <w:szCs w:val="7"/>
                <w:color w:val="auto"/>
              </w:rPr>
            </w:pPr>
          </w:p>
        </w:tc>
      </w:tr>
      <w:tr>
        <w:trPr>
          <w:trHeight w:val="21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4"/>
        </w:trPr>
        <w:tc>
          <w:tcPr>
            <w:tcW w:w="7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Capital expenditures</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(79,454)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(58,567)</w:t>
            </w:r>
          </w:p>
        </w:tc>
      </w:tr>
      <w:tr>
        <w:trPr>
          <w:trHeight w:val="218"/>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Purchases of intangible assets</w:t>
            </w: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(357)</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r>
      <w:tr>
        <w:trPr>
          <w:trHeight w:val="208"/>
        </w:trPr>
        <w:tc>
          <w:tcPr>
            <w:tcW w:w="768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(79,811)</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(58,711)</w:t>
            </w:r>
          </w:p>
        </w:tc>
      </w:tr>
      <w:tr>
        <w:trPr>
          <w:trHeight w:val="90"/>
        </w:trPr>
        <w:tc>
          <w:tcPr>
            <w:tcW w:w="76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9"/>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Repayment of Term Loan</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(2,250)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(101,500)</w:t>
            </w:r>
          </w:p>
        </w:tc>
      </w:tr>
      <w:tr>
        <w:trPr>
          <w:trHeight w:val="214"/>
        </w:trPr>
        <w:tc>
          <w:tcPr>
            <w:tcW w:w="7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Debt issuance fees</w:t>
            </w:r>
          </w:p>
        </w:tc>
        <w:tc>
          <w:tcPr>
            <w:tcW w:w="18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w:t>
            </w:r>
          </w:p>
        </w:tc>
      </w:tr>
      <w:tr>
        <w:trPr>
          <w:trHeight w:val="218"/>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Share-Based Award Payments</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(11,214)</w:t>
            </w:r>
          </w:p>
        </w:tc>
      </w:tr>
      <w:tr>
        <w:trPr>
          <w:trHeight w:val="214"/>
        </w:trPr>
        <w:tc>
          <w:tcPr>
            <w:tcW w:w="7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11,559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41,292</w:t>
            </w:r>
          </w:p>
        </w:tc>
      </w:tr>
      <w:tr>
        <w:trPr>
          <w:trHeight w:val="218"/>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issuance of common stock under employee stock purchase program</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2,797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w:t>
            </w:r>
          </w:p>
        </w:tc>
      </w:tr>
      <w:tr>
        <w:trPr>
          <w:trHeight w:val="214"/>
        </w:trPr>
        <w:tc>
          <w:tcPr>
            <w:tcW w:w="7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(1,078)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(15,418)</w:t>
            </w:r>
          </w:p>
        </w:tc>
      </w:tr>
      <w:tr>
        <w:trPr>
          <w:trHeight w:val="218"/>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Repurchase of common stock for retirement</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(389,436)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(345,837)</w:t>
            </w:r>
          </w:p>
        </w:tc>
      </w:tr>
      <w:tr>
        <w:trPr>
          <w:trHeight w:val="214"/>
        </w:trPr>
        <w:tc>
          <w:tcPr>
            <w:tcW w:w="7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Dividends paid</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(18,781)</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6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(397,189)</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(432,659)</w:t>
            </w:r>
          </w:p>
        </w:tc>
      </w:tr>
      <w:tr>
        <w:trPr>
          <w:trHeight w:val="90"/>
        </w:trPr>
        <w:tc>
          <w:tcPr>
            <w:tcW w:w="7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60" w:type="dxa"/>
            <w:vAlign w:val="bottom"/>
          </w:tcPr>
          <w:p>
            <w:pPr>
              <w:spacing w:after="0"/>
              <w:rPr>
                <w:sz w:val="7"/>
                <w:szCs w:val="7"/>
                <w:color w:val="auto"/>
              </w:rPr>
            </w:pPr>
          </w:p>
        </w:tc>
      </w:tr>
      <w:tr>
        <w:trPr>
          <w:trHeight w:val="21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(167,831)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23,693</w:t>
            </w:r>
          </w:p>
        </w:tc>
      </w:tr>
      <w:tr>
        <w:trPr>
          <w:trHeight w:val="214"/>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485,998</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377,604</w:t>
            </w:r>
          </w:p>
        </w:tc>
      </w:tr>
      <w:tr>
        <w:trPr>
          <w:trHeight w:val="236"/>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318,167</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401,297</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7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60" w:type="dxa"/>
            <w:vAlign w:val="bottom"/>
          </w:tcPr>
          <w:p>
            <w:pPr>
              <w:spacing w:after="0"/>
              <w:rPr>
                <w:sz w:val="4"/>
                <w:szCs w:val="4"/>
                <w:color w:val="auto"/>
              </w:rPr>
            </w:pPr>
          </w:p>
        </w:tc>
      </w:tr>
      <w:tr>
        <w:trPr>
          <w:trHeight w:val="21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4"/>
        </w:trPr>
        <w:tc>
          <w:tcPr>
            <w:tcW w:w="7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paid for interest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25,362</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28,481</w:t>
            </w:r>
          </w:p>
        </w:tc>
      </w:tr>
      <w:tr>
        <w:trPr>
          <w:trHeight w:val="218"/>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129,588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95,799</w:t>
            </w:r>
          </w:p>
        </w:tc>
      </w:tr>
      <w:tr>
        <w:trPr>
          <w:trHeight w:val="108"/>
        </w:trPr>
        <w:tc>
          <w:tcPr>
            <w:tcW w:w="7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60" w:type="dxa"/>
            <w:vAlign w:val="bottom"/>
          </w:tcPr>
          <w:p>
            <w:pPr>
              <w:spacing w:after="0"/>
              <w:rPr>
                <w:sz w:val="9"/>
                <w:szCs w:val="9"/>
                <w:color w:val="auto"/>
              </w:rPr>
            </w:pPr>
          </w:p>
        </w:tc>
      </w:tr>
      <w:tr>
        <w:trPr>
          <w:trHeight w:val="21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NON-CASH ACTIVITIES: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4"/>
        </w:trPr>
        <w:tc>
          <w:tcPr>
            <w:tcW w:w="7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Non-cash issuance of common shares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r>
      <w:tr>
        <w:trPr>
          <w:trHeight w:val="218"/>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 in capital expenditures in accounts payable and accrued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7,576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w:t>
            </w:r>
          </w:p>
        </w:tc>
      </w:tr>
      <w:tr>
        <w:trPr>
          <w:trHeight w:val="212"/>
        </w:trPr>
        <w:tc>
          <w:tcPr>
            <w:tcW w:w="7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Right-of-use assets obtained in exchange for new operating leases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94,845</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10,924</w:t>
            </w:r>
          </w:p>
        </w:tc>
      </w:tr>
    </w:tbl>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Condensed Notes to Consolidated Financial Statements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8" w:name="page9"/>
    <w:bookmarkEnd w:id="8"/>
    <w:p>
      <w:pPr>
        <w:jc w:val="center"/>
        <w:ind w:right="80"/>
        <w:spacing w:after="0" w:line="278" w:lineRule="auto"/>
        <w:rPr>
          <w:sz w:val="20"/>
          <w:szCs w:val="20"/>
          <w:color w:val="auto"/>
        </w:rPr>
      </w:pPr>
      <w:r>
        <w:rPr>
          <w:rFonts w:ascii="Times New Roman" w:cs="Times New Roman" w:eastAsia="Times New Roman" w:hAnsi="Times New Roman"/>
          <w:sz w:val="18"/>
          <w:szCs w:val="18"/>
          <w:b w:val="1"/>
          <w:bCs w:val="1"/>
          <w:color w:val="auto"/>
        </w:rPr>
        <w:t>ACADEMY SPORTS AND OUTDOORS, INC.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75" w:lineRule="exact"/>
        <w:rPr>
          <w:sz w:val="20"/>
          <w:szCs w:val="20"/>
          <w:color w:val="auto"/>
        </w:rPr>
      </w:pPr>
    </w:p>
    <w:p>
      <w:pPr>
        <w:jc w:val="both"/>
        <w:ind w:left="260" w:firstLine="324"/>
        <w:spacing w:after="0" w:line="255" w:lineRule="auto"/>
        <w:rPr>
          <w:sz w:val="20"/>
          <w:szCs w:val="20"/>
          <w:color w:val="auto"/>
        </w:rPr>
      </w:pPr>
      <w:r>
        <w:rPr>
          <w:rFonts w:ascii="Times New Roman" w:cs="Times New Roman" w:eastAsia="Times New Roman" w:hAnsi="Times New Roman"/>
          <w:sz w:val="18"/>
          <w:szCs w:val="18"/>
          <w:color w:val="auto"/>
        </w:rPr>
        <w:t>All references to "we," "us," "our" or the "Company" in the financial statements refer to Academy Sports and Outdoors, Inc., a Delaware corporation ("ASO, Inc.") and the current parent holding company of our operations, and its consolidated subsidiaries. We conduct our operations primarily through our parent holding company's indirect subsidiary, Academy, Ltd., a Texas limited partnership doing business as "Academy Sports + Outdoors", or Academy, Ltd. Our fiscal year represents the 52 or 53 weeks ending on the Saturday closest to January 31. On August 3, 2011, an investment entity owned by investment funds and other entities affiliated with Kohlberg Kravis Roberts &amp; Co. L.P. (collectively, "KKR"), acquired a majority interest in the Company. On October 6, 2020, ASO, Inc. completed an initial public offering and as of September 17, 2021, KKR no longer held an ownership interest in the Company.</w:t>
      </w:r>
    </w:p>
    <w:p>
      <w:pPr>
        <w:spacing w:after="0" w:line="135" w:lineRule="exact"/>
        <w:rPr>
          <w:sz w:val="20"/>
          <w:szCs w:val="20"/>
          <w:color w:val="auto"/>
        </w:rPr>
      </w:pPr>
    </w:p>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is one of the leading full-line sporting goods and outdoor recreational products retailers in the United States in terms of net sales. As of October 29, 2022, we operated 265 "Academy Sports + Outdoors" retail locations in 17 states and three distribution centers located in Katy, Texas, Twiggs County, Georgia and Cookeville, Tennessee. We also sell merchandise to customers across most of the United States via our </w:t>
      </w:r>
      <w:r>
        <w:rPr>
          <w:rFonts w:ascii="Times New Roman" w:cs="Times New Roman" w:eastAsia="Times New Roman" w:hAnsi="Times New Roman"/>
          <w:sz w:val="18"/>
          <w:szCs w:val="18"/>
          <w:i w:val="1"/>
          <w:iCs w:val="1"/>
          <w:color w:val="auto"/>
        </w:rPr>
        <w:t xml:space="preserve">academy.com </w:t>
      </w:r>
      <w:r>
        <w:rPr>
          <w:rFonts w:ascii="Times New Roman" w:cs="Times New Roman" w:eastAsia="Times New Roman" w:hAnsi="Times New Roman"/>
          <w:sz w:val="18"/>
          <w:szCs w:val="18"/>
          <w:color w:val="auto"/>
        </w:rPr>
        <w:t>website.</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Secondary Offering</w:t>
      </w:r>
    </w:p>
    <w:p>
      <w:pPr>
        <w:spacing w:after="0" w:line="175" w:lineRule="exact"/>
        <w:rPr>
          <w:sz w:val="20"/>
          <w:szCs w:val="20"/>
          <w:color w:val="auto"/>
        </w:rPr>
      </w:pPr>
    </w:p>
    <w:p>
      <w:pPr>
        <w:jc w:val="both"/>
        <w:ind w:left="260" w:firstLine="324"/>
        <w:spacing w:after="0" w:line="254" w:lineRule="auto"/>
        <w:rPr>
          <w:sz w:val="20"/>
          <w:szCs w:val="20"/>
          <w:color w:val="auto"/>
        </w:rPr>
      </w:pPr>
      <w:r>
        <w:rPr>
          <w:rFonts w:ascii="Times New Roman" w:cs="Times New Roman" w:eastAsia="Times New Roman" w:hAnsi="Times New Roman"/>
          <w:sz w:val="18"/>
          <w:szCs w:val="18"/>
          <w:color w:val="auto"/>
        </w:rPr>
        <w:t>On January 27, 2021, ASO, Inc. entered into an Underwriting Agreement (the “Underwriting Agreement”), by and among ASO, Inc., Allstar LLC, Allstar Co-Invest Blocker L.P., KKR 2006 Allstar Blocker L.P., MSI 2011 LLC, MG Family Limited Partnership and the former management selling stockholder named therein (collectively, the “Selling Stockholders”), and Credit Suisse Securities (USA) LLC and J.P. Morgan Securities LLC, as representatives of the several underwriters named therein (the “Underwriters”), relating to an underwritten offering of 12,000,000 shares of common stock (the “Secondary Offering”), pursuant to the Company’s Registration Statement on Form S-1 (File No. 333-252390), filed on January 25, 2021. The Selling Stockholders granted the Underwriters the option to purchase, within 30 days from the date of the Underwriting Agreement, an additional 1,800,000 shares of common stock. On January 29, 2021, the Underwriters exercised in full their option to purchase the additional shares. The Secondary Offering was completed on February 1, 2021. Pursuant to the Underwriting Agreement, the Underwriters purchased the shares from the Selling Stockholders at a price of approximately $20.69 per share. The Company did not receive any proceeds from the Secondary Offering.</w:t>
      </w:r>
    </w:p>
    <w:p>
      <w:pPr>
        <w:spacing w:after="0" w:line="1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May 2021 Secondary Offering and Stock Repurchase</w:t>
      </w:r>
    </w:p>
    <w:p>
      <w:pPr>
        <w:spacing w:after="0" w:line="175" w:lineRule="exact"/>
        <w:rPr>
          <w:sz w:val="20"/>
          <w:szCs w:val="20"/>
          <w:color w:val="auto"/>
        </w:rPr>
      </w:pPr>
    </w:p>
    <w:p>
      <w:pPr>
        <w:jc w:val="both"/>
        <w:ind w:left="260" w:firstLine="324"/>
        <w:spacing w:after="0" w:line="253" w:lineRule="auto"/>
        <w:rPr>
          <w:sz w:val="20"/>
          <w:szCs w:val="20"/>
          <w:color w:val="auto"/>
        </w:rPr>
      </w:pPr>
      <w:r>
        <w:rPr>
          <w:rFonts w:ascii="Times New Roman" w:cs="Times New Roman" w:eastAsia="Times New Roman" w:hAnsi="Times New Roman"/>
          <w:sz w:val="18"/>
          <w:szCs w:val="18"/>
          <w:color w:val="auto"/>
        </w:rPr>
        <w:t>On May 5, 2021, ASO, Inc. entered into an underwriting agreement (the “May 2021 Underwriting Agreement”), by and among ASO, Inc., Allstar LLC, Allstar Co-Invest Blocker L.P., KKR 2006 Allstar Blocker L.P., MSI 2011 LLC and MG Family Limited Partnership (collectively, the “May 2021 Selling Stockholders”), and Credit Suisse Securities (USA) LLC and J.P. Morgan Securities LLC, as representatives of the several underwriters named therein (the “May 2021 Underwriters”), relating to an underwritten offering of 14,000,000 shares of Common Stock at $30.96 per share (the “May 2021 Secondary Offering”), pursuant to the Company’s Registration Statement on Form S-1 (File No. 333-255720), filed on May 3, 2021. The May 2021 Selling Stockholders granted the May 2021 Underwriters the option to purchase, within 30 days from the date of the May 2021 Underwriting Agreement, an additional 2,100,000 shares of Common Stock. On May 6, 2021, the May 2021 Underwriters exercised in full their option to purchase the additional shares. The May 2021 Secondary Offering also included the Company's repurchase and simultaneous retirement of 3,229,974 shares out of the 14,000,000 shares at $30.96 per share, the same price granted to the underwriters, which was at a discount to the prevailing market price at the time of repurchase (see "Share Repurchases" in Note 2). The May 2021 Secondary Offering was completed on May 10, 2021. The Company did not receive any proceeds from the May 2021 Secondary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089" w:right="339" w:bottom="1440" w:gutter="0" w:footer="0" w:header="0"/>
        </w:sectPr>
      </w:pPr>
    </w:p>
    <w:bookmarkStart w:id="9" w:name="page10"/>
    <w:bookmarkEnd w:id="9"/>
    <w:p>
      <w:pPr>
        <w:jc w:val="both"/>
        <w:ind w:left="260" w:firstLine="324"/>
        <w:spacing w:after="0" w:line="256" w:lineRule="auto"/>
        <w:rPr>
          <w:sz w:val="20"/>
          <w:szCs w:val="20"/>
          <w:color w:val="auto"/>
        </w:rPr>
      </w:pPr>
      <w:r>
        <w:rPr>
          <w:rFonts w:ascii="Times New Roman" w:cs="Times New Roman" w:eastAsia="Times New Roman" w:hAnsi="Times New Roman"/>
          <w:sz w:val="18"/>
          <w:szCs w:val="18"/>
          <w:color w:val="auto"/>
        </w:rPr>
        <w:t>The May 2021 Secondary Offering reduced the KKR ownership interest in the Company, resulting in a vesting event (the "2021 Vesting Event") for awards granted under the 2011 Unit Incentive Plan, whereby unvested time awards and performance-based awards which had previously met their performance targets vested and unvested performance-based awards which had not previously met their performance targets were forfeited. As a result, we incurred approximately $24.9 million in non-cash expenses related to equity-based compensation and approximately $15.4 million of cash expenses related to taxes on equity-based compensation. Additionally, approximately $8.2 million of Share-Based Award Payments (see Note 9) for equity-based compensation distributions were accelerated during the 2021 second quarter.</w:t>
      </w:r>
    </w:p>
    <w:p>
      <w:pPr>
        <w:spacing w:after="0" w:line="1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September 2021 Secondary Offering and Stock Repurchase</w:t>
      </w:r>
    </w:p>
    <w:p>
      <w:pPr>
        <w:spacing w:after="0" w:line="175" w:lineRule="exact"/>
        <w:rPr>
          <w:sz w:val="20"/>
          <w:szCs w:val="20"/>
          <w:color w:val="auto"/>
        </w:rPr>
      </w:pPr>
    </w:p>
    <w:p>
      <w:pPr>
        <w:jc w:val="both"/>
        <w:ind w:left="260" w:firstLine="324"/>
        <w:spacing w:after="0" w:line="254" w:lineRule="auto"/>
        <w:rPr>
          <w:sz w:val="20"/>
          <w:szCs w:val="20"/>
          <w:color w:val="auto"/>
        </w:rPr>
      </w:pPr>
      <w:r>
        <w:rPr>
          <w:rFonts w:ascii="Times New Roman" w:cs="Times New Roman" w:eastAsia="Times New Roman" w:hAnsi="Times New Roman"/>
          <w:sz w:val="18"/>
          <w:szCs w:val="18"/>
          <w:color w:val="auto"/>
        </w:rPr>
        <w:t>On September 14, 2021, ASO, Inc. entered into an underwriting agreement (the “September 2021 Underwriting Agreement”), by and among ASO, Inc., Allstar LLC, Allstar Co-Invest Blocker L.P. and KKR 2006 Allstar Blocker L.P. (collectively, the “September 2021 Selling Stockholders”), and Credit Suisse Securities (USA) LLC, as representative of the several underwriters named therein (the “September 2021 Underwriters”), relating to an underwritten offering (the “September 2021 Secondary Offering”) of 18,645,602 shares of common stock at approximately $43.52 per share, pursuant to the Company’s Registration Statement on Form S-1 (File No. 333-259477), filed on September 13, 2021. The September 2021 Secondary Offering also included the Company’s repurchase and simultaneous retirement of 4,500,000 shares out of the 18,645,602 shares of common stock at approximately $43.52, the same price granted to the September 2021 Underwriters, which was at a discount to the prevailing market price at the time of repurchase (see "Share Repurchases" in Note 2). The September 2021 Secondary Offering was completed on September 17, 2021. The Company did not receive any proceeds from the September 2021 Secondary Offering.</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75" w:lineRule="exact"/>
        <w:rPr>
          <w:sz w:val="20"/>
          <w:szCs w:val="20"/>
          <w:color w:val="auto"/>
        </w:rPr>
      </w:pPr>
    </w:p>
    <w:p>
      <w:pPr>
        <w:jc w:val="both"/>
        <w:ind w:left="260" w:firstLine="324"/>
        <w:spacing w:after="0" w:line="253" w:lineRule="auto"/>
        <w:rPr>
          <w:sz w:val="20"/>
          <w:szCs w:val="20"/>
          <w:color w:val="auto"/>
        </w:rPr>
      </w:pPr>
      <w:r>
        <w:rPr>
          <w:rFonts w:ascii="Times New Roman" w:cs="Times New Roman" w:eastAsia="Times New Roman" w:hAnsi="Times New Roman"/>
          <w:sz w:val="18"/>
          <w:szCs w:val="18"/>
          <w:color w:val="auto"/>
        </w:rPr>
        <w:t>The accompanying unaudited financial statements of the Company have been prepared as though they were required to be in accordance with Rule 10-01 of Regulation S-X for interim financial statements, however, they do not include all information and footnotes required by United States generally accepted accounting principles ("GAAP") for complete financial statements. Certain information and footnote disclosures normally included in our annual consolidated financial statements prepared in accordance with GAAP have been condensed or omitted. However, we believe that the disclosures included herein are adequate to make the information presented not misleading. These condensed consolidated financial statements should be read in conjunction with our audited consolidated financial statements and the notes thereto included in the Company's Annual Report on Form 10-K for the fiscal year ended January 29, 2022, as filed with the Securities and Exchange Commission on March 29, 2022 (the "Annual Report"). The information furnished herein reflects all normal recurring adjustments which are, in the opinion of management, necessary for a fair presentation of the results for the interim periods presented. The results of operations for the thirteen and thirty-nine weeks ended October 29, 2022 are not necessarily indicative of the results that will be realized for the fiscal year ending January 28, 2023 or any other period. The balance sheet as of January 29, 2022 has been derived from our audited financial statements as of that date. For further information, refer to our audited financial statements and notes thereto included in the Annual Report.</w:t>
      </w:r>
    </w:p>
    <w:p>
      <w:pPr>
        <w:spacing w:after="0" w:line="2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75" w:lineRule="exact"/>
        <w:rPr>
          <w:sz w:val="20"/>
          <w:szCs w:val="20"/>
          <w:color w:val="auto"/>
        </w:rPr>
      </w:pPr>
    </w:p>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include the accounts of ASO, Inc. and its subsidiaries, New Academy Holding Company, LLC ("NAHC"), Academy Managing Co., LLC, Associated Investors, LLC, Academy, Ltd., the Company's operating company, and Academy International Limited. NAHC, Academy Managing Co., LLC, and Associated Investors, LLC are intermediate holding companies. All intercompany balances and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255" w:right="339" w:bottom="1440" w:gutter="0" w:footer="0" w:header="0"/>
        </w:sectPr>
      </w:pPr>
    </w:p>
    <w:bookmarkStart w:id="10" w:name="page11"/>
    <w:bookmarkEnd w:id="10"/>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 Our most significant estimates and assumptions that materially affect the financial statements involve difficult, subjective or complex judgments by management, including the valuation of merchandise inventories and performing goodwill, intangible and long-lived asset impairment analyses. Given the global economic climate and the possibility of additional unforeseen effects from the COVID-19 pandemic, these estimates remain challenging, and actual results could differ materially from our estimates.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21"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On September 2, 2021, the Board of Directors of the Company authorized a share repurchase program (the "2021 Share Repurchase Program") under which the Company may purchase up to $500 million of its outstanding shares during the three-year period ending September 2, 2024. On June 2, 2022, the Board of Directors of the Company authorized a new share repurchase program (the "2022 Share Repurchase Program") under which the Company may purchase up to $600 million of its outstanding shares during the three-year period ending June 2, 2025. The 2022 Share Repurchase Program and the 2021 Share Repurchase program are collectively referred to as the "Share Repurchase Programs".</w:t>
      </w:r>
    </w:p>
    <w:p>
      <w:pPr>
        <w:spacing w:after="0" w:line="129" w:lineRule="exact"/>
        <w:rPr>
          <w:sz w:val="20"/>
          <w:szCs w:val="20"/>
          <w:color w:val="auto"/>
        </w:rPr>
      </w:pPr>
    </w:p>
    <w:p>
      <w:pPr>
        <w:jc w:val="both"/>
        <w:ind w:firstLine="401"/>
        <w:spacing w:after="0" w:line="256" w:lineRule="auto"/>
        <w:rPr>
          <w:sz w:val="20"/>
          <w:szCs w:val="20"/>
          <w:color w:val="auto"/>
        </w:rPr>
      </w:pPr>
      <w:r>
        <w:rPr>
          <w:rFonts w:ascii="Times New Roman" w:cs="Times New Roman" w:eastAsia="Times New Roman" w:hAnsi="Times New Roman"/>
          <w:sz w:val="18"/>
          <w:szCs w:val="18"/>
          <w:color w:val="auto"/>
        </w:rPr>
        <w:t>Under the Share Repurchase Programs, repurchases can be made using a variety of methods, which may include open market purchases, block trades, privately negotiated transactions, accelerated share repurchase programs and/or a non-discretionary trading plan, all in compliance with the rules of the SEC and other applicable legal requirements. The timing, manner, price and amount of any common share repurchases under the Share Repurchase Programs are determined by the Company in its discretion and depend on a variety of factors, including legal requirements, price and economic and market conditions. The Share Repurchase Programs do not obligate the Company to acquire any particular number of common shares, and the programs may be suspended, extended, modified or discontinued at any time.</w:t>
      </w:r>
    </w:p>
    <w:p>
      <w:pPr>
        <w:spacing w:after="0" w:line="79" w:lineRule="exact"/>
        <w:rPr>
          <w:sz w:val="20"/>
          <w:szCs w:val="20"/>
          <w:color w:val="auto"/>
        </w:rPr>
      </w:pPr>
    </w:p>
    <w:p>
      <w:pPr>
        <w:jc w:val="both"/>
        <w:ind w:firstLine="401"/>
        <w:spacing w:after="0" w:line="255" w:lineRule="auto"/>
        <w:rPr>
          <w:sz w:val="20"/>
          <w:szCs w:val="20"/>
          <w:color w:val="auto"/>
        </w:rPr>
      </w:pPr>
      <w:r>
        <w:rPr>
          <w:rFonts w:ascii="Times New Roman" w:cs="Times New Roman" w:eastAsia="Times New Roman" w:hAnsi="Times New Roman"/>
          <w:sz w:val="18"/>
          <w:szCs w:val="18"/>
          <w:color w:val="auto"/>
        </w:rPr>
        <w:t>During the thirteen and thirty-nine weeks ended October 29, 2022, we repurchased and concurrently retired 2,176,463 and 9,999,704 shares of ASO, Inc. common stock for an aggregate amount of $100.8 million and $389.4 million, respectively, pursuant to the Share Repurchase Programs. During the thirteen and thirty-nine weeks ended October 30, 2021, we repurchased and concurrently retired 5,722,892 and 8,952,866 shares of ASO, Inc. common stock for an aggregate amount of $245.8 million and $345.8 million, respectively, which includes purchases that were made pursuant to the Share Repurchase Programs and those that were made prior to the Share Repurchase Programs. As of October 29, 2022, we no longer had availability under the 2021 Share Repurchase Program and we had approximately $399.4 million available for share repurchases pursuant to the 2022 Share Repurchase Program.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Reference Rate Reform</w:t>
      </w:r>
    </w:p>
    <w:p>
      <w:pPr>
        <w:spacing w:after="0" w:line="2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March 2020, the FASB issued ASU 2020-04, "Reference Rate Reform (Topic 848): Facilitation of the Effects of Reference Rate Reform on Financial Reporting." This pronouncement provides temporary optional expedients and exceptions to the current guidance on contract modifications and hedge accounting to ease the financial reporting burden related to the expected market transition from the London Interbank Offered Rate ("LIBOR") and other interbank offered rates to alternative reference rates. The adoption of this guidance is effective for all entities as of March 12, 2020 through December 31, 2022. The Company is currently evaluating the expedients and exceptions provided by this amendment as it relates to our transition from LIBOR to another reference rate to determine the impact.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40" w:right="339" w:bottom="1440" w:gutter="0" w:footer="0" w:header="0"/>
        </w:sectPr>
      </w:pPr>
    </w:p>
    <w:bookmarkStart w:id="11" w:name="page12"/>
    <w:bookmarkEnd w:id="11"/>
    <w:p>
      <w:pPr>
        <w:ind w:left="260"/>
        <w:spacing w:after="0"/>
        <w:rPr>
          <w:sz w:val="20"/>
          <w:szCs w:val="20"/>
          <w:color w:val="auto"/>
        </w:rPr>
      </w:pPr>
      <w:r>
        <w:rPr>
          <w:rFonts w:ascii="Times New Roman" w:cs="Times New Roman" w:eastAsia="Times New Roman" w:hAnsi="Times New Roman"/>
          <w:sz w:val="18"/>
          <w:szCs w:val="18"/>
          <w:i w:val="1"/>
          <w:iCs w:val="1"/>
          <w:color w:val="auto"/>
        </w:rPr>
        <w:t>Supplier Finance Programs</w:t>
      </w:r>
    </w:p>
    <w:p>
      <w:pPr>
        <w:spacing w:after="0" w:line="254" w:lineRule="exact"/>
        <w:rPr>
          <w:sz w:val="20"/>
          <w:szCs w:val="20"/>
          <w:color w:val="auto"/>
        </w:rPr>
      </w:pPr>
    </w:p>
    <w:p>
      <w:pPr>
        <w:jc w:val="both"/>
        <w:ind w:left="260" w:firstLine="324"/>
        <w:spacing w:after="0" w:line="256" w:lineRule="auto"/>
        <w:rPr>
          <w:sz w:val="20"/>
          <w:szCs w:val="20"/>
          <w:color w:val="auto"/>
        </w:rPr>
      </w:pPr>
      <w:r>
        <w:rPr>
          <w:rFonts w:ascii="Times New Roman" w:cs="Times New Roman" w:eastAsia="Times New Roman" w:hAnsi="Times New Roman"/>
          <w:sz w:val="18"/>
          <w:szCs w:val="18"/>
          <w:color w:val="auto"/>
        </w:rPr>
        <w:t>In September 2022, the FASB issued ASU 2022-04, "Liabilities - Supplier Finance Programs (Subtopic 405-50): Disclosure of Supplier Finance Program Obligations." This pronouncement requires that a buyer in a supplier finance program disclose sufficient information about the program to allow a user of the financial statements to understand the program's nature, activity during the period, changes from period to period and potential magnitude. The adoption of these amendments is effective for fiscal years beginning after December 15, 2022, including interim periods within those fiscal years, except the amendment on roll-forward information, which is effective for fiscal years beginning after December 15, 2023. Early adoption is permitted. The Company is currently evaluating the impact that the adoption of this accounting standard will have on its financial disclosures.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Net Sales</w:t>
      </w:r>
    </w:p>
    <w:p>
      <w:pPr>
        <w:spacing w:after="0" w:line="175" w:lineRule="exact"/>
        <w:rPr>
          <w:sz w:val="20"/>
          <w:szCs w:val="20"/>
          <w:color w:val="auto"/>
        </w:rPr>
      </w:pPr>
    </w:p>
    <w:p>
      <w:pPr>
        <w:jc w:val="both"/>
        <w:ind w:left="260" w:firstLine="324"/>
        <w:spacing w:after="0" w:line="266" w:lineRule="auto"/>
        <w:rPr>
          <w:sz w:val="20"/>
          <w:szCs w:val="20"/>
          <w:color w:val="auto"/>
        </w:rPr>
      </w:pPr>
      <w:r>
        <w:rPr>
          <w:rFonts w:ascii="Times New Roman" w:cs="Times New Roman" w:eastAsia="Times New Roman" w:hAnsi="Times New Roman"/>
          <w:sz w:val="18"/>
          <w:szCs w:val="18"/>
          <w:color w:val="auto"/>
        </w:rPr>
        <w:t>Revenue from merchandise sales is recognized, net of sales tax, when the Company’s performance obligation to the customer is met, which is when the Company transfers control of the merchandise to the customer. Store merchandise sales are recognized at the point of sale and e-commerce sales are recognized upon delivery to the customer.</w:t>
      </w:r>
    </w:p>
    <w:p>
      <w:pPr>
        <w:spacing w:after="0" w:line="1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sets forth the approximate amount of sales by merchandise divisions for the periods presented (amounts in thousands):</w:t>
      </w:r>
    </w:p>
    <w:p>
      <w:pPr>
        <w:spacing w:after="0" w:line="208"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80" w:type="dxa"/>
            <w:vAlign w:val="bottom"/>
            <w:gridSpan w:val="5"/>
          </w:tcPr>
          <w:p>
            <w:pPr>
              <w:ind w:left="70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60" w:type="dxa"/>
            <w:vAlign w:val="bottom"/>
          </w:tcPr>
          <w:p>
            <w:pPr>
              <w:spacing w:after="0"/>
              <w:rPr>
                <w:sz w:val="20"/>
                <w:szCs w:val="20"/>
                <w:color w:val="auto"/>
              </w:rPr>
            </w:pPr>
          </w:p>
        </w:tc>
        <w:tc>
          <w:tcPr>
            <w:tcW w:w="330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23"/>
        </w:trPr>
        <w:tc>
          <w:tcPr>
            <w:tcW w:w="38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1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October 30, 2021</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1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October 30, 2021</w:t>
            </w:r>
          </w:p>
        </w:tc>
      </w:tr>
      <w:tr>
        <w:trPr>
          <w:trHeight w:val="209"/>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Merchandise division sales</w:t>
            </w:r>
          </w:p>
        </w:tc>
        <w:tc>
          <w:tcPr>
            <w:tcW w:w="1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r>
      <w:tr>
        <w:trPr>
          <w:trHeight w:val="230"/>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Outdoors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473,014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578,987</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1,423,641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1,604,045</w:t>
            </w:r>
          </w:p>
        </w:tc>
      </w:tr>
      <w:tr>
        <w:trPr>
          <w:trHeight w:val="229"/>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Sports and recreation</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274,262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1,028,641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1,098,621</w:t>
            </w:r>
          </w:p>
        </w:tc>
      </w:tr>
      <w:tr>
        <w:trPr>
          <w:trHeight w:val="230"/>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Apparel</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401,892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399,852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1,207,979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1,269,106</w:t>
            </w:r>
          </w:p>
        </w:tc>
      </w:tr>
      <w:tr>
        <w:trPr>
          <w:trHeight w:val="229"/>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Footwear</w:t>
            </w: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336,296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320,119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961,940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967,839</w:t>
            </w:r>
          </w:p>
        </w:tc>
      </w:tr>
      <w:tr>
        <w:trPr>
          <w:trHeight w:val="223"/>
        </w:trPr>
        <w:tc>
          <w:tcPr>
            <w:tcW w:w="3860" w:type="dxa"/>
            <w:vAlign w:val="bottom"/>
          </w:tcPr>
          <w:p>
            <w:pPr>
              <w:ind w:left="440"/>
              <w:spacing w:after="0" w:line="223" w:lineRule="exact"/>
              <w:rPr>
                <w:sz w:val="20"/>
                <w:szCs w:val="20"/>
                <w:color w:val="auto"/>
              </w:rPr>
            </w:pPr>
            <w:r>
              <w:rPr>
                <w:rFonts w:ascii="Times New Roman" w:cs="Times New Roman" w:eastAsia="Times New Roman" w:hAnsi="Times New Roman"/>
                <w:sz w:val="18"/>
                <w:szCs w:val="18"/>
                <w:color w:val="auto"/>
              </w:rPr>
              <w:t xml:space="preserve">Total merchandise sales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1,485,464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1,584,572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4,622,201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4,939,611</w:t>
            </w:r>
          </w:p>
        </w:tc>
      </w:tr>
      <w:tr>
        <w:trPr>
          <w:trHeight w:val="230"/>
        </w:trPr>
        <w:tc>
          <w:tcPr>
            <w:tcW w:w="3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sales </w:t>
            </w:r>
            <w:r>
              <w:rPr>
                <w:rFonts w:ascii="Times New Roman" w:cs="Times New Roman" w:eastAsia="Times New Roman" w:hAnsi="Times New Roman"/>
                <w:sz w:val="23"/>
                <w:szCs w:val="23"/>
                <w:color w:val="auto"/>
                <w:vertAlign w:val="superscript"/>
              </w:rPr>
              <w:t>(2)</w:t>
            </w: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8,461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26,369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25,047</w:t>
            </w:r>
          </w:p>
        </w:tc>
      </w:tr>
      <w:tr>
        <w:trPr>
          <w:trHeight w:val="223"/>
        </w:trPr>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1,493,925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1,592,795</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4,648,570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4,964,658</w:t>
            </w:r>
          </w:p>
        </w:tc>
      </w:tr>
      <w:tr>
        <w:trPr>
          <w:trHeight w:val="20"/>
        </w:trPr>
        <w:tc>
          <w:tcPr>
            <w:tcW w:w="3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420" w:hanging="168"/>
        <w:spacing w:after="0" w:line="241" w:lineRule="auto"/>
        <w:tabs>
          <w:tab w:leader="none" w:pos="423"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E-commerce sales consisted of 9.5% and 9.7% of merchandise sales for the thirteen and thirty-nine weeks ended October 29, 2022, respectively, and 8.0% for the thirteen and thirty-nine weeks and October 30, 2021.</w:t>
      </w:r>
    </w:p>
    <w:p>
      <w:pPr>
        <w:ind w:left="420" w:hanging="168"/>
        <w:spacing w:after="0" w:line="219" w:lineRule="auto"/>
        <w:tabs>
          <w:tab w:leader="none" w:pos="456"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sales consisted primarily of the sales return allowance, gift card breakage income, credit card bounties and royalties, shipping income, net hunting and fishing license income and other items.</w:t>
      </w:r>
    </w:p>
    <w:p>
      <w:pPr>
        <w:spacing w:after="0" w:line="145" w:lineRule="exact"/>
        <w:rPr>
          <w:sz w:val="20"/>
          <w:szCs w:val="20"/>
          <w:color w:val="auto"/>
        </w:rPr>
      </w:pPr>
    </w:p>
    <w:p>
      <w:pPr>
        <w:jc w:val="both"/>
        <w:ind w:left="260" w:firstLine="324"/>
        <w:spacing w:after="0" w:line="266" w:lineRule="auto"/>
        <w:rPr>
          <w:sz w:val="20"/>
          <w:szCs w:val="20"/>
          <w:color w:val="auto"/>
        </w:rPr>
      </w:pPr>
      <w:r>
        <w:rPr>
          <w:rFonts w:ascii="Times New Roman" w:cs="Times New Roman" w:eastAsia="Times New Roman" w:hAnsi="Times New Roman"/>
          <w:sz w:val="18"/>
          <w:szCs w:val="18"/>
          <w:color w:val="auto"/>
        </w:rPr>
        <w:t>We sell gift cards in stores, online and in third-party retail locations. A liability for gift cards, which is recorded in accrued expenses and other liabilities on our consolidated balance sheets is established at the time of sale and revenues are recognized as the gift cards are redeemed in stores or on our website.</w:t>
      </w:r>
    </w:p>
    <w:p>
      <w:pPr>
        <w:spacing w:after="0" w:line="1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is a reconciliation of the gift card liability (amounts in thousands):</w:t>
      </w:r>
    </w:p>
    <w:p>
      <w:pPr>
        <w:spacing w:after="0" w:line="46"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8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40" w:type="dxa"/>
            <w:vAlign w:val="bottom"/>
          </w:tcPr>
          <w:p>
            <w:pPr>
              <w:spacing w:after="0"/>
              <w:rPr>
                <w:sz w:val="20"/>
                <w:szCs w:val="20"/>
                <w:color w:val="auto"/>
              </w:rPr>
            </w:pPr>
          </w:p>
        </w:tc>
        <w:tc>
          <w:tcPr>
            <w:tcW w:w="320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23"/>
        </w:trPr>
        <w:tc>
          <w:tcPr>
            <w:tcW w:w="37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1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October 30, 2021</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1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October 30, 2021</w:t>
            </w:r>
          </w:p>
        </w:tc>
      </w:tr>
      <w:tr>
        <w:trPr>
          <w:trHeight w:val="223"/>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Gift card liability, beginning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69,959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60,526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86,568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74,253</w:t>
            </w:r>
          </w:p>
        </w:tc>
      </w:tr>
      <w:tr>
        <w:trPr>
          <w:trHeight w:val="223"/>
        </w:trPr>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Issued</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63,164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61,333</w:t>
            </w:r>
          </w:p>
        </w:tc>
      </w:tr>
      <w:tr>
        <w:trPr>
          <w:trHeight w:val="230"/>
        </w:trPr>
        <w:tc>
          <w:tcPr>
            <w:tcW w:w="3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Redeemed</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(80,668)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(74,749)</w:t>
            </w:r>
          </w:p>
        </w:tc>
      </w:tr>
      <w:tr>
        <w:trPr>
          <w:trHeight w:val="229"/>
        </w:trPr>
        <w:tc>
          <w:tcPr>
            <w:tcW w:w="3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Recognized as breakage income</w:t>
            </w: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w:t>
            </w:r>
          </w:p>
        </w:tc>
      </w:tr>
      <w:tr>
        <w:trPr>
          <w:trHeight w:val="248"/>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Gift card liability, 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66,544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58,309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66,544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58,309</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09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Long-Term Debt</w:t>
            </w: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59"/>
        </w:trPr>
        <w:tc>
          <w:tcPr>
            <w:tcW w:w="260" w:type="dxa"/>
            <w:vAlign w:val="bottom"/>
          </w:tcPr>
          <w:p>
            <w:pPr>
              <w:spacing w:after="0"/>
              <w:rPr>
                <w:sz w:val="24"/>
                <w:szCs w:val="24"/>
                <w:color w:val="auto"/>
              </w:rPr>
            </w:pPr>
          </w:p>
        </w:tc>
        <w:tc>
          <w:tcPr>
            <w:tcW w:w="5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Our debt consisted of the following (amounts in thousands) as of:</w:t>
            </w: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6"/>
        </w:trPr>
        <w:tc>
          <w:tcPr>
            <w:tcW w:w="260" w:type="dxa"/>
            <w:vAlign w:val="bottom"/>
          </w:tcPr>
          <w:p>
            <w:pPr>
              <w:spacing w:after="0"/>
              <w:rPr>
                <w:sz w:val="22"/>
                <w:szCs w:val="22"/>
                <w:color w:val="auto"/>
              </w:rPr>
            </w:pPr>
          </w:p>
        </w:tc>
        <w:tc>
          <w:tcPr>
            <w:tcW w:w="5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160" w:type="dxa"/>
            <w:vAlign w:val="bottom"/>
          </w:tcPr>
          <w:p>
            <w:pPr>
              <w:spacing w:after="0"/>
              <w:rPr>
                <w:sz w:val="22"/>
                <w:szCs w:val="22"/>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January 29, 2022</w:t>
            </w:r>
          </w:p>
        </w:tc>
        <w:tc>
          <w:tcPr>
            <w:tcW w:w="160" w:type="dxa"/>
            <w:vAlign w:val="bottom"/>
          </w:tcPr>
          <w:p>
            <w:pPr>
              <w:spacing w:after="0"/>
              <w:rPr>
                <w:sz w:val="22"/>
                <w:szCs w:val="22"/>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October 30, 2021</w:t>
            </w:r>
          </w:p>
        </w:tc>
      </w:tr>
      <w:tr>
        <w:trPr>
          <w:trHeight w:val="223"/>
        </w:trPr>
        <w:tc>
          <w:tcPr>
            <w:tcW w:w="260" w:type="dxa"/>
            <w:vAlign w:val="bottom"/>
          </w:tcPr>
          <w:p>
            <w:pPr>
              <w:spacing w:after="0"/>
              <w:rPr>
                <w:sz w:val="19"/>
                <w:szCs w:val="19"/>
                <w:color w:val="auto"/>
              </w:rPr>
            </w:pPr>
          </w:p>
        </w:tc>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ABL Facility, due November 2025</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due November 2027</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295,500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298,500</w:t>
            </w:r>
          </w:p>
        </w:tc>
      </w:tr>
      <w:tr>
        <w:trPr>
          <w:trHeight w:val="230"/>
        </w:trPr>
        <w:tc>
          <w:tcPr>
            <w:tcW w:w="26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due November 2027</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400,000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23"/>
        </w:trPr>
        <w:tc>
          <w:tcPr>
            <w:tcW w:w="26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695,500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697,750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698,500</w:t>
            </w:r>
          </w:p>
        </w:tc>
      </w:tr>
      <w:tr>
        <w:trPr>
          <w:trHeight w:val="230"/>
        </w:trPr>
        <w:tc>
          <w:tcPr>
            <w:tcW w:w="26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9"/>
        </w:trPr>
        <w:tc>
          <w:tcPr>
            <w:tcW w:w="2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discount on Term Loan</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w:t>
            </w:r>
          </w:p>
        </w:tc>
      </w:tr>
      <w:tr>
        <w:trPr>
          <w:trHeight w:val="229"/>
        </w:trPr>
        <w:tc>
          <w:tcPr>
            <w:tcW w:w="260" w:type="dxa"/>
            <w:vAlign w:val="bottom"/>
          </w:tcPr>
          <w:p>
            <w:pPr>
              <w:spacing w:after="0"/>
              <w:rPr>
                <w:sz w:val="19"/>
                <w:szCs w:val="19"/>
                <w:color w:val="auto"/>
              </w:rPr>
            </w:pPr>
          </w:p>
        </w:tc>
        <w:tc>
          <w:tcPr>
            <w:tcW w:w="51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deferred loan costs </w:t>
            </w:r>
            <w:r>
              <w:rPr>
                <w:rFonts w:ascii="Times New Roman" w:cs="Times New Roman" w:eastAsia="Times New Roman" w:hAnsi="Times New Roman"/>
                <w:sz w:val="23"/>
                <w:szCs w:val="23"/>
                <w:color w:val="auto"/>
                <w:vertAlign w:val="superscript"/>
              </w:rPr>
              <w:t>(1)</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(7,562)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(9,083)</w:t>
            </w:r>
          </w:p>
        </w:tc>
      </w:tr>
      <w:tr>
        <w:trPr>
          <w:trHeight w:val="223"/>
        </w:trPr>
        <w:tc>
          <w:tcPr>
            <w:tcW w:w="26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682,803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683,585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683,845</w:t>
            </w:r>
          </w:p>
        </w:tc>
      </w:tr>
      <w:tr>
        <w:trPr>
          <w:trHeight w:val="21"/>
        </w:trPr>
        <w:tc>
          <w:tcPr>
            <w:tcW w:w="2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Deferred loan costs are related to the Term Loan and Notes.</w:t>
      </w:r>
    </w:p>
    <w:p>
      <w:pPr>
        <w:spacing w:after="0" w:line="117" w:lineRule="exact"/>
        <w:rPr>
          <w:sz w:val="20"/>
          <w:szCs w:val="20"/>
          <w:color w:val="auto"/>
        </w:rPr>
      </w:pPr>
    </w:p>
    <w:p>
      <w:pPr>
        <w:jc w:val="both"/>
        <w:ind w:left="260" w:firstLine="324"/>
        <w:spacing w:after="0" w:line="273" w:lineRule="auto"/>
        <w:rPr>
          <w:sz w:val="20"/>
          <w:szCs w:val="20"/>
          <w:color w:val="auto"/>
        </w:rPr>
      </w:pPr>
      <w:r>
        <w:rPr>
          <w:rFonts w:ascii="Times New Roman" w:cs="Times New Roman" w:eastAsia="Times New Roman" w:hAnsi="Times New Roman"/>
          <w:sz w:val="17"/>
          <w:szCs w:val="17"/>
          <w:color w:val="auto"/>
        </w:rPr>
        <w:t>As of October 29, 2022, January 29, 2022 and October 30, 2021, the balance in deferred loan costs related to the ABL Facility (as defined below) was approximately $3.5 million, $4.3 million and $4.6 million, respectively, and was included in other noncurrent assets on our consolidated balance sheets. Total amortization of deferred loan costs was $0.7 million and $2.0 million for the thirteen and thirty-nine weeks ended October 29, 2022, respectively, and $0.6 million and $2.0 million for the thirteen and thirty-nine weeks ended October 30, 2021, respectively. Total expenses related to accretion of original issuance discount were $0.1 million and $0.3 million for the thirteen and thirty-nine weeks ended October 29, 2022, respectively, and $0.1 million and $0.4 million for the thirteen and thirty-nine weeks ended and October 30, 2021, respectively. The expenses related to amortization of deferred loan costs and accretion of original issuance discount are included in interest expense, net on the consolidated statements of income.</w:t>
      </w:r>
    </w:p>
    <w:p>
      <w:pPr>
        <w:spacing w:after="0" w:line="1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Term Loan</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refer to the 2020 Term Loan and the Amendment collectively as the "Term Loan".</w:t>
      </w:r>
    </w:p>
    <w:p>
      <w:pPr>
        <w:spacing w:after="0" w:line="171" w:lineRule="exact"/>
        <w:rPr>
          <w:sz w:val="20"/>
          <w:szCs w:val="20"/>
          <w:color w:val="auto"/>
        </w:rPr>
      </w:pPr>
    </w:p>
    <w:p>
      <w:pPr>
        <w:jc w:val="both"/>
        <w:ind w:left="260" w:firstLine="324"/>
        <w:spacing w:after="0" w:line="256" w:lineRule="auto"/>
        <w:rPr>
          <w:sz w:val="20"/>
          <w:szCs w:val="20"/>
          <w:color w:val="auto"/>
        </w:rPr>
      </w:pPr>
      <w:r>
        <w:rPr>
          <w:rFonts w:ascii="Times New Roman" w:cs="Times New Roman" w:eastAsia="Times New Roman" w:hAnsi="Times New Roman"/>
          <w:sz w:val="18"/>
          <w:szCs w:val="18"/>
          <w:color w:val="auto"/>
        </w:rPr>
        <w:t>On November 6, 2020, Academy, Ltd. entered into a seven-year $400.0 million senior secured term loan (the "2020 Term Loan") with Credit Suisse AG, Cayman Island Branch ("Credit Suisse"), as the administrative agent and collateral agent and the several other lenders and parties. The 2020 Term Loan will mature on November 6, 2027. The 2020 Term Loan bore interest, at Academy, Ltd.’s election, at either (1) LIBOR rate with a floor of 0.75%, plus a margin of 5.00%, or (2) a base rate equal to the highest of (a) the federal funds rate plus 0.50%, (b) Credit Suisse’s "prime rate", or (c) the one-month LIBOR rate plus 1.00%, plus a margin of 4.00%. Quarterly principal payments of approximately $1.0 million were required through September 30, 2027, with the balance due in full on the maturity date of November 6, 2027.</w:t>
      </w:r>
    </w:p>
    <w:p>
      <w:pPr>
        <w:spacing w:after="0" w:line="133" w:lineRule="exact"/>
        <w:rPr>
          <w:sz w:val="20"/>
          <w:szCs w:val="20"/>
          <w:color w:val="auto"/>
        </w:rPr>
      </w:pPr>
    </w:p>
    <w:p>
      <w:pPr>
        <w:jc w:val="both"/>
        <w:ind w:left="260" w:firstLine="324"/>
        <w:spacing w:after="0" w:line="253" w:lineRule="auto"/>
        <w:rPr>
          <w:sz w:val="20"/>
          <w:szCs w:val="20"/>
          <w:color w:val="auto"/>
        </w:rPr>
      </w:pPr>
      <w:r>
        <w:rPr>
          <w:rFonts w:ascii="Times New Roman" w:cs="Times New Roman" w:eastAsia="Times New Roman" w:hAnsi="Times New Roman"/>
          <w:sz w:val="18"/>
          <w:szCs w:val="18"/>
          <w:color w:val="auto"/>
        </w:rPr>
        <w:t>On May 25, 2021, Academy, Ltd. entered into Amendment No. 4 (the “Amendment”) to the Second Amended and Restated Credit Agreement, dated as of November 6, 2020, among Academy, Ltd., as Borrower, Credit Suisse AG, Cayman Islands Branch, as the administrative agent and collateral agent, the several lenders party thereto and the several other parties named therein (as previously amended, the “Existing Credit Agreement” and as amended by the Amendment, the “Amended Credit Agreement”). Pursuant to the terms of the Amendment, Academy, Ltd. (i) reduced the applicable margin on LIBOR borrowings under the Existing Credit Agreement from 5.00% to 3.75% and (ii) utilized cash on hand to repay $99.0 million of outstanding borrowings under the Existing Credit Agreement, leaving an outstanding principal balance of $300.0 million under the Amended Credit Agreement. Quarterly principal payments of $750.0 thousand are required through September 30, 2027 and borrowings under the Amended Credit Agreement will continue to mature on November 6, 2027. All other material terms and provisions of the 2020 Term Loan remain substantially the same as the terms and provisions in place immediately prior to the effectiveness of the Amendment. As of October 29, 2022, the weighted average interest rate was 6.88%, with interest payable monthly. The terms and conditions of the Amendment also require that the outstanding balance under the Term Loan is prepaid under certain circumstances. As of October 29, 2022, no prepayment was due under the terms and conditions of the Term Loan.</w:t>
      </w:r>
    </w:p>
    <w:p>
      <w:pPr>
        <w:spacing w:after="0" w:line="136" w:lineRule="exact"/>
        <w:rPr>
          <w:sz w:val="20"/>
          <w:szCs w:val="20"/>
          <w:color w:val="auto"/>
        </w:rPr>
      </w:pPr>
    </w:p>
    <w:p>
      <w:pPr>
        <w:jc w:val="both"/>
        <w:ind w:left="26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Amendment, the Company recognized a non-cash loss on early retirement of debt of $2.2 million in the thirty-nine weeks ended October 30, 2021 from the write-off of deferred loan costs and expense related to the original issuance discount associated with our 2020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089" w:right="339" w:bottom="1440" w:gutter="0" w:footer="0" w:header="0"/>
        </w:sectPr>
      </w:pPr>
    </w:p>
    <w:bookmarkStart w:id="13" w:name="page14"/>
    <w:bookmarkEnd w:id="13"/>
    <w:p>
      <w:pPr>
        <w:ind w:left="5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Notes</w:t>
      </w:r>
    </w:p>
    <w:p>
      <w:pPr>
        <w:spacing w:after="0" w:line="175" w:lineRule="exact"/>
        <w:rPr>
          <w:sz w:val="20"/>
          <w:szCs w:val="20"/>
          <w:color w:val="auto"/>
        </w:rPr>
      </w:pPr>
    </w:p>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On November 6, 2020, Academy, Ltd. issued $400.0 million of 6.00% senior secured notes which are due November 15, 2027 (the "Notes"), pursuant to an indenture, dated as of November 6, 2020 (the "Indenture") with The Bank of New York Mellon Trust Company, N.A., as trustee and collateral agent. The Notes require cash interest payments semi-annually in arrears on May 15 and November 15 of each year at a rate of 6.00% per year.</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ABL Facility</w:t>
      </w:r>
    </w:p>
    <w:p>
      <w:pPr>
        <w:spacing w:after="0" w:line="175" w:lineRule="exact"/>
        <w:rPr>
          <w:sz w:val="20"/>
          <w:szCs w:val="20"/>
          <w:color w:val="auto"/>
        </w:rPr>
      </w:pPr>
    </w:p>
    <w:p>
      <w:pPr>
        <w:jc w:val="both"/>
        <w:ind w:left="260" w:firstLine="324"/>
        <w:spacing w:after="0" w:line="258" w:lineRule="auto"/>
        <w:rPr>
          <w:sz w:val="20"/>
          <w:szCs w:val="20"/>
          <w:color w:val="auto"/>
        </w:rPr>
      </w:pPr>
      <w:r>
        <w:rPr>
          <w:rFonts w:ascii="Times New Roman" w:cs="Times New Roman" w:eastAsia="Times New Roman" w:hAnsi="Times New Roman"/>
          <w:sz w:val="18"/>
          <w:szCs w:val="18"/>
          <w:color w:val="auto"/>
        </w:rPr>
        <w:t>On November 6, 2020, Academy, Ltd., as borrower, and the guarantors, amended the previously existing secured asset-based revolving credit facility by entering into an amendment to the First Amended and Restated ABL Credit Agreement, dated as of July 2, 2015, with JPMorgan Chase Bank, N.A. as the administrative agent and collateral agent, letter of credit issuer and swingline lender and the several lenders party thereto, which ABL amendment, among other things, extended the maturity of Academy, Ltd.’s asset-based revolving credit facility thereunder to November 6, 2025 (the "ABL Facility").</w:t>
      </w:r>
    </w:p>
    <w:p>
      <w:pPr>
        <w:spacing w:after="0" w:line="129" w:lineRule="exact"/>
        <w:rPr>
          <w:sz w:val="20"/>
          <w:szCs w:val="20"/>
          <w:color w:val="auto"/>
        </w:rPr>
      </w:pPr>
    </w:p>
    <w:p>
      <w:pPr>
        <w:jc w:val="both"/>
        <w:ind w:left="260" w:firstLine="324"/>
        <w:spacing w:after="0" w:line="258" w:lineRule="auto"/>
        <w:rPr>
          <w:sz w:val="20"/>
          <w:szCs w:val="20"/>
          <w:color w:val="auto"/>
        </w:rPr>
      </w:pPr>
      <w:r>
        <w:rPr>
          <w:rFonts w:ascii="Times New Roman" w:cs="Times New Roman" w:eastAsia="Times New Roman" w:hAnsi="Times New Roman"/>
          <w:sz w:val="18"/>
          <w:szCs w:val="18"/>
          <w:color w:val="auto"/>
        </w:rPr>
        <w:t>The ABL Facility is used to provide financing for working capital and other general corporate purposes, as well as to support certain letters of credit requirements, and availability is subject to customary borrowing base and availability provisions. During the normal course of business, we periodically utilize letters of credit primarily for the purchase of import goods and in support of insurance contracts. As of October 29, 2022, we had outstanding letters of credit of approximately $17.4 million, all of which were issued under the ABL Facility, and we had no borrowings outstanding under the ABL Facility, leaving the available borrowing capacity under the ABL Facility of $982.6 million.</w:t>
      </w:r>
    </w:p>
    <w:p>
      <w:pPr>
        <w:spacing w:after="0" w:line="129" w:lineRule="exact"/>
        <w:rPr>
          <w:sz w:val="20"/>
          <w:szCs w:val="20"/>
          <w:color w:val="auto"/>
        </w:rPr>
      </w:pPr>
    </w:p>
    <w:p>
      <w:pPr>
        <w:jc w:val="both"/>
        <w:ind w:left="260" w:firstLine="324"/>
        <w:spacing w:after="0" w:line="258" w:lineRule="auto"/>
        <w:rPr>
          <w:sz w:val="20"/>
          <w:szCs w:val="20"/>
          <w:color w:val="auto"/>
        </w:rPr>
      </w:pPr>
      <w:r>
        <w:rPr>
          <w:rFonts w:ascii="Times New Roman" w:cs="Times New Roman" w:eastAsia="Times New Roman" w:hAnsi="Times New Roman"/>
          <w:sz w:val="18"/>
          <w:szCs w:val="18"/>
          <w:color w:val="auto"/>
        </w:rPr>
        <w:t>Borrowings under the ABL Facility bear interest, at our election, at either (1) LIBOR plus a margin of 1.25% to 1.75%, or (2) a base rate equal to the highest of (a) the federal funds rate plus 0.50%, (b) JPMorgan Chase Bank, N.A.'s "prime rate", or (c) the one-month LIBOR rate plus 1.00%, plus a margin of 0.25% to 0.75%. The ABL Facility also provides a fee applicable to the unused commitments of 0.25%. The terms and conditions of the ABL Facility also require that we prepay outstanding loans under the ABL Facility under certain circumstances. As of October 29, 2022, no future prepayments of outstanding loans have been triggered under the terms and conditions of the ABL Facility.</w:t>
      </w:r>
    </w:p>
    <w:p>
      <w:pPr>
        <w:spacing w:after="0" w:line="125" w:lineRule="exact"/>
        <w:rPr>
          <w:sz w:val="20"/>
          <w:szCs w:val="20"/>
          <w:color w:val="auto"/>
        </w:rPr>
      </w:pPr>
    </w:p>
    <w:p>
      <w:pPr>
        <w:jc w:val="both"/>
        <w:ind w:left="26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Covenants</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ABL Facility, Term Loan and Notes agreements contain covenants, including, among other things, covenants that restrict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Academy, Ltd.'s ability to incur certain additional indebtedness, create or permit liens on assets, engage in mergers or consolidations, pay dividends, make other restricted payments, make loans or advances, engage in transactions with affiliates or amend material documents. Additionally, at certain times, the ABL Facility is subject to a minimum adjusted fixed charge coverage ratio. These covenants are subject to certain qualifications and limitations. We were in compliance with these covenants as of October 29, 2022.</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 Financial Instruments</w:t>
      </w:r>
    </w:p>
    <w:p>
      <w:pPr>
        <w:spacing w:after="0" w:line="175" w:lineRule="exact"/>
        <w:rPr>
          <w:sz w:val="20"/>
          <w:szCs w:val="20"/>
          <w:color w:val="auto"/>
        </w:rPr>
      </w:pPr>
    </w:p>
    <w:p>
      <w:pPr>
        <w:jc w:val="both"/>
        <w:ind w:left="260" w:firstLine="324"/>
        <w:spacing w:after="0" w:line="266" w:lineRule="auto"/>
        <w:rPr>
          <w:sz w:val="20"/>
          <w:szCs w:val="20"/>
          <w:color w:val="auto"/>
        </w:rPr>
      </w:pPr>
      <w:r>
        <w:rPr>
          <w:rFonts w:ascii="Times New Roman" w:cs="Times New Roman" w:eastAsia="Times New Roman" w:hAnsi="Times New Roman"/>
          <w:sz w:val="18"/>
          <w:szCs w:val="18"/>
          <w:color w:val="auto"/>
        </w:rPr>
        <w:t>We have historically used interest rate swap agreements to hedge market risk relating to possible adverse changes in interest rates. All interest rate swaps had been designated as cash flow hedges of variable rate interest payments on borrowings under the Term Loan. As of October 29, 2022, we do not have any derivative financial instruments outstanding.</w:t>
      </w:r>
    </w:p>
    <w:p>
      <w:pPr>
        <w:spacing w:after="0" w:line="122" w:lineRule="exact"/>
        <w:rPr>
          <w:sz w:val="20"/>
          <w:szCs w:val="20"/>
          <w:color w:val="auto"/>
        </w:rPr>
      </w:pPr>
    </w:p>
    <w:p>
      <w:pPr>
        <w:jc w:val="both"/>
        <w:ind w:left="260" w:right="20" w:firstLine="324"/>
        <w:spacing w:after="0" w:line="266" w:lineRule="auto"/>
        <w:rPr>
          <w:sz w:val="20"/>
          <w:szCs w:val="20"/>
          <w:color w:val="auto"/>
        </w:rPr>
      </w:pPr>
      <w:r>
        <w:rPr>
          <w:rFonts w:ascii="Times New Roman" w:cs="Times New Roman" w:eastAsia="Times New Roman" w:hAnsi="Times New Roman"/>
          <w:sz w:val="18"/>
          <w:szCs w:val="18"/>
          <w:color w:val="auto"/>
        </w:rPr>
        <w:t>For derivatives which were designated as hedging instruments, amounts included in Accumulated Other Comprehensive Income (Loss) ("AOCI") were reclassified to interest expense in the same period during which the hedged transaction affected earnings, which was as interest expense was recorded on the underlying Term Loan.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251" w:right="339" w:bottom="1440" w:gutter="0" w:footer="0" w:header="0"/>
        </w:sectPr>
      </w:pPr>
    </w:p>
    <w:bookmarkStart w:id="14" w:name="page15"/>
    <w:bookmarkEnd w:id="14"/>
    <w:p>
      <w:pPr>
        <w:jc w:val="both"/>
        <w:ind w:left="260" w:right="20" w:firstLine="324"/>
        <w:spacing w:after="0" w:line="282" w:lineRule="auto"/>
        <w:rPr>
          <w:sz w:val="20"/>
          <w:szCs w:val="20"/>
          <w:color w:val="auto"/>
        </w:rPr>
      </w:pPr>
      <w:r>
        <w:rPr>
          <w:rFonts w:ascii="Times New Roman" w:cs="Times New Roman" w:eastAsia="Times New Roman" w:hAnsi="Times New Roman"/>
          <w:sz w:val="18"/>
          <w:szCs w:val="18"/>
          <w:color w:val="auto"/>
        </w:rPr>
        <w:t>The impact of gains and losses related to interest rate swaps that were deferred into AOCI and subsequently reclassified into expense are as follows (amounts in thousands):</w:t>
      </w:r>
    </w:p>
    <w:p>
      <w:pPr>
        <w:spacing w:after="0" w:line="387"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40" w:type="dxa"/>
            <w:vAlign w:val="bottom"/>
          </w:tcPr>
          <w:p>
            <w:pPr>
              <w:spacing w:after="0"/>
              <w:rPr>
                <w:sz w:val="20"/>
                <w:szCs w:val="20"/>
                <w:color w:val="auto"/>
              </w:rPr>
            </w:pPr>
          </w:p>
        </w:tc>
        <w:tc>
          <w:tcPr>
            <w:tcW w:w="320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0" w:type="dxa"/>
            <w:vAlign w:val="bottom"/>
          </w:tcPr>
          <w:p>
            <w:pPr>
              <w:spacing w:after="0"/>
              <w:rPr>
                <w:sz w:val="1"/>
                <w:szCs w:val="1"/>
                <w:color w:val="auto"/>
              </w:rPr>
            </w:pPr>
          </w:p>
        </w:tc>
      </w:tr>
      <w:tr>
        <w:trPr>
          <w:trHeight w:val="223"/>
        </w:trPr>
        <w:tc>
          <w:tcPr>
            <w:tcW w:w="37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8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October 30, 2021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1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October 30, 2021</w:t>
            </w:r>
          </w:p>
        </w:tc>
        <w:tc>
          <w:tcPr>
            <w:tcW w:w="0" w:type="dxa"/>
            <w:vAlign w:val="bottom"/>
          </w:tcPr>
          <w:p>
            <w:pPr>
              <w:spacing w:after="0"/>
              <w:rPr>
                <w:sz w:val="1"/>
                <w:szCs w:val="1"/>
                <w:color w:val="auto"/>
              </w:rPr>
            </w:pPr>
          </w:p>
        </w:tc>
      </w:tr>
      <w:tr>
        <w:trPr>
          <w:trHeight w:val="155"/>
        </w:trPr>
        <w:tc>
          <w:tcPr>
            <w:tcW w:w="37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gridSpan w:val="2"/>
            <w:vMerge w:val="restart"/>
            <w:shd w:val="clear" w:color="auto" w:fill="CCEEFF"/>
          </w:tcPr>
          <w:p>
            <w:pPr>
              <w:ind w:left="12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gridSpan w:val="2"/>
            <w:vMerge w:val="restart"/>
            <w:shd w:val="clear" w:color="auto" w:fill="CCEEFF"/>
          </w:tcPr>
          <w:p>
            <w:pPr>
              <w:ind w:left="1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w:t>
            </w:r>
          </w:p>
        </w:tc>
        <w:tc>
          <w:tcPr>
            <w:tcW w:w="120" w:type="dxa"/>
            <w:vAlign w:val="bottom"/>
            <w:vMerge w:val="continue"/>
            <w:shd w:val="clear" w:color="auto" w:fill="CCEEFF"/>
          </w:tcPr>
          <w:p>
            <w:pPr>
              <w:spacing w:after="0"/>
              <w:rPr>
                <w:sz w:val="21"/>
                <w:szCs w:val="21"/>
                <w:color w:val="auto"/>
              </w:rPr>
            </w:pPr>
          </w:p>
        </w:tc>
        <w:tc>
          <w:tcPr>
            <w:tcW w:w="15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0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158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8"/>
              </w:rPr>
              <w:t>(3,324)</w:t>
            </w:r>
          </w:p>
        </w:tc>
        <w:tc>
          <w:tcPr>
            <w:tcW w:w="0" w:type="dxa"/>
            <w:vAlign w:val="bottom"/>
          </w:tcPr>
          <w:p>
            <w:pPr>
              <w:spacing w:after="0"/>
              <w:rPr>
                <w:sz w:val="1"/>
                <w:szCs w:val="1"/>
                <w:color w:val="auto"/>
              </w:rPr>
            </w:pPr>
          </w:p>
        </w:tc>
      </w:tr>
      <w:tr>
        <w:trPr>
          <w:trHeight w:val="176"/>
        </w:trPr>
        <w:tc>
          <w:tcPr>
            <w:tcW w:w="37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Increase to interest expense (net of tax impact</w:t>
            </w: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74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of $115 and $548 in the thirteen and thirty-</w:t>
            </w: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74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nine weeks ended October 30, 2021,</w:t>
            </w:r>
          </w:p>
        </w:tc>
        <w:tc>
          <w:tcPr>
            <w:tcW w:w="120" w:type="dxa"/>
            <w:vAlign w:val="bottom"/>
          </w:tcPr>
          <w:p>
            <w:pPr>
              <w:spacing w:after="0"/>
              <w:rPr>
                <w:sz w:val="15"/>
                <w:szCs w:val="15"/>
                <w:color w:val="auto"/>
              </w:rPr>
            </w:pPr>
          </w:p>
        </w:tc>
        <w:tc>
          <w:tcPr>
            <w:tcW w:w="1580" w:type="dxa"/>
            <w:vAlign w:val="bottom"/>
            <w:gridSpan w:val="2"/>
            <w:vMerge w:val="restart"/>
          </w:tcPr>
          <w:p>
            <w:pPr>
              <w:ind w:left="12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2"/>
            <w:vMerge w:val="restart"/>
          </w:tcPr>
          <w:p>
            <w:pPr>
              <w:ind w:left="1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5"/>
                <w:szCs w:val="15"/>
                <w:color w:val="auto"/>
              </w:rPr>
            </w:pPr>
          </w:p>
        </w:tc>
        <w:tc>
          <w:tcPr>
            <w:tcW w:w="1500" w:type="dxa"/>
            <w:vAlign w:val="bottom"/>
            <w:vMerge w:val="restart"/>
          </w:tcPr>
          <w:p>
            <w:pPr>
              <w:jc w:val="center"/>
              <w:ind w:left="850"/>
              <w:spacing w:after="0"/>
              <w:rPr>
                <w:sz w:val="20"/>
                <w:szCs w:val="20"/>
                <w:color w:val="auto"/>
              </w:rPr>
            </w:pPr>
            <w:r>
              <w:rPr>
                <w:rFonts w:ascii="Times New Roman" w:cs="Times New Roman" w:eastAsia="Times New Roman" w:hAnsi="Times New Roman"/>
                <w:sz w:val="18"/>
                <w:szCs w:val="18"/>
                <w:color w:val="auto"/>
                <w:w w:val="98"/>
              </w:rPr>
              <w:t>1,836</w:t>
            </w:r>
          </w:p>
        </w:tc>
        <w:tc>
          <w:tcPr>
            <w:tcW w:w="0" w:type="dxa"/>
            <w:vAlign w:val="bottom"/>
          </w:tcPr>
          <w:p>
            <w:pPr>
              <w:spacing w:after="0"/>
              <w:rPr>
                <w:sz w:val="1"/>
                <w:szCs w:val="1"/>
                <w:color w:val="auto"/>
              </w:rPr>
            </w:pPr>
          </w:p>
        </w:tc>
      </w:tr>
      <w:tr>
        <w:trPr>
          <w:trHeight w:val="229"/>
        </w:trPr>
        <w:tc>
          <w:tcPr>
            <w:tcW w:w="3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respectively)</w:t>
            </w:r>
          </w:p>
        </w:tc>
        <w:tc>
          <w:tcPr>
            <w:tcW w:w="12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ending</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top w:val="single" w:sz="8" w:color="auto"/>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8"/>
              </w:rPr>
              <w:t>(1,488)</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175" w:lineRule="exact"/>
        <w:rPr>
          <w:sz w:val="20"/>
          <w:szCs w:val="20"/>
          <w:color w:val="auto"/>
        </w:rPr>
      </w:pPr>
    </w:p>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Fair value is defined as an exit price that would be received from the sale of an asset or paid to transfer a liability in the principal or most advantageous market for the asset or liability in an orderly transaction between market participants on the measurement date. Authoritative guidance establishes a three-level hierarchy for disclosure that is based on the extent and level of judgment used to estimate the fair value of the assets and liabilities.</w:t>
      </w:r>
    </w:p>
    <w:p>
      <w:pPr>
        <w:spacing w:after="0" w:line="1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fair value measurements are classified as either:</w:t>
      </w:r>
    </w:p>
    <w:p>
      <w:pPr>
        <w:spacing w:after="0" w:line="171" w:lineRule="exact"/>
        <w:rPr>
          <w:sz w:val="20"/>
          <w:szCs w:val="20"/>
          <w:color w:val="auto"/>
        </w:rPr>
      </w:pPr>
    </w:p>
    <w:p>
      <w:pPr>
        <w:ind w:left="900" w:hanging="324"/>
        <w:spacing w:after="0" w:line="281" w:lineRule="auto"/>
        <w:tabs>
          <w:tab w:leader="none" w:pos="8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which represents valuations based on unadjusted quoted prices in active markets that are accessible at the measurement date for identical, unrestricted assets or liabilities;</w:t>
      </w:r>
    </w:p>
    <w:p>
      <w:pPr>
        <w:spacing w:after="0" w:line="1" w:lineRule="exact"/>
        <w:rPr>
          <w:rFonts w:ascii="Times New Roman" w:cs="Times New Roman" w:eastAsia="Times New Roman" w:hAnsi="Times New Roman"/>
          <w:sz w:val="18"/>
          <w:szCs w:val="18"/>
          <w:color w:val="auto"/>
        </w:rPr>
      </w:pPr>
    </w:p>
    <w:p>
      <w:pPr>
        <w:jc w:val="both"/>
        <w:ind w:left="900" w:hanging="324"/>
        <w:spacing w:after="0" w:line="266" w:lineRule="auto"/>
        <w:tabs>
          <w:tab w:leader="none" w:pos="8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which represents valuations based on quoted prices for similar assets and liabilities in active markets, quoted prices for identical or similar assets and liabilities in markets that are not active, or inputs that are observable, either directly or indirectly, for substantially the full term of the asset or liability; and</w:t>
      </w:r>
    </w:p>
    <w:p>
      <w:pPr>
        <w:spacing w:after="0" w:line="13" w:lineRule="exact"/>
        <w:rPr>
          <w:rFonts w:ascii="Times New Roman" w:cs="Times New Roman" w:eastAsia="Times New Roman" w:hAnsi="Times New Roman"/>
          <w:sz w:val="18"/>
          <w:szCs w:val="18"/>
          <w:color w:val="auto"/>
        </w:rPr>
      </w:pPr>
    </w:p>
    <w:p>
      <w:pPr>
        <w:ind w:left="900" w:hanging="324"/>
        <w:spacing w:after="0" w:line="282" w:lineRule="auto"/>
        <w:tabs>
          <w:tab w:leader="none" w:pos="8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which represents valuations based on prices or valuation techniques that require inputs that are both significant to the fair value measurement and unobservable (i.e., supported by little or no market activity).</w:t>
      </w:r>
    </w:p>
    <w:p>
      <w:pPr>
        <w:spacing w:after="0" w:line="108" w:lineRule="exact"/>
        <w:rPr>
          <w:sz w:val="20"/>
          <w:szCs w:val="20"/>
          <w:color w:val="auto"/>
        </w:rPr>
      </w:pPr>
    </w:p>
    <w:p>
      <w:pPr>
        <w:jc w:val="both"/>
        <w:ind w:left="260" w:firstLine="324"/>
        <w:spacing w:after="0" w:line="258" w:lineRule="auto"/>
        <w:rPr>
          <w:sz w:val="20"/>
          <w:szCs w:val="20"/>
          <w:color w:val="auto"/>
        </w:rPr>
      </w:pPr>
      <w:r>
        <w:rPr>
          <w:rFonts w:ascii="Times New Roman" w:cs="Times New Roman" w:eastAsia="Times New Roman" w:hAnsi="Times New Roman"/>
          <w:sz w:val="18"/>
          <w:szCs w:val="18"/>
          <w:color w:val="auto"/>
        </w:rPr>
        <w:t>In instances where the determination of the fair value measurement is based on inputs from different levels of the fair value hierarchy, the level in the fair value hierarchy in which the fair value measurement is classified in its entirety, is based on the lowest level input that is significant to the fair value measurement. Our assessment of the significance of a particular input to the fair value measurement in its entirety requires judgment and considers factors specific to the asset or liability. There were no transfers made into or out of the Level 1, 2 or 3 categories during any period presented.</w:t>
      </w:r>
    </w:p>
    <w:p>
      <w:pPr>
        <w:spacing w:after="0" w:line="129" w:lineRule="exact"/>
        <w:rPr>
          <w:sz w:val="20"/>
          <w:szCs w:val="20"/>
          <w:color w:val="auto"/>
        </w:rPr>
      </w:pPr>
    </w:p>
    <w:p>
      <w:pPr>
        <w:jc w:val="both"/>
        <w:ind w:left="260" w:firstLine="324"/>
        <w:spacing w:after="0" w:line="266" w:lineRule="auto"/>
        <w:rPr>
          <w:sz w:val="20"/>
          <w:szCs w:val="20"/>
          <w:color w:val="auto"/>
        </w:rPr>
      </w:pPr>
      <w:r>
        <w:rPr>
          <w:rFonts w:ascii="Times New Roman" w:cs="Times New Roman" w:eastAsia="Times New Roman" w:hAnsi="Times New Roman"/>
          <w:sz w:val="18"/>
          <w:szCs w:val="18"/>
          <w:color w:val="auto"/>
        </w:rPr>
        <w:t>Periodically we make cash investments in money market funds comprised of U.S. Government treasury bills and securities, which are classified as cash and redeemable on demand. As of October 29, 2022, January 29, 2022 and October 30, 2021, we held $264.7 million, $401.0 million and $294.0 million in money market funds, respectively.</w:t>
      </w:r>
    </w:p>
    <w:p>
      <w:pPr>
        <w:spacing w:after="0" w:line="122" w:lineRule="exact"/>
        <w:rPr>
          <w:sz w:val="20"/>
          <w:szCs w:val="20"/>
          <w:color w:val="auto"/>
        </w:rPr>
      </w:pPr>
    </w:p>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The fair value of the Term Loan and Notes is estimated using a discounted cash flow analysis based on quoted market prices for the instrument in an inactive market and is therefore classified as Level 2 within the fair value hierarchy. As of October 29, 2022, January 29, 2022, and October 30, 2021 the estimated fair value of the Term Loan and Notes was $0.7 billion. As borrowings on the ABL Facility are generally repaid in less than 12 months, we believe that fair value approximates the carrying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255"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8"/>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Property and Equipment</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78"/>
        </w:trPr>
        <w:tc>
          <w:tcPr>
            <w:tcW w:w="260" w:type="dxa"/>
            <w:vAlign w:val="bottom"/>
          </w:tcPr>
          <w:p>
            <w:pPr>
              <w:spacing w:after="0"/>
              <w:rPr>
                <w:sz w:val="24"/>
                <w:szCs w:val="24"/>
                <w:color w:val="auto"/>
              </w:rPr>
            </w:pPr>
          </w:p>
        </w:tc>
        <w:tc>
          <w:tcPr>
            <w:tcW w:w="702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Property and equipment consists of the following (amounts in thousands) as of:</w:t>
            </w: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6"/>
        </w:trPr>
        <w:tc>
          <w:tcPr>
            <w:tcW w:w="260" w:type="dxa"/>
            <w:vAlign w:val="bottom"/>
          </w:tcPr>
          <w:p>
            <w:pPr>
              <w:spacing w:after="0"/>
              <w:rPr>
                <w:sz w:val="22"/>
                <w:szCs w:val="22"/>
                <w:color w:val="auto"/>
              </w:rPr>
            </w:pPr>
          </w:p>
        </w:tc>
        <w:tc>
          <w:tcPr>
            <w:tcW w:w="5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140" w:type="dxa"/>
            <w:vAlign w:val="bottom"/>
          </w:tcPr>
          <w:p>
            <w:pPr>
              <w:spacing w:after="0"/>
              <w:rPr>
                <w:sz w:val="22"/>
                <w:szCs w:val="22"/>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January 29, 2022</w:t>
            </w:r>
          </w:p>
        </w:tc>
        <w:tc>
          <w:tcPr>
            <w:tcW w:w="160" w:type="dxa"/>
            <w:vAlign w:val="bottom"/>
          </w:tcPr>
          <w:p>
            <w:pPr>
              <w:spacing w:after="0"/>
              <w:rPr>
                <w:sz w:val="22"/>
                <w:szCs w:val="22"/>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October 30, 2021</w:t>
            </w:r>
          </w:p>
        </w:tc>
      </w:tr>
      <w:tr>
        <w:trPr>
          <w:trHeight w:val="223"/>
        </w:trPr>
        <w:tc>
          <w:tcPr>
            <w:tcW w:w="260" w:type="dxa"/>
            <w:vAlign w:val="bottom"/>
          </w:tcPr>
          <w:p>
            <w:pPr>
              <w:spacing w:after="0"/>
              <w:rPr>
                <w:sz w:val="19"/>
                <w:szCs w:val="19"/>
                <w:color w:val="auto"/>
              </w:rPr>
            </w:pPr>
          </w:p>
        </w:tc>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476,670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456,918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455,542</w:t>
            </w:r>
          </w:p>
        </w:tc>
      </w:tr>
      <w:tr>
        <w:trPr>
          <w:trHeight w:val="229"/>
        </w:trPr>
        <w:tc>
          <w:tcPr>
            <w:tcW w:w="2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and software</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624,915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602,289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593,479</w:t>
            </w:r>
          </w:p>
        </w:tc>
      </w:tr>
      <w:tr>
        <w:trPr>
          <w:trHeight w:val="230"/>
        </w:trPr>
        <w:tc>
          <w:tcPr>
            <w:tcW w:w="26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352,501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332,368</w:t>
            </w:r>
          </w:p>
        </w:tc>
      </w:tr>
      <w:tr>
        <w:trPr>
          <w:trHeight w:val="229"/>
        </w:trPr>
        <w:tc>
          <w:tcPr>
            <w:tcW w:w="2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37,267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16,486</w:t>
            </w:r>
          </w:p>
        </w:tc>
      </w:tr>
      <w:tr>
        <w:trPr>
          <w:trHeight w:val="229"/>
        </w:trPr>
        <w:tc>
          <w:tcPr>
            <w:tcW w:w="26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r>
      <w:tr>
        <w:trPr>
          <w:trHeight w:val="223"/>
        </w:trPr>
        <w:tc>
          <w:tcPr>
            <w:tcW w:w="26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1,495,051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1,410,731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1,401,573</w:t>
            </w:r>
          </w:p>
        </w:tc>
      </w:tr>
      <w:tr>
        <w:trPr>
          <w:trHeight w:val="229"/>
        </w:trPr>
        <w:tc>
          <w:tcPr>
            <w:tcW w:w="26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(1,141,037)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(1,064,895)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(1,043,463)</w:t>
            </w:r>
          </w:p>
        </w:tc>
      </w:tr>
      <w:tr>
        <w:trPr>
          <w:trHeight w:val="223"/>
        </w:trPr>
        <w:tc>
          <w:tcPr>
            <w:tcW w:w="26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354,014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345,836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358,110</w:t>
            </w:r>
          </w:p>
        </w:tc>
      </w:tr>
      <w:tr>
        <w:trPr>
          <w:trHeight w:val="21"/>
        </w:trPr>
        <w:tc>
          <w:tcPr>
            <w:tcW w:w="2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left="260" w:firstLine="324"/>
        <w:spacing w:after="0" w:line="266" w:lineRule="auto"/>
        <w:rPr>
          <w:sz w:val="20"/>
          <w:szCs w:val="20"/>
          <w:color w:val="auto"/>
        </w:rPr>
      </w:pPr>
      <w:r>
        <w:rPr>
          <w:rFonts w:ascii="Times New Roman" w:cs="Times New Roman" w:eastAsia="Times New Roman" w:hAnsi="Times New Roman"/>
          <w:sz w:val="18"/>
          <w:szCs w:val="18"/>
          <w:color w:val="auto"/>
        </w:rPr>
        <w:t>Depreciation expense was $27.0 million and $78.9 million in the thirteen and thirty-nine weeks ended October 29, 2022, respectively, and $26.5 million and $77.8 million in the thirteen and thirty-nine weeks ended October 30, 2021, respectively. These costs are included in selling, general and administrative expenses on the consolidated statements of income.</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Accrued Expenses and Other Current Liabilities</w:t>
            </w: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78"/>
        </w:trPr>
        <w:tc>
          <w:tcPr>
            <w:tcW w:w="260" w:type="dxa"/>
            <w:vAlign w:val="bottom"/>
          </w:tcPr>
          <w:p>
            <w:pPr>
              <w:spacing w:after="0"/>
              <w:rPr>
                <w:sz w:val="24"/>
                <w:szCs w:val="24"/>
                <w:color w:val="auto"/>
              </w:rPr>
            </w:pPr>
          </w:p>
        </w:tc>
        <w:tc>
          <w:tcPr>
            <w:tcW w:w="872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(amounts in thousands) as of:</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7"/>
        </w:trPr>
        <w:tc>
          <w:tcPr>
            <w:tcW w:w="26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140" w:type="dxa"/>
            <w:vAlign w:val="bottom"/>
          </w:tcPr>
          <w:p>
            <w:pPr>
              <w:spacing w:after="0"/>
              <w:rPr>
                <w:sz w:val="22"/>
                <w:szCs w:val="22"/>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January 29, 2022</w:t>
            </w:r>
          </w:p>
        </w:tc>
        <w:tc>
          <w:tcPr>
            <w:tcW w:w="180" w:type="dxa"/>
            <w:vAlign w:val="bottom"/>
          </w:tcPr>
          <w:p>
            <w:pPr>
              <w:spacing w:after="0"/>
              <w:rPr>
                <w:sz w:val="22"/>
                <w:szCs w:val="22"/>
                <w:color w:val="auto"/>
              </w:rPr>
            </w:pPr>
          </w:p>
        </w:tc>
        <w:tc>
          <w:tcPr>
            <w:tcW w:w="16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October 30, 2021</w:t>
            </w:r>
          </w:p>
        </w:tc>
      </w:tr>
      <w:tr>
        <w:trPr>
          <w:trHeight w:val="223"/>
        </w:trPr>
        <w:tc>
          <w:tcPr>
            <w:tcW w:w="260" w:type="dxa"/>
            <w:vAlign w:val="bottom"/>
          </w:tcPr>
          <w:p>
            <w:pPr>
              <w:spacing w:after="0"/>
              <w:rPr>
                <w:sz w:val="19"/>
                <w:szCs w:val="19"/>
                <w:color w:val="auto"/>
              </w:rPr>
            </w:pPr>
          </w:p>
        </w:tc>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13,340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12,676</w:t>
            </w:r>
          </w:p>
        </w:tc>
      </w:tr>
      <w:tr>
        <w:trPr>
          <w:trHeight w:val="229"/>
        </w:trPr>
        <w:tc>
          <w:tcPr>
            <w:tcW w:w="26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personnel costs</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57,979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91,433</w:t>
            </w:r>
          </w:p>
        </w:tc>
      </w:tr>
      <w:tr>
        <w:trPr>
          <w:trHeight w:val="230"/>
        </w:trPr>
        <w:tc>
          <w:tcPr>
            <w:tcW w:w="260" w:type="dxa"/>
            <w:vAlign w:val="bottom"/>
          </w:tcPr>
          <w:p>
            <w:pPr>
              <w:spacing w:after="0"/>
              <w:rPr>
                <w:sz w:val="19"/>
                <w:szCs w:val="19"/>
                <w:color w:val="auto"/>
              </w:rPr>
            </w:pPr>
          </w:p>
        </w:tc>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w:t>
            </w:r>
          </w:p>
        </w:tc>
      </w:tr>
      <w:tr>
        <w:trPr>
          <w:trHeight w:val="229"/>
        </w:trPr>
        <w:tc>
          <w:tcPr>
            <w:tcW w:w="26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sales and use tax</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23,111</w:t>
            </w:r>
          </w:p>
        </w:tc>
      </w:tr>
      <w:tr>
        <w:trPr>
          <w:trHeight w:val="230"/>
        </w:trPr>
        <w:tc>
          <w:tcPr>
            <w:tcW w:w="260" w:type="dxa"/>
            <w:vAlign w:val="bottom"/>
          </w:tcPr>
          <w:p>
            <w:pPr>
              <w:spacing w:after="0"/>
              <w:rPr>
                <w:sz w:val="19"/>
                <w:szCs w:val="19"/>
                <w:color w:val="auto"/>
              </w:rPr>
            </w:pPr>
          </w:p>
        </w:tc>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self-insurance</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13,784</w:t>
            </w:r>
          </w:p>
        </w:tc>
      </w:tr>
      <w:tr>
        <w:trPr>
          <w:trHeight w:val="230"/>
        </w:trPr>
        <w:tc>
          <w:tcPr>
            <w:tcW w:w="26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 gift cards and other</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69,727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61,145</w:t>
            </w:r>
          </w:p>
        </w:tc>
      </w:tr>
      <w:tr>
        <w:trPr>
          <w:trHeight w:val="230"/>
        </w:trPr>
        <w:tc>
          <w:tcPr>
            <w:tcW w:w="260" w:type="dxa"/>
            <w:vAlign w:val="bottom"/>
          </w:tcPr>
          <w:p>
            <w:pPr>
              <w:spacing w:after="0"/>
              <w:rPr>
                <w:sz w:val="19"/>
                <w:szCs w:val="19"/>
                <w:color w:val="auto"/>
              </w:rPr>
            </w:pPr>
          </w:p>
        </w:tc>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21,900</w:t>
            </w:r>
          </w:p>
        </w:tc>
      </w:tr>
      <w:tr>
        <w:trPr>
          <w:trHeight w:val="229"/>
        </w:trPr>
        <w:tc>
          <w:tcPr>
            <w:tcW w:w="26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taxes</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46,806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45,056</w:t>
            </w:r>
          </w:p>
        </w:tc>
      </w:tr>
      <w:tr>
        <w:trPr>
          <w:trHeight w:val="230"/>
        </w:trPr>
        <w:tc>
          <w:tcPr>
            <w:tcW w:w="260" w:type="dxa"/>
            <w:vAlign w:val="bottom"/>
          </w:tcPr>
          <w:p>
            <w:pPr>
              <w:spacing w:after="0"/>
              <w:rPr>
                <w:sz w:val="19"/>
                <w:szCs w:val="19"/>
                <w:color w:val="auto"/>
              </w:rPr>
            </w:pPr>
          </w:p>
        </w:tc>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return allowance</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w:t>
            </w:r>
          </w:p>
        </w:tc>
      </w:tr>
      <w:tr>
        <w:trPr>
          <w:trHeight w:val="230"/>
        </w:trPr>
        <w:tc>
          <w:tcPr>
            <w:tcW w:w="260" w:type="dxa"/>
            <w:vAlign w:val="bottom"/>
          </w:tcPr>
          <w:p>
            <w:pPr>
              <w:spacing w:after="0"/>
              <w:rPr>
                <w:sz w:val="19"/>
                <w:szCs w:val="19"/>
                <w:color w:val="auto"/>
              </w:rPr>
            </w:pPr>
          </w:p>
        </w:tc>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26,915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25,877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25,951</w:t>
            </w:r>
          </w:p>
        </w:tc>
      </w:tr>
      <w:tr>
        <w:trPr>
          <w:trHeight w:val="248"/>
        </w:trPr>
        <w:tc>
          <w:tcPr>
            <w:tcW w:w="260" w:type="dxa"/>
            <w:vAlign w:val="bottom"/>
          </w:tcPr>
          <w:p>
            <w:pPr>
              <w:spacing w:after="0"/>
              <w:rPr>
                <w:sz w:val="21"/>
                <w:szCs w:val="21"/>
                <w:color w:val="auto"/>
              </w:rPr>
            </w:pPr>
          </w:p>
        </w:tc>
        <w:tc>
          <w:tcPr>
            <w:tcW w:w="4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259,179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304,488</w:t>
            </w:r>
          </w:p>
        </w:tc>
      </w:tr>
      <w:tr>
        <w:trPr>
          <w:trHeight w:val="20"/>
        </w:trPr>
        <w:tc>
          <w:tcPr>
            <w:tcW w:w="260" w:type="dxa"/>
            <w:vAlign w:val="bottom"/>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Share-Based Compensation</w:t>
      </w:r>
    </w:p>
    <w:p>
      <w:pPr>
        <w:spacing w:after="0" w:line="175" w:lineRule="exact"/>
        <w:rPr>
          <w:sz w:val="20"/>
          <w:szCs w:val="20"/>
          <w:color w:val="auto"/>
        </w:rPr>
      </w:pPr>
    </w:p>
    <w:p>
      <w:pPr>
        <w:jc w:val="both"/>
        <w:ind w:left="260" w:firstLine="324"/>
        <w:spacing w:after="0" w:line="254" w:lineRule="auto"/>
        <w:rPr>
          <w:sz w:val="20"/>
          <w:szCs w:val="20"/>
          <w:color w:val="auto"/>
        </w:rPr>
      </w:pPr>
      <w:r>
        <w:rPr>
          <w:rFonts w:ascii="Times New Roman" w:cs="Times New Roman" w:eastAsia="Times New Roman" w:hAnsi="Times New Roman"/>
          <w:sz w:val="18"/>
          <w:szCs w:val="18"/>
          <w:color w:val="auto"/>
        </w:rPr>
        <w:t>On September 29, 2020, the ASO, Inc. Board of Directors adopted the 2020 Omnibus Incentive Plan (the "2020 Omnibus Incentive Plan"), which became effective on October 1, 2020. The 2020 Omnibus Incentive plan provides for the grant of certain equity incentive awards (each, an "Award"), such as options to purchase ASO, Inc. common stock (each, a "Stock Option") and restricted units that may settle in ASO, Inc. common stock (each, a "Restricted Stock Unit") to our directors, executives and eligible employees of the Company. Awards granted under the 2020 Omnibus Incentive Plan consist of Stock Options that vest upon the satisfaction of time-based requirements (each, a "Service Option"), Restricted Stock Units that vest upon the satisfaction of time-based requirements (each, a "Service Restricted Stock Unit") and Restricted Stock Units that vest upon the satisfaction of time and performance and/or market based requirements (each, a "Performance Restricted Stock Unit"). The plan reserved a total of 5,150,000 shares of common stock for issuance. As of October 29, 2022, there were 2,410,059 shares that were authorized and available for future issuance under the 2020 Omnibus Incentive Plan.</w:t>
      </w:r>
    </w:p>
    <w:p>
      <w:pPr>
        <w:spacing w:after="0" w:line="134" w:lineRule="exact"/>
        <w:rPr>
          <w:sz w:val="20"/>
          <w:szCs w:val="20"/>
          <w:color w:val="auto"/>
        </w:rPr>
      </w:pPr>
    </w:p>
    <w:p>
      <w:pPr>
        <w:jc w:val="both"/>
        <w:ind w:left="260" w:firstLine="324"/>
        <w:spacing w:after="0" w:line="266" w:lineRule="auto"/>
        <w:rPr>
          <w:sz w:val="20"/>
          <w:szCs w:val="20"/>
          <w:color w:val="auto"/>
        </w:rPr>
      </w:pPr>
      <w:r>
        <w:rPr>
          <w:rFonts w:ascii="Times New Roman" w:cs="Times New Roman" w:eastAsia="Times New Roman" w:hAnsi="Times New Roman"/>
          <w:sz w:val="18"/>
          <w:szCs w:val="18"/>
          <w:color w:val="auto"/>
        </w:rPr>
        <w:t>On September 29, 2020, the ASO, Inc. Board of Directors adopted the 2020 Employee Stock Purchase Plan (the "ESPP"), which became effective on October 1, 2020. We have reserved a total of 2,000,000 shares under the ESPP and as of October 29, 2022, there were 1,792,945 shares authorized and available for future issuance under the ESPP.</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089" w:right="339" w:bottom="1440" w:gutter="0" w:footer="0" w:header="0"/>
        </w:sectPr>
      </w:pPr>
    </w:p>
    <w:bookmarkStart w:id="16" w:name="page17"/>
    <w:bookmarkEnd w:id="16"/>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Equity compensation expense was $5.8 million and $15.5 million for the thirteen and thirty-nine weeks ended October 29, 2022, respectively. Equity compensation expense was $2.9 million and $36.1 million for the thirteen and thirty-nine weeks ended October 30, 2021, respectively, which includes approximately $24.9 million in non-cash expenses related to the 2021 Vesting Event which occurred during the 2021 second quarter. These costs are included in selling, general and administrative expenses in the consolidated statements of income.</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Distribution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28, 2020, New Academy Holding Company, LLC, the parent holding company for our operations prior to our initial public offering, paid a $257.0 million distribution to its members of record as of August 25, 2020. Cash payments ("Share-Based Award Payments") of $32.2 million for unvested Awards were paid upon vesting of such Awards, which was completed and paid in-full as of July 31, 2021.</w:t>
      </w:r>
    </w:p>
    <w:p>
      <w:pPr>
        <w:spacing w:after="0" w:line="1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Service Option Fair Value Assumptions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fair value for Service Options granted was estimated using a Black-Scholes option-pricing model. The expected lives of the Service Options granted were based on the "SEC simplified" method. Expected price volatility was determined based on the implied volatilities of comparable companies over a historical period that matches the expected life of the Award. The risk-free interest rate was based on the expected U.S. Treasury rate over the expected life. The dividend yield was calculated based on the most recent annualized quarterly dividend and the valuation date closing stock price. The assumptions used to calculate the fair value of Awards granted are evaluated and modified, as necessary, to reflect current market conditions and experience.</w:t>
      </w:r>
    </w:p>
    <w:p>
      <w:pPr>
        <w:spacing w:after="0" w:line="1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assumptions and grant date fair values for Service Options granted in the thirty-nine weeks ended October 29, 2022:</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4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4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 to 44.8%</w:t>
            </w: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volatility</w:t>
            </w:r>
          </w:p>
        </w:tc>
        <w:tc>
          <w:tcPr>
            <w:tcW w:w="4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43.0 %</w:t>
            </w: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to 4.1%</w:t>
            </w: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4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r>
    </w:tbl>
    <w:p>
      <w:pPr>
        <w:spacing w:after="0" w:line="3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Award grants during the thirty-nine weeks ended October 29, 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Service Options</w:t>
            </w:r>
          </w:p>
        </w:tc>
        <w:tc>
          <w:tcPr>
            <w:tcW w:w="2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Service Restricted Stock</w:t>
            </w:r>
          </w:p>
        </w:tc>
        <w:tc>
          <w:tcPr>
            <w:tcW w:w="120" w:type="dxa"/>
            <w:vAlign w:val="bottom"/>
          </w:tcPr>
          <w:p>
            <w:pPr>
              <w:spacing w:after="0"/>
              <w:rPr>
                <w:sz w:val="18"/>
                <w:szCs w:val="18"/>
                <w:color w:val="auto"/>
              </w:rPr>
            </w:pPr>
          </w:p>
        </w:tc>
        <w:tc>
          <w:tcPr>
            <w:tcW w:w="20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Performance Restricted</w:t>
            </w:r>
          </w:p>
        </w:tc>
        <w:tc>
          <w:tcPr>
            <w:tcW w:w="0" w:type="dxa"/>
            <w:vAlign w:val="bottom"/>
          </w:tcPr>
          <w:p>
            <w:pPr>
              <w:spacing w:after="0"/>
              <w:rPr>
                <w:sz w:val="1"/>
                <w:szCs w:val="1"/>
                <w:color w:val="auto"/>
              </w:rPr>
            </w:pPr>
          </w:p>
        </w:tc>
      </w:tr>
      <w:tr>
        <w:trPr>
          <w:trHeight w:val="243"/>
        </w:trPr>
        <w:tc>
          <w:tcPr>
            <w:tcW w:w="4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vMerge w:val="continue"/>
          </w:tcPr>
          <w:p>
            <w:pPr>
              <w:spacing w:after="0"/>
              <w:rPr>
                <w:sz w:val="21"/>
                <w:szCs w:val="21"/>
                <w:color w:val="auto"/>
              </w:rPr>
            </w:pPr>
          </w:p>
        </w:tc>
        <w:tc>
          <w:tcPr>
            <w:tcW w:w="420" w:type="dxa"/>
            <w:vAlign w:val="bottom"/>
          </w:tcPr>
          <w:p>
            <w:pPr>
              <w:spacing w:after="0"/>
              <w:rPr>
                <w:sz w:val="21"/>
                <w:szCs w:val="21"/>
                <w:color w:val="auto"/>
              </w:rPr>
            </w:pPr>
          </w:p>
        </w:tc>
        <w:tc>
          <w:tcPr>
            <w:tcW w:w="16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20" w:type="dxa"/>
            <w:vAlign w:val="bottom"/>
          </w:tcPr>
          <w:p>
            <w:pPr>
              <w:spacing w:after="0"/>
              <w:rPr>
                <w:sz w:val="21"/>
                <w:szCs w:val="21"/>
                <w:color w:val="auto"/>
              </w:rPr>
            </w:pPr>
          </w:p>
        </w:tc>
        <w:tc>
          <w:tcPr>
            <w:tcW w:w="20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Stock Units</w:t>
            </w: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w:t>
            </w:r>
          </w:p>
        </w:tc>
        <w:tc>
          <w:tcPr>
            <w:tcW w:w="18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815,867</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192,033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169,846</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 per Award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0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exercise price per Award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unrecognized compensation cost as of October 29, 2022:</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Service Options</w:t>
            </w:r>
          </w:p>
        </w:tc>
        <w:tc>
          <w:tcPr>
            <w:tcW w:w="2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Service Restricted Stock</w:t>
            </w:r>
          </w:p>
        </w:tc>
        <w:tc>
          <w:tcPr>
            <w:tcW w:w="120" w:type="dxa"/>
            <w:vAlign w:val="bottom"/>
          </w:tcPr>
          <w:p>
            <w:pPr>
              <w:spacing w:after="0"/>
              <w:rPr>
                <w:sz w:val="18"/>
                <w:szCs w:val="18"/>
                <w:color w:val="auto"/>
              </w:rPr>
            </w:pPr>
          </w:p>
        </w:tc>
        <w:tc>
          <w:tcPr>
            <w:tcW w:w="2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Performance Restricted</w:t>
            </w:r>
          </w:p>
        </w:tc>
        <w:tc>
          <w:tcPr>
            <w:tcW w:w="0" w:type="dxa"/>
            <w:vAlign w:val="bottom"/>
          </w:tcPr>
          <w:p>
            <w:pPr>
              <w:spacing w:after="0"/>
              <w:rPr>
                <w:sz w:val="1"/>
                <w:szCs w:val="1"/>
                <w:color w:val="auto"/>
              </w:rPr>
            </w:pPr>
          </w:p>
        </w:tc>
      </w:tr>
      <w:tr>
        <w:trPr>
          <w:trHeight w:val="238"/>
        </w:trPr>
        <w:tc>
          <w:tcPr>
            <w:tcW w:w="4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vMerge w:val="continue"/>
          </w:tcPr>
          <w:p>
            <w:pPr>
              <w:spacing w:after="0"/>
              <w:rPr>
                <w:sz w:val="20"/>
                <w:szCs w:val="20"/>
                <w:color w:val="auto"/>
              </w:rPr>
            </w:pPr>
          </w:p>
        </w:tc>
        <w:tc>
          <w:tcPr>
            <w:tcW w:w="420" w:type="dxa"/>
            <w:vAlign w:val="bottom"/>
          </w:tcPr>
          <w:p>
            <w:pPr>
              <w:spacing w:after="0"/>
              <w:rPr>
                <w:sz w:val="20"/>
                <w:szCs w:val="20"/>
                <w:color w:val="auto"/>
              </w:rPr>
            </w:pPr>
          </w:p>
        </w:tc>
        <w:tc>
          <w:tcPr>
            <w:tcW w:w="16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20" w:type="dxa"/>
            <w:vAlign w:val="bottom"/>
          </w:tcPr>
          <w:p>
            <w:pPr>
              <w:spacing w:after="0"/>
              <w:rPr>
                <w:sz w:val="20"/>
                <w:szCs w:val="20"/>
                <w:color w:val="auto"/>
              </w:rPr>
            </w:pPr>
          </w:p>
        </w:tc>
        <w:tc>
          <w:tcPr>
            <w:tcW w:w="2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Stock Units</w:t>
            </w: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expense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16,238,904</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12,651,300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5,172,155</w:t>
            </w:r>
          </w:p>
        </w:tc>
        <w:tc>
          <w:tcPr>
            <w:tcW w:w="0" w:type="dxa"/>
            <w:vAlign w:val="bottom"/>
          </w:tcPr>
          <w:p>
            <w:pPr>
              <w:spacing w:after="0"/>
              <w:rPr>
                <w:sz w:val="1"/>
                <w:szCs w:val="1"/>
                <w:color w:val="auto"/>
              </w:rPr>
            </w:pPr>
          </w:p>
        </w:tc>
      </w:tr>
      <w:tr>
        <w:trPr>
          <w:trHeight w:val="234"/>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life remaining in years</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25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10. Earnings per Common Share</w:t>
      </w:r>
    </w:p>
    <w:p>
      <w:pPr>
        <w:spacing w:after="0" w:line="175" w:lineRule="exact"/>
        <w:rPr>
          <w:sz w:val="20"/>
          <w:szCs w:val="20"/>
          <w:color w:val="auto"/>
        </w:rPr>
      </w:pPr>
    </w:p>
    <w:p>
      <w:pPr>
        <w:jc w:val="both"/>
        <w:ind w:left="260" w:firstLine="324"/>
        <w:spacing w:after="0" w:line="256" w:lineRule="auto"/>
        <w:rPr>
          <w:sz w:val="20"/>
          <w:szCs w:val="20"/>
          <w:color w:val="auto"/>
        </w:rPr>
      </w:pPr>
      <w:r>
        <w:rPr>
          <w:rFonts w:ascii="Times New Roman" w:cs="Times New Roman" w:eastAsia="Times New Roman" w:hAnsi="Times New Roman"/>
          <w:sz w:val="18"/>
          <w:szCs w:val="18"/>
          <w:color w:val="auto"/>
        </w:rPr>
        <w:t>Basic earnings per common share is calculated based on net income divided by the basic weighted average common shares outstanding during the period, and diluted earnings per common share is calculated based on net income divided by the diluted weighted average common shares outstanding. Diluted weighted average common shares outstanding is based on the basic weighted average common shares outstanding plus any potential dilutive effect of stock-based awards outstanding during the period using the treasury stock method, which assumes the potential proceeds received from the dilutive stock options are used to purchase treasury stock. Anti-dilutive stock-based awards do not include awards which have a performance or liquidity event target which has yet to be achieved.</w:t>
      </w:r>
    </w:p>
    <w:p>
      <w:pPr>
        <w:spacing w:after="0" w:line="133" w:lineRule="exact"/>
        <w:rPr>
          <w:sz w:val="20"/>
          <w:szCs w:val="20"/>
          <w:color w:val="auto"/>
        </w:rPr>
      </w:pPr>
    </w:p>
    <w:p>
      <w:pPr>
        <w:jc w:val="both"/>
        <w:ind w:left="260" w:firstLine="324"/>
        <w:spacing w:after="0" w:line="282" w:lineRule="auto"/>
        <w:rPr>
          <w:sz w:val="20"/>
          <w:szCs w:val="20"/>
          <w:color w:val="auto"/>
        </w:rPr>
      </w:pPr>
      <w:r>
        <w:rPr>
          <w:rFonts w:ascii="Times New Roman" w:cs="Times New Roman" w:eastAsia="Times New Roman" w:hAnsi="Times New Roman"/>
          <w:sz w:val="18"/>
          <w:szCs w:val="18"/>
          <w:color w:val="auto"/>
        </w:rPr>
        <w:t>Basic and diluted weighted average common shares outstanding and basic and diluted earnings per common share are calculated as follows (amounts in thousands except per share amounts):</w:t>
      </w:r>
    </w:p>
    <w:p>
      <w:pPr>
        <w:spacing w:after="0" w:line="144"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8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40" w:type="dxa"/>
            <w:vAlign w:val="bottom"/>
          </w:tcPr>
          <w:p>
            <w:pPr>
              <w:spacing w:after="0"/>
              <w:rPr>
                <w:sz w:val="20"/>
                <w:szCs w:val="20"/>
                <w:color w:val="auto"/>
              </w:rPr>
            </w:pPr>
          </w:p>
        </w:tc>
        <w:tc>
          <w:tcPr>
            <w:tcW w:w="322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1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October 30, 2021</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1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October 30, 2021</w:t>
            </w:r>
          </w:p>
        </w:tc>
        <w:tc>
          <w:tcPr>
            <w:tcW w:w="0" w:type="dxa"/>
            <w:vAlign w:val="bottom"/>
          </w:tcPr>
          <w:p>
            <w:pPr>
              <w:spacing w:after="0"/>
              <w:rPr>
                <w:sz w:val="1"/>
                <w:szCs w:val="1"/>
                <w:color w:val="auto"/>
              </w:rPr>
            </w:pPr>
          </w:p>
        </w:tc>
      </w:tr>
      <w:tr>
        <w:trPr>
          <w:trHeight w:val="223"/>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131,741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161,305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470,348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529,611</w:t>
            </w:r>
          </w:p>
        </w:tc>
        <w:tc>
          <w:tcPr>
            <w:tcW w:w="0" w:type="dxa"/>
            <w:vAlign w:val="bottom"/>
          </w:tcPr>
          <w:p>
            <w:pPr>
              <w:spacing w:after="0"/>
              <w:rPr>
                <w:sz w:val="1"/>
                <w:szCs w:val="1"/>
                <w:color w:val="auto"/>
              </w:rPr>
            </w:pPr>
          </w:p>
        </w:tc>
      </w:tr>
      <w:tr>
        <w:trPr>
          <w:trHeight w:val="88"/>
        </w:trPr>
        <w:tc>
          <w:tcPr>
            <w:tcW w:w="3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3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common shares outstanding -</w:t>
            </w:r>
          </w:p>
        </w:tc>
        <w:tc>
          <w:tcPr>
            <w:tcW w:w="14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79,085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82,901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spacing w:after="0"/>
              <w:rPr>
                <w:sz w:val="21"/>
                <w:szCs w:val="21"/>
                <w:color w:val="auto"/>
              </w:rPr>
            </w:pPr>
          </w:p>
        </w:tc>
        <w:tc>
          <w:tcPr>
            <w:tcW w:w="14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91,140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91,951</w:t>
            </w:r>
          </w:p>
        </w:tc>
        <w:tc>
          <w:tcPr>
            <w:tcW w:w="0" w:type="dxa"/>
            <w:vAlign w:val="bottom"/>
          </w:tcPr>
          <w:p>
            <w:pPr>
              <w:spacing w:after="0"/>
              <w:rPr>
                <w:sz w:val="1"/>
                <w:szCs w:val="1"/>
                <w:color w:val="auto"/>
              </w:rPr>
            </w:pPr>
          </w:p>
        </w:tc>
      </w:tr>
      <w:tr>
        <w:trPr>
          <w:trHeight w:val="176"/>
        </w:trPr>
        <w:tc>
          <w:tcPr>
            <w:tcW w:w="38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Dilutive effect of Service Restricted Units and</w:t>
            </w:r>
          </w:p>
        </w:tc>
        <w:tc>
          <w:tcPr>
            <w:tcW w:w="14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 Restricted Stock Units</w:t>
            </w:r>
          </w:p>
        </w:tc>
        <w:tc>
          <w:tcPr>
            <w:tcW w:w="140" w:type="dxa"/>
            <w:vAlign w:val="bottom"/>
          </w:tcPr>
          <w:p>
            <w:pPr>
              <w:spacing w:after="0"/>
              <w:rPr>
                <w:sz w:val="21"/>
                <w:szCs w:val="21"/>
                <w:color w:val="auto"/>
              </w:rPr>
            </w:pPr>
          </w:p>
        </w:tc>
        <w:tc>
          <w:tcPr>
            <w:tcW w:w="14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75"/>
        </w:trPr>
        <w:tc>
          <w:tcPr>
            <w:tcW w:w="38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Dilutive effect of Performance Restricted Stock</w:t>
            </w:r>
          </w:p>
        </w:tc>
        <w:tc>
          <w:tcPr>
            <w:tcW w:w="14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Units and Liquidity Event Restricted Units</w:t>
            </w:r>
          </w:p>
        </w:tc>
        <w:tc>
          <w:tcPr>
            <w:tcW w:w="140" w:type="dxa"/>
            <w:vAlign w:val="bottom"/>
            <w:shd w:val="clear" w:color="auto" w:fill="CCEEFF"/>
          </w:tcPr>
          <w:p>
            <w:pPr>
              <w:spacing w:after="0"/>
              <w:rPr>
                <w:sz w:val="21"/>
                <w:szCs w:val="21"/>
                <w:color w:val="auto"/>
              </w:rPr>
            </w:pPr>
          </w:p>
        </w:tc>
        <w:tc>
          <w:tcPr>
            <w:tcW w:w="14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29"/>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effect of Service Options</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0" w:type="dxa"/>
            <w:vAlign w:val="bottom"/>
          </w:tcPr>
          <w:p>
            <w:pPr>
              <w:spacing w:after="0"/>
              <w:rPr>
                <w:sz w:val="1"/>
                <w:szCs w:val="1"/>
                <w:color w:val="auto"/>
              </w:rPr>
            </w:pPr>
          </w:p>
        </w:tc>
      </w:tr>
      <w:tr>
        <w:trPr>
          <w:trHeight w:val="176"/>
        </w:trPr>
        <w:tc>
          <w:tcPr>
            <w:tcW w:w="38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Dilutive effect of Performance Unit Options and</w:t>
            </w:r>
          </w:p>
        </w:tc>
        <w:tc>
          <w:tcPr>
            <w:tcW w:w="14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Performance Stock Options</w:t>
            </w:r>
          </w:p>
        </w:tc>
        <w:tc>
          <w:tcPr>
            <w:tcW w:w="140" w:type="dxa"/>
            <w:vAlign w:val="bottom"/>
            <w:shd w:val="clear" w:color="auto" w:fill="CCEEFF"/>
          </w:tcPr>
          <w:p>
            <w:pPr>
              <w:spacing w:after="0"/>
              <w:rPr>
                <w:sz w:val="21"/>
                <w:szCs w:val="21"/>
                <w:color w:val="auto"/>
              </w:rPr>
            </w:pPr>
          </w:p>
        </w:tc>
        <w:tc>
          <w:tcPr>
            <w:tcW w:w="14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230"/>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effect of ESPP Shares</w:t>
            </w:r>
          </w:p>
        </w:tc>
        <w:tc>
          <w:tcPr>
            <w:tcW w:w="14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380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Weighted average common shares outstanding -</w:t>
            </w:r>
          </w:p>
        </w:tc>
        <w:tc>
          <w:tcPr>
            <w:tcW w:w="14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81,379</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5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93,844</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84,910</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5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95,504</w:t>
            </w:r>
          </w:p>
        </w:tc>
        <w:tc>
          <w:tcPr>
            <w:tcW w:w="0" w:type="dxa"/>
            <w:vAlign w:val="bottom"/>
          </w:tcPr>
          <w:p>
            <w:pPr>
              <w:spacing w:after="0"/>
              <w:rPr>
                <w:sz w:val="1"/>
                <w:szCs w:val="1"/>
                <w:color w:val="auto"/>
              </w:rPr>
            </w:pPr>
          </w:p>
        </w:tc>
      </w:tr>
      <w:tr>
        <w:trPr>
          <w:trHeight w:val="236"/>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3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 - basic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 -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108"/>
        </w:trPr>
        <w:tc>
          <w:tcPr>
            <w:tcW w:w="38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3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Anti-dilutive stock-based awards excluded from</w:t>
            </w:r>
          </w:p>
        </w:tc>
        <w:tc>
          <w:tcPr>
            <w:tcW w:w="14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calculation</w:t>
            </w:r>
          </w:p>
        </w:tc>
        <w:tc>
          <w:tcPr>
            <w:tcW w:w="140" w:type="dxa"/>
            <w:vAlign w:val="bottom"/>
          </w:tcPr>
          <w:p>
            <w:pPr>
              <w:spacing w:after="0"/>
              <w:rPr>
                <w:sz w:val="21"/>
                <w:szCs w:val="21"/>
                <w:color w:val="auto"/>
              </w:rPr>
            </w:pPr>
          </w:p>
        </w:tc>
        <w:tc>
          <w:tcPr>
            <w:tcW w:w="14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Related Party Transactions</w:t>
      </w:r>
    </w:p>
    <w:p>
      <w:pPr>
        <w:spacing w:after="0" w:line="175" w:lineRule="exact"/>
        <w:rPr>
          <w:sz w:val="20"/>
          <w:szCs w:val="20"/>
          <w:color w:val="auto"/>
        </w:rPr>
      </w:pPr>
    </w:p>
    <w:p>
      <w:pPr>
        <w:jc w:val="both"/>
        <w:ind w:left="260" w:firstLine="324"/>
        <w:spacing w:after="0" w:line="258" w:lineRule="auto"/>
        <w:rPr>
          <w:sz w:val="20"/>
          <w:szCs w:val="20"/>
          <w:color w:val="auto"/>
        </w:rPr>
      </w:pPr>
      <w:r>
        <w:rPr>
          <w:rFonts w:ascii="Times New Roman" w:cs="Times New Roman" w:eastAsia="Times New Roman" w:hAnsi="Times New Roman"/>
          <w:sz w:val="18"/>
          <w:szCs w:val="18"/>
          <w:color w:val="auto"/>
        </w:rPr>
        <w:t>On January 27, 2021, May 5, 2021 and September 14, 2021, in connection with the Secondary Offering, May 2021 Secondary Offering and September 2021 Secondary Offering, respectively, the Company entered into three separate underwriting agreements with affiliates of KKR (as selling stockholders), the several other selling stockholders named therein, and the several underwriters named therein, including KCM (as underwriter). The Secondary Offering, May 2021 Secondary Offering and September 2021 Secondary Offering were completed on February 1, 2021, May 10, 2021, and September 17, 2021, respectively. The Company did not pay KCM any fees in connection with these secondary offerings.</w:t>
      </w:r>
    </w:p>
    <w:p>
      <w:pPr>
        <w:spacing w:after="0" w:line="129" w:lineRule="exact"/>
        <w:rPr>
          <w:sz w:val="20"/>
          <w:szCs w:val="20"/>
          <w:color w:val="auto"/>
        </w:rPr>
      </w:pPr>
    </w:p>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May 2021 Secondary Offering, we repurchased from the underwriters 3,229,974 shares of ASO, Inc. common stock at $30.96 per share for approximately $100.0 million. In connection with the September 2021 Secondary Offering, we repurchased from the underwriters 4,500,000 shares of ASO, Inc. common stock at $43.52 for approximately $195.8 million. The shares repurchased in both the May 2021 Secondary Offering and the September 2021 Secondary Offering were immediately retired by the Company (see Note 1 and Note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089" w:right="339" w:bottom="1440" w:gutter="0" w:footer="0" w:header="0"/>
        </w:sectPr>
      </w:pPr>
    </w:p>
    <w:bookmarkStart w:id="18" w:name="page19"/>
    <w:bookmarkEnd w:id="18"/>
    <w:p>
      <w:pPr>
        <w:ind w:left="80"/>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Freight, Technology Related and Other Commitments</w:t>
      </w:r>
    </w:p>
    <w:p>
      <w:pPr>
        <w:spacing w:after="0" w:line="175" w:lineRule="exact"/>
        <w:rPr>
          <w:sz w:val="20"/>
          <w:szCs w:val="20"/>
          <w:color w:val="auto"/>
        </w:rPr>
      </w:pPr>
    </w:p>
    <w:p>
      <w:pPr>
        <w:jc w:val="both"/>
        <w:ind w:left="340" w:right="20" w:firstLine="324"/>
        <w:spacing w:after="0" w:line="282" w:lineRule="auto"/>
        <w:rPr>
          <w:sz w:val="20"/>
          <w:szCs w:val="20"/>
          <w:color w:val="auto"/>
        </w:rPr>
      </w:pPr>
      <w:r>
        <w:rPr>
          <w:rFonts w:ascii="Times New Roman" w:cs="Times New Roman" w:eastAsia="Times New Roman" w:hAnsi="Times New Roman"/>
          <w:sz w:val="18"/>
          <w:szCs w:val="18"/>
          <w:color w:val="auto"/>
        </w:rPr>
        <w:t>As of October 29, 2022, we have obligations under freight, technology-related, construction and other contractual commitments in the amount of $92.0 million. Of such commitments, approximately $54.6 million is payable in the next 12 months.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Financial Guarantees</w:t>
      </w:r>
    </w:p>
    <w:p>
      <w:pPr>
        <w:spacing w:after="0" w:line="175"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During the normal course of business, we enter into contracts that contain a variety of representations and warranties and provide general indemnifications. The maximum exposure under these arrangements is unknown as this would involve future claims that may be made against us that have not yet occurred. However, based on experience, we believe the risk of loss to be remote.</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ind w:left="340" w:firstLine="324"/>
        <w:spacing w:after="0" w:line="255" w:lineRule="auto"/>
        <w:rPr>
          <w:sz w:val="20"/>
          <w:szCs w:val="20"/>
          <w:color w:val="auto"/>
        </w:rPr>
      </w:pPr>
      <w:r>
        <w:rPr>
          <w:rFonts w:ascii="Times New Roman" w:cs="Times New Roman" w:eastAsia="Times New Roman" w:hAnsi="Times New Roman"/>
          <w:sz w:val="18"/>
          <w:szCs w:val="18"/>
          <w:color w:val="auto"/>
        </w:rPr>
        <w:t>We are a defendant or co-defendant in lawsuits, claims and demands brought by various parties relating to matters normally incident to our business. No individual case, or group of cases presenting substantially similar issues of law or fact, is expected to have a material effect on the manner in which we conduct our business or on our results of operations, financial position or liquidity. The majority of these cases are alleging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insurance and reserves, the ultimate resolution of these matters will not have a material impact on our financial position, results of operations or cash flows.</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Sponsorship Agreement and Intellectual Property Commitments</w:t>
      </w:r>
    </w:p>
    <w:p>
      <w:pPr>
        <w:spacing w:after="0" w:line="175"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We periodically enter into sponsorship agreements generally with professional sports teams, associations, events, networks, or individual professional players and collegiate athletic programs in exchange for marketing and advertising promotions. We also enter into intellectual property agreements whereby the Company receives the right to use third-party owned trademarks typically in exchange for royalties on sales. These agreements typically contain a one to three-year term and contractual payment amounts required to be paid by the Company. As of October 29, 2022, we have $14.9 million in related commitments through 2027, of which $4.9 million is payable in the next 12 months.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175" w:lineRule="exact"/>
        <w:rPr>
          <w:sz w:val="20"/>
          <w:szCs w:val="20"/>
          <w:color w:val="auto"/>
        </w:rPr>
      </w:pPr>
    </w:p>
    <w:p>
      <w:pPr>
        <w:jc w:val="both"/>
        <w:ind w:left="340" w:firstLine="324"/>
        <w:spacing w:after="0" w:line="282" w:lineRule="auto"/>
        <w:rPr>
          <w:sz w:val="20"/>
          <w:szCs w:val="20"/>
          <w:color w:val="auto"/>
        </w:rPr>
      </w:pPr>
      <w:r>
        <w:rPr>
          <w:rFonts w:ascii="Times New Roman" w:cs="Times New Roman" w:eastAsia="Times New Roman" w:hAnsi="Times New Roman"/>
          <w:sz w:val="18"/>
          <w:szCs w:val="18"/>
          <w:color w:val="auto"/>
        </w:rPr>
        <w:t>Our management evaluated events or transactions that occurred after October 29, 2022 through December 7, 2022, the issuance date of the consolidated financial statements, and identified the following matter to report:</w:t>
      </w:r>
    </w:p>
    <w:p>
      <w:pPr>
        <w:spacing w:after="0" w:line="108"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On December 6, 2022, the Company's Board of Directors declared a quarterly cash dividend with respect to the fiscal quarter ended October 29, 2022, of $0.075 per share of the Company's common stock, payable on January 13, 2023, to stockholders of record as of the close of business on December 20, 2022.</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(this "Quarterly Report") includes "forward-looking" statements within the meaning of Section 27A of the Securities Act of 1933, as amended (the "Securities Act"), and Section 21E of the Securities Exchange Act of 1934, as amended (the "Exchange Act"), which are subject to the "safe harbor" created by those sections. Forward-looking statements include all statements that are not historical facts, including statements reflecting our current views with respect to, among other things, our operations and financial performance. These forward-looking statements are included throughout this Quarterly Report, including this "Management’s Discussion and Analysis of Financial Condition and Results of Operations" and in the section entitled "Risk Factors," and relate to matters such as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"intend," "may," "plan," "potential," "predict," "project," "future," "will," "seek," "foreseeable," the negative version of these words or similar terms and phrases to identify forward-looking statements in this Quarterly Report.</w:t>
      </w:r>
    </w:p>
    <w:p>
      <w:pPr>
        <w:spacing w:after="0" w:line="140"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17"/>
          <w:szCs w:val="17"/>
          <w:color w:val="auto"/>
        </w:rPr>
        <w:t>The forward-looking statements contained in this Quarterly Report are based on management’s current expectations and are not guarantees of future performance. The forward-looking statements are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 many of which are beyond our control. We believe that these factors include but are not limited to those described under "Risk Factors" in the Company's Annual Report on Form 10-K for the fiscal year ended January 29, 2022 (the "Annual Report"), as filed with the Securities and Exchange Commission (the "SEC") on March 29, 2022, as such risk factors have been updated from time to time in our periodic filings with the SEC, and are accessible on the SEC's website at www.sec.gov.</w:t>
      </w:r>
    </w:p>
    <w:p>
      <w:pPr>
        <w:spacing w:after="0" w:line="11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Any forward-looking statement made by us in this Quarterly Report speaks only as of the date of this Quarterly Report and are expressly qualified in their entirety by the cautionary statements included in this Quarterly Report.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We undertake no obligation to publicly update or review any forward-looking statement, whether as a result of new information, future developments or otherwise, except as may be required by any applicable securities laws.</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principal factors that make an investment in our securities speculative or risky (all of which are more fully described in the section entitled "Risk Factors" in the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17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decline in the health of the economy and consumer discretionary spending;</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or effectively react to changes in consumer tastes and preferences, to acquire and sell brand name merchandise at competitive prices and/or to manage our inventory balances;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COVID-19 on our business and the communities we serve;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in the sporting goods and outdoor recreation retail industries;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safeguard sensitive or confidential data relating to us and our customers, team members and vendors;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reliance on internationally manufactured merchandise;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update or implement our information technology systems;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disruptions in our supply chain and losses of merchandise purchasing incentives;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our third-party vendors of outsourced business services and solutions;</w:t>
      </w:r>
    </w:p>
    <w:p>
      <w:pPr>
        <w:spacing w:after="0" w:line="6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continue our store growth plans or manage our growth effectively, or any failure of our new stores to generate sales and/or achieve profitability;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0" w:name="page21"/>
    <w:bookmarkEnd w:id="20"/>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e-commerce business;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owned brand merchandise;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 in the operation of our distribution centers;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and seasonal fluctuations in our operating results;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severe weather events, catastrophic health events, natural or man-made disasters, social and political conditions or civil unrest;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ability to meet our labor needs;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personnel;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geographic concentration of our stores;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merchandise (including raw material) costs and availability;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payment-related risks;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pursue strategic acquisitions and integrate acquired businesses;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marketing and advertising programs;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Risks</w:t>
      </w:r>
    </w:p>
    <w:p>
      <w:pPr>
        <w:spacing w:after="0" w:line="67" w:lineRule="exact"/>
        <w:rPr>
          <w:sz w:val="20"/>
          <w:szCs w:val="20"/>
          <w:color w:val="auto"/>
        </w:rPr>
      </w:pPr>
    </w:p>
    <w:p>
      <w:pPr>
        <w:ind w:left="660" w:hanging="328"/>
        <w:spacing w:after="0" w:line="28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 affecting our business, including those relating to the sale, manufacture and import of consumer products;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demands and lawsuits to which we are, and may in the future, be subject and the risk that our insurance or indemnities coverage may not be sufficient;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avoid the infringement of third-party intellectual property rights;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increased costs, risks, and additional regulations and requirements as a result of becoming a public company;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have effective internal controls;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Indebtedness</w:t>
      </w:r>
    </w:p>
    <w:p>
      <w:pPr>
        <w:spacing w:after="0" w:line="67" w:lineRule="exact"/>
        <w:rPr>
          <w:sz w:val="20"/>
          <w:szCs w:val="20"/>
          <w:color w:val="auto"/>
        </w:rPr>
      </w:pPr>
    </w:p>
    <w:p>
      <w:pPr>
        <w:ind w:left="66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and related debt service payments and our ability to generate sufficient cash flow to satisfy all of our obligations under our indebtedness;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incur substantially more debt;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current and future operations imposed by the terms of our indebtedness;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variable rate indebtedness subjects us to interest rate risk;</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borrow under the ABL Facility (as defined below);</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may hinder our ability to negotiate favorable terms with our vendors;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Ownership of Our Common Stock</w:t>
      </w:r>
    </w:p>
    <w:p>
      <w:pPr>
        <w:spacing w:after="0" w:line="67"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be diluted by any future issuances of shares by us;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volatile and may decline;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in the future may be limited;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or negative coverage by securities analysts;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pay dividends on our common stock;</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in our organizational documents could delay or prevent a change of control;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authorized to issue and designate shares of preferred stock without stockholder approval;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exclusive forum provision.</w:t>
      </w:r>
    </w:p>
    <w:p>
      <w:pPr>
        <w:spacing w:after="0" w:line="17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These factors should not be construed as exhaustive and should be read in conjunction with the other cautionary statements that are included in this Quarterly Report. Should one or more of these risks or uncertainties materialize, or should any of our assumptions prove incorrect, our actual results may vary in material respects from those projected in these forward-looking statements.</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21" w:name="page22"/>
    <w:bookmarkEnd w:id="21"/>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unaudited financial statements and related notes included elsewhere in this Quarterly Report for the thirteen and thirty-nine weeks ended October 29, 2022 and our audited financial statements for the fiscal year ended January 29, 2022 and the section entitled "Management's Discussion and Analysis of Financial Condition and Results of Operations" included in the Annual Report.</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All references to "Academy," "Academy Sports + Outdoors," "ASO, Inc.," "we," "us," "our" or the "Company" in this Quarterly Report refer to Academy Sports and Outdoors, Inc., a Delaware corporation and the current parent holding company of our operations, and its consolidated subsidiaries. We conduct our operations through our subsidiaries, including our indirect subsidiary, Academy, Ltd., an operating company which is doing business as "Academy Sports + Outdoors."</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We operate on a retail fiscal calendar pursuant to which our fiscal year consists of 52 or 53 weeks, ending on the Saturday closest to January 31, (which such Saturday may occur on a date following January 31) each year. References to any year, quarter, or month mean our fiscal year, fiscal quarter, and fiscal month, respectively, unless the context requires otherwise. References to the "current quarter," "2022 third quarter," or similar reference refers to the thirteen week period ended October 29, 2022, and any reference to the "prior year quarter," "2021 third quarter" or similar reference refers to the thirteen week period ended October 30, 2021. Any reference in this Quarterly Report to "current year-to-date," "year-to-date 2022" or similar reference represents the thirty-nine week period ended October 29, 2022, and any reference in this Quarterly Report to the "prior year-to-date," "year-to-date 2021" or similar reference refers to the thirty-nine week period ended October 30, 2021. Unless otherwise specified, all comparisons regarding the current period of 2022 are made to the corresponding period of 2021.</w:t>
      </w:r>
    </w:p>
    <w:p>
      <w:pPr>
        <w:spacing w:after="0" w:line="212"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All statements in this Quarterly Report concerning our current and planned operations are modified by reference to our discussion of recent developments related to the COVID-19 pandemic, and our ability to carry out our current and planned operations are dependent on further developments associated with the COVID-19 pandemic.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one of the leading full-line sporting goods and outdoor recreation retailers in the United States. Our mission is to provide “Fun for All”, and we fulfill this mission with a localized merchandising strategy and value proposition that deeply connect with a broad range of consumers. Our product assortment focuses on key categories of outdoors, apparel, sports &amp; recreation and footwear (representing 31%, 26%, 22% and 21% of our year-to-date 2022 net sales, respectively) through both leading national brands and a portfolio of owned brands and private label brands, which go well beyond traditional sporting goods and apparel offerings.</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sell a range of sporting and outdoor recreation products, including sporting equipment, apparel, footwear, camping gear, patio furniture, outdoor cooking equipment, and hunting and fishing gear, among many others. Our strong merchandise assortment is anchored by our broad offering of year-round items, such as fitness equipment and apparel, work and casual wear, folding chairs, wagons and tents, training and running shoes, and coolers. We also carry a deep selection of seasonal items, such as sports equipment and apparel, seasonal wear and accessories, hunting and fishing equipment and apparel, patio furniture, trampolines, play sets, bicycles, and severe weather supplies. We provide locally relevant offerings, such as crawfish boilers in Louisiana, licensed apparel for area sports fans, baits and lures for area fishing spots, and beach towels in coastal markets.</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October 29, 2022, we operated 265 stores that range in size from approximately 40,000 to 130,000 gross square feet, with an average size of approximately 70,000 gross square feet, throughout 17 contiguous states located primarily in the southern United States. Our stores are supported by approximately 22,000 team members, three distribution centers, and our e-commerce platform, which includes our website at www.academy.com and our mobile app. Additionally, we are deepening our customer relationships, further integrating our e-commerce platform with our stores and driving operating efficiencies by developing our omnichannel capabilities, such as our mobile app, optimizing the website experience and upgrading our fulfillment capabilities.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store activity for the periods indicated:</w:t>
            </w: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18"/>
        </w:trPr>
        <w:tc>
          <w:tcPr>
            <w:tcW w:w="7540" w:type="dxa"/>
            <w:vAlign w:val="bottom"/>
          </w:tcPr>
          <w:p>
            <w:pPr>
              <w:spacing w:after="0"/>
              <w:rPr>
                <w:sz w:val="24"/>
                <w:szCs w:val="24"/>
                <w:color w:val="auto"/>
              </w:rPr>
            </w:pPr>
          </w:p>
        </w:tc>
        <w:tc>
          <w:tcPr>
            <w:tcW w:w="3700" w:type="dxa"/>
            <w:vAlign w:val="bottom"/>
            <w:tcBorders>
              <w:bottom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23"/>
        </w:trPr>
        <w:tc>
          <w:tcPr>
            <w:tcW w:w="7540" w:type="dxa"/>
            <w:vAlign w:val="bottom"/>
          </w:tcPr>
          <w:p>
            <w:pPr>
              <w:spacing w:after="0"/>
              <w:rPr>
                <w:sz w:val="19"/>
                <w:szCs w:val="19"/>
                <w:color w:val="auto"/>
              </w:rPr>
            </w:pPr>
          </w:p>
        </w:tc>
        <w:tc>
          <w:tcPr>
            <w:tcW w:w="19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18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October 30, 2021</w:t>
            </w:r>
          </w:p>
        </w:tc>
      </w:tr>
      <w:tr>
        <w:trPr>
          <w:trHeight w:val="223"/>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stores</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Q1 new stores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Q2 new stores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Q3 new stores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Closed</w:t>
            </w:r>
          </w:p>
        </w:tc>
        <w:tc>
          <w:tcPr>
            <w:tcW w:w="1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stores</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w:t>
            </w:r>
          </w:p>
        </w:tc>
        <w:tc>
          <w:tcPr>
            <w:tcW w:w="100" w:type="dxa"/>
            <w:vAlign w:val="bottom"/>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37"/>
        </w:trPr>
        <w:tc>
          <w:tcPr>
            <w:tcW w:w="754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r>
      <w:tr>
        <w:trPr>
          <w:trHeight w:val="23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Relocated stores</w:t>
            </w: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How We Assess the Performance of Our Business and Recent Trends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management considers a number of financial and operating metrics, including the following key metrics, to evaluate our business, measure our performance, identify trends affecting our business, determine the allocation of resources, make decisions regarding corporate strategies and evaluate projections. These metrics include operational measures and non-GAAP metrics supplemental to our GAAP results.</w:t>
      </w:r>
    </w:p>
    <w:p>
      <w:pPr>
        <w:spacing w:after="0" w:line="11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Comparable Sales. </w:t>
      </w:r>
      <w:r>
        <w:rPr>
          <w:rFonts w:ascii="Times New Roman" w:cs="Times New Roman" w:eastAsia="Times New Roman" w:hAnsi="Times New Roman"/>
          <w:sz w:val="18"/>
          <w:szCs w:val="18"/>
          <w:color w:val="auto"/>
        </w:rPr>
        <w:t>We define comparable sales as the percentage of period-over-period net sales increase or decrease, in the aggregate, for stores open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after thirteen full fiscal months, as well as for all e-commerce sales. There may be variations in the way in which some of our competitors and other retailers calculate comparable sales. As a result, data in this Quarterly Report regarding our comparable sales may not be comparable to similar data made available by other retailers. Stores which have been significantly remodeled or relocated are removed from this calculation until the new store has been in operation for substantially all of the periods being compared. Stores which have been closed for an extended period of time due to circumstances beyond our control are also removed from the calculation. Any sales made through our website or mobile app are allocated to e-commerce sales for the purpose of measuring comparable sales, regardless of how those sales are fulfilled, whether shipped to home or picked up in-store or curbside through our buy-online-pickup-in-store program ("BOPIS"). For example, all BOPIS transactions, which are originated by our website, are allocated to e-commerce sales for the purpose of comparable sales, despite the fact that our customers pick-up these purchases from a specific store.</w:t>
      </w:r>
    </w:p>
    <w:p>
      <w:pPr>
        <w:spacing w:after="0" w:line="13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Increases or decreases in e-commerce between periods being compared directly impact the comparable sales results. Various factors affect comparable sales, including consumer preferences, buying trends and overall economic trends; our ability to identify and respond effectively to customer preferences and local and regional trends; our ability to provide an assortment of high quality/value oriented product offerings that generate new and repeat visits to our stores and our website; the customer experience and unique services we provide in our stores; our ability to execute our omnichannel strategy, including the growth of our e-commerce business; changes in product mix and pricing, including promotional activities; the number of items purchased per visit and average order value; a shift in the timing of a holiday between comparable periods; and the number of stores that have been in operation for more than 13 months.</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seen a significant comparable store sales increase in recent full year results from (0.7)% in 2019 to 16.1% and 18.9% in 2020 and 2021, respectively. However, we experienced a decrease in comparable sales of (6.9)% for the year-to-date 2022 as compared to an increase in the year-to-date 2021 of 21.2%. The high year-to-date 2021 comparable sales were impacted by changing economic conditions including U.S. government stimulus packages, which had a positive impact on sales in the year-to-date 2021 and a negative impact to comparable sales for the year-to-date 2022. See the discussion on Net Sales below for some contributing factors to these changes.</w:t>
      </w:r>
    </w:p>
    <w:p>
      <w:pPr>
        <w:spacing w:after="0" w:line="12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Adjusted EBIT, Adjusted Net Income, Adjusted Earnings per Share and Adjusted Free Cash Flow. </w:t>
      </w:r>
      <w:r>
        <w:rPr>
          <w:rFonts w:ascii="Times New Roman" w:cs="Times New Roman" w:eastAsia="Times New Roman" w:hAnsi="Times New Roman"/>
          <w:sz w:val="18"/>
          <w:szCs w:val="18"/>
          <w:color w:val="auto"/>
        </w:rPr>
        <w:t>Management uses Adjusted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EBITDA, Adjusted EBIT, Adjusted Net Income,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 Management also uses Adjusted EBIT as a performance target to establish and award discretionary annual incentive compensation. See "Non-GAAP Measures" below.</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3" w:name="page24"/>
    <w:bookmarkEnd w:id="23"/>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Components of Our Results of Operations. </w:t>
      </w:r>
      <w:r>
        <w:rPr>
          <w:rFonts w:ascii="Times New Roman" w:cs="Times New Roman" w:eastAsia="Times New Roman" w:hAnsi="Times New Roman"/>
          <w:sz w:val="18"/>
          <w:szCs w:val="18"/>
          <w:color w:val="auto"/>
        </w:rPr>
        <w:t>Our profitability is primarily influenced by fluctuations in net sales, gross margin and our ability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leverage selling, general and administrative expenses.</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Net sales are derived from in-store and e-commerce merchandise sales, net of sales tax and an allowance for merchandise returns.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sales fluctuations can be driven by new store openings, comparable sales increases or decreases including e-commerce sales, our ability to adjust inventory based on sales fluctuations, our management of vendor relations and meeting customer demand, allowances and logistics, seasonality, unseasonal or extreme weather, changes in consumer shopping preferences, consumer discretionary spending, and market and sales promotions.</w:t>
      </w:r>
    </w:p>
    <w:p>
      <w:pPr>
        <w:spacing w:after="0" w:line="12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must maintain sufficient inventory levels of merchandise that our customers desire to successfully operate our business. A shortage of popular merchandise could reduce our net sales. Conversely, we also must seek to avoid accumulating excess inventory to avoid markdowns and clearance which negatively impact sales and gross margin. We have deployed several new tools over recent years to improve inventory handling and vendor management, including third-party programs to analyze our inventory stock and execute a disciplined markdown strategy throughout the year at every location. This implementation, along with other factors, has allowed us to improve our inventory management in stores over the past few years. We have coupled these tools with the data we have been able to collect from our Academy Credit Card program and targeted customer surveys, so that we can better estimate future inventory requirements. It is imperative that we continue to find innovative ways to strengthen our inventory management if we are to remain competitive and expand our margins on a go-forward basis.</w:t>
      </w:r>
    </w:p>
    <w:p>
      <w:pPr>
        <w:spacing w:after="0" w:line="13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anticipate that the increased popularity of isolated recreation, outdoor and leisure activity products brought on by customer demand during the COVID-19 pandemic will continue and will result in a long-term increase to our customer base. Additionally, we have benefited from recent shifting of customer spend towards in-home health and wellness and dedicating more time to memory-making experiences. Our broad assortment gives us an advantage over mass general merchants who typically do not carry the leading national brands sold at Academy. We have also continued to add owned brand products to our assortment of products, which we generally price lower than the national brand products of comparable quality that we also offer. A shift in our sales mix in which we sell more units of our owned brand products and fewer units of the national brand products would generally have a positive impact on our gross margin but an adverse impact on our total net sales. Furthermore, in recent years we have experienced higher sales related to the outdoors and sports and recreation merchandise divisions, as our customers turned to us for isolated recreation and outdoor and leisure activities during the pandemic. As our business begins to normalize, we are experiencing a shift in our sales mix from the outdoors and sports and recreation merchandise divisions to the footwear and apparel merchandise divisions, which would generally have a positive impact on our gross margin rate.</w:t>
      </w:r>
    </w:p>
    <w:p>
      <w:pPr>
        <w:spacing w:after="0" w:line="14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expansion and enhancement of our omnichannel capabilities has resulted in increased sales in recent years and we expect that it will continue to be a driver of growth in our net sales and gross margin. We continue to invest in initiatives that will increase traffic to our e-commerce platform, which includes our website and mobile app, and drive increased online sales conversion. During the third quarter of 2022, we improved our omnichannel capabilities by implementing several innovative features to enhance the customer shopping experience ahead of the holiday season, including outfitting, express check-out and enabling biometric security measures. Our improved e-commerce platform supports our stores with digital marketing and our BOPIS and ship-to-store programs. Additionally, our e-commerce platform allows us to reach customers outside of our current store footprint and introduces new customers to the Academy brand. It also allows for us to connect further with our customers for marketing and product education. We believe it is important that we continue to grow our omnichannel capabilities, which, together with recent enhancements made to our website and omnichannel capabilities, contributed to the increase in e-commerce sales during 2021 and in the year-to-date 2022. During the year-to-date 2022, stores facilitated approximately 95% of our total sales, including ship-from-store, BOPIS and in-store retail sales. We expect to continue to invest in expanding and enhancing our omnichannel capabilities, including our mobile app, optimizing the web site experience and upgrading our fulfillment capabilities, which will continue to require significant investments by us.</w:t>
      </w:r>
    </w:p>
    <w:p>
      <w:pPr>
        <w:spacing w:after="0" w:line="13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expect that new stores will be a key driver of growth in our net sales and gross margin in the future. Our results of operations have been and will continue to be materially affected by the timing and number of new store openings. We are continually assessing the number of locations available that could accommodate our preferred size of stores in markets we would consider, and subsequent to the end of the 2022 third quarter, we have completed three additional new store openings, which brings our total to nine new store openings in 2022. Additionally, we intend to open a significant number of new stores by the end of 2026. We expect most of our stores to achieve profitability within the first twelve months of opening. We believe our real estate strategy has positioned us well for further expansion.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4" w:name="page25"/>
    <w:bookmarkEnd w:id="24"/>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is our net sales less cost of goods sold. Our cost of goods sold includes the direct cost of merchandise and costs related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procurement, warehousing and distribution. These costs consist primarily of payroll and benefits, distribution center occupancy costs and freight and are generally variable in nature relative to our sales volume.</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gross margin depends on a number of factors, such as net sales increases or decreases, our promotional activities, product mix including owned brand merchandise sales, and our ability to control cost of goods sold, such as inventory and logistics cost management. Our gross margin is also impacted by variables including commodity costs, freight costs, shrinkage and inventory processing costs and e-commerce shipping costs. We track and measure gross margin as a percentage of net sales in order to evaluate our performance against profitability targets.</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 the past several quarters, we have seen increased competition across the industry for resources throughout the supply chain, which has resulted in disruptions to the flow of products from our vendors, labor shortages, reduced shipping container availability, and longer delays at the port. As a result, we have begun to experience a period of decreased or delayed supply and high inflationary levels. These factors have negatively impacted transportation and inventory costs, as we continue to pay higher prices to maintain our inventory levels. Under the last in, first out method ("LIFO"), our cost of sales reflects the costs of the most recently purchased inventories. A prolonged continuation of high inflationary levels of inventory and related transportation costs could result in LIFO charges that have a negative impact on our gross margin. To help mitigate these constraints and potential disruptions to our supply chain, we continue to work with our partners by ordering merchandise earlier, securing transportation capacity, and utilizing different ports of entry.</w:t>
      </w:r>
    </w:p>
    <w:p>
      <w:pPr>
        <w:spacing w:after="0" w:line="13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("SG&amp;A") expenses include store and corporate administrative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payroll and payroll benefits, store and corporate headquarters occupancy costs, advertising, credit card processing, information technology, pre-opening costs and other store and administrative expenses. These expenses are both variable and fixed in nature. As sales increase at a higher rate than our SG&amp;A, this results in sales leverage and a higher sales flow through to net income, which we have experienced in recent years with SG&amp;A expenses as a percentage of sales declining from 25.9% to 23.1% to 21.3% for the full years of 2019, 2020 and 2021, respectively. SG&amp;A expenses as a percentage of sales increased from 21.3% in the prior year-to-date compared to 21.5% in the current year-to-date. We track and measure operating expenses as a percentage of net sales in order to evaluate our performance against profitability targets. Management of SG&amp;A expenses depends on our ability to balance a control of operating costs, such as store, distribution center, and corporate headcount, information technology infrastructure and marketing and advertising expenses, with efficiently and effectively servicing our customers.</w:t>
      </w:r>
    </w:p>
    <w:p>
      <w:pPr>
        <w:spacing w:after="0" w:line="121"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includes regular interest payable related to our Term Loan, Notes and ABL Facility (see Note 4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accompanying financial statements) and the amortization of our deferred loan costs and original issuance discounts associated with the acquisition of the debt. In November of 2020, we refinanced our debt resulting in an approximate $630 million reduction in our overall debt outstanding. Subsequently, in May of 2021 we entered into an amendment to our Term Loan which reduced the applicable margin on our LIBOR rate by 1.25% and paid down $99 million. These actions have resulted in interest expense reductions in the full year 2021 and in the thirty-nine weeks ended October 29, 2022. However, during 2022 the Federal Reserve increased the federal funds benchmark rate, which resulted in increased interest rates on our Term Loan and led to higher interest expense in the 2022 third quarter relative to the prior year quarter.</w:t>
      </w:r>
    </w:p>
    <w:p>
      <w:pPr>
        <w:spacing w:after="0" w:line="13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ASO, Inc. is treated as a U.S. corporation for U.S. federal, state, and local income tax purposes and accordingly, a provision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taxes has been recorded for the anticipated tax consequences of our reported results of operations for federal, state and local income taxes. Recent fluctuations in income tax expense have been primarily as a result of changes in income before income taxes.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 on Our Business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COVID-19 pandemic continues to affect our business and suppliers. While restrictions aimed at mitigating the spread of the virus have largely been lifted in the U.S., governmental authority safety recommendations and requirements such as stay at home orders and business closures continue to affect our international supply chain, resulting in decreased transportation, goods and labor availability. Supply chain disruptions due to the COVID-19 pandemic and other causes have also contributed to and increased inflationary levels and recessionary fears. Additionally, the U.S. government released stimulus packages throughout 2020 and 2021 as a result of the economic situation caused by the pandemic, which had a positive impact on sales during those periods.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5" w:name="page26"/>
    <w:bookmarkEnd w:id="25"/>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extent to which our operations and business trends will continue to be impacted by, and any additional unforeseen costs or other effects will result from, the pandemic will depend largely on future developments, including whether there are additional periods of increases or spikes in the number or severity of COVID-19 cases (including as a result of a new variant) within the markets in which we operate and from which we and our suppliers source products and materials and the related impact on consumer confidence and spending, labor supply or product supply, all of which are highly uncertain. We continue to monitor the evolving situation. See the section of the Annual Report entitled "Risk Factors—Risks Related to Our Business—The impact of COVID-19 may adversely affect our business and financial results."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Thirteen Weeks Ended October 29, 2022 Compared to Thirteen Weeks Ended October 30, 2021</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amounts and information derived from our unaudited statements of income for the periods indicated as follows (dollar amounts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3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2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220" w:type="dxa"/>
            <w:vAlign w:val="bottom"/>
          </w:tcPr>
          <w:p>
            <w:pPr>
              <w:spacing w:after="0"/>
              <w:rPr>
                <w:sz w:val="19"/>
                <w:szCs w:val="19"/>
                <w:color w:val="auto"/>
              </w:rPr>
            </w:pPr>
          </w:p>
        </w:tc>
        <w:tc>
          <w:tcPr>
            <w:tcW w:w="228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October 30, 2021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10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23"/>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1,493,925</w:t>
            </w:r>
          </w:p>
        </w:tc>
        <w:tc>
          <w:tcPr>
            <w:tcW w:w="1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1,592,795</w:t>
            </w:r>
          </w:p>
        </w:tc>
        <w:tc>
          <w:tcPr>
            <w:tcW w:w="1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(98,870)</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9"/>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971,454</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65.0 %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1,031,957</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(60,503)</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522,471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560,838</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(38,367)</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9"/>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342,949</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344,725</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179,522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216,113</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12,163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11,424</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(2,538)</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169,897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205,303</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38,156</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2.6 %</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43,998</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3"/>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131,741</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8.8 %</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161,305</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0"/>
        </w:trPr>
        <w:tc>
          <w:tcPr>
            <w:tcW w:w="3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*Percentages in table may not sum properly due to rounding.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NM - Not meaningful.</w:t>
      </w:r>
    </w:p>
    <w:p>
      <w:pPr>
        <w:spacing w:after="0" w:line="14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Net Sales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sales decreased $98.9 million, or 6.2%, in the 2022 third quarter over the prior year third quarter as a result of decreased comparable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sales of 7.2%, which were partially offset by additional net sales generated by new locations. As of the end of the 2022 third quarter, we operated six additional stores as compared to the end of the 2021 third quarter.</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decrease of 7.2% in comparable sales was driven by lower sales as a result of fewer transactions. The majority of the decrease in comparable sales was due to lower sales in the outdoors merchandise division caused by a decrease in the shooting sports category. To a lesser extent, within the outdoors merchandise division, fishing also contributed to the decrease in sales. The sports and recreation merchandise division sales also declined, which was generally offset by an increase in the footwear merchandise division. The sports and recreation merchandise division sales decrease was primarily driven by recreation and fitness as these divisions were particularly impacted by increased prior year isolated recreation demands brought on by the COVID-19 pandemic, especially in categories such as bikes, outdoor games and fitness equipment. These decreases in the current year were partially offset by increased sales in team sports, including football, baseball and golf. The footwear merchandise division increase was primarily due to increased sales in the casual and seasonal footwear and youth footwear categories. The apparel merchandise division was relatively flat compared to the prior year, experiencing only a slight decline.</w:t>
      </w:r>
    </w:p>
    <w:p>
      <w:pPr>
        <w:spacing w:after="0" w:line="13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E-commerce net sales increased $13.4 million, or 10.5%, in the 2022 third quarter compared to the prior year third quarter and represented 9.5% of merchandise sales for the 2022 third quarter compared to 8.0% for the prior year third quarter.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6" w:name="page27"/>
    <w:bookmarkEnd w:id="26"/>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decreased $38.4 million, or 6.8%, to $522.5 million in the 2022 third quarter from $560.8 million in the 2021 third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quarter. As a percentage of net sales, gross margin decreased 0.2% from 35.2% in the 2021 third quarter to 35.0% in the 2022 third quarter. The decrease of 20 basis points in gross margin is primarily attributable to:</w:t>
      </w:r>
    </w:p>
    <w:p>
      <w:pPr>
        <w:spacing w:after="0" w:line="121"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 basis points of unfavorability on increased inventory shrinkage;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basis points of unfavorability in e-commerce shipping costs due to increased e-commerce sales during the 2022 third quarter;</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basis points of unfavorability in import freight and duties as a result of increased costs of ocean freight during the 2022 third quarter; partially offset by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basis points of favorability in merchandise margins driven by favorable merchandise mix and higher average unit retails.</w:t>
      </w:r>
    </w:p>
    <w:p>
      <w:pPr>
        <w:spacing w:after="0" w:line="24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SG&amp;A expenses decreased $1.8 million to $342.9 million in the 2022 third quarter as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$344.7 million in the 2021 third quarter primarily as a result of higher prior year performance-based compensation expense. As a percentage of net sales, SG&amp;A expenses increased 1.4% to 23.0% in the 2022 third quarter compared to 21.6% in the 2021 third quarter. The increase of 140 basis points in SG&amp;A is primarily attributable to a deleverage of fixed costs from decreased sales.</w:t>
      </w:r>
    </w:p>
    <w:p>
      <w:pPr>
        <w:spacing w:after="0" w:line="12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increased $0.7 million, or 6.5%, in the 2022 third quarter when compared with the 2021 third quarter, resulting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increased interest rates in recent months on our Term Loan.</w:t>
      </w:r>
    </w:p>
    <w:p>
      <w:pPr>
        <w:spacing w:after="0" w:line="18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net. </w:t>
      </w:r>
      <w:r>
        <w:rPr>
          <w:rFonts w:ascii="Times New Roman" w:cs="Times New Roman" w:eastAsia="Times New Roman" w:hAnsi="Times New Roman"/>
          <w:sz w:val="18"/>
          <w:szCs w:val="18"/>
          <w:color w:val="auto"/>
        </w:rPr>
        <w:t>Other (income), net, increased $1.9 million in the 2022 third quarter when compared with the 2021 third quarter, primarily driven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favorable interest rate movement on money market investments in the current year.</w:t>
      </w:r>
    </w:p>
    <w:p>
      <w:pPr>
        <w:spacing w:after="0" w:line="182"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Income tax expense decreased $5.8 million to $38.2 million for the 2022 third quarter as compared to $44.0 million in the 2021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third quarter, resulting primarily from a decrease in income before income taxes in the current year, partially offset by a higher effective tax rate.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Thirty-Nine Weeks Ended October 29, 2022 Compared to Thirty-Nine Weeks Ended October 30, 2021</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amounts and information derived from our unaudited statements of income for the periods indicated as follows (dollar amounts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Borders>
              <w:bottom w:val="single" w:sz="8" w:color="auto"/>
            </w:tcBorders>
          </w:tcPr>
          <w:p>
            <w:pPr>
              <w:spacing w:after="0"/>
              <w:rPr>
                <w:sz w:val="20"/>
                <w:szCs w:val="20"/>
                <w:color w:val="auto"/>
              </w:rPr>
            </w:pPr>
          </w:p>
        </w:tc>
      </w:tr>
      <w:tr>
        <w:trPr>
          <w:trHeight w:val="223"/>
        </w:trPr>
        <w:tc>
          <w:tcPr>
            <w:tcW w:w="3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4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240" w:type="dxa"/>
            <w:vAlign w:val="bottom"/>
          </w:tcPr>
          <w:p>
            <w:pPr>
              <w:spacing w:after="0"/>
              <w:rPr>
                <w:sz w:val="19"/>
                <w:szCs w:val="19"/>
                <w:color w:val="auto"/>
              </w:rPr>
            </w:pPr>
          </w:p>
        </w:tc>
        <w:tc>
          <w:tcPr>
            <w:tcW w:w="170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w w:val="99"/>
              </w:rPr>
              <w:t>October 30, 2021</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8"/>
              </w:rPr>
              <w:t>Percent</w:t>
            </w:r>
          </w:p>
        </w:tc>
      </w:tr>
      <w:tr>
        <w:trPr>
          <w:trHeight w:val="223"/>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4,648,570</w:t>
            </w:r>
          </w:p>
        </w:tc>
        <w:tc>
          <w:tcPr>
            <w:tcW w:w="1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4,964,658</w:t>
            </w:r>
          </w:p>
        </w:tc>
        <w:tc>
          <w:tcPr>
            <w:tcW w:w="1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(316,088)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3,008,612</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64.7 %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3,197,623</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3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1,639,958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1,767,035</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998,209</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1,057,290</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3"/>
        </w:trPr>
        <w:tc>
          <w:tcPr>
            <w:tcW w:w="3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641,749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709,745</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34,240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0.7 %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early retirement of debt</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(4,676)</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98"/>
              </w:rPr>
              <w:t>(1,746)</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167.8 %</w:t>
            </w:r>
          </w:p>
        </w:tc>
      </w:tr>
      <w:tr>
        <w:trPr>
          <w:trHeight w:val="223"/>
        </w:trPr>
        <w:tc>
          <w:tcPr>
            <w:tcW w:w="3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612,185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671,122</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9"/>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141,837</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141,511</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48"/>
        </w:trPr>
        <w:tc>
          <w:tcPr>
            <w:tcW w:w="33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470,348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529,611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*Percentages in table may not sum properly due to rounding.</w:t>
      </w:r>
    </w:p>
    <w:p>
      <w:pPr>
        <w:spacing w:after="0" w:line="213"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Net Sales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sales decreased $316.1 million, or 6.4%, for the year-to-date 2022 compared to the year-to-date 2021 as a result of decreased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comparable sales of 6.9%, which were partially offset by increased sales from the addition of six new stores during the period.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7" w:name="page28"/>
    <w:bookmarkEnd w:id="27"/>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decrease of 6.9% in comparable sales was driven by lower sales across all merchandise divisions as a result of fewer transactions partially offset by an increase in average ticket. The higher comparable sales in the prior year were partially due to stimulus payments and child tax credits issued by the U.S. government during the year-to-date 2021. The outdoors merchandise division had declines in shooting sports and fishing, partially offset by an increase in the camping category. The sports and recreation division sales were lower, primarily driven by recreation and fitness as these divisions were particularly impacted by increased prior year isolated recreation demands brought on by the COVID-19 pandemic, especially in categories such as fitness equipment, bikes, outdoor games and outdoor cooking. These decreases in the current year were partially offset by increased sales in team sports, including football, basketball, golf and baseball. The apparel division experienced declining sales largely due to athletic apparel. The footwear division decreased due to lower sales in athletic footwear and work footwear, partially offset by increases in youth footwear.</w:t>
      </w:r>
    </w:p>
    <w:p>
      <w:pPr>
        <w:spacing w:after="0" w:line="1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E-commerce net sales increased $53.5 million, or 13.6%, in the year-to-date 2022 compared to the year-to-date 2021 and represented 9.7% of merchandise sales in the current year-to-date compared to 8.0% in the prior year-to-date.</w:t>
      </w:r>
    </w:p>
    <w:p>
      <w:pPr>
        <w:spacing w:after="0" w:line="104"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decreased $127.1 million, or 7.2%, to $1,640.0 million for the year-to-date 2022 from $1,767.0 million for the year-to-date 2021. As a percentage of net sales, gross margin decreased 0.3% from 35.6% in the prior year-to-date to 35.3% in the current year-to-date. The decrease of 30 basis points in gross margin is primarily attributable to:</w:t>
      </w:r>
    </w:p>
    <w:p>
      <w:pPr>
        <w:spacing w:after="0" w:line="121"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basis points of unfavorability in e-commerce shipping costs due to increased e-commerce sales during the 2022 year-to-date;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basis points of unfavorability on inventory valuation adjustments;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basis points of unfavorability in inventory overhead expenditures as a result of higher expense absorption rates from lower inventory turnover rates; partially offset by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basis points of favorability in merchandise margins driven by higher average unit retails.</w:t>
      </w:r>
    </w:p>
    <w:p>
      <w:pPr>
        <w:spacing w:after="0" w:line="248"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SG&amp;A expenses decreased $59.1 million, or 5.6%, to $998.2 million for the year-to-date 2022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$1,057.3 million for the year-to-date 2021 primarily due to higher prior year compensation costs associated with the 2021 Vesting Event of $24.9 million of equity compensation and $15.5 million in related payroll tax expense. Additionally, higher performance-based compensation in 2021 contributed to the decrease. As a percentage of net sales, SG&amp;A expenses increased 0.2% to 21.5% in the current year-to-date 2022 compared to 21.3% in the prior year-to-date primarily attributable to deleverage from decreased sales on decreased SG&amp;A costs.</w:t>
      </w:r>
    </w:p>
    <w:p>
      <w:pPr>
        <w:spacing w:after="0" w:line="1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decreased $3.9 million, or 10.2%, for the year-to-date 2022 when compared to the year-to-date 2021, resulting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lower outstanding balance on our long-term debt as a result of the refinancing of our Term Loan which occurred in May 2021 which was partially offset by an increase in interest rates in recent months on our Term Loan.</w:t>
      </w:r>
    </w:p>
    <w:p>
      <w:pPr>
        <w:spacing w:after="0" w:line="198"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Loss on Early Retirement of Debt. </w:t>
      </w:r>
      <w:r>
        <w:rPr>
          <w:rFonts w:ascii="Times New Roman" w:cs="Times New Roman" w:eastAsia="Times New Roman" w:hAnsi="Times New Roman"/>
          <w:sz w:val="18"/>
          <w:szCs w:val="18"/>
          <w:color w:val="auto"/>
        </w:rPr>
        <w:t>Loss on early retirement of debt decreased $2.2 million for the year-to-date 2022 when compared to the year-to-date 2021. During the second quarter of 2021, we refinanced our Term Loan, which resulted in a loss on early retirement of debt of $2.2 million.</w:t>
      </w:r>
    </w:p>
    <w:p>
      <w:pPr>
        <w:spacing w:after="0" w:line="18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net. </w:t>
      </w:r>
      <w:r>
        <w:rPr>
          <w:rFonts w:ascii="Times New Roman" w:cs="Times New Roman" w:eastAsia="Times New Roman" w:hAnsi="Times New Roman"/>
          <w:sz w:val="18"/>
          <w:szCs w:val="18"/>
          <w:color w:val="auto"/>
        </w:rPr>
        <w:t>Other income, net, increased $2.9 million, or 167.8%, in the year-to-date 2022 when compared to the year-to-date 2021,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driven by favorable interest rate movement on money market investments in the current year.</w:t>
      </w:r>
    </w:p>
    <w:p>
      <w:pPr>
        <w:spacing w:after="0" w:line="168"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Income tax expense increased $0.3 million to $141.8 million for the year-to-date 2022 as compared to $141.5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year-to-date 2021, resulting primarily from an increased effective tax rate. ASO, Inc.’s effective tax rate for the year-to-date 2022 was 23.2% compared to</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21.1% in the year-to-date 2021. The change in effective tax rate was primarily driven by a prior year benefit from tax deductions related to the vesting or exercise of several equity compensation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8" w:name="page29"/>
    <w:bookmarkEnd w:id="28"/>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Adjusted EBITDA, Adjusted EBIT, Adjusted Net Income, Adjusted Earnings per Share and Adjusted Free Cash Flow, as shown below, have been presented in this Quarterly Report as supplemental measures of financial performance that are not required by, or presented in accordance with, accounting principles generally accepted in the United States of America ("GAAP"). We define Adjusted EBITDA as net income (loss) before interest expense, net, income tax expense and depreciation, amortization and impairment, further adjusted to exclude costs such as consulting fees, private equity sponsor monitoring fees, equity compensation expense, (gain) loss on early retirement of debt, net, severance and executive transition costs, costs related to the COVID-19 pandemic, pre-opening expenses, payroll taxes associated with the 2021 Vesting Event and other adjustments. We define Adjusted EBIT as net income (loss) before interest expense, net, and income tax expense, further adjusted to exclude costs such as consulting fees, private equity sponsor monitoring fees, equity compensation expense, (gain) loss on early retirement of debt, net, severance and executive transition costs, costs related to the COVID-19 pandemic, pre-opening expenses, payroll taxes associated with the 2021 Vesting Event and other adjustments. We describe these adjustments reconciling net income (loss) to Adjusted EBITDA and to Adjusted EBIT in the applicable table below. We define Adjusted Net Income as net income (loss), plus costs such as consulting fees, private equity sponsor monitoring fees, equity compensation expense, (gain) loss on early retirement of debt, net, severance and executive transition costs, costs related to the COVID-19 pandemic, pre-opening expenses, payroll taxes associated with the 2021 Vesting Event and other adjustments, less the tax effect of these adjustments. We define basic Adjusted Earnings per Share as Adjusted Net Income divided by the basic weighted average common shares outstanding during the period and diluted Adjusted Earnings per Share as Adjusted Net Income divided by the diluted weighted average common shares outstanding during the period. We describe these adjustments by reconciling net income (loss) to Adjusted Net Income and Adjusted Earnings per Share in the applicable table below. We describe Adjusted Free Cash Flow as net cash provided by (used in) operating activities less net cash used in investing activities. We describe this adjustment by reconciling net cash provided by operating activities to Adjusted Free Cash Flow in the applicable table below.</w:t>
      </w:r>
    </w:p>
    <w:p>
      <w:pPr>
        <w:spacing w:after="0" w:line="13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believe Adjusted EBITDA, Adjusted EBIT, Adjusted Net Income, and Adjusted Earnings per Share assist investors and analysts in comparing our operating performance across reporting periods on a consistent basis by excluding items that we do not believe are indicative of our core operating performance. Management believes Adjusted EBITDA, Adjusted EBIT, Adjusted Net Income, and Adjusted Earnings per Share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EBITDA, Adjusted EBIT, Adjusted Net Income,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 Management also uses Adjusted EBIT as a performance target to establish and award discretionary annual incentive compensation.</w:t>
      </w:r>
    </w:p>
    <w:p>
      <w:pPr>
        <w:spacing w:after="0" w:line="13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Management supplements GAAP results with non-GAAP financial measures to provide a more complete understanding of the factors and trends affecting the business than GAAP results alone. Adjusted EBITDA, Adjusted EBIT, Adjusted Net Income, Adjusted Earnings per Share and Adjusted Free Cash Flow are not recognized terms under GAAP and should not be considered as an alternative to net income (loss)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Adjusted EBITDA, Adjusted EBIT, Adjusted Net Income, and Adjusted Earnings per Share should not be construed to imply that our future results will be unaffected by unusual or non-recurring items. In evaluating Adjusted EBITDA, Adjusted EBIT, Adjusted Net Income, Adjusted Earnings per Share and Adjusted Free Cash Flow, you should be aware that in the future we may incur expenses that are the same as or similar to some of the adjustments in this presentation. Our presentation of Adjusted EBITDA, Adjusted EBIT, Adjusted Net Income, Adjusted Earnings per Share and Adjusted Free Cash Flow should not be construed to imply that our future results will be unaffected by any such adjustments.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Adjusted EBITDA, Adjusted EBIT, Adjusted Net Income, Adjusted Earnings per Share and Adjusted Free Cash Flow measures have limitations as analytical tools, and you should not consider them in isolation, or as a substitute for analysis of our results as reported under GAAP. Some of these limitations are:</w:t>
      </w:r>
    </w:p>
    <w:p>
      <w:pPr>
        <w:spacing w:after="0" w:line="122" w:lineRule="exact"/>
        <w:rPr>
          <w:sz w:val="20"/>
          <w:szCs w:val="20"/>
          <w:color w:val="auto"/>
        </w:rPr>
      </w:pPr>
    </w:p>
    <w:p>
      <w:pPr>
        <w:ind w:left="660" w:hanging="328"/>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Earnings per Share do not reflect costs or cash outlays for capital expenditures or contractual commitments;</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Earnings per Share do not reflect changes in, or cash requirements for, our working capital needs;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 do not reflect the interest expense, or the cash requirements necessary to service interest or principal payments, on our debt, and Adjusted Free Cash Flow does not reflect the cash requirements necessary to service principal payments on our debt;</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 do not reflect period to period changes in taxes, income tax expense or the cash necessary to pay income taxes;</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Earnings per Share do not reflect the impact of earnings or charges resulting from matters we consider not to be indicative of our ongoing operations;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Adjusted EBITDA and Adjusted Free Cash Flow do not reflect cash requirements for such replacements;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these measures differently than we do, limiting their usefulness as comparative measures.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of these limitations, Adjusted EBITDA, Adjusted EBIT, Adjusted Net Income, Adjusted Earnings per Share and Adjusted Free Cash Flow should not be considered as measures of discretionary cash available to invest in business growth or to reduce indebtedness. Management compensates for these limitations by primarily relying on our GAAP results in addition to using Adjusted EBITDA, Adjusted EBIT, Adjusted Net Income, Adjusted Earnings per Share and Adjusted Free Cash Flow supplementally.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reconciliations of net income to Adjusted EBITDA and to Adjusted EBIT for the periods presented (amounts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80" w:type="dxa"/>
            <w:vAlign w:val="bottom"/>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40" w:type="dxa"/>
            <w:vAlign w:val="bottom"/>
          </w:tcPr>
          <w:p>
            <w:pPr>
              <w:spacing w:after="0"/>
              <w:rPr>
                <w:sz w:val="20"/>
                <w:szCs w:val="20"/>
                <w:color w:val="auto"/>
              </w:rPr>
            </w:pPr>
          </w:p>
        </w:tc>
        <w:tc>
          <w:tcPr>
            <w:tcW w:w="330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23"/>
        </w:trPr>
        <w:tc>
          <w:tcPr>
            <w:tcW w:w="4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1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October 30, 2021</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1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October 30, 2021</w:t>
            </w: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131,741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161,305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470,348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529,611</w:t>
            </w: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34,240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38,130</w:t>
            </w: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141,837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141,511</w:t>
            </w: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78,852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77,767</w:t>
            </w: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(a)</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36,126</w:t>
            </w: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early retirement of debt</w:t>
            </w:r>
          </w:p>
        </w:tc>
        <w:tc>
          <w:tcPr>
            <w:tcW w:w="16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w:t>
            </w: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Pre-opening expenses (b)</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 taxes associated with the 2021 Vesting Event (c)</w:t>
            </w:r>
          </w:p>
        </w:tc>
        <w:tc>
          <w:tcPr>
            <w:tcW w:w="16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15,418</w:t>
            </w: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w:t>
            </w: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r>
      <w:tr>
        <w:trPr>
          <w:trHeight w:val="223"/>
        </w:trPr>
        <w:tc>
          <w:tcPr>
            <w:tcW w:w="4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217,004</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246,702</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745,704</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842,111</w:t>
            </w:r>
          </w:p>
        </w:tc>
      </w:tr>
      <w:tr>
        <w:trPr>
          <w:trHeight w:val="22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Depreciation and amortization</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(78,852)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(77,767)</w:t>
            </w:r>
          </w:p>
        </w:tc>
      </w:tr>
      <w:tr>
        <w:trPr>
          <w:trHeight w:val="223"/>
        </w:trPr>
        <w:tc>
          <w:tcPr>
            <w:tcW w:w="4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190,004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220,243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666,852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764,344</w:t>
            </w:r>
          </w:p>
        </w:tc>
      </w:tr>
      <w:tr>
        <w:trPr>
          <w:trHeight w:val="21"/>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520" w:right="40" w:hanging="494"/>
        <w:spacing w:after="0" w:line="237"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charges related to equity-based compensation, which vary from period to period depending on certain factors such as the 2021 Vesting Event, timing and valuation of awards, achievement of performance targets and equity award forfeitures.</w:t>
      </w:r>
    </w:p>
    <w:p>
      <w:pPr>
        <w:spacing w:after="0" w:line="9" w:lineRule="exact"/>
        <w:rPr>
          <w:rFonts w:ascii="Times New Roman" w:cs="Times New Roman" w:eastAsia="Times New Roman" w:hAnsi="Times New Roman"/>
          <w:sz w:val="18"/>
          <w:szCs w:val="18"/>
          <w:color w:val="auto"/>
        </w:rPr>
      </w:pPr>
    </w:p>
    <w:p>
      <w:pPr>
        <w:jc w:val="both"/>
        <w:ind w:left="520" w:right="60" w:hanging="494"/>
        <w:spacing w:after="0" w:line="231"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pre-opening expenses, which are non-capital expenditures associated with opening new stores and incurred prior to the store opening and generating sales. These costs consist primarily of occupancy costs, marketing, payroll and recruiting costs. These costs are expensed as incurred.</w:t>
      </w:r>
    </w:p>
    <w:p>
      <w:pPr>
        <w:spacing w:after="0" w:line="1" w:lineRule="exact"/>
        <w:rPr>
          <w:rFonts w:ascii="Times New Roman" w:cs="Times New Roman" w:eastAsia="Times New Roman" w:hAnsi="Times New Roman"/>
          <w:sz w:val="18"/>
          <w:szCs w:val="18"/>
          <w:color w:val="auto"/>
        </w:rPr>
      </w:pPr>
    </w:p>
    <w:p>
      <w:pPr>
        <w:ind w:left="520" w:hanging="494"/>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expenses related to taxes on equity-based compensation resulting from the 2021 Vesting Event.</w:t>
      </w:r>
    </w:p>
    <w:p>
      <w:pPr>
        <w:spacing w:after="0" w:line="22" w:lineRule="exact"/>
        <w:rPr>
          <w:rFonts w:ascii="Times New Roman" w:cs="Times New Roman" w:eastAsia="Times New Roman" w:hAnsi="Times New Roman"/>
          <w:sz w:val="18"/>
          <w:szCs w:val="18"/>
          <w:color w:val="auto"/>
        </w:rPr>
      </w:pPr>
    </w:p>
    <w:p>
      <w:pPr>
        <w:jc w:val="both"/>
        <w:ind w:left="520" w:right="60" w:hanging="494"/>
        <w:spacing w:after="0" w:line="229"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adjustments include (representing deductions or additions to Adjusted EBITDA and Adjusted EBIT) amounts that management believes are not representative of our operating performance, such as costs associated with secondary offerings, installation costs for energy savings associated with our profitability initiatives and other costs associated with business optimization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and Adjusted Earnings per Share</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income to Adjusted Net Income and Adjusted Earnings per Share for the periods presented (amounts in thousands, except per share data):</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80" w:type="dxa"/>
            <w:vAlign w:val="bottom"/>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40" w:type="dxa"/>
            <w:vAlign w:val="bottom"/>
          </w:tcPr>
          <w:p>
            <w:pPr>
              <w:spacing w:after="0"/>
              <w:rPr>
                <w:sz w:val="20"/>
                <w:szCs w:val="20"/>
                <w:color w:val="auto"/>
              </w:rPr>
            </w:pPr>
          </w:p>
        </w:tc>
        <w:tc>
          <w:tcPr>
            <w:tcW w:w="330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23"/>
        </w:trPr>
        <w:tc>
          <w:tcPr>
            <w:tcW w:w="4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1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October 30, 2021</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1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October 30, 2021</w:t>
            </w: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131,741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161,305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470,348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529,611</w:t>
            </w: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(a)</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36,126</w:t>
            </w: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early retirement of debt</w:t>
            </w: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Pre-opening expenses (b)</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taxes associated with the 2021 Vesting Event (c)</w:t>
            </w: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15,418</w:t>
            </w: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(d)</w:t>
            </w:r>
          </w:p>
        </w:tc>
        <w:tc>
          <w:tcPr>
            <w:tcW w:w="16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effects of these adjustments (e)</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(4,735)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(13,487)</w:t>
            </w:r>
          </w:p>
        </w:tc>
      </w:tr>
      <w:tr>
        <w:trPr>
          <w:trHeight w:val="223"/>
        </w:trPr>
        <w:tc>
          <w:tcPr>
            <w:tcW w:w="4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137,877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164,135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486,040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571,216</w:t>
            </w: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37"/>
        </w:trPr>
        <w:tc>
          <w:tcPr>
            <w:tcW w:w="4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Earnings per Share:</w:t>
            </w: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r>
      <w:tr>
        <w:trPr>
          <w:trHeight w:val="229"/>
        </w:trPr>
        <w:tc>
          <w:tcPr>
            <w:tcW w:w="4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4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79,085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82,901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91,951</w:t>
            </w:r>
          </w:p>
        </w:tc>
      </w:tr>
      <w:tr>
        <w:trPr>
          <w:trHeight w:val="229"/>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81,379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84,910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95,504</w:t>
            </w:r>
          </w:p>
        </w:tc>
      </w:tr>
    </w:tbl>
    <w:p>
      <w:pPr>
        <w:spacing w:after="0" w:line="103" w:lineRule="exact"/>
        <w:rPr>
          <w:sz w:val="20"/>
          <w:szCs w:val="20"/>
          <w:color w:val="auto"/>
        </w:rPr>
      </w:pPr>
    </w:p>
    <w:p>
      <w:pPr>
        <w:ind w:left="520" w:right="40" w:hanging="494"/>
        <w:spacing w:after="0" w:line="237"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charges related to equity-based compensation, which vary from period to period depending on certain factors such as the 2021 Vesting Event, timing and valuation of awards, achievement of performance targets and equity award forfeitures.</w:t>
      </w:r>
    </w:p>
    <w:p>
      <w:pPr>
        <w:spacing w:after="0" w:line="9" w:lineRule="exact"/>
        <w:rPr>
          <w:rFonts w:ascii="Times New Roman" w:cs="Times New Roman" w:eastAsia="Times New Roman" w:hAnsi="Times New Roman"/>
          <w:sz w:val="18"/>
          <w:szCs w:val="18"/>
          <w:color w:val="auto"/>
        </w:rPr>
      </w:pPr>
    </w:p>
    <w:p>
      <w:pPr>
        <w:jc w:val="both"/>
        <w:ind w:left="520" w:right="60" w:hanging="494"/>
        <w:spacing w:after="0" w:line="231"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pre-opening expenses, which are non-capital expenditures associated with opening new stores and incurred prior to the store opening and generating sales. These costs consist primarily of occupancy costs, marketing, payroll and recruiting costs. These costs are expensed as incurred.</w:t>
      </w:r>
    </w:p>
    <w:p>
      <w:pPr>
        <w:spacing w:after="0" w:line="1" w:lineRule="exact"/>
        <w:rPr>
          <w:rFonts w:ascii="Times New Roman" w:cs="Times New Roman" w:eastAsia="Times New Roman" w:hAnsi="Times New Roman"/>
          <w:sz w:val="18"/>
          <w:szCs w:val="18"/>
          <w:color w:val="auto"/>
        </w:rPr>
      </w:pPr>
    </w:p>
    <w:p>
      <w:pPr>
        <w:ind w:left="520" w:hanging="494"/>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expenses related to taxes on equity-based compensation resulting from the 2021 Vesting Event.</w:t>
      </w:r>
    </w:p>
    <w:p>
      <w:pPr>
        <w:spacing w:after="0" w:line="22" w:lineRule="exact"/>
        <w:rPr>
          <w:rFonts w:ascii="Times New Roman" w:cs="Times New Roman" w:eastAsia="Times New Roman" w:hAnsi="Times New Roman"/>
          <w:sz w:val="18"/>
          <w:szCs w:val="18"/>
          <w:color w:val="auto"/>
        </w:rPr>
      </w:pPr>
    </w:p>
    <w:p>
      <w:pPr>
        <w:jc w:val="both"/>
        <w:ind w:left="520" w:right="40" w:hanging="494"/>
        <w:spacing w:after="0" w:line="229"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adjustments include (representing deductions or additions to Adjusted Net Income) amounts that management believes are not representative of our operating performance, such as costs associated with secondary offerings, installation costs for energy savings associated with our profitability initiatives and other costs associated with business optimization initiatives.</w:t>
      </w:r>
    </w:p>
    <w:p>
      <w:pPr>
        <w:spacing w:after="0" w:line="1" w:lineRule="exact"/>
        <w:rPr>
          <w:rFonts w:ascii="Times New Roman" w:cs="Times New Roman" w:eastAsia="Times New Roman" w:hAnsi="Times New Roman"/>
          <w:sz w:val="18"/>
          <w:szCs w:val="18"/>
          <w:color w:val="auto"/>
        </w:rPr>
      </w:pPr>
    </w:p>
    <w:p>
      <w:pPr>
        <w:ind w:left="520" w:right="60" w:hanging="494"/>
        <w:spacing w:after="0" w:line="234"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thirteen and thirty-nine weeks ended October 29, 2022 and October 30, 2021, this represents the estimated tax effect (by using the projected full year tax rates for the respective years) of the total adjustments made to arrive at Adjusted Net Income.</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Free Cash Flow</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cash provided by operating activities to Adjusted Free Cash Flow for the periods presented (amounts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2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40" w:type="dxa"/>
            <w:vAlign w:val="bottom"/>
          </w:tcPr>
          <w:p>
            <w:pPr>
              <w:spacing w:after="0"/>
              <w:rPr>
                <w:sz w:val="20"/>
                <w:szCs w:val="20"/>
                <w:color w:val="auto"/>
              </w:rPr>
            </w:pPr>
          </w:p>
        </w:tc>
        <w:tc>
          <w:tcPr>
            <w:tcW w:w="322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23"/>
        </w:trPr>
        <w:tc>
          <w:tcPr>
            <w:tcW w:w="4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1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October 30, 2021</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1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October 30, 2021</w:t>
            </w:r>
          </w:p>
        </w:tc>
      </w:tr>
      <w:tr>
        <w:trPr>
          <w:trHeight w:val="223"/>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top w:val="single" w:sz="8" w:color="auto"/>
            </w:tcBorders>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rPr>
              <w:t>50,763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109,389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309,169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515,063</w:t>
            </w:r>
          </w:p>
        </w:tc>
      </w:tr>
      <w:tr>
        <w:trPr>
          <w:trHeight w:val="229"/>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7"/>
              </w:rPr>
              <w:t>(31,677)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(24,944)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(79,811)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(58,711)</w:t>
            </w:r>
          </w:p>
        </w:tc>
      </w:tr>
      <w:tr>
        <w:trPr>
          <w:trHeight w:val="248"/>
        </w:trPr>
        <w:tc>
          <w:tcPr>
            <w:tcW w:w="4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Free Cash Flow</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rPr>
              <w:t>19,086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229,358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456,352</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Liquidity</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principal liquidity requirements are for working capital, capital expenditures and cash used to pay our debt obligations and related interest expense. We also use cash to pay dividends and occasionally use cash to repurchase common stock. We fund these liquidity requirements through cash and cash equivalents, cash generated from operating activities, issuances of debt (such as the Notes) and borrowings under our ABL Facility. On October 29, 2022, our cash and cash equivalents totaled $318.2 million. We believe our cash and cash equivalents, as well as our availability under the ABL Facility, will be sufficient to fund our cash requirements for at least the next 12 months.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May 25, 2021, the Company entered into an Amendment No. 4 (the "Amendment") to the Second Amended and Restated Credit Agreement (as previously amended, the "Existing Credit Agreement") which (i) reduced the applicable margin on LIBOR borrowings under the Term Loan from 5.00% to 3.75% and (ii) utilized cash on hand to repay $99.0 million of outstanding borrowings under the Term Loan, leaving an outstanding principal balance of $300.0 million under the Amended Credit Agreement. Borrowings under the Amended Credit Agreement will continue to mature on November 6, 2027, and all other material terms and provisions of the Existing Credit Agreement remain substantially the same as the terms and provisions in place immediately prior to the effectiveness of the Amendment (see Note 4 to the accompanying financial statements).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current debt obligations by fiscal year (amounts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After 2026</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2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Term Loan and related interest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6,729</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28,966</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26,298</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24,732</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299,931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410,532</w:t>
            </w:r>
          </w:p>
        </w:tc>
      </w:tr>
      <w:tr>
        <w:trPr>
          <w:trHeight w:val="230"/>
        </w:trPr>
        <w:tc>
          <w:tcPr>
            <w:tcW w:w="3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Notes and related interest </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160" w:type="dxa"/>
            <w:vAlign w:val="bottom"/>
          </w:tcPr>
          <w:p>
            <w:pPr>
              <w:spacing w:after="0"/>
              <w:rPr>
                <w:sz w:val="19"/>
                <w:szCs w:val="19"/>
                <w:color w:val="auto"/>
              </w:rPr>
            </w:pPr>
          </w:p>
        </w:tc>
        <w:tc>
          <w:tcPr>
            <w:tcW w:w="10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424,000</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532,000</w:t>
            </w:r>
          </w:p>
        </w:tc>
      </w:tr>
      <w:tr>
        <w:trPr>
          <w:trHeight w:val="229"/>
        </w:trPr>
        <w:tc>
          <w:tcPr>
            <w:tcW w:w="3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ABL Facility and related interest </w:t>
            </w:r>
            <w:r>
              <w:rPr>
                <w:rFonts w:ascii="Times New Roman" w:cs="Times New Roman" w:eastAsia="Times New Roman" w:hAnsi="Times New Roman"/>
                <w:sz w:val="23"/>
                <w:szCs w:val="23"/>
                <w:color w:val="auto"/>
                <w:vertAlign w:val="superscript"/>
              </w:rPr>
              <w:t>(3)</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7,534</w:t>
            </w:r>
          </w:p>
        </w:tc>
      </w:tr>
    </w:tbl>
    <w:p>
      <w:pPr>
        <w:spacing w:after="0" w:line="90" w:lineRule="exact"/>
        <w:rPr>
          <w:sz w:val="20"/>
          <w:szCs w:val="20"/>
          <w:color w:val="auto"/>
        </w:rPr>
      </w:pPr>
    </w:p>
    <w:p>
      <w:pPr>
        <w:ind w:left="20" w:right="120" w:firstLine="6"/>
        <w:spacing w:after="0" w:line="237" w:lineRule="auto"/>
        <w:tabs>
          <w:tab w:leader="none" w:pos="185"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Interest payments do not include amortization of discount and debt issuance costs and are approximated based on projected interest rates and assume no unscheduled principal payments.</w:t>
      </w:r>
    </w:p>
    <w:p>
      <w:pPr>
        <w:spacing w:after="0" w:line="1" w:lineRule="exact"/>
        <w:rPr>
          <w:rFonts w:ascii="Times New Roman" w:cs="Times New Roman" w:eastAsia="Times New Roman" w:hAnsi="Times New Roman"/>
          <w:sz w:val="20"/>
          <w:szCs w:val="20"/>
          <w:color w:val="auto"/>
          <w:vertAlign w:val="superscript"/>
        </w:rPr>
      </w:pPr>
    </w:p>
    <w:p>
      <w:pPr>
        <w:ind w:left="200" w:hanging="174"/>
        <w:spacing w:after="0" w:line="230" w:lineRule="auto"/>
        <w:tabs>
          <w:tab w:leader="none" w:pos="20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Assumes Notes are paid in full at maturity date.</w:t>
      </w:r>
    </w:p>
    <w:p>
      <w:pPr>
        <w:spacing w:after="0" w:line="15" w:lineRule="exact"/>
        <w:rPr>
          <w:rFonts w:ascii="Times New Roman" w:cs="Times New Roman" w:eastAsia="Times New Roman" w:hAnsi="Times New Roman"/>
          <w:sz w:val="22"/>
          <w:szCs w:val="22"/>
          <w:color w:val="auto"/>
          <w:vertAlign w:val="superscript"/>
        </w:rPr>
      </w:pPr>
    </w:p>
    <w:p>
      <w:pPr>
        <w:ind w:left="200" w:hanging="174"/>
        <w:spacing w:after="0" w:line="203" w:lineRule="auto"/>
        <w:tabs>
          <w:tab w:leader="none" w:pos="20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Assumes a minimum revolving credit commitment of $1.0 billion and assumes no balances drawn on our ABL Facility.</w:t>
      </w: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Liquidity information related to the ABL Facility is as follows for the periods shown (dollar amounts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23"/>
        </w:trPr>
        <w:tc>
          <w:tcPr>
            <w:tcW w:w="7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180" w:type="dxa"/>
            <w:vAlign w:val="bottom"/>
          </w:tcPr>
          <w:p>
            <w:pPr>
              <w:spacing w:after="0"/>
              <w:rPr>
                <w:sz w:val="19"/>
                <w:szCs w:val="19"/>
                <w:color w:val="auto"/>
              </w:rPr>
            </w:pPr>
          </w:p>
        </w:tc>
        <w:tc>
          <w:tcPr>
            <w:tcW w:w="16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October 30, 2021</w:t>
            </w:r>
          </w:p>
        </w:tc>
      </w:tr>
      <w:tr>
        <w:trPr>
          <w:trHeight w:val="223"/>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funds drawn</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days with outstanding balance</w:t>
            </w:r>
          </w:p>
        </w:tc>
        <w:tc>
          <w:tcPr>
            <w:tcW w:w="18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Maximum daily amount outstanding</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Minimum available borrowing capacity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954,516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780,945</w:t>
            </w:r>
          </w:p>
        </w:tc>
      </w:tr>
    </w:tbl>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Liquidity information related to the ABL Facility (amounts in thousands) as of:</w:t>
            </w: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99"/>
        </w:trPr>
        <w:tc>
          <w:tcPr>
            <w:tcW w:w="5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20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January 29, 2022</w:t>
            </w:r>
          </w:p>
        </w:tc>
        <w:tc>
          <w:tcPr>
            <w:tcW w:w="200" w:type="dxa"/>
            <w:vAlign w:val="bottom"/>
          </w:tcPr>
          <w:p>
            <w:pPr>
              <w:spacing w:after="0"/>
              <w:rPr>
                <w:sz w:val="24"/>
                <w:szCs w:val="24"/>
                <w:color w:val="auto"/>
              </w:rPr>
            </w:pPr>
          </w:p>
        </w:tc>
        <w:tc>
          <w:tcPr>
            <w:tcW w:w="16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October 30, 2021</w:t>
            </w:r>
          </w:p>
        </w:tc>
      </w:tr>
      <w:tr>
        <w:trPr>
          <w:trHeight w:val="223"/>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borrowings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 letters of credit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17,378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17,828</w:t>
            </w: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borrowing capacity</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982,622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874,831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982,172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3" w:name="page34"/>
    <w:bookmarkEnd w:id="33"/>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lease store locations, distribution centers, office space and certain equipment under operating leases expiring between fiscal years 2022 and 2043. Operating lease obligations include future minimum lease payments under all of our non-cancelable operating leases at October 29, 2022. The following table summarizes our remaining operating lease obligations by fiscal year: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After 2026</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2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Operating lease payments </w:t>
            </w:r>
            <w:r>
              <w:rPr>
                <w:rFonts w:ascii="Times New Roman" w:cs="Times New Roman" w:eastAsia="Times New Roman" w:hAnsi="Times New Roman"/>
                <w:sz w:val="23"/>
                <w:szCs w:val="23"/>
                <w:color w:val="auto"/>
                <w:vertAlign w:val="superscript"/>
              </w:rPr>
              <w:t>(1) (2)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51,702</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205,789</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197,797</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191,262</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1,003,824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1,833,704</w:t>
            </w:r>
          </w:p>
        </w:tc>
      </w:tr>
    </w:tbl>
    <w:p>
      <w:pPr>
        <w:spacing w:after="0" w:line="71" w:lineRule="exact"/>
        <w:rPr>
          <w:sz w:val="20"/>
          <w:szCs w:val="20"/>
          <w:color w:val="auto"/>
        </w:rPr>
      </w:pPr>
    </w:p>
    <w:p>
      <w:pPr>
        <w:ind w:left="200" w:hanging="174"/>
        <w:spacing w:after="0"/>
        <w:tabs>
          <w:tab w:leader="none" w:pos="20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Minimum lease payments have not been reduced by sublease rentals of $0.6 million due in the future under non-cancelable sub-leases.</w:t>
      </w:r>
    </w:p>
    <w:p>
      <w:pPr>
        <w:spacing w:after="0" w:line="28" w:lineRule="exact"/>
        <w:rPr>
          <w:rFonts w:ascii="Times New Roman" w:cs="Times New Roman" w:eastAsia="Times New Roman" w:hAnsi="Times New Roman"/>
          <w:sz w:val="22"/>
          <w:szCs w:val="22"/>
          <w:color w:val="auto"/>
          <w:vertAlign w:val="superscript"/>
        </w:rPr>
      </w:pPr>
    </w:p>
    <w:p>
      <w:pPr>
        <w:ind w:left="200" w:hanging="174"/>
        <w:spacing w:after="0" w:line="203" w:lineRule="auto"/>
        <w:tabs>
          <w:tab w:leader="none" w:pos="20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These balances include stores where we have an executed contract but have not taken possession of the location as of October 29, 2022.</w:t>
      </w:r>
    </w:p>
    <w:p>
      <w:pPr>
        <w:spacing w:after="0" w:line="3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thirty-nine weeks ended October 29, 2022, we opened six new locations. Subsequent to the end of the 2022 third quarter, we have completed three additional new store openings, which brings our total to nine new store openings in 2022.</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September 2, 2021, the Board of Directors of the Company authorized a share repurchase program (the "2021 Share Repurchase Program") under which the Company may purchase up to $500 million of its outstanding shares during the three-year period ending September 2, 2024. On June 2, 2022, the Board of Directors of the Company authorized a new share repurchase program (the "2022 Share Repurchase Program") under which the Company may purchase up to $600 million of its outstanding shares during the three-year period ending June 2, 2025. The 2022 Share Repurchase Program and the 2021 Share Repurchase Program are collectively referred to as the "Share Repurchase Programs".</w:t>
      </w:r>
    </w:p>
    <w:p>
      <w:pPr>
        <w:spacing w:after="0" w:line="1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the Share Repurchase Programs, repurchases can be made using a variety of methods, which may include open market purchases, block trades, privately negotiated transactions, accelerated share repurchase programs and/or a non-discretionary trading plan, all in compliance with the rules of the SEC and other applicable legal requirements. The timing, manner, price and amount of any common share repurchases under the Share Repurchase Programs are determined by the Company in its discretion and depend on a variety of factors, including legal requirements, price and economic and market conditions. The Share Repurchase Programs do not obligate the Company to acquire any particular number of common shares, and the programs may be suspended, extended, modified or discontinued at any time. As of October 29, 2022, we no longer had availability under the 2021 Share Repurchase Program and we had approximately $399.4 million available for share repurchases pursuant to the 2022 Share Repurchase Program.</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share repurchases for the fiscal year ended January 29, 2022:</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tcPr>
          <w:p>
            <w:pPr>
              <w:spacing w:after="0"/>
              <w:rPr>
                <w:sz w:val="18"/>
                <w:szCs w:val="18"/>
                <w:color w:val="auto"/>
              </w:rPr>
            </w:pP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9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Average Price Paid per</w:t>
            </w:r>
          </w:p>
        </w:tc>
        <w:tc>
          <w:tcPr>
            <w:tcW w:w="240" w:type="dxa"/>
            <w:vAlign w:val="bottom"/>
          </w:tcPr>
          <w:p>
            <w:pPr>
              <w:spacing w:after="0"/>
              <w:rPr>
                <w:sz w:val="18"/>
                <w:szCs w:val="18"/>
                <w:color w:val="auto"/>
              </w:rPr>
            </w:pPr>
          </w:p>
        </w:tc>
        <w:tc>
          <w:tcPr>
            <w:tcW w:w="16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 Amount</w:t>
            </w:r>
          </w:p>
        </w:tc>
      </w:tr>
      <w:tr>
        <w:trPr>
          <w:trHeight w:val="241"/>
        </w:trPr>
        <w:tc>
          <w:tcPr>
            <w:tcW w:w="5480" w:type="dxa"/>
            <w:vAlign w:val="bottom"/>
          </w:tcPr>
          <w:p>
            <w:pPr>
              <w:spacing w:after="0"/>
              <w:rPr>
                <w:sz w:val="20"/>
                <w:szCs w:val="20"/>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400" w:type="dxa"/>
            <w:vAlign w:val="bottom"/>
          </w:tcPr>
          <w:p>
            <w:pPr>
              <w:spacing w:after="0"/>
              <w:rPr>
                <w:sz w:val="20"/>
                <w:szCs w:val="20"/>
                <w:color w:val="auto"/>
              </w:rPr>
            </w:pPr>
          </w:p>
        </w:tc>
        <w:tc>
          <w:tcPr>
            <w:tcW w:w="15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40" w:type="dxa"/>
            <w:vAlign w:val="bottom"/>
          </w:tcPr>
          <w:p>
            <w:pPr>
              <w:spacing w:after="0"/>
              <w:rPr>
                <w:sz w:val="20"/>
                <w:szCs w:val="20"/>
                <w:color w:val="auto"/>
              </w:rPr>
            </w:pPr>
          </w:p>
        </w:tc>
        <w:tc>
          <w:tcPr>
            <w:tcW w:w="16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Repurchased</w:t>
            </w:r>
          </w:p>
        </w:tc>
      </w:tr>
      <w:tr>
        <w:trPr>
          <w:trHeight w:val="225"/>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 (January 31, 2021 to May 1, 2021)</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Second Quarter (May 2, 2021 to July 31, 2021) </w:t>
            </w:r>
            <w:r>
              <w:rPr>
                <w:rFonts w:ascii="Times New Roman" w:cs="Times New Roman" w:eastAsia="Times New Roman" w:hAnsi="Times New Roman"/>
                <w:sz w:val="23"/>
                <w:szCs w:val="23"/>
                <w:color w:val="auto"/>
                <w:vertAlign w:val="superscript"/>
              </w:rPr>
              <w:t>(1)</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3,229,974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99,999,995</w:t>
            </w: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 (August 1, 2021 to October 30, 2021)</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5,722,892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245,837,186</w:t>
            </w: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Fourth Quarter (October 31, 2021 to January 29, 2022)</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1,613,930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65,571,394</w:t>
            </w:r>
          </w:p>
        </w:tc>
      </w:tr>
      <w:tr>
        <w:trPr>
          <w:trHeight w:val="230"/>
        </w:trPr>
        <w:tc>
          <w:tcPr>
            <w:tcW w:w="5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Shares Repurchased</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10,566,796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411,408,575</w:t>
            </w:r>
          </w:p>
        </w:tc>
      </w:tr>
    </w:tbl>
    <w:p>
      <w:pPr>
        <w:ind w:left="200" w:hanging="174"/>
        <w:spacing w:after="0" w:line="217" w:lineRule="auto"/>
        <w:tabs>
          <w:tab w:leader="none" w:pos="20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Shares repurchased during the 2021 second quarter were not subject to the Share Repurchase Programs.</w:t>
      </w: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62" w:lineRule="exact"/>
        <w:rPr>
          <w:rFonts w:ascii="Times New Roman" w:cs="Times New Roman" w:eastAsia="Times New Roman" w:hAnsi="Times New Roman"/>
          <w:sz w:val="22"/>
          <w:szCs w:val="22"/>
          <w:color w:val="auto"/>
          <w:vertAlign w:val="superscript"/>
        </w:rPr>
      </w:pPr>
    </w:p>
    <w:p>
      <w:pPr>
        <w:ind w:left="554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-942340</wp:posOffset>
            </wp:positionV>
            <wp:extent cx="36518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4" w:name="page35"/>
    <w:bookmarkEnd w:id="34"/>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share repurchases for the year-to-date 2022:</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tcPr>
          <w:p>
            <w:pPr>
              <w:spacing w:after="0"/>
              <w:rPr>
                <w:sz w:val="17"/>
                <w:szCs w:val="17"/>
                <w:color w:val="auto"/>
              </w:rPr>
            </w:pP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9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Average Price Paid per</w:t>
            </w:r>
          </w:p>
        </w:tc>
        <w:tc>
          <w:tcPr>
            <w:tcW w:w="240" w:type="dxa"/>
            <w:vAlign w:val="bottom"/>
          </w:tcPr>
          <w:p>
            <w:pPr>
              <w:spacing w:after="0"/>
              <w:rPr>
                <w:sz w:val="17"/>
                <w:szCs w:val="17"/>
                <w:color w:val="auto"/>
              </w:rPr>
            </w:pPr>
          </w:p>
        </w:tc>
        <w:tc>
          <w:tcPr>
            <w:tcW w:w="16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 Amount</w:t>
            </w:r>
          </w:p>
        </w:tc>
      </w:tr>
      <w:tr>
        <w:trPr>
          <w:trHeight w:val="241"/>
        </w:trPr>
        <w:tc>
          <w:tcPr>
            <w:tcW w:w="5480" w:type="dxa"/>
            <w:vAlign w:val="bottom"/>
          </w:tcPr>
          <w:p>
            <w:pPr>
              <w:spacing w:after="0"/>
              <w:rPr>
                <w:sz w:val="20"/>
                <w:szCs w:val="20"/>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400" w:type="dxa"/>
            <w:vAlign w:val="bottom"/>
          </w:tcPr>
          <w:p>
            <w:pPr>
              <w:spacing w:after="0"/>
              <w:rPr>
                <w:sz w:val="20"/>
                <w:szCs w:val="20"/>
                <w:color w:val="auto"/>
              </w:rPr>
            </w:pPr>
          </w:p>
        </w:tc>
        <w:tc>
          <w:tcPr>
            <w:tcW w:w="15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40" w:type="dxa"/>
            <w:vAlign w:val="bottom"/>
          </w:tcPr>
          <w:p>
            <w:pPr>
              <w:spacing w:after="0"/>
              <w:rPr>
                <w:sz w:val="20"/>
                <w:szCs w:val="20"/>
                <w:color w:val="auto"/>
              </w:rPr>
            </w:pPr>
          </w:p>
        </w:tc>
        <w:tc>
          <w:tcPr>
            <w:tcW w:w="16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Repurchased</w:t>
            </w:r>
          </w:p>
        </w:tc>
      </w:tr>
      <w:tr>
        <w:trPr>
          <w:trHeight w:val="225"/>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 (January 30, 2022 to April 30, 2022)</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2,272,349</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88,500,881</w:t>
            </w: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 (May 1, 2022 to July 30, 2022)</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5,550,892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200,110,996</w:t>
            </w:r>
          </w:p>
        </w:tc>
      </w:tr>
      <w:tr>
        <w:trPr>
          <w:trHeight w:val="229"/>
        </w:trPr>
        <w:tc>
          <w:tcPr>
            <w:tcW w:w="5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Third Quarter (July 31, 2022 to October 29, 2022) </w:t>
            </w:r>
            <w:r>
              <w:rPr>
                <w:rFonts w:ascii="Times New Roman" w:cs="Times New Roman" w:eastAsia="Times New Roman" w:hAnsi="Times New Roman"/>
                <w:sz w:val="23"/>
                <w:szCs w:val="23"/>
                <w:color w:val="auto"/>
                <w:vertAlign w:val="superscript"/>
              </w:rPr>
              <w:t>(1)</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2,176,463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100,824,712</w:t>
            </w:r>
          </w:p>
        </w:tc>
      </w:tr>
      <w:tr>
        <w:trPr>
          <w:trHeight w:val="223"/>
        </w:trPr>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Shares Repurchased</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9,999,704</w:t>
            </w:r>
          </w:p>
        </w:tc>
        <w:tc>
          <w:tcPr>
            <w:tcW w:w="10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389,436,589</w:t>
            </w:r>
          </w:p>
        </w:tc>
      </w:tr>
    </w:tbl>
    <w:p>
      <w:pPr>
        <w:spacing w:after="0" w:line="2" w:lineRule="exact"/>
        <w:rPr>
          <w:sz w:val="20"/>
          <w:szCs w:val="20"/>
          <w:color w:val="auto"/>
        </w:rPr>
      </w:pPr>
    </w:p>
    <w:p>
      <w:pPr>
        <w:ind w:left="220" w:hanging="167"/>
        <w:spacing w:after="0"/>
        <w:tabs>
          <w:tab w:leader="none" w:pos="22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Part II, Item 2 - Unregistered Sales of Equity Securities and Use of Proceeds for further detail on the 2022 third quarter share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-136525</wp:posOffset>
            </wp:positionV>
            <wp:extent cx="36518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spacing w:after="0" w:line="2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quarterly dividend payments for the year-to-date 2022 (amounts in thousands, except per share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Dividend per Share</w:t>
            </w:r>
          </w:p>
        </w:tc>
        <w:tc>
          <w:tcPr>
            <w:tcW w:w="120" w:type="dxa"/>
            <w:vAlign w:val="bottom"/>
          </w:tcPr>
          <w:p>
            <w:pPr>
              <w:spacing w:after="0"/>
              <w:rPr>
                <w:sz w:val="17"/>
                <w:szCs w:val="17"/>
                <w:color w:val="auto"/>
              </w:rPr>
            </w:pPr>
          </w:p>
        </w:tc>
        <w:tc>
          <w:tcPr>
            <w:tcW w:w="17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Total Dividends Paid</w:t>
            </w:r>
          </w:p>
        </w:tc>
        <w:tc>
          <w:tcPr>
            <w:tcW w:w="10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Stockholder Date of</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w:t>
            </w:r>
          </w:p>
        </w:tc>
        <w:tc>
          <w:tcPr>
            <w:tcW w:w="0" w:type="dxa"/>
            <w:vAlign w:val="bottom"/>
          </w:tcPr>
          <w:p>
            <w:pPr>
              <w:spacing w:after="0"/>
              <w:rPr>
                <w:sz w:val="1"/>
                <w:szCs w:val="1"/>
                <w:color w:val="auto"/>
              </w:rPr>
            </w:pPr>
          </w:p>
        </w:tc>
      </w:tr>
      <w:tr>
        <w:trPr>
          <w:trHeight w:val="223"/>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 (January 30, 2022 to April 30,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6,536</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17, 2022</w:t>
            </w:r>
          </w:p>
        </w:tc>
        <w:tc>
          <w:tcPr>
            <w:tcW w:w="0" w:type="dxa"/>
            <w:vAlign w:val="bottom"/>
          </w:tcPr>
          <w:p>
            <w:pPr>
              <w:spacing w:after="0"/>
              <w:rPr>
                <w:sz w:val="1"/>
                <w:szCs w:val="1"/>
                <w:color w:val="auto"/>
              </w:rPr>
            </w:pP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 (May 1, 2022 to July 30, 2022)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6,271</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16, 2022</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 (July 31, 2022 to October 29,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5,974</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15, 2022</w:t>
            </w:r>
          </w:p>
        </w:tc>
        <w:tc>
          <w:tcPr>
            <w:tcW w:w="0" w:type="dxa"/>
            <w:vAlign w:val="bottom"/>
          </w:tcPr>
          <w:p>
            <w:pPr>
              <w:spacing w:after="0"/>
              <w:rPr>
                <w:sz w:val="1"/>
                <w:szCs w:val="1"/>
                <w:color w:val="auto"/>
              </w:rPr>
            </w:pPr>
          </w:p>
        </w:tc>
      </w:tr>
      <w:tr>
        <w:trPr>
          <w:trHeight w:val="223"/>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Dividends Paid</w:t>
            </w: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18,781</w:t>
            </w: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On December 6, 2022, the Company's Board of Directors declared a quarterly cash dividend with respect to the fiscal quarter ended October 29, 2022, of $0.075 per share of the Company's common stock, payable on January 13, 2023, to stockholders of record as of the close of business on December 20, 2022 (see Note 13 to the accompanying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expect capital expenditures for fiscal year 2022 to be approximately $130.0 million. Approximately 40% of our planned cash outflow relate to investments in our corporate, e-commerce and information technology programs. Investments in new stores and relocations are expected to be 40% of our planned cash outflow and the remaining 20% of the planned cash outflow is expected to be utilized in updates for existing stores and distribution centers. We review forecasted capital expenditures throughout the year and will adjust or modify projects based on business conditions at that time.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Thirty-Nine Weeks Ended October 29, 2022 and October 30, 2021</w:t>
            </w: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59"/>
        </w:trPr>
        <w:tc>
          <w:tcPr>
            <w:tcW w:w="7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Our unaudited statements of cash flows are summarized as follows (in thousands):</w:t>
            </w: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56"/>
        </w:trPr>
        <w:tc>
          <w:tcPr>
            <w:tcW w:w="7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900" w:type="dxa"/>
            <w:vAlign w:val="bottom"/>
            <w:tcBorders>
              <w:bottom w:val="single" w:sz="8" w:color="auto"/>
            </w:tcBorders>
            <w:gridSpan w:val="4"/>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23"/>
        </w:trPr>
        <w:tc>
          <w:tcPr>
            <w:tcW w:w="7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220" w:type="dxa"/>
            <w:vAlign w:val="bottom"/>
          </w:tcPr>
          <w:p>
            <w:pPr>
              <w:spacing w:after="0"/>
              <w:rPr>
                <w:sz w:val="19"/>
                <w:szCs w:val="19"/>
                <w:color w:val="auto"/>
              </w:rPr>
            </w:pPr>
          </w:p>
        </w:tc>
        <w:tc>
          <w:tcPr>
            <w:tcW w:w="18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October 30, 2021</w:t>
            </w:r>
          </w:p>
        </w:tc>
      </w:tr>
      <w:tr>
        <w:trPr>
          <w:trHeight w:val="223"/>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309,169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515,063</w:t>
            </w: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(79,811)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(58,711)</w:t>
            </w: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(397,189)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(432,659)</w:t>
            </w:r>
          </w:p>
        </w:tc>
      </w:tr>
      <w:tr>
        <w:trPr>
          <w:trHeight w:val="223"/>
        </w:trPr>
        <w:tc>
          <w:tcPr>
            <w:tcW w:w="7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(167,831)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23,693</w:t>
            </w:r>
          </w:p>
        </w:tc>
      </w:tr>
      <w:tr>
        <w:trPr>
          <w:trHeight w:val="21"/>
        </w:trPr>
        <w:tc>
          <w:tcPr>
            <w:tcW w:w="7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Cash flows from operating activities are seasonal in our business. Typically, cash flows from operations are used to build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inventory in advance of peak selling seasons, with the fourth quarter pre-holiday season inventory increase being the most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ind w:right="340" w:firstLine="324"/>
        <w:spacing w:after="0" w:line="281" w:lineRule="auto"/>
        <w:rPr>
          <w:sz w:val="20"/>
          <w:szCs w:val="20"/>
          <w:color w:val="auto"/>
        </w:rPr>
      </w:pPr>
      <w:r>
        <w:rPr>
          <w:rFonts w:ascii="Times New Roman" w:cs="Times New Roman" w:eastAsia="Times New Roman" w:hAnsi="Times New Roman"/>
          <w:sz w:val="18"/>
          <w:szCs w:val="18"/>
          <w:color w:val="auto"/>
        </w:rPr>
        <w:t>Cash provided by operating activities in the year-to-date 2022 decreased $205.9 million, compared to year-to-date 2021. This decrease in cash was attributable to:</w:t>
      </w:r>
    </w:p>
    <w:p>
      <w:pPr>
        <w:spacing w:after="0" w:line="1"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$98.9 million net decrease in cash flows provided by operating assets and liabilities;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$59.3 million decrease in net income;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$47.7 million net decrease in non-cash charges.</w:t>
      </w:r>
    </w:p>
    <w:p>
      <w:pPr>
        <w:spacing w:after="0" w:line="3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decrease in cash flows from operating assets and liabilities was primarily attributable to:</w:t>
      </w:r>
    </w:p>
    <w:p>
      <w:pPr>
        <w:spacing w:after="0" w:line="63" w:lineRule="exact"/>
        <w:rPr>
          <w:sz w:val="20"/>
          <w:szCs w:val="20"/>
          <w:color w:val="auto"/>
        </w:rPr>
      </w:pPr>
    </w:p>
    <w:p>
      <w:pPr>
        <w:ind w:left="660" w:right="20" w:hanging="328"/>
        <w:spacing w:after="0" w:line="282" w:lineRule="auto"/>
        <w:tabs>
          <w:tab w:leader="none" w:pos="655"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$73.9 million decrease in cash flows from accrued expenses and other current liabilities which was largely driven by performance compensation payments made and lower related accrual rates in the year-to-date 2022.</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decrease from non-cash charges was primarily caused by:</w:t>
      </w:r>
    </w:p>
    <w:p>
      <w:pPr>
        <w:spacing w:after="0" w:line="63"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$23.4 million decrease in deferred income taxes;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$20.6 million decrease in equity compensation expense as a result of the 2021 Vesting Event.</w:t>
      </w:r>
    </w:p>
    <w:p>
      <w:pPr>
        <w:spacing w:after="0" w:line="248"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Investing Activities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used in investing activities increased $21.1 million in the year-to-date 2022 compared to the year-to-date 2021. The increase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cash used in investing activities is primarily due to:</w:t>
      </w:r>
    </w:p>
    <w:p>
      <w:pPr>
        <w:spacing w:after="0" w:line="10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$20.9 million higher capital expenditures driven by investments in new stores and store updates in the year-to-date 2022.</w:t>
      </w:r>
    </w:p>
    <w:p>
      <w:pPr>
        <w:spacing w:after="0" w:line="248"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Financing Activities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used in financing activities decreased $35.5 million in the year-to-date 2022, compared to the year-to-date 2021.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primary drivers of the decrease were:</w:t>
      </w:r>
    </w:p>
    <w:p>
      <w:pPr>
        <w:ind w:left="660" w:right="240" w:hanging="328"/>
        <w:spacing w:after="0" w:line="28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$99.3 million decrease in cash outflows related to a prior year-to-date principal repurchase in connection with the refinancing of our Term Loan which occurred in the second quarter of 2021; partially offset by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$43.6 million increase in cash outflows related to Company's repurchase and simultaneous retirement of common stock in the current year;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$29.7 million decrease in net proceeds from the exercise of stock options relative to the year-to-date 2021.</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management's discussion and analysis of our financial condition and results of operations is based upon our unaudited financial statements, which have been prepared in accordance with GAAP. The preparation of financial statements in conformity with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w:t>
      </w:r>
    </w:p>
    <w:p>
      <w:pPr>
        <w:spacing w:after="0" w:line="13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Management evaluated the development and selection of our critical accounting policies and estimates used in the preparation of the Company's unaudited financial statements and related notes and believes these policies to be reasonable and appropriate. Certain of these policies involve a higher degree of judgment or complexity and are most significant to reporting our results of operations and financial position, and are, therefore, discussed as critical. Our most significant estimates and assumptions that materially affect the financial statements involve difficult, subjective or complex judgments by management, including the valuation of merchandise inventories and performing goodwill, intangible and long-lived asset impairment analyses. Given the global economic climate and the possibility of additional unforeseen effects from the COVID-19 pandemic, these estimates remain challenging, and actual results could differ materially from our estimates. More information on all of our significant accounting policies can be found in the "Critical Accounting Policies and Estimates" section of the Annual Report entitled "Management's Discussion and Analysis of Financial Condition and Results of Operations." There have been no material changes to our critical accounting policies as compared to the critical accounting policies described in the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set forth in Note 2 to our unaudited consolidated financial statements under Part I, Item 1 of this Quarterly Report is incorporated herein by reference.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set forth in Note 11 to our unaudited consolidated financial statements under Part I, Item 1 under the heading of this Quarterly Report entitled "Related Party Transactions" is incorporated herein by reference.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our primary risk exposures or management of market risks from those disclosed in the Annual Report under "Management’s Discussion and Analysis of Financial Condition and Results of Operations – Quantitative and Qualitative Disclosures About Market Risk."</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Rules 13a-15(e) and 15d-15(e) of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CEO and our CFO, evaluated the effectiveness of the design and operation of our disclosure controls and procedures as of the end of the period covered by this Quarterly Report. Based on such evaluation, our CEO and CFO have concluded that, as of the end of the period covered by this Quarterly Report, the design and operation of the Company's disclosure controls and procedures were effective to accomplish their objectives at the reasonable assurance level.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 changes in our internal control over financial reporting (as defined in Rules 13a-15(f) and 15d-15(f) under the Exchange Act) occurred during the period covered by this Quarterly Report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 defendant or co-defendant in lawsuits, claims and demands brought by various parties relating to matters normally incident to our business. No individual case, or group of cases against us, presenting substantially similar issues of law or fact, is expected to have a material effect on the manner in which we conduct our business or on our consolidated results of operations, financial position or liquidity. The majority of these cases are alleging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defenses, insurance and reserves, the ultimate resolution of these matters will not have a material impact on our financial position, results of operations or cash flows.</w:t>
      </w:r>
    </w:p>
    <w:p>
      <w:pPr>
        <w:spacing w:after="0" w:line="121"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18"/>
          <w:szCs w:val="18"/>
          <w:color w:val="auto"/>
        </w:rPr>
        <w:t>There have been no material developments during the fiscal quarter ended October 29, 2022, with respect to any of the matters discussed under the heading "Legal Proceedings" in the Annual Report</w:t>
      </w:r>
      <w:r>
        <w:rPr>
          <w:rFonts w:ascii="Calibri" w:cs="Calibri" w:eastAsia="Calibri" w:hAnsi="Calibri"/>
          <w:sz w:val="19"/>
          <w:szCs w:val="19"/>
          <w:color w:val="auto"/>
        </w:rPr>
        <w:t>.</w:t>
      </w:r>
      <w:r>
        <w:rPr>
          <w:rFonts w:ascii="Times New Roman" w:cs="Times New Roman" w:eastAsia="Times New Roman" w:hAnsi="Times New Roman"/>
          <w:sz w:val="18"/>
          <w:szCs w:val="18"/>
          <w:color w:val="auto"/>
        </w:rPr>
        <w:t xml:space="preserve"> We are not currently party to any other legal proceedings that we believe would have a material adverse effect on our financial position, results of operations or cash flows.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carefully consider the risk factors discussed in the section of the Annual Report entitled "Risk Factors", which could materially affect our business, financial condition or future results. The risks described in the Annual Report are not the only risks facing the Company. Additional risks and uncertainties not currently known to us or that we currently deem to be immaterial also may materially adversely affect our business, financial condition or future results. There have been no material changes to the risk factors discussed in the section of the Annual Report entitled "Risk Factors".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repurchases and cancellations of our common stock during the third quarter of 2022:</w:t>
      </w:r>
    </w:p>
    <w:p>
      <w:pPr>
        <w:sectPr>
          <w:pgSz w:w="11900" w:h="16838" w:orient="portrait"/>
          <w:cols w:equalWidth="0" w:num="1">
            <w:col w:w="11240"/>
          </w:cols>
          <w:pgMar w:left="320" w:top="13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Period</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31, 2022 to August 27, 2022</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August 28, 2022 to October 1, 2022</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October 2, 2022 to October 29, 2022</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60" w:type="dxa"/>
            <w:vAlign w:val="bottom"/>
          </w:tcPr>
          <w:p>
            <w:pPr>
              <w:spacing w:after="0"/>
              <w:rPr>
                <w:sz w:val="18"/>
                <w:szCs w:val="18"/>
                <w:color w:val="auto"/>
              </w:rPr>
            </w:pPr>
          </w:p>
        </w:tc>
        <w:tc>
          <w:tcPr>
            <w:tcW w:w="1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Dollar Value of</w:t>
            </w:r>
          </w:p>
        </w:tc>
        <w:tc>
          <w:tcPr>
            <w:tcW w:w="0" w:type="dxa"/>
            <w:vAlign w:val="bottom"/>
          </w:tcPr>
          <w:p>
            <w:pPr>
              <w:spacing w:after="0"/>
              <w:rPr>
                <w:sz w:val="1"/>
                <w:szCs w:val="1"/>
                <w:color w:val="auto"/>
              </w:rPr>
            </w:pPr>
          </w:p>
        </w:tc>
      </w:tr>
      <w:tr>
        <w:trPr>
          <w:trHeight w:val="175"/>
        </w:trPr>
        <w:tc>
          <w:tcPr>
            <w:tcW w:w="1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6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Shares that May Yet</w:t>
            </w:r>
          </w:p>
        </w:tc>
        <w:tc>
          <w:tcPr>
            <w:tcW w:w="0" w:type="dxa"/>
            <w:vAlign w:val="bottom"/>
          </w:tcPr>
          <w:p>
            <w:pPr>
              <w:spacing w:after="0"/>
              <w:rPr>
                <w:sz w:val="1"/>
                <w:szCs w:val="1"/>
                <w:color w:val="auto"/>
              </w:rPr>
            </w:pPr>
          </w:p>
        </w:tc>
      </w:tr>
      <w:tr>
        <w:trPr>
          <w:trHeight w:val="189"/>
        </w:trPr>
        <w:tc>
          <w:tcPr>
            <w:tcW w:w="1680" w:type="dxa"/>
            <w:vAlign w:val="bottom"/>
            <w:gridSpan w:val="2"/>
            <w:vMerge w:val="continue"/>
          </w:tcPr>
          <w:p>
            <w:pPr>
              <w:spacing w:after="0"/>
              <w:rPr>
                <w:sz w:val="16"/>
                <w:szCs w:val="16"/>
                <w:color w:val="auto"/>
              </w:rPr>
            </w:pPr>
          </w:p>
        </w:tc>
        <w:tc>
          <w:tcPr>
            <w:tcW w:w="16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Average Price Paid</w:t>
            </w:r>
          </w:p>
        </w:tc>
        <w:tc>
          <w:tcPr>
            <w:tcW w:w="170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8"/>
              </w:rPr>
              <w:t>as Part of Publicly</w:t>
            </w:r>
          </w:p>
        </w:tc>
        <w:tc>
          <w:tcPr>
            <w:tcW w:w="16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be Purchased Under</w:t>
            </w:r>
          </w:p>
        </w:tc>
        <w:tc>
          <w:tcPr>
            <w:tcW w:w="0" w:type="dxa"/>
            <w:vAlign w:val="bottom"/>
          </w:tcPr>
          <w:p>
            <w:pPr>
              <w:spacing w:after="0"/>
              <w:rPr>
                <w:sz w:val="1"/>
                <w:szCs w:val="1"/>
                <w:color w:val="auto"/>
              </w:rPr>
            </w:pPr>
          </w:p>
        </w:tc>
      </w:tr>
      <w:tr>
        <w:trPr>
          <w:trHeight w:val="176"/>
        </w:trPr>
        <w:tc>
          <w:tcPr>
            <w:tcW w:w="16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Shares Purchased</w:t>
            </w:r>
          </w:p>
        </w:tc>
        <w:tc>
          <w:tcPr>
            <w:tcW w:w="1680" w:type="dxa"/>
            <w:vAlign w:val="bottom"/>
            <w:gridSpan w:val="3"/>
            <w:vMerge w:val="continue"/>
          </w:tcPr>
          <w:p>
            <w:pPr>
              <w:spacing w:after="0"/>
              <w:rPr>
                <w:sz w:val="15"/>
                <w:szCs w:val="15"/>
                <w:color w:val="auto"/>
              </w:rPr>
            </w:pPr>
          </w:p>
        </w:tc>
        <w:tc>
          <w:tcPr>
            <w:tcW w:w="170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160" w:type="dxa"/>
            <w:vAlign w:val="bottom"/>
          </w:tcPr>
          <w:p>
            <w:pPr>
              <w:spacing w:after="0"/>
              <w:rPr>
                <w:sz w:val="15"/>
                <w:szCs w:val="15"/>
                <w:color w:val="auto"/>
              </w:rPr>
            </w:pPr>
          </w:p>
        </w:tc>
        <w:tc>
          <w:tcPr>
            <w:tcW w:w="144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the Plans or</w:t>
            </w:r>
          </w:p>
        </w:tc>
        <w:tc>
          <w:tcPr>
            <w:tcW w:w="0" w:type="dxa"/>
            <w:vAlign w:val="bottom"/>
          </w:tcPr>
          <w:p>
            <w:pPr>
              <w:spacing w:after="0"/>
              <w:rPr>
                <w:sz w:val="1"/>
                <w:szCs w:val="1"/>
                <w:color w:val="auto"/>
              </w:rPr>
            </w:pPr>
          </w:p>
        </w:tc>
      </w:tr>
      <w:tr>
        <w:trPr>
          <w:trHeight w:val="241"/>
        </w:trPr>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w:t>
            </w:r>
          </w:p>
        </w:tc>
        <w:tc>
          <w:tcPr>
            <w:tcW w:w="260" w:type="dxa"/>
            <w:vAlign w:val="bottom"/>
          </w:tcPr>
          <w:p>
            <w:pPr>
              <w:spacing w:after="0"/>
              <w:rPr>
                <w:sz w:val="20"/>
                <w:szCs w:val="20"/>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or Programs (b)</w:t>
            </w:r>
          </w:p>
        </w:tc>
        <w:tc>
          <w:tcPr>
            <w:tcW w:w="160" w:type="dxa"/>
            <w:vAlign w:val="bottom"/>
          </w:tcPr>
          <w:p>
            <w:pPr>
              <w:spacing w:after="0"/>
              <w:rPr>
                <w:sz w:val="20"/>
                <w:szCs w:val="20"/>
                <w:color w:val="auto"/>
              </w:rPr>
            </w:pPr>
          </w:p>
        </w:tc>
        <w:tc>
          <w:tcPr>
            <w:tcW w:w="14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Programs (b)</w:t>
            </w:r>
          </w:p>
        </w:tc>
        <w:tc>
          <w:tcPr>
            <w:tcW w:w="0" w:type="dxa"/>
            <w:vAlign w:val="bottom"/>
          </w:tcPr>
          <w:p>
            <w:pPr>
              <w:spacing w:after="0"/>
              <w:rPr>
                <w:sz w:val="1"/>
                <w:szCs w:val="1"/>
                <w:color w:val="auto"/>
              </w:rPr>
            </w:pPr>
          </w:p>
        </w:tc>
      </w:tr>
      <w:tr>
        <w:trPr>
          <w:trHeight w:val="220"/>
        </w:trPr>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500,192,744</w:t>
            </w:r>
          </w:p>
        </w:tc>
        <w:tc>
          <w:tcPr>
            <w:tcW w:w="0" w:type="dxa"/>
            <w:vAlign w:val="bottom"/>
          </w:tcPr>
          <w:p>
            <w:pPr>
              <w:spacing w:after="0"/>
              <w:rPr>
                <w:sz w:val="1"/>
                <w:szCs w:val="1"/>
                <w:color w:val="auto"/>
              </w:rPr>
            </w:pPr>
          </w:p>
        </w:tc>
      </w:tr>
      <w:tr>
        <w:trPr>
          <w:trHeight w:val="230"/>
        </w:trPr>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1,672,091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1,672,091</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421,768,212</w:t>
            </w:r>
          </w:p>
        </w:tc>
        <w:tc>
          <w:tcPr>
            <w:tcW w:w="0" w:type="dxa"/>
            <w:vAlign w:val="bottom"/>
          </w:tcPr>
          <w:p>
            <w:pPr>
              <w:spacing w:after="0"/>
              <w:rPr>
                <w:sz w:val="1"/>
                <w:szCs w:val="1"/>
                <w:color w:val="auto"/>
              </w:rPr>
            </w:pPr>
          </w:p>
        </w:tc>
      </w:tr>
      <w:tr>
        <w:trPr>
          <w:trHeight w:val="234"/>
        </w:trPr>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504,372</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8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504,372</w:t>
            </w:r>
          </w:p>
        </w:tc>
        <w:tc>
          <w:tcPr>
            <w:tcW w:w="100" w:type="dxa"/>
            <w:vAlign w:val="bottom"/>
          </w:tcPr>
          <w:p>
            <w:pPr>
              <w:spacing w:after="0"/>
              <w:rPr>
                <w:sz w:val="20"/>
                <w:szCs w:val="20"/>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399,411,562</w:t>
            </w:r>
          </w:p>
        </w:tc>
        <w:tc>
          <w:tcPr>
            <w:tcW w:w="0" w:type="dxa"/>
            <w:vAlign w:val="bottom"/>
          </w:tcPr>
          <w:p>
            <w:pPr>
              <w:spacing w:after="0"/>
              <w:rPr>
                <w:sz w:val="1"/>
                <w:szCs w:val="1"/>
                <w:color w:val="auto"/>
              </w:rPr>
            </w:pPr>
          </w:p>
        </w:tc>
      </w:tr>
      <w:tr>
        <w:trPr>
          <w:trHeight w:val="223"/>
        </w:trPr>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2,176,463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8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2,176,463</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399,411,562</w:t>
            </w:r>
          </w:p>
        </w:tc>
        <w:tc>
          <w:tcPr>
            <w:tcW w:w="0" w:type="dxa"/>
            <w:vAlign w:val="bottom"/>
          </w:tcPr>
          <w:p>
            <w:pPr>
              <w:spacing w:after="0"/>
              <w:rPr>
                <w:sz w:val="1"/>
                <w:szCs w:val="1"/>
                <w:color w:val="auto"/>
              </w:rPr>
            </w:pP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-333375</wp:posOffset>
            </wp:positionV>
            <wp:extent cx="713232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-633730</wp:posOffset>
            </wp:positionV>
            <wp:extent cx="71323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2">
            <w:col w:w="3860" w:space="720"/>
            <w:col w:w="6660"/>
          </w:cols>
          <w:pgMar w:left="320" w:top="1332" w:right="339" w:bottom="1440" w:gutter="0" w:footer="0" w:header="0"/>
          <w:type w:val="continuous"/>
        </w:sectPr>
      </w:pPr>
    </w:p>
    <w:p>
      <w:pPr>
        <w:ind w:left="260" w:hanging="252"/>
        <w:spacing w:after="0" w:line="282" w:lineRule="auto"/>
        <w:tabs>
          <w:tab w:leader="none" w:pos="26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purchased excludes shares which were net-settled, and therefore not issued, to cover employee tax withholding related to the vesting of certain restricted stock awards.</w:t>
      </w:r>
    </w:p>
    <w:p>
      <w:pPr>
        <w:spacing w:after="0" w:line="40" w:lineRule="exact"/>
        <w:rPr>
          <w:rFonts w:ascii="Times New Roman" w:cs="Times New Roman" w:eastAsia="Times New Roman" w:hAnsi="Times New Roman"/>
          <w:sz w:val="18"/>
          <w:szCs w:val="18"/>
          <w:color w:val="auto"/>
        </w:rPr>
      </w:pPr>
    </w:p>
    <w:p>
      <w:pPr>
        <w:jc w:val="both"/>
        <w:ind w:left="260" w:hanging="252"/>
        <w:spacing w:after="0" w:line="261" w:lineRule="auto"/>
        <w:tabs>
          <w:tab w:leader="none" w:pos="27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 2022, the Board of Directors of the Company authorized a share repurchase program (the "2022 Share Repurchase Program") under which the Company may purchase up to $600 million of its outstanding shares during the three-year period ending June 2, 2025. As of October 29, 2022, approximately $399.4 million remained available for share repurchases pursuant to our 2022 Share Repurchase Program (see Note 2 to the accompanying financial statements).</w:t>
      </w:r>
    </w:p>
    <w:p>
      <w:pPr>
        <w:spacing w:after="0" w:line="72"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The 2022 Share Repurchase Program does not obligate the Company to acquire any particular number of common shares, and the programs may be suspended, extended, modified or discontinued at any time.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40"/>
          </w:cols>
          <w:pgMar w:left="320" w:top="133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type w:val="continuous"/>
        </w:sectPr>
      </w:pPr>
    </w:p>
    <w:bookmarkStart w:id="38" w:name="page39"/>
    <w:bookmarkEnd w:id="3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December 6, 2022, the Board of Directors of the Company approved and adopted amended and restated bylaws of the Company to reflect the amendments summarized below (as so amended and restated, the “Amended and Restated Bylaws”), effective immediately, a copy of which is filed as Exhibit 3.2 to this Form 10-Q.</w:t>
      </w:r>
    </w:p>
    <w:p>
      <w:pPr>
        <w:spacing w:after="0" w:line="12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Among other things, the amendments affected by the Amended and Restated Bylaws: (i) update certain procedural requirements related to director nominations by stockholders in light of the recently adopted Rule 14a-19 under the Exchange Act (the “Universal Proxy Rules”) and (ii) reflect certain other changes to Section 2.03 in light of the Universal Proxy Rules, including requiring (1) additional background information and disclosures regarding stockholders proposing director nominations and other business, director nominees proposed by stockholders, and other persons related to a stockholder’s solicitation of proxies; (2) any stockholder submitting a nomination notice to make a representation as to whether such stockholder intends to solicit proxies in support of director nominees other than the Company’s nominees in accordance with Rule 14a-19 under the Exchange Act and the Amended and Restated Bylaws and to provide evidence that the stockholder has complied with such requirements; and (3) any nominee proposed by a stockholder to deliver a written questionnaire with respect to the nominee’s background and qualifications as well as provide any other questionnaires or information that may be necessary to assess the nominee’s qualifications and eligibility for board service.</w:t>
      </w:r>
    </w:p>
    <w:p>
      <w:pPr>
        <w:spacing w:after="0" w:line="13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Amended and Restated Bylaws also: (i) provide that a white proxy card is reserved solely for use by the Company’s Board of Directors (Section 2.03), (ii) update and conform various provisions to reflect the latest amendments to the Delaware General Corporation Law (the “DGCL”), including: (1) clarifying the adjournment procedures for virtual meetings of stockholders (Section 2.10); and (2) eliminating the requirement that the list of stockholders be open to examination at meetings of stockholders (Section 5.05), and (iii) remove certain historical references to KKR and the Stockholders Agreement (as each term is defined in the Company’s amended and restated certificate of incorporation). The Amended and Restated Bylaws also incorporate other non-substantive, ministerial, clarifying and conforming changes.</w:t>
      </w:r>
    </w:p>
    <w:p>
      <w:pPr>
        <w:spacing w:after="0" w:line="1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Amended and Restated Bylaws is qualified in its entirety by reference to the Amended and Restated Bylaws which are filed as Exhibit 3.2 to this Quarterly Report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740" w:type="dxa"/>
            <w:vAlign w:val="bottom"/>
            <w:tcBorders>
              <w:bottom w:val="single" w:sz="8" w:color="auto"/>
            </w:tcBorders>
          </w:tcPr>
          <w:p>
            <w:pPr>
              <w:ind w:left="406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83"/>
        </w:trPr>
        <w:tc>
          <w:tcPr>
            <w:tcW w:w="340" w:type="dxa"/>
            <w:vAlign w:val="bottom"/>
            <w:gridSpan w:val="3"/>
            <w:shd w:val="clear" w:color="auto" w:fill="CCEEFF"/>
          </w:tcPr>
          <w:p>
            <w:pPr>
              <w:ind w:left="20"/>
              <w:spacing w:after="0" w:line="182"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9740" w:type="dxa"/>
            <w:vAlign w:val="bottom"/>
            <w:shd w:val="clear" w:color="auto" w:fill="CCEEFF"/>
          </w:tcPr>
          <w:p>
            <w:pPr>
              <w:ind w:left="80"/>
              <w:spacing w:after="0" w:line="182" w:lineRule="exact"/>
              <w:rPr>
                <w:sz w:val="20"/>
                <w:szCs w:val="20"/>
                <w:color w:val="auto"/>
              </w:rPr>
            </w:pPr>
            <w:r>
              <w:rPr>
                <w:rFonts w:ascii="Times New Roman" w:cs="Times New Roman" w:eastAsia="Times New Roman" w:hAnsi="Times New Roman"/>
                <w:sz w:val="18"/>
                <w:szCs w:val="18"/>
                <w:color w:val="auto"/>
              </w:rPr>
              <w:t>Amended and Restated Certificate of Incorporation of the Registrant (incorporated by reference to Exhibit 3.1 to the Registrant’s</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97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Current Report on Form 8-K filed on October 6, 2020).</w:t>
            </w:r>
          </w:p>
        </w:tc>
      </w:tr>
      <w:tr>
        <w:trPr>
          <w:trHeight w:val="189"/>
        </w:trPr>
        <w:tc>
          <w:tcPr>
            <w:tcW w:w="44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7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Amended and Restated Bylaws of the Registrant effective as of December 6, 2022.</w:t>
            </w: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74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0000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1*</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9740" w:type="dxa"/>
            <w:vAlign w:val="bottom"/>
            <w:tcBorders>
              <w:bottom w:val="single" w:sz="8" w:color="CCEEFF"/>
            </w:tcBorders>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Certification of Periodic Report by Chief Executive Officer under Section 302 of the Sarbanes-Oxley Act of 2002.</w:t>
            </w:r>
          </w:p>
        </w:tc>
      </w:tr>
      <w:tr>
        <w:trPr>
          <w:trHeight w:val="189"/>
        </w:trPr>
        <w:tc>
          <w:tcPr>
            <w:tcW w:w="52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980" w:type="dxa"/>
            <w:vAlign w:val="bottom"/>
          </w:tcPr>
          <w:p>
            <w:pPr>
              <w:spacing w:after="0"/>
              <w:rPr>
                <w:sz w:val="16"/>
                <w:szCs w:val="16"/>
                <w:color w:val="auto"/>
              </w:rPr>
            </w:pPr>
          </w:p>
        </w:tc>
        <w:tc>
          <w:tcPr>
            <w:tcW w:w="97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Certification of Periodic Report by Chief Financial Officer under Section 302 of the Sarbanes-Oxley Act of 2002.</w:t>
            </w: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740" w:type="dxa"/>
            <w:vAlign w:val="bottom"/>
          </w:tcPr>
          <w:p>
            <w:pPr>
              <w:spacing w:after="0" w:line="20" w:lineRule="exact"/>
              <w:rPr>
                <w:sz w:val="1"/>
                <w:szCs w:val="1"/>
                <w:color w:val="auto"/>
              </w:rPr>
            </w:pPr>
          </w:p>
        </w:tc>
      </w:tr>
      <w:tr>
        <w:trPr>
          <w:trHeight w:val="189"/>
        </w:trPr>
        <w:tc>
          <w:tcPr>
            <w:tcW w:w="1500" w:type="dxa"/>
            <w:vAlign w:val="bottom"/>
            <w:gridSpan w:val="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974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 Sarbanes-</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97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189"/>
        </w:trPr>
        <w:tc>
          <w:tcPr>
            <w:tcW w:w="1500" w:type="dxa"/>
            <w:vAlign w:val="bottom"/>
            <w:gridSpan w:val="6"/>
          </w:tcPr>
          <w:p>
            <w:pPr>
              <w:ind w:left="20"/>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97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 Sarbanes-</w:t>
            </w: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980" w:type="dxa"/>
            <w:vAlign w:val="bottom"/>
          </w:tcPr>
          <w:p>
            <w:pPr>
              <w:spacing w:after="0"/>
              <w:rPr>
                <w:sz w:val="18"/>
                <w:szCs w:val="18"/>
                <w:color w:val="auto"/>
              </w:rPr>
            </w:pP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176"/>
        </w:trPr>
        <w:tc>
          <w:tcPr>
            <w:tcW w:w="20" w:type="dxa"/>
            <w:vAlign w:val="bottom"/>
            <w:shd w:val="clear" w:color="auto" w:fill="CCEEFF"/>
          </w:tcPr>
          <w:p>
            <w:pPr>
              <w:spacing w:after="0"/>
              <w:rPr>
                <w:sz w:val="15"/>
                <w:szCs w:val="15"/>
                <w:color w:val="auto"/>
              </w:rPr>
            </w:pPr>
          </w:p>
        </w:tc>
        <w:tc>
          <w:tcPr>
            <w:tcW w:w="14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101.INS</w:t>
            </w:r>
          </w:p>
        </w:tc>
        <w:tc>
          <w:tcPr>
            <w:tcW w:w="974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43"/>
        </w:trPr>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9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29"/>
        </w:trPr>
        <w:tc>
          <w:tcPr>
            <w:tcW w:w="20" w:type="dxa"/>
            <w:vAlign w:val="bottom"/>
          </w:tcPr>
          <w:p>
            <w:pPr>
              <w:spacing w:after="0"/>
              <w:rPr>
                <w:sz w:val="19"/>
                <w:szCs w:val="19"/>
                <w:color w:val="auto"/>
              </w:rPr>
            </w:pPr>
          </w:p>
        </w:tc>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101.SCH</w:t>
            </w: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29"/>
        </w:trPr>
        <w:tc>
          <w:tcPr>
            <w:tcW w:w="20" w:type="dxa"/>
            <w:vAlign w:val="bottom"/>
            <w:shd w:val="clear" w:color="auto" w:fill="CCEEFF"/>
          </w:tcPr>
          <w:p>
            <w:pPr>
              <w:spacing w:after="0"/>
              <w:rPr>
                <w:sz w:val="19"/>
                <w:szCs w:val="19"/>
                <w:color w:val="auto"/>
              </w:rPr>
            </w:pPr>
          </w:p>
        </w:tc>
        <w:tc>
          <w:tcPr>
            <w:tcW w:w="1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9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r>
      <w:tr>
        <w:trPr>
          <w:trHeight w:val="230"/>
        </w:trPr>
        <w:tc>
          <w:tcPr>
            <w:tcW w:w="20" w:type="dxa"/>
            <w:vAlign w:val="bottom"/>
          </w:tcPr>
          <w:p>
            <w:pPr>
              <w:spacing w:after="0"/>
              <w:rPr>
                <w:sz w:val="19"/>
                <w:szCs w:val="19"/>
                <w:color w:val="auto"/>
              </w:rPr>
            </w:pPr>
          </w:p>
        </w:tc>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101.DEF</w:t>
            </w: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Definition Linkbase Document</w:t>
            </w:r>
          </w:p>
        </w:tc>
      </w:tr>
      <w:tr>
        <w:trPr>
          <w:trHeight w:val="229"/>
        </w:trPr>
        <w:tc>
          <w:tcPr>
            <w:tcW w:w="20" w:type="dxa"/>
            <w:vAlign w:val="bottom"/>
            <w:shd w:val="clear" w:color="auto" w:fill="CCEEFF"/>
          </w:tcPr>
          <w:p>
            <w:pPr>
              <w:spacing w:after="0"/>
              <w:rPr>
                <w:sz w:val="19"/>
                <w:szCs w:val="19"/>
                <w:color w:val="auto"/>
              </w:rPr>
            </w:pPr>
          </w:p>
        </w:tc>
        <w:tc>
          <w:tcPr>
            <w:tcW w:w="1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9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XBRL Taxonomy Label Linkbase Document</w:t>
            </w:r>
          </w:p>
        </w:tc>
      </w:tr>
      <w:tr>
        <w:trPr>
          <w:trHeight w:val="229"/>
        </w:trPr>
        <w:tc>
          <w:tcPr>
            <w:tcW w:w="20" w:type="dxa"/>
            <w:vAlign w:val="bottom"/>
          </w:tcPr>
          <w:p>
            <w:pPr>
              <w:spacing w:after="0"/>
              <w:rPr>
                <w:sz w:val="19"/>
                <w:szCs w:val="19"/>
                <w:color w:val="auto"/>
              </w:rPr>
            </w:pPr>
          </w:p>
        </w:tc>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101.PRE</w:t>
            </w: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r>
      <w:tr>
        <w:trPr>
          <w:trHeight w:val="270"/>
        </w:trPr>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9740" w:type="dxa"/>
            <w:vAlign w:val="bottom"/>
            <w:shd w:val="clear" w:color="auto" w:fill="CCEEFF"/>
          </w:tcPr>
          <w:p>
            <w:pPr>
              <w:spacing w:after="0"/>
              <w:rPr>
                <w:sz w:val="23"/>
                <w:szCs w:val="23"/>
                <w:color w:val="auto"/>
              </w:rPr>
            </w:pPr>
          </w:p>
        </w:tc>
      </w:tr>
      <w:tr>
        <w:trPr>
          <w:trHeight w:val="230"/>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29"/>
        </w:trPr>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257"/>
        </w:trPr>
        <w:tc>
          <w:tcPr>
            <w:tcW w:w="20" w:type="dxa"/>
            <w:vAlign w:val="bottom"/>
          </w:tcPr>
          <w:p>
            <w:pPr>
              <w:spacing w:after="0"/>
              <w:rPr>
                <w:sz w:val="22"/>
                <w:szCs w:val="22"/>
                <w:color w:val="auto"/>
              </w:rPr>
            </w:pPr>
          </w:p>
        </w:tc>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t>
            </w: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Compensatory agreements for director(s) and/or executive officer(s).</w:t>
            </w:r>
          </w:p>
        </w:tc>
      </w:tr>
    </w:tbl>
    <w:p>
      <w:pPr>
        <w:spacing w:after="0" w:line="2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Quarterly Report on Form 10-Q to be signed on December 7, 2022 on its behalf by the undersigned, thereto duly authorized.</w:t>
      </w:r>
    </w:p>
    <w:p>
      <w:pPr>
        <w:spacing w:after="0" w:line="22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ACADEMY SPORTS AND OUTDOORS, INC.</w:t>
      </w:r>
    </w:p>
    <w:p>
      <w:pPr>
        <w:spacing w:after="0" w:line="200" w:lineRule="exact"/>
        <w:rPr>
          <w:sz w:val="20"/>
          <w:szCs w:val="20"/>
          <w:color w:val="auto"/>
        </w:rPr>
      </w:pPr>
    </w:p>
    <w:p>
      <w:pPr>
        <w:spacing w:after="0" w:line="214" w:lineRule="exact"/>
        <w:rPr>
          <w:sz w:val="20"/>
          <w:szCs w:val="20"/>
          <w:color w:val="auto"/>
        </w:rPr>
      </w:pPr>
    </w:p>
    <w:tbl>
      <w:tblPr>
        <w:tblLayout w:type="fixed"/>
        <w:tblInd w:w="592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KEN C. HICKS</w:t>
            </w:r>
          </w:p>
        </w:tc>
      </w:tr>
      <w:tr>
        <w:trPr>
          <w:trHeight w:val="218"/>
        </w:trPr>
        <w:tc>
          <w:tcPr>
            <w:tcW w:w="720" w:type="dxa"/>
            <w:vAlign w:val="bottom"/>
          </w:tcPr>
          <w:p>
            <w:pPr>
              <w:spacing w:after="0"/>
              <w:rPr>
                <w:sz w:val="18"/>
                <w:szCs w:val="18"/>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 C. Hicks</w:t>
            </w:r>
          </w:p>
        </w:tc>
      </w:tr>
      <w:tr>
        <w:trPr>
          <w:trHeight w:val="229"/>
        </w:trPr>
        <w:tc>
          <w:tcPr>
            <w:tcW w:w="72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72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P. MULLICAN</w:t>
            </w:r>
          </w:p>
        </w:tc>
      </w:tr>
      <w:tr>
        <w:trPr>
          <w:trHeight w:val="218"/>
        </w:trPr>
        <w:tc>
          <w:tcPr>
            <w:tcW w:w="720" w:type="dxa"/>
            <w:vAlign w:val="bottom"/>
          </w:tcPr>
          <w:p>
            <w:pPr>
              <w:spacing w:after="0"/>
              <w:rPr>
                <w:sz w:val="18"/>
                <w:szCs w:val="18"/>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P. Mullican</w:t>
            </w:r>
          </w:p>
        </w:tc>
      </w:tr>
      <w:tr>
        <w:trPr>
          <w:trHeight w:val="229"/>
        </w:trPr>
        <w:tc>
          <w:tcPr>
            <w:tcW w:w="72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72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089"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2"/>
          <w:szCs w:val="22"/>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BYLAWS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ACADEMY SPORTS AND OUTDOORS, INC</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Offices</w:t>
      </w:r>
    </w:p>
    <w:p>
      <w:pPr>
        <w:spacing w:after="0" w:line="183"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u w:val="single" w:color="auto"/>
          <w:color w:val="auto"/>
        </w:rPr>
        <w:t>Registered Office</w:t>
      </w:r>
      <w:r>
        <w:rPr>
          <w:rFonts w:ascii="Times New Roman" w:cs="Times New Roman" w:eastAsia="Times New Roman" w:hAnsi="Times New Roman"/>
          <w:sz w:val="22"/>
          <w:szCs w:val="22"/>
          <w:color w:val="auto"/>
        </w:rPr>
        <w:t>. The registered office and registered agent of Academy Sports and Outdoors, Inc.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 in the State of Delaware shall be as set forth in the Amended and Restated Certificate of Incorporation (as defined below). The Corporation may also have offices in such other places in the United States or elsewhere (and may change the Corporation’s registered agent) as the Board of Directors of the Corporation (the “</w:t>
      </w:r>
      <w:r>
        <w:rPr>
          <w:rFonts w:ascii="Times New Roman" w:cs="Times New Roman" w:eastAsia="Times New Roman" w:hAnsi="Times New Roman"/>
          <w:sz w:val="22"/>
          <w:szCs w:val="22"/>
          <w:u w:val="single" w:color="auto"/>
          <w:color w:val="auto"/>
        </w:rPr>
        <w:t>Board of Directors</w:t>
      </w:r>
      <w:r>
        <w:rPr>
          <w:rFonts w:ascii="Times New Roman" w:cs="Times New Roman" w:eastAsia="Times New Roman" w:hAnsi="Times New Roman"/>
          <w:sz w:val="22"/>
          <w:szCs w:val="22"/>
          <w:color w:val="auto"/>
        </w:rPr>
        <w:t>”) may, from time to time, determine or as the business of the Corporation may require.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Meetings of Stockholders</w:t>
      </w:r>
    </w:p>
    <w:p>
      <w:pPr>
        <w:spacing w:after="0" w:line="183"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 xml:space="preserve">SECTION 2.01 </w:t>
      </w:r>
      <w:r>
        <w:rPr>
          <w:rFonts w:ascii="Times New Roman" w:cs="Times New Roman" w:eastAsia="Times New Roman" w:hAnsi="Times New Roman"/>
          <w:sz w:val="22"/>
          <w:szCs w:val="22"/>
          <w:u w:val="single" w:color="auto"/>
          <w:color w:val="auto"/>
        </w:rPr>
        <w:t>Annual Meetings</w:t>
      </w:r>
      <w:r>
        <w:rPr>
          <w:rFonts w:ascii="Times New Roman" w:cs="Times New Roman" w:eastAsia="Times New Roman" w:hAnsi="Times New Roman"/>
          <w:sz w:val="22"/>
          <w:szCs w:val="22"/>
          <w:color w:val="auto"/>
        </w:rPr>
        <w:t>. Annual meetings of stockholders may be held at such place, if any, either within or without the State of Delaware, and at such time and date as the Board of Directors shall determine and state in the notice of meeting. The Board of Directors may, in its sole discretion, determine that annual meetings of stockholders shall not be held at any place, but may instead be held solely by means of remote communication as described in Section 2.11 of these Amended and Restated Bylaws in accordance with Section 211(a)(2) of the General Corporation Law of the State of Delaware (the “</w:t>
      </w:r>
      <w:r>
        <w:rPr>
          <w:rFonts w:ascii="Times New Roman" w:cs="Times New Roman" w:eastAsia="Times New Roman" w:hAnsi="Times New Roman"/>
          <w:sz w:val="22"/>
          <w:szCs w:val="22"/>
          <w:u w:val="single" w:color="auto"/>
          <w:color w:val="auto"/>
        </w:rPr>
        <w:t>DGCL</w:t>
      </w:r>
      <w:r>
        <w:rPr>
          <w:rFonts w:ascii="Times New Roman" w:cs="Times New Roman" w:eastAsia="Times New Roman" w:hAnsi="Times New Roman"/>
          <w:sz w:val="22"/>
          <w:szCs w:val="22"/>
          <w:color w:val="auto"/>
        </w:rPr>
        <w:t>”). The Board of Directors may postpone, reschedule or cancel any annual meeting of stockholders previously scheduled by the Board of Directors.</w:t>
      </w:r>
    </w:p>
    <w:p>
      <w:pPr>
        <w:spacing w:after="0" w:line="156"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 xml:space="preserve">SECTION 2.02 </w:t>
      </w:r>
      <w:r>
        <w:rPr>
          <w:rFonts w:ascii="Times New Roman" w:cs="Times New Roman" w:eastAsia="Times New Roman" w:hAnsi="Times New Roman"/>
          <w:sz w:val="22"/>
          <w:szCs w:val="22"/>
          <w:u w:val="single" w:color="auto"/>
          <w:color w:val="auto"/>
        </w:rPr>
        <w:t>Special Meetings</w:t>
      </w:r>
      <w:r>
        <w:rPr>
          <w:rFonts w:ascii="Times New Roman" w:cs="Times New Roman" w:eastAsia="Times New Roman" w:hAnsi="Times New Roman"/>
          <w:sz w:val="22"/>
          <w:szCs w:val="22"/>
          <w:color w:val="auto"/>
        </w:rPr>
        <w:t>. Special meetings of the stockholders may only be called in the manner provided in the Corporation’s amended and restated certificate of incorporation as then in effect (as the same may be amended and/or restated from time to time, the “</w:t>
      </w:r>
      <w:r>
        <w:rPr>
          <w:rFonts w:ascii="Times New Roman" w:cs="Times New Roman" w:eastAsia="Times New Roman" w:hAnsi="Times New Roman"/>
          <w:sz w:val="22"/>
          <w:szCs w:val="22"/>
          <w:u w:val="single" w:color="auto"/>
          <w:color w:val="auto"/>
        </w:rPr>
        <w:t>Amended and Restated Certificate of Incorporation</w:t>
      </w:r>
      <w:r>
        <w:rPr>
          <w:rFonts w:ascii="Times New Roman" w:cs="Times New Roman" w:eastAsia="Times New Roman" w:hAnsi="Times New Roman"/>
          <w:sz w:val="22"/>
          <w:szCs w:val="22"/>
          <w:color w:val="auto"/>
        </w:rPr>
        <w:t>”) and may be held at such place, if any, either within or without the State of Delaware, and at such time and date as the Board of Directors or the Chairman of the Board of Directors shall determine and state in the notice of meeting. The Board of Directors may, in its sole discretion, determine that special meetings of stockholders shall not be held at any place, but may instead be held solely by means of remote communication as described in Section 2.11 of these Amended and Restated Bylaws in accordance with Section 211(a)(2) of the DGCL. The Board of Directors may postpone, reschedule or cancel any special meeting of stockholders previously scheduled by the Board of Directors or the Chairman of the Board of Directors.</w:t>
      </w:r>
    </w:p>
    <w:p>
      <w:pPr>
        <w:spacing w:after="0" w:line="158" w:lineRule="exact"/>
        <w:rPr>
          <w:sz w:val="20"/>
          <w:szCs w:val="20"/>
          <w:color w:val="auto"/>
        </w:rPr>
      </w:pPr>
    </w:p>
    <w:p>
      <w:pPr>
        <w:ind w:left="1300"/>
        <w:spacing w:after="0"/>
        <w:tabs>
          <w:tab w:leader="none" w:pos="2840" w:val="left"/>
        </w:tabs>
        <w:rPr>
          <w:sz w:val="20"/>
          <w:szCs w:val="20"/>
          <w:color w:val="auto"/>
        </w:rPr>
      </w:pPr>
      <w:r>
        <w:rPr>
          <w:rFonts w:ascii="Times New Roman" w:cs="Times New Roman" w:eastAsia="Times New Roman" w:hAnsi="Times New Roman"/>
          <w:sz w:val="22"/>
          <w:szCs w:val="22"/>
          <w:color w:val="auto"/>
        </w:rPr>
        <w:t>SECTION 2.03</w:t>
      </w:r>
      <w:r>
        <w:rPr>
          <w:sz w:val="20"/>
          <w:szCs w:val="20"/>
          <w:color w:val="auto"/>
        </w:rPr>
        <w:tab/>
      </w:r>
      <w:r>
        <w:rPr>
          <w:rFonts w:ascii="Times New Roman" w:cs="Times New Roman" w:eastAsia="Times New Roman" w:hAnsi="Times New Roman"/>
          <w:sz w:val="21"/>
          <w:szCs w:val="21"/>
          <w:u w:val="single" w:color="auto"/>
          <w:color w:val="auto"/>
        </w:rPr>
        <w:t>Notice of Stockholder Business and Nominations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1820" w:hanging="516"/>
        <w:spacing w:after="0"/>
        <w:tabs>
          <w:tab w:leader="none" w:pos="18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Meetings of Stockholders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304"/>
        <w:spacing w:after="0" w:line="225" w:lineRule="auto"/>
        <w:tabs>
          <w:tab w:leader="none" w:pos="189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Nominations of persons for election to the Board of Directors and the proposal of other business to be considered by the stockholders may be made at an annual meeting of stockholders only (a) pursuant to the Corporation’s notice of meeting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420093</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12.06.2022</w:t>
      </w:r>
    </w:p>
    <w:p>
      <w:pPr>
        <w:sectPr>
          <w:pgSz w:w="11900" w:h="16838" w:orient="portrait"/>
          <w:cols w:equalWidth="0" w:num="1">
            <w:col w:w="11240"/>
          </w:cols>
          <w:pgMar w:left="320" w:top="94" w:right="339" w:bottom="1440" w:gutter="0" w:footer="0" w:header="0"/>
        </w:sectPr>
      </w:pPr>
    </w:p>
    <w:bookmarkStart w:id="42" w:name="page43"/>
    <w:bookmarkEnd w:id="42"/>
    <w:p>
      <w:pPr>
        <w:jc w:val="both"/>
        <w:spacing w:after="0" w:line="220" w:lineRule="auto"/>
        <w:rPr>
          <w:sz w:val="20"/>
          <w:szCs w:val="20"/>
          <w:color w:val="auto"/>
        </w:rPr>
      </w:pPr>
      <w:r>
        <w:rPr>
          <w:rFonts w:ascii="Times New Roman" w:cs="Times New Roman" w:eastAsia="Times New Roman" w:hAnsi="Times New Roman"/>
          <w:sz w:val="22"/>
          <w:szCs w:val="22"/>
          <w:color w:val="auto"/>
        </w:rPr>
        <w:t>supplement thereto) delivered pursuant to Section 2.04 of Article II of these Amended and Restated Bylaws, (b) by or at the direction of the Board of Directors or any authorized committee thereof or (c) by any stockholder of the Corporation who is entitled to vote at the meeting, who complied with the notice procedures set forth in paragraphs (A)(2) and (A)(3) of this Section 2.03 and who was a stockholder of record at the time such notice is delivered to the Secretary of the Corporation.</w:t>
      </w:r>
    </w:p>
    <w:p>
      <w:pPr>
        <w:spacing w:after="0" w:line="152" w:lineRule="exact"/>
        <w:rPr>
          <w:sz w:val="20"/>
          <w:szCs w:val="20"/>
          <w:color w:val="auto"/>
        </w:rPr>
      </w:pPr>
    </w:p>
    <w:p>
      <w:pPr>
        <w:jc w:val="both"/>
        <w:ind w:firstLine="1304"/>
        <w:spacing w:after="0" w:line="207" w:lineRule="auto"/>
        <w:tabs>
          <w:tab w:leader="none" w:pos="1767"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nominations or other business to be properly brought before an annual meeting by a stockholder pursuant to clause (c) of paragraph (A)(1) of this Section 2.03, the stockholder must have given timely notice thereof in writing to the Secretary of the Corporation, and, in the case of business other than nominations of persons for election to the Board of Directors, such other business must constitute a proper matter for stockholder action. To be timely, a stockholder’s notice shall be delivered to the Secretary of the Corporation at the principal executive offices of the Corporation not later than the close of business (as defined below) on the ninetieth (90th) day and not earlier than the close of business on the one hundred and twentieth (120th) day prior to the date of the first anniversary of the preceding year’s annual meeting;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in the event that the date of the annual meeting is advanced by more than thirty (30) days or delayed by more than seventy (70) days from the anniversary date of the previous year’s meeting, or, if no annual meeting was held in the preceding year, notice by the stockholder to be timely must be so delivered not earlier than the close of business on the one hundred and twentieth (120th) day prior to such annual meeting and not later than the close of business on the later of the ninetieth (90th) day prior to such annual meeting or the tenth (10th) day following the day on which public announcement (as defined below) of the date of such meeting is first made by the Corporation. Public announcement of an adjournment or postponement of an annual meeting shall not commence a new time period (or extend any time period) for the giving of a stockholder’s notice. Notwithstanding anything in this Section 2.03(A)(2) to the contrary, if the number of directors to be elected to the Board of Directors at an annual meeting is increased and there is no public announcement by the Corporation naming all of the nominees for director or specifying the size of the increased Board of Directors at least one hundred (100) calendar days prior to the first anniversary of the prior year’s annual meeting of stockholders, then a stockholder’s notice required by this Section 2.03 shall be considered timely, but only with respect to nominees for any new positions created by such increase, if it is received by the Secretary of the Corporation not later than the close of business on the tenth (10th) calendar day following the day on which such public announcement is first made by the Corporation.</w:t>
      </w:r>
    </w:p>
    <w:p>
      <w:pPr>
        <w:spacing w:after="0" w:line="169" w:lineRule="exact"/>
        <w:rPr>
          <w:rFonts w:ascii="Times New Roman" w:cs="Times New Roman" w:eastAsia="Times New Roman" w:hAnsi="Times New Roman"/>
          <w:sz w:val="22"/>
          <w:szCs w:val="22"/>
          <w:color w:val="auto"/>
        </w:rPr>
      </w:pPr>
    </w:p>
    <w:p>
      <w:pPr>
        <w:jc w:val="both"/>
        <w:ind w:firstLine="1304"/>
        <w:spacing w:after="0" w:line="209" w:lineRule="auto"/>
        <w:tabs>
          <w:tab w:leader="none" w:pos="1757"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stockholder’s notice delivered pursuant to this Section 2.03 shall set forth and include (a) as to each person whom the stockholder proposes to nominate for election or re-election as a director: (i) all information relating to such person that is required to be disclosed in solicitations of proxies for election of directors in an election contest, or is otherwise required, in each case pursuant to Section 14(a) of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and the rules and regulations promulgated thereunder, (ii) all fully completed and signed questionnaires prepared by the Corporation (which will be promptly provided following a request therefor), including those questionnaires required of the Corporation’s directors and any other questionnaire the Corporation determines is necessary or advisable to assess whether a nominee will satisfy any qualifications or requirements imposed by the Amended and Restated Certificate of Incorporation or these Amended and Restated Bylaws, any law, rule, regulation or listing standard that may be applicable to the Corporation, and the Corporation’s corporate governance policies and guidelines, and (iii) a written representation and agreement, which shall be signed by such person and pursuant to which such person shall represent and agree that such person: (A) consents to serving as a director if elected and to being named in a proxy statement and form of proxy as a nominee, and currently intends to serve as a director for the full term for which such person is standing for election; (B) is not and will not become a party to any agreement, arrangement or understanding with, and has not given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19" w:lineRule="auto"/>
        <w:rPr>
          <w:sz w:val="20"/>
          <w:szCs w:val="20"/>
          <w:color w:val="auto"/>
        </w:rPr>
      </w:pPr>
      <w:r>
        <w:rPr>
          <w:rFonts w:ascii="Times New Roman" w:cs="Times New Roman" w:eastAsia="Times New Roman" w:hAnsi="Times New Roman"/>
          <w:sz w:val="18"/>
          <w:szCs w:val="18"/>
          <w:color w:val="auto"/>
        </w:rPr>
        <w:t>420093</w:t>
      </w:r>
    </w:p>
    <w:p>
      <w:pPr>
        <w:spacing w:after="0"/>
        <w:rPr>
          <w:sz w:val="20"/>
          <w:szCs w:val="20"/>
          <w:color w:val="auto"/>
        </w:rPr>
      </w:pPr>
      <w:r>
        <w:rPr>
          <w:rFonts w:ascii="Times New Roman" w:cs="Times New Roman" w:eastAsia="Times New Roman" w:hAnsi="Times New Roman"/>
          <w:sz w:val="18"/>
          <w:szCs w:val="18"/>
          <w:color w:val="auto"/>
        </w:rPr>
        <w:t>12.06.2022</w:t>
      </w:r>
    </w:p>
    <w:p>
      <w:pPr>
        <w:sectPr>
          <w:pgSz w:w="11900" w:h="16838" w:orient="portrait"/>
          <w:cols w:equalWidth="0" w:num="1">
            <w:col w:w="11240"/>
          </w:cols>
          <w:pgMar w:left="320" w:top="1395" w:right="339" w:bottom="1440" w:gutter="0" w:footer="0" w:header="0"/>
        </w:sectPr>
      </w:pPr>
    </w:p>
    <w:bookmarkStart w:id="43" w:name="page44"/>
    <w:bookmarkEnd w:id="43"/>
    <w:p>
      <w:pPr>
        <w:jc w:val="both"/>
        <w:spacing w:after="0" w:line="217" w:lineRule="auto"/>
        <w:rPr>
          <w:sz w:val="20"/>
          <w:szCs w:val="20"/>
          <w:color w:val="auto"/>
        </w:rPr>
      </w:pPr>
      <w:r>
        <w:rPr>
          <w:rFonts w:ascii="Times New Roman" w:cs="Times New Roman" w:eastAsia="Times New Roman" w:hAnsi="Times New Roman"/>
          <w:sz w:val="21"/>
          <w:szCs w:val="21"/>
          <w:color w:val="auto"/>
        </w:rPr>
        <w:t>commitment or assurance to, any person or entity: (1) as to how the person, if elected as a director, will act or vote on any issue or question that has not been disclosed to the Corporation; or (2) that could limit or interfere with the person’s ability to comply, if elected as a director, with such person’s fiduciary duties under applicable law; (C) is not and will not become a party to any agreement, arrangement or understanding with any person or entity other than the Corporation with respect to any direct or indirect compensation, reimbursement or indemnification in connection with service or action as a director or nominee that has not been disclosed to the Corporation; and (D) if elected as a director, will comply with all of the Corporation’s corporate governance, conflict of interest, confidentiality, and stock ownership and trading policies and guidelines, and any other Corporation policies and guidelines applicable to directors (which will be promptly provided following a request therefor), and</w:t>
      </w:r>
    </w:p>
    <w:p>
      <w:pPr>
        <w:spacing w:after="0" w:line="5" w:lineRule="exact"/>
        <w:rPr>
          <w:sz w:val="20"/>
          <w:szCs w:val="20"/>
          <w:color w:val="auto"/>
        </w:rPr>
      </w:pPr>
    </w:p>
    <w:p>
      <w:pPr>
        <w:jc w:val="both"/>
        <w:ind w:firstLine="8"/>
        <w:spacing w:after="0" w:line="206" w:lineRule="auto"/>
        <w:tabs>
          <w:tab w:leader="none" w:pos="387"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written statement, not to exceed 500 words, in support of such person; (b) 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Amended and Restated Bylaws, the language of the proposed amendment), the reasons for conducting such business at the meeting and any material interest in such business of such stockholder, the beneficial owner, if any, on whose behalf the proposal is made and any proponent persons (as defined below); (c) as to the stockholder giving the notice and the beneficial owner, if any, on whose behalf the nomination or proposal is made: (i) the name and address of such stockholder, as they appear on the Corporation’s books and records, and of such beneficial owner, (ii) the class or series and number of shares of capital stock of the Corporation that are owned, directly or indirectly, of record by such stockholder and such beneficial owner, (iii) a representation that the stockholder is a holder of record of the stock of the Corporation at the time of the giving of the notice, will be entitled to vote at such meeting and will appear (or have a qualified representative (as defined below) appear) in person or by proxy at the meeting to propose such business or nomination; and (d) as to the stockholder giving the notice and the beneficial owner, if any, on whose behalf the nomination or proposal is made, and if such stockholder or beneficial owner is an entity, as to each director, executive, managing member or control person of such entity, any of their respective affiliates or associates and/or any others acting in concert with any of the foregoing (collectively, “</w:t>
      </w:r>
      <w:r>
        <w:rPr>
          <w:rFonts w:ascii="Times New Roman" w:cs="Times New Roman" w:eastAsia="Times New Roman" w:hAnsi="Times New Roman"/>
          <w:sz w:val="22"/>
          <w:szCs w:val="22"/>
          <w:u w:val="single" w:color="auto"/>
          <w:color w:val="auto"/>
        </w:rPr>
        <w:t>proponent persons</w:t>
      </w:r>
      <w:r>
        <w:rPr>
          <w:rFonts w:ascii="Times New Roman" w:cs="Times New Roman" w:eastAsia="Times New Roman" w:hAnsi="Times New Roman"/>
          <w:sz w:val="22"/>
          <w:szCs w:val="22"/>
          <w:color w:val="auto"/>
        </w:rPr>
        <w:t>”): (i) the class or series and number of shares of stock of the Corporation which are beneficially owned by such stockholder or beneficial owner and by any proponent person as of the date of the notice, (ii) a representation whether the stockholder or the beneficial owner, if any, or any other participant (as defined in Item 4 of Schedule 14A under the Exchange Act) will be or is part of a group that will engage in a solicitation with respect to such nomination or proposal and, if so, whether or not such solicitation will be conducted as an exempt solicitation under Rule 14a-2(b) of the Exchange Act, the name of each participant in such solicitation and the amount of the cost of solicitation that has been and will be borne, directly or indirectly, by each participant in such solicitation and (A) in the case of a proposal of business other than nominations, whether such person or group intends to deliver, through means satisfying each of the conditions that would be applicable to the Corporation under either Rule 14a-16(a) or Rule 14a-16(n) under the Exchange Act, a proxy statement and form of proxy to holders (including any beneficial owners pursuant to Rule 14b-1 and Rule 14b-2 under the Exchange Act) of at least the percentage of the voting power of the Corporation’s outstanding capital stock required under applicable law to approve or adopt the proposal or (B) in the case of any solicitation that is subject to Rule 14a-19 under the Exchange Act, confirming that such person or group will deliver, through means satisfying each of the conditions that would be applicable to the Corporation under either Rule 14a-16(a) or Rule 14a-16(n) under the Exchange Act, a proxy statement and form of proxy to holders (including any beneficial owners pursuant to Rule 14b-1 and Rule 14b-2 of the Exchange Act) of at least 67% of the voting power of the Corporation’s outstanding capital stock entitled to vote generally in the election of directors, (iii) a representation that immediately after soliciting the percentage of stockholders referred to in the representation required under clause (ii)(B) above, such stockholder or beneficial owner will provide the Corporation with documents, which may take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19" w:lineRule="auto"/>
        <w:rPr>
          <w:sz w:val="20"/>
          <w:szCs w:val="20"/>
          <w:color w:val="auto"/>
        </w:rPr>
      </w:pPr>
      <w:r>
        <w:rPr>
          <w:rFonts w:ascii="Times New Roman" w:cs="Times New Roman" w:eastAsia="Times New Roman" w:hAnsi="Times New Roman"/>
          <w:sz w:val="18"/>
          <w:szCs w:val="18"/>
          <w:color w:val="auto"/>
        </w:rPr>
        <w:t>420093</w:t>
      </w:r>
    </w:p>
    <w:p>
      <w:pPr>
        <w:spacing w:after="0"/>
        <w:rPr>
          <w:sz w:val="20"/>
          <w:szCs w:val="20"/>
          <w:color w:val="auto"/>
        </w:rPr>
      </w:pPr>
      <w:r>
        <w:rPr>
          <w:rFonts w:ascii="Times New Roman" w:cs="Times New Roman" w:eastAsia="Times New Roman" w:hAnsi="Times New Roman"/>
          <w:sz w:val="18"/>
          <w:szCs w:val="18"/>
          <w:color w:val="auto"/>
        </w:rPr>
        <w:t>12.06.2022</w:t>
      </w:r>
    </w:p>
    <w:p>
      <w:pPr>
        <w:sectPr>
          <w:pgSz w:w="11900" w:h="16838" w:orient="portrait"/>
          <w:cols w:equalWidth="0" w:num="1">
            <w:col w:w="11240"/>
          </w:cols>
          <w:pgMar w:left="320" w:top="1395" w:right="339" w:bottom="1440" w:gutter="0" w:footer="0" w:header="0"/>
        </w:sectPr>
      </w:pPr>
    </w:p>
    <w:bookmarkStart w:id="44" w:name="page45"/>
    <w:bookmarkEnd w:id="44"/>
    <w:p>
      <w:pPr>
        <w:jc w:val="both"/>
        <w:spacing w:after="0" w:line="206" w:lineRule="auto"/>
        <w:rPr>
          <w:sz w:val="20"/>
          <w:szCs w:val="20"/>
          <w:color w:val="auto"/>
        </w:rPr>
      </w:pPr>
      <w:r>
        <w:rPr>
          <w:rFonts w:ascii="Times New Roman" w:cs="Times New Roman" w:eastAsia="Times New Roman" w:hAnsi="Times New Roman"/>
          <w:sz w:val="22"/>
          <w:szCs w:val="22"/>
          <w:color w:val="auto"/>
        </w:rPr>
        <w:t xml:space="preserve">the form of a certified statement and documentation from a proxy solicitor, demonstrating that the necessary steps have been taken to deliver a proxy statement and form of proxy to holders of such percentage of the voting power of the Corporation’s outstanding capital stock entitled to vote generally in the election of directors, (iv) a certification regarding whether such stockholder and beneficial owner, if any, have complied with all applicable federal, state and other legal requirements in connection with (A) the stockholder’s and/or beneficial owner’s acquisition of shares of capital stock or other securities of the Corporation and/or (B) the stockholder’s and/or the beneficial owner’s acts or omissions as a stockholder of the Corporation, (v) any other information relating to such stockholder and beneficial owner, if any, required to be disclosed in a proxy statement or other filings required to be made in connection with solicitations of proxies for, as applicable, the proposal and/or for the election of directors in an election contest pursuant to and in accordance with Section 14(a) of the Exchange Act and the rules and regulations promulgated thereunder, (vi) a description of any agreement, arrangement or understanding with respect to the nomination or proposal and/or the voting of shares of any class or series of stock of the Corporation between or among the stockholder giving the notice, the beneficial owner, if any, on whose behalf the nomination or proposal is made, and if such stockholder or beneficial owner is an entity, as to each proponent person, including, without limitation any agreements that would be required to be disclosed pursuant to Item 5 or Item 6 of Exchange Act Schedule 13D (regardless of whether the requirement to file a Schedule 13D is applicable), and (vii) a description of any agreement, arrangement or understanding (including without limitation any short positions, performance-related fees, contract to purchase or sell, acquisition or grant of any option, right or warrant to purchase or sell, swap, hedging or pledging transactions, voting rights, dividend rights, borrowed or loaned shares or other instrument) to which any proponent person is a party, the intent or effect of which may be (A) to transfer to or from any proponent person, in whole or in part, any of the economic consequences of ownership of any security of the Corporation, (B) to maintain, increase or decrease the voting power of any proponent person with respect to shares of any class or series of stock of the Corporation and/or (C) to provide any proponent person, directly or indirectly, with the opportunity to profit or share in any profit derived from, or to otherwise benefit economically from, any increase or decrease in the value of any security of the Corporation. A stockholder providing notice of a proposed nomination for election to the Board of Directors or other business proposed to be brought before a meeting (whether given pursuant to this paragraph (A)(3) or paragraph (B) of this Section 2.03) shall update and supplement such notice from time to time to the extent necessary so that the information provided or required to be provided in such notice shall be true and correct (x) as of the record date for determining the stockholders entitled to notice of the meeting and (y) as of the date that is fifteen (15) days prior to the meeting or any adjournment or postponement thereof,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if the record date for determining the stockholders entitled to vote at the meeting is less than fifteen (15) days prior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the meeting or any adjournment or postponement thereof, the information shall be supplemented and updated as of such later date. Any such update and supplement shall be delivered in writing to the Secretary of the Corporation at the principal executive offices of the Corporation not later than five (5) days after the record date for determining the stockholders entitled to notice of the meeting (in the case of any update and supplement required to be made as of the record date for determining the stockholders entitled to notice of the meeting), not later than ten (10) days prior to the date for the meeting or any adjournment or postponement thereof (in the case of any update or supplement required to be made as of fifteen (15) days prior to the meeting or adjournment or postponement thereof) and not later than five (5) days after the record date for determining the stockholders entitled to vote at the meeting, but no later than the date prior to the meeting or any adjournment or postponement thereof (in the case of any update and supplement required to be made as of a date less than fifteen (15) days prior to the date of the meeting or any adjournment or postponement thereof). The Corporation may require any proposed nominee to furnish such other information as it may reasonably require to determine the eligibility of such proposed nominee to serve as a director of the Corporation and to determine the independence of such director under the Exchange Act and rules and regulations thereunder and applicable stock exchange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19" w:lineRule="auto"/>
        <w:rPr>
          <w:sz w:val="20"/>
          <w:szCs w:val="20"/>
          <w:color w:val="auto"/>
        </w:rPr>
      </w:pPr>
      <w:r>
        <w:rPr>
          <w:rFonts w:ascii="Times New Roman" w:cs="Times New Roman" w:eastAsia="Times New Roman" w:hAnsi="Times New Roman"/>
          <w:sz w:val="18"/>
          <w:szCs w:val="18"/>
          <w:color w:val="auto"/>
        </w:rPr>
        <w:t>420093</w:t>
      </w:r>
    </w:p>
    <w:p>
      <w:pPr>
        <w:spacing w:after="0"/>
        <w:rPr>
          <w:sz w:val="20"/>
          <w:szCs w:val="20"/>
          <w:color w:val="auto"/>
        </w:rPr>
      </w:pPr>
      <w:r>
        <w:rPr>
          <w:rFonts w:ascii="Times New Roman" w:cs="Times New Roman" w:eastAsia="Times New Roman" w:hAnsi="Times New Roman"/>
          <w:sz w:val="18"/>
          <w:szCs w:val="18"/>
          <w:color w:val="auto"/>
        </w:rPr>
        <w:t>12.06.2022</w:t>
      </w:r>
    </w:p>
    <w:p>
      <w:pPr>
        <w:sectPr>
          <w:pgSz w:w="11900" w:h="16838" w:orient="portrait"/>
          <w:cols w:equalWidth="0" w:num="1">
            <w:col w:w="11240"/>
          </w:cols>
          <w:pgMar w:left="320" w:top="1395" w:right="339" w:bottom="1440" w:gutter="0" w:footer="0" w:header="0"/>
        </w:sectPr>
      </w:pPr>
    </w:p>
    <w:bookmarkStart w:id="45" w:name="page46"/>
    <w:bookmarkEnd w:id="45"/>
    <w:p>
      <w:pPr>
        <w:jc w:val="both"/>
        <w:ind w:firstLine="1304"/>
        <w:spacing w:after="0" w:line="199" w:lineRule="auto"/>
        <w:tabs>
          <w:tab w:leader="none" w:pos="2029"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Special Meetings of Stockholders</w:t>
      </w:r>
      <w:r>
        <w:rPr>
          <w:rFonts w:ascii="Times New Roman" w:cs="Times New Roman" w:eastAsia="Times New Roman" w:hAnsi="Times New Roman"/>
          <w:sz w:val="22"/>
          <w:szCs w:val="22"/>
          <w:color w:val="auto"/>
        </w:rPr>
        <w:t>. 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pursuant to the Corporation’s notice of meeting (1) by or at the direction of the Board of Directors or any committee thereof or (2) provided that the Board of Directors has determined that directors shall be elected at such meeting, by any stockholder of the Corporation who is entitled to vote at the meeting, who (subject to paragraph (C)(4) of this Section 2.03) complies with the notice procedures set forth in this Section 2.03 and who is a stockholder of record at the time such notice is delivered to the Secretary of the Corporation. In the event a special meeting of stockholders is called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as required by paragraph (A)(2) of this Section 2.03 shall be delivered to the Secretary at the principal executive offices of the Corporation not earlier than the close of business on the one hundred twentieth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prior to such special meeting and not later than the close of business on the later of the ninetieth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prior to such special meeting or the tenth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the day on which public announcement is first made of the date of the special meeting and of the nominees proposed by the Board of Directors to be elected at such meeting. In no event shall the public announcement of an adjournment or postponement of a special meeting commence a new time period (or extend any time period) for the giving of a stockholder’s notice as described above.</w:t>
      </w:r>
    </w:p>
    <w:p>
      <w:pPr>
        <w:spacing w:after="0" w:line="150" w:lineRule="exact"/>
        <w:rPr>
          <w:rFonts w:ascii="Times New Roman" w:cs="Times New Roman" w:eastAsia="Times New Roman" w:hAnsi="Times New Roman"/>
          <w:sz w:val="22"/>
          <w:szCs w:val="22"/>
          <w:color w:val="auto"/>
        </w:rPr>
      </w:pPr>
    </w:p>
    <w:p>
      <w:pPr>
        <w:jc w:val="both"/>
        <w:ind w:firstLine="1304"/>
        <w:spacing w:after="0" w:line="210" w:lineRule="auto"/>
        <w:tabs>
          <w:tab w:leader="none" w:pos="1827"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Except as provided in paragraph (C)(4) of this Section 2.03, only such persons who are nominated in accordance with the procedures set forth in this Section 2.03 shall be eligible to serve as directors and only such business shall be conducted at an annual or special meeting of stockholders as shall have been brought before the meeting in accordance with the procedures set forth in this Section 2.03, including providing the information required under this Section 2.03 to the Corporation within the time frames specified herein and complying with the requirements of the Exchange Act. Except as otherwise provided by the DGCL, the Amended and Restated Certificate of Incorporation or these Amended and Restated Bylaws, the chairman of the meeting shall, in addition to making any other determination that may be appropriate for the conduct of the meeting, have the power and duty to determine whether a nomination or any business proposed to be brought before the meeting was made or proposed, as the case may be, in accordance with the procedures set forth in these Amended and Restated Bylaws and, if any proposed nomination or business is not in compliance with these Amended and Restated Bylaws, shall declare that such defective proposal or nomination shall be disregarded, notwithstanding that proxies in respect of such vote may have been received by the Corporation.</w:t>
      </w:r>
    </w:p>
    <w:p>
      <w:pPr>
        <w:spacing w:after="0" w:line="152" w:lineRule="exact"/>
        <w:rPr>
          <w:sz w:val="20"/>
          <w:szCs w:val="20"/>
          <w:color w:val="auto"/>
        </w:rPr>
      </w:pPr>
    </w:p>
    <w:p>
      <w:pPr>
        <w:jc w:val="both"/>
        <w:ind w:firstLine="1304"/>
        <w:spacing w:after="0" w:line="210" w:lineRule="auto"/>
        <w:tabs>
          <w:tab w:leader="none" w:pos="181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and time of the opening and the closing of the polls for each matter upon which the stockholders will vote at a meeting shall be announced at the meeting by the chairman of the meeting. The Board of Directors may adopt by resolution such rules and regulations for the conduct of the meeting of stockholders as it shall deem appropriate. Except to the extent inconsistent with such rules and regulations as adopted by the Board of Directors, the chairman of the meeting shall have the right and authority to convene and (for any or no reason) to recess and/or adjourn the meeting, to prescribe such rules, regulations and procedures and to do all such acts as, in the judgment of such chairman, are appropriate for the proper conduct of the meeting. Such rules, regulations or procedures, whether adopted by the Board of Directors or prescribed by the chairman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entitled to vote at the meeting, their duly authorized and constituted proxies or such other persons as the chairman of the meeting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19" w:lineRule="auto"/>
        <w:rPr>
          <w:sz w:val="20"/>
          <w:szCs w:val="20"/>
          <w:color w:val="auto"/>
        </w:rPr>
      </w:pPr>
      <w:r>
        <w:rPr>
          <w:rFonts w:ascii="Times New Roman" w:cs="Times New Roman" w:eastAsia="Times New Roman" w:hAnsi="Times New Roman"/>
          <w:sz w:val="18"/>
          <w:szCs w:val="18"/>
          <w:color w:val="auto"/>
        </w:rPr>
        <w:t>420093</w:t>
      </w:r>
    </w:p>
    <w:p>
      <w:pPr>
        <w:spacing w:after="0"/>
        <w:rPr>
          <w:sz w:val="20"/>
          <w:szCs w:val="20"/>
          <w:color w:val="auto"/>
        </w:rPr>
      </w:pPr>
      <w:r>
        <w:rPr>
          <w:rFonts w:ascii="Times New Roman" w:cs="Times New Roman" w:eastAsia="Times New Roman" w:hAnsi="Times New Roman"/>
          <w:sz w:val="18"/>
          <w:szCs w:val="18"/>
          <w:color w:val="auto"/>
        </w:rPr>
        <w:t>12.06.2022</w:t>
      </w:r>
    </w:p>
    <w:p>
      <w:pPr>
        <w:sectPr>
          <w:pgSz w:w="11900" w:h="16838" w:orient="portrait"/>
          <w:cols w:equalWidth="0" w:num="1">
            <w:col w:w="11240"/>
          </w:cols>
          <w:pgMar w:left="320" w:top="1395" w:right="339" w:bottom="1440" w:gutter="0" w:footer="0" w:header="0"/>
        </w:sectPr>
      </w:pPr>
    </w:p>
    <w:bookmarkStart w:id="46" w:name="page47"/>
    <w:bookmarkEnd w:id="46"/>
    <w:p>
      <w:pPr>
        <w:jc w:val="both"/>
        <w:spacing w:after="0" w:line="210" w:lineRule="auto"/>
        <w:rPr>
          <w:sz w:val="20"/>
          <w:szCs w:val="20"/>
          <w:color w:val="auto"/>
        </w:rPr>
      </w:pPr>
      <w:r>
        <w:rPr>
          <w:rFonts w:ascii="Times New Roman" w:cs="Times New Roman" w:eastAsia="Times New Roman" w:hAnsi="Times New Roman"/>
          <w:sz w:val="22"/>
          <w:szCs w:val="22"/>
          <w:color w:val="auto"/>
        </w:rPr>
        <w:t>determine; (d) restrictions on entry to the meeting after the time fixed for the commencement thereof; and (e) limitations on the time allotted to questions or comments by participants. Notwithstanding the foregoing provisions of this Section 2.03, unless otherwise required by the DGCL, if the stockholder (or a qualified representative of the stockholder) does not appear at the annual or special meeting of stockholders of the Corporation to present a nomination or business, such nomination shall be disregarded and such proposed business shall not be transacted, notwithstanding that proxies in respect of such vote may have been received by the Corporation. For purposes of this Section 2.03,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Unless and to the extent determined by the Board of Directors or the chairman of the meeting, meetings of stockholders shall not be required to be held in accordance with the rules of parliamentary procedure.</w:t>
      </w:r>
    </w:p>
    <w:p>
      <w:pPr>
        <w:spacing w:after="0" w:line="152" w:lineRule="exact"/>
        <w:rPr>
          <w:sz w:val="20"/>
          <w:szCs w:val="20"/>
          <w:color w:val="auto"/>
        </w:rPr>
      </w:pPr>
    </w:p>
    <w:p>
      <w:pPr>
        <w:jc w:val="both"/>
        <w:ind w:firstLine="1304"/>
        <w:spacing w:after="0" w:line="213" w:lineRule="auto"/>
        <w:tabs>
          <w:tab w:leader="none" w:pos="176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used in these Amended and Restated Bylaws, the “</w:t>
      </w:r>
      <w:r>
        <w:rPr>
          <w:rFonts w:ascii="Times New Roman" w:cs="Times New Roman" w:eastAsia="Times New Roman" w:hAnsi="Times New Roman"/>
          <w:sz w:val="22"/>
          <w:szCs w:val="22"/>
          <w:u w:val="single" w:color="auto"/>
          <w:color w:val="auto"/>
        </w:rPr>
        <w:t>close of business</w:t>
      </w:r>
      <w:r>
        <w:rPr>
          <w:rFonts w:ascii="Times New Roman" w:cs="Times New Roman" w:eastAsia="Times New Roman" w:hAnsi="Times New Roman"/>
          <w:sz w:val="22"/>
          <w:szCs w:val="22"/>
          <w:color w:val="auto"/>
        </w:rPr>
        <w:t>” shall mean 6:00 p.m. eastern time at the principal executive offices of the Corporation on any calendar day, whether or not the day is a business day and “</w:t>
      </w:r>
      <w:r>
        <w:rPr>
          <w:rFonts w:ascii="Times New Roman" w:cs="Times New Roman" w:eastAsia="Times New Roman" w:hAnsi="Times New Roman"/>
          <w:sz w:val="22"/>
          <w:szCs w:val="22"/>
          <w:u w:val="single" w:color="auto"/>
          <w:color w:val="auto"/>
        </w:rPr>
        <w:t>public announcement</w:t>
      </w:r>
      <w:r>
        <w:rPr>
          <w:rFonts w:ascii="Times New Roman" w:cs="Times New Roman" w:eastAsia="Times New Roman" w:hAnsi="Times New Roman"/>
          <w:sz w:val="22"/>
          <w:szCs w:val="22"/>
          <w:color w:val="auto"/>
        </w:rPr>
        <w:t xml:space="preserve">” shall mean disclosure (a) in a press release released by the Corporation,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such press release is released by the Corporation following its customary procedures, is reported by the Dow Jones News Service, Associated Press or comparable national news service, or is generally available on internet news sites, or (b) in a document publicly filed by the Corporation with the Securities and Exchange Commission pursuant to Section 13, 14 or 15(d) of the Exchange Act and the rules and regulations promulgated thereunder.</w:t>
      </w:r>
    </w:p>
    <w:p>
      <w:pPr>
        <w:spacing w:after="0" w:line="156" w:lineRule="exact"/>
        <w:rPr>
          <w:rFonts w:ascii="Times New Roman" w:cs="Times New Roman" w:eastAsia="Times New Roman" w:hAnsi="Times New Roman"/>
          <w:sz w:val="22"/>
          <w:szCs w:val="22"/>
          <w:color w:val="auto"/>
        </w:rPr>
      </w:pPr>
    </w:p>
    <w:p>
      <w:pPr>
        <w:jc w:val="both"/>
        <w:ind w:firstLine="1304"/>
        <w:spacing w:after="0" w:line="210" w:lineRule="auto"/>
        <w:tabs>
          <w:tab w:leader="none" w:pos="1893"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provisions of this Section 2.03, a stockholder shall also comply with all applicable requirements of the Exchange Act and the rules and regulations promulgated thereunder with respect to the matters set forth in this Section 2.03;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to the fullest extent permitted by law, any references in these Amended and Restated Bylaws to the Exchange Act or the rules and regulations promulgated thereunder are not intended to and shall not limit any requirements applicable to nominations or proposals as to any other business to be considered pursuant to these Amended and Restated Bylaws (including paragraphs (A)(1)(c) and (B) of this Section 2.03), and compliance with paragraphs (A)(1)(c) and (B) of this Section 2.03 shall be the exclusive means for a stockholder to make nominations or submit other business (other than a proposal included in the Corporation’s proxy statement pursuant to and in compliance with Rule 14a-8 under the Exchange Act). Nothing in these Amended and Restated Bylaws shall be deemed to affect any rights of the holders of any class or series of stock having a preference over the Common Stock as to dividends or upon liquidation to elect directors under specified circumstances.</w:t>
      </w:r>
    </w:p>
    <w:p>
      <w:pPr>
        <w:spacing w:after="0" w:line="157" w:lineRule="exact"/>
        <w:rPr>
          <w:rFonts w:ascii="Times New Roman" w:cs="Times New Roman" w:eastAsia="Times New Roman" w:hAnsi="Times New Roman"/>
          <w:sz w:val="22"/>
          <w:szCs w:val="22"/>
          <w:color w:val="auto"/>
        </w:rPr>
      </w:pPr>
    </w:p>
    <w:p>
      <w:pPr>
        <w:ind w:firstLine="1304"/>
        <w:spacing w:after="0" w:line="236" w:lineRule="auto"/>
        <w:tabs>
          <w:tab w:leader="none" w:pos="1772"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stockholder directly or indirectly soliciting proxies from other stockholders must use a proxy card color other than white, which shall be reserved for the exclusive use for solicitation by the Board of Directors.</w:t>
      </w:r>
    </w:p>
    <w:p>
      <w:pPr>
        <w:spacing w:after="0" w:line="150"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 xml:space="preserve">SECTION 2.04 </w:t>
      </w:r>
      <w:r>
        <w:rPr>
          <w:rFonts w:ascii="Times New Roman" w:cs="Times New Roman" w:eastAsia="Times New Roman" w:hAnsi="Times New Roman"/>
          <w:sz w:val="22"/>
          <w:szCs w:val="22"/>
          <w:u w:val="single" w:color="auto"/>
          <w:color w:val="auto"/>
        </w:rPr>
        <w:t>Notice of Meetings</w:t>
      </w:r>
      <w:r>
        <w:rPr>
          <w:rFonts w:ascii="Times New Roman" w:cs="Times New Roman" w:eastAsia="Times New Roman" w:hAnsi="Times New Roman"/>
          <w:sz w:val="22"/>
          <w:szCs w:val="22"/>
          <w:color w:val="auto"/>
        </w:rPr>
        <w:t>. Whenever stockholders are required or permitted to take any action at a meeting, a timely notice in writing or by electronic transmission, in the manner provided in Section 232 of the DGCL, of the meeting, which shall state the place, if any, date and time of the meeting, the means of remote communications, if any, by which stockholders and proxyholders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purposes for which the meeting is called, shall be mailed or transmitted electronically by the Secretary of the Corporation to each stockholder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19" w:lineRule="auto"/>
        <w:rPr>
          <w:sz w:val="20"/>
          <w:szCs w:val="20"/>
          <w:color w:val="auto"/>
        </w:rPr>
      </w:pPr>
      <w:r>
        <w:rPr>
          <w:rFonts w:ascii="Times New Roman" w:cs="Times New Roman" w:eastAsia="Times New Roman" w:hAnsi="Times New Roman"/>
          <w:sz w:val="18"/>
          <w:szCs w:val="18"/>
          <w:color w:val="auto"/>
        </w:rPr>
        <w:t>420093</w:t>
      </w:r>
    </w:p>
    <w:p>
      <w:pPr>
        <w:spacing w:after="0"/>
        <w:rPr>
          <w:sz w:val="20"/>
          <w:szCs w:val="20"/>
          <w:color w:val="auto"/>
        </w:rPr>
      </w:pPr>
      <w:r>
        <w:rPr>
          <w:rFonts w:ascii="Times New Roman" w:cs="Times New Roman" w:eastAsia="Times New Roman" w:hAnsi="Times New Roman"/>
          <w:sz w:val="18"/>
          <w:szCs w:val="18"/>
          <w:color w:val="auto"/>
        </w:rPr>
        <w:t>12.06.2022</w:t>
      </w:r>
    </w:p>
    <w:p>
      <w:pPr>
        <w:sectPr>
          <w:pgSz w:w="11900" w:h="16838" w:orient="portrait"/>
          <w:cols w:equalWidth="0" w:num="1">
            <w:col w:w="11240"/>
          </w:cols>
          <w:pgMar w:left="320" w:top="1395" w:right="339" w:bottom="1440" w:gutter="0" w:footer="0" w:header="0"/>
        </w:sectPr>
      </w:pPr>
    </w:p>
    <w:bookmarkStart w:id="47" w:name="page48"/>
    <w:bookmarkEnd w:id="47"/>
    <w:p>
      <w:pPr>
        <w:jc w:val="both"/>
        <w:spacing w:after="0" w:line="217" w:lineRule="auto"/>
        <w:rPr>
          <w:sz w:val="20"/>
          <w:szCs w:val="20"/>
          <w:color w:val="auto"/>
        </w:rPr>
      </w:pPr>
      <w:r>
        <w:rPr>
          <w:rFonts w:ascii="Times New Roman" w:cs="Times New Roman" w:eastAsia="Times New Roman" w:hAnsi="Times New Roman"/>
          <w:sz w:val="22"/>
          <w:szCs w:val="22"/>
          <w:color w:val="auto"/>
        </w:rPr>
        <w:t>record entitled to vote thereat as of the record date for determining the stockholders entitled to notice of the meeting. Unless otherwise provided by law, the Amended and Restated Certificate of Incorporation or these Amended and Restated Bylaws, the notice of any meeting shall be given not less than ten (10) nor more than sixty (60) days before the date of the meeting to each stockholder entitled to vote at such meeting as of the record date for determining the stockholders entitled to notice of the meeting.</w:t>
      </w:r>
    </w:p>
    <w:p>
      <w:pPr>
        <w:spacing w:after="0" w:line="152"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 xml:space="preserve">SECTION 2.05 </w:t>
      </w:r>
      <w:r>
        <w:rPr>
          <w:rFonts w:ascii="Times New Roman" w:cs="Times New Roman" w:eastAsia="Times New Roman" w:hAnsi="Times New Roman"/>
          <w:sz w:val="22"/>
          <w:szCs w:val="22"/>
          <w:u w:val="single" w:color="auto"/>
          <w:color w:val="auto"/>
        </w:rPr>
        <w:t>Quorum</w:t>
      </w:r>
      <w:r>
        <w:rPr>
          <w:rFonts w:ascii="Times New Roman" w:cs="Times New Roman" w:eastAsia="Times New Roman" w:hAnsi="Times New Roman"/>
          <w:sz w:val="22"/>
          <w:szCs w:val="22"/>
          <w:color w:val="auto"/>
        </w:rPr>
        <w:t>. Unless otherwise required by law, the Amended and Restated Certificate of Incorporation or the rules of any stock exchange upon which the Corporation’s securities are listed, the holders of record of a majority of the voting power of the issued and outstanding shares of capital stock of the Corporation entitled to vote thereat, present in person or represented by proxy, shall constitute a quorum for the transaction of business at all meetings of stockholders. Notwithstanding the foregoing, where a separate vote by a class or series or classes or series is required, a majority in voting power of the outstanding shares of such class or series or classes or series, present in person or represented by proxy, shall constitute a quorum entitled to take action with respect to the vote on that matter. Once a quorum is present to organize a meeting, it shall not be broken by the subsequent withdrawal of any stockholders.</w:t>
      </w:r>
    </w:p>
    <w:p>
      <w:pPr>
        <w:spacing w:after="0" w:line="156"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1"/>
          <w:szCs w:val="21"/>
          <w:color w:val="auto"/>
        </w:rPr>
        <w:t xml:space="preserve">SECTION 2.06 </w:t>
      </w:r>
      <w:r>
        <w:rPr>
          <w:rFonts w:ascii="Times New Roman" w:cs="Times New Roman" w:eastAsia="Times New Roman" w:hAnsi="Times New Roman"/>
          <w:sz w:val="21"/>
          <w:szCs w:val="21"/>
          <w:u w:val="single" w:color="auto"/>
          <w:color w:val="auto"/>
        </w:rPr>
        <w:t>Voting</w:t>
      </w:r>
      <w:r>
        <w:rPr>
          <w:rFonts w:ascii="Times New Roman" w:cs="Times New Roman" w:eastAsia="Times New Roman" w:hAnsi="Times New Roman"/>
          <w:sz w:val="21"/>
          <w:szCs w:val="21"/>
          <w:color w:val="auto"/>
        </w:rPr>
        <w:t>. Except as otherwise provided by or pursuant to the provisions of the Amended and Restated Certificate of Incorporation, each stockholder entitled to vote at any meeting of stockholders shall be entitled to one vote for each share of stock held by such stockholder that has voting power upon the matter in question. Each stockholder entitled to vote at a meeting of stockholders or to express consent to corporate action in writing without a meeting may authorize another person or persons to act for such stockholder by proxy in any manner provided under Section 212(c) of the DGCL or as otherwise provided by applicable law, but no such proxy shall be voted or acted upon after three (3) years from its date, unless the proxy provides for a longer period. A proxy shall be irrevocable if it states that it is irrevocable and if, and only as long as, it is coupled with an interest sufficient in law to support an irrevocable power. A stockholder may revoke any proxy that is not irrevocable by attending the meeting and voting in person or by delivering to the Secretary of the Corporation a revocation of the proxy or a new proxy bearing a later date. Unless required by the Amended and Restated Certificate of Incorporation or applicable law, or determined by the chairman of the meeting to be advisable, the vote on any question need not be by ballot. On a vote by ballot, each ballot shall be signed by the stockholder voting, or by such stockholder’s proxy, if there be such proxy. When a quorum is present or represented at any meeting, the vote of the holders of a majority of the voting power of the shares of stock present in person or represented by proxy and entitled to vote on the subject matter shall decide any question brought before such meeting, unless the question is one upon which, by express provision of applicable law, of the rules or regulations of any stock exchange applicable to the Corporation, of any regulation applicable to the Corporation or its securities, of the Amended and Restated Certificate of Incorporation or of these Amended and Restated Bylaws, a different vote is required, in which case such express provision shall govern and control the decision of such question. Notwithstanding the foregoing sentence and subject to the Amended and Restated Certificate of Incorporation, all elections of directors shall be determined by a plurality of the votes cast in respect of the shares present in person or represented by proxy at the meeting and entitled to vote on the election of directors.</w:t>
      </w:r>
    </w:p>
    <w:p>
      <w:pPr>
        <w:spacing w:after="0" w:line="169"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SECTION 2.07 </w:t>
      </w:r>
      <w:r>
        <w:rPr>
          <w:rFonts w:ascii="Times New Roman" w:cs="Times New Roman" w:eastAsia="Times New Roman" w:hAnsi="Times New Roman"/>
          <w:sz w:val="22"/>
          <w:szCs w:val="22"/>
          <w:u w:val="single" w:color="auto"/>
          <w:color w:val="auto"/>
        </w:rPr>
        <w:t>Chairman of Meetings</w:t>
      </w:r>
      <w:r>
        <w:rPr>
          <w:rFonts w:ascii="Times New Roman" w:cs="Times New Roman" w:eastAsia="Times New Roman" w:hAnsi="Times New Roman"/>
          <w:sz w:val="22"/>
          <w:szCs w:val="22"/>
          <w:color w:val="auto"/>
        </w:rPr>
        <w:t>. The Chairman of the Board of Directors, if one is elected, or, in his or her absence or disability, the Chief Executive Officer of the Corporation, or in the absence of the Chairman of the Board of Directors and the Chief Executive Officer, a person designated by the Board of Directors shall be the chairman of the meeting and, as such, preside at all meetings of the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19" w:lineRule="auto"/>
        <w:rPr>
          <w:sz w:val="20"/>
          <w:szCs w:val="20"/>
          <w:color w:val="auto"/>
        </w:rPr>
      </w:pPr>
      <w:r>
        <w:rPr>
          <w:rFonts w:ascii="Times New Roman" w:cs="Times New Roman" w:eastAsia="Times New Roman" w:hAnsi="Times New Roman"/>
          <w:sz w:val="18"/>
          <w:szCs w:val="18"/>
          <w:color w:val="auto"/>
        </w:rPr>
        <w:t>420093</w:t>
      </w:r>
    </w:p>
    <w:p>
      <w:pPr>
        <w:spacing w:after="0"/>
        <w:rPr>
          <w:sz w:val="20"/>
          <w:szCs w:val="20"/>
          <w:color w:val="auto"/>
        </w:rPr>
      </w:pPr>
      <w:r>
        <w:rPr>
          <w:rFonts w:ascii="Times New Roman" w:cs="Times New Roman" w:eastAsia="Times New Roman" w:hAnsi="Times New Roman"/>
          <w:sz w:val="18"/>
          <w:szCs w:val="18"/>
          <w:color w:val="auto"/>
        </w:rPr>
        <w:t>12.06.2022</w:t>
      </w:r>
    </w:p>
    <w:p>
      <w:pPr>
        <w:sectPr>
          <w:pgSz w:w="11900" w:h="16838" w:orient="portrait"/>
          <w:cols w:equalWidth="0" w:num="1">
            <w:col w:w="11240"/>
          </w:cols>
          <w:pgMar w:left="320" w:top="1395" w:right="339" w:bottom="1440" w:gutter="0" w:footer="0" w:header="0"/>
        </w:sectPr>
      </w:pPr>
    </w:p>
    <w:bookmarkStart w:id="48" w:name="page49"/>
    <w:bookmarkEnd w:id="48"/>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2.08 </w:t>
      </w:r>
      <w:r>
        <w:rPr>
          <w:rFonts w:ascii="Times New Roman" w:cs="Times New Roman" w:eastAsia="Times New Roman" w:hAnsi="Times New Roman"/>
          <w:sz w:val="22"/>
          <w:szCs w:val="22"/>
          <w:u w:val="single" w:color="auto"/>
          <w:color w:val="auto"/>
        </w:rPr>
        <w:t>Secretary of Meetings</w:t>
      </w:r>
      <w:r>
        <w:rPr>
          <w:rFonts w:ascii="Times New Roman" w:cs="Times New Roman" w:eastAsia="Times New Roman" w:hAnsi="Times New Roman"/>
          <w:sz w:val="22"/>
          <w:szCs w:val="22"/>
          <w:color w:val="auto"/>
        </w:rPr>
        <w:t>. The Secretary of the Corporation shall act as secretary at all meetings of the stockholders. In the absence or disability of the Secretary, the Chairman of the Board of Directors, the Chief Executive Officer or the chairman of the meeting shall appoint a person to act as secretary at such meetings.</w:t>
      </w:r>
    </w:p>
    <w:p>
      <w:pPr>
        <w:spacing w:after="0" w:line="153"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SECTION 2.09 </w:t>
      </w:r>
      <w:r>
        <w:rPr>
          <w:rFonts w:ascii="Times New Roman" w:cs="Times New Roman" w:eastAsia="Times New Roman" w:hAnsi="Times New Roman"/>
          <w:sz w:val="22"/>
          <w:szCs w:val="22"/>
          <w:u w:val="single" w:color="auto"/>
          <w:color w:val="auto"/>
        </w:rPr>
        <w:t>Consent of Stockholders in Lieu of Meeting</w:t>
      </w:r>
      <w:r>
        <w:rPr>
          <w:rFonts w:ascii="Times New Roman" w:cs="Times New Roman" w:eastAsia="Times New Roman" w:hAnsi="Times New Roman"/>
          <w:sz w:val="22"/>
          <w:szCs w:val="22"/>
          <w:color w:val="auto"/>
        </w:rPr>
        <w:t>. Any action required or permitted to be taken at any annual or special meeting of stockholders of the Corporation may be taken without a meeting, without prior notice and without a vote only to the extent permitted by and in the manner provided in the Amended and Restated Certificate of Incorporation and in accordance with applicable law.</w:t>
      </w:r>
    </w:p>
    <w:p>
      <w:pPr>
        <w:spacing w:after="0" w:line="152" w:lineRule="exact"/>
        <w:rPr>
          <w:sz w:val="20"/>
          <w:szCs w:val="20"/>
          <w:color w:val="auto"/>
        </w:rPr>
      </w:pPr>
    </w:p>
    <w:p>
      <w:pPr>
        <w:jc w:val="both"/>
        <w:ind w:firstLine="1296"/>
        <w:spacing w:after="0" w:line="208" w:lineRule="auto"/>
        <w:rPr>
          <w:sz w:val="20"/>
          <w:szCs w:val="20"/>
          <w:color w:val="auto"/>
        </w:rPr>
      </w:pPr>
      <w:r>
        <w:rPr>
          <w:rFonts w:ascii="Times New Roman" w:cs="Times New Roman" w:eastAsia="Times New Roman" w:hAnsi="Times New Roman"/>
          <w:sz w:val="22"/>
          <w:szCs w:val="22"/>
          <w:color w:val="auto"/>
        </w:rPr>
        <w:t xml:space="preserve">SECTION 2.10 </w:t>
      </w:r>
      <w:r>
        <w:rPr>
          <w:rFonts w:ascii="Times New Roman" w:cs="Times New Roman" w:eastAsia="Times New Roman" w:hAnsi="Times New Roman"/>
          <w:sz w:val="22"/>
          <w:szCs w:val="22"/>
          <w:u w:val="single" w:color="auto"/>
          <w:color w:val="auto"/>
        </w:rPr>
        <w:t>Adjournment</w:t>
      </w:r>
      <w:r>
        <w:rPr>
          <w:rFonts w:ascii="Times New Roman" w:cs="Times New Roman" w:eastAsia="Times New Roman" w:hAnsi="Times New Roman"/>
          <w:sz w:val="22"/>
          <w:szCs w:val="22"/>
          <w:color w:val="auto"/>
        </w:rPr>
        <w:t>. At any meeting of stockholders of the Corporation, if less than a quorum be present, the chairman of the meeting or stockholders holding a majority in voting power of the outstanding shares of stock of the Corporation, present in person or by proxy and entitled to vote thereat, shall have the power to adjourn the meeting from time to time without notice. When a meeting is adjourned to another time or place (including an adjournment taken to address a technical failure to convene or continue a meeting using remote communication), notice need not be given of the adjourned meeting if the place, if any, date and time thereof, and the means of remote communications, if any, by which stockholders and proxyholders may be deemed to be present in person and vote at such adjourned meeting are: (i) announced at the meeting at which the adjournment is taken; (ii) displayed, during the time scheduled for the meeting, on the same electronic network used to enable stockholders and proxyholders to participate in the meeting by means of remote communication; or (iii) set forth in the notice of meeting given in accordance with Section 2.04. Any business may be transacted at the adjourned meeting that might have been transacted at the meeting originally noticed.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of Directors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such adjourned meeting as of the record date so fixed for notice of such adjourned meeting.</w:t>
      </w:r>
    </w:p>
    <w:p>
      <w:pPr>
        <w:spacing w:after="0" w:line="161"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2.11 </w:t>
      </w:r>
      <w:r>
        <w:rPr>
          <w:rFonts w:ascii="Times New Roman" w:cs="Times New Roman" w:eastAsia="Times New Roman" w:hAnsi="Times New Roman"/>
          <w:sz w:val="22"/>
          <w:szCs w:val="22"/>
          <w:u w:val="single" w:color="auto"/>
          <w:color w:val="auto"/>
        </w:rPr>
        <w:t>Remote Communication</w:t>
      </w:r>
      <w:r>
        <w:rPr>
          <w:rFonts w:ascii="Times New Roman" w:cs="Times New Roman" w:eastAsia="Times New Roman" w:hAnsi="Times New Roman"/>
          <w:sz w:val="22"/>
          <w:szCs w:val="22"/>
          <w:color w:val="auto"/>
        </w:rPr>
        <w:t>. If authorized by the Board of Directors in its sole discretion, and subject to such guidelines and procedures as the Board of Directors may adopt, stockholders and proxy holders not physically present at a meeting of stockholders may, by means of remote communication:</w:t>
      </w:r>
    </w:p>
    <w:p>
      <w:pPr>
        <w:spacing w:after="0" w:line="153" w:lineRule="exact"/>
        <w:rPr>
          <w:sz w:val="20"/>
          <w:szCs w:val="20"/>
          <w:color w:val="auto"/>
        </w:rPr>
      </w:pPr>
    </w:p>
    <w:p>
      <w:pPr>
        <w:ind w:left="1820" w:hanging="516"/>
        <w:spacing w:after="0"/>
        <w:tabs>
          <w:tab w:leader="none" w:pos="18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participate in a meeting of stockholders; and</w:t>
      </w:r>
    </w:p>
    <w:p>
      <w:pPr>
        <w:spacing w:after="0" w:line="179" w:lineRule="exact"/>
        <w:rPr>
          <w:rFonts w:ascii="Times New Roman" w:cs="Times New Roman" w:eastAsia="Times New Roman" w:hAnsi="Times New Roman"/>
          <w:sz w:val="22"/>
          <w:szCs w:val="22"/>
          <w:color w:val="auto"/>
        </w:rPr>
      </w:pPr>
    </w:p>
    <w:p>
      <w:pPr>
        <w:ind w:firstLine="1304"/>
        <w:spacing w:after="0" w:line="236" w:lineRule="auto"/>
        <w:tabs>
          <w:tab w:leader="none" w:pos="1845"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be deemed present in person and vote at a meeting of stockholders whether such meeting is to be held at a designated place or solely by means of remote communication,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w:t>
      </w:r>
    </w:p>
    <w:p>
      <w:pPr>
        <w:spacing w:after="0" w:line="150" w:lineRule="exact"/>
        <w:rPr>
          <w:sz w:val="20"/>
          <w:szCs w:val="20"/>
          <w:color w:val="auto"/>
        </w:rPr>
      </w:pPr>
    </w:p>
    <w:p>
      <w:pPr>
        <w:ind w:firstLine="1304"/>
        <w:spacing w:after="0" w:line="236" w:lineRule="auto"/>
        <w:tabs>
          <w:tab w:leader="none" w:pos="195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shall implement reasonable measures to verify that each person deemed present and permitted to vote at the meeting by means of remote communication is a stockholder or proxyholder;</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09"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19" w:lineRule="auto"/>
        <w:rPr>
          <w:sz w:val="20"/>
          <w:szCs w:val="20"/>
          <w:color w:val="auto"/>
        </w:rPr>
      </w:pPr>
      <w:r>
        <w:rPr>
          <w:rFonts w:ascii="Times New Roman" w:cs="Times New Roman" w:eastAsia="Times New Roman" w:hAnsi="Times New Roman"/>
          <w:sz w:val="18"/>
          <w:szCs w:val="18"/>
          <w:color w:val="auto"/>
        </w:rPr>
        <w:t>420093</w:t>
      </w:r>
    </w:p>
    <w:p>
      <w:pPr>
        <w:spacing w:after="0"/>
        <w:rPr>
          <w:sz w:val="20"/>
          <w:szCs w:val="20"/>
          <w:color w:val="auto"/>
        </w:rPr>
      </w:pPr>
      <w:r>
        <w:rPr>
          <w:rFonts w:ascii="Times New Roman" w:cs="Times New Roman" w:eastAsia="Times New Roman" w:hAnsi="Times New Roman"/>
          <w:sz w:val="18"/>
          <w:szCs w:val="18"/>
          <w:color w:val="auto"/>
        </w:rPr>
        <w:t>12.06.2022</w:t>
      </w:r>
    </w:p>
    <w:p>
      <w:pPr>
        <w:sectPr>
          <w:pgSz w:w="11900" w:h="16838" w:orient="portrait"/>
          <w:cols w:equalWidth="0" w:num="1">
            <w:col w:w="11240"/>
          </w:cols>
          <w:pgMar w:left="320" w:top="1395" w:right="339" w:bottom="1440" w:gutter="0" w:footer="0" w:header="0"/>
        </w:sectPr>
      </w:pPr>
    </w:p>
    <w:bookmarkStart w:id="49" w:name="page50"/>
    <w:bookmarkEnd w:id="49"/>
    <w:p>
      <w:pPr>
        <w:ind w:firstLine="1304"/>
        <w:spacing w:after="0" w:line="236" w:lineRule="auto"/>
        <w:tabs>
          <w:tab w:leader="none" w:pos="200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stockholder or proxyholder votes or takes other action at the meeting by means of remote communication, a record of such vote or other action shall be maintained by the Corporation.</w:t>
      </w:r>
    </w:p>
    <w:p>
      <w:pPr>
        <w:spacing w:after="0" w:line="150" w:lineRule="exact"/>
        <w:rPr>
          <w:sz w:val="20"/>
          <w:szCs w:val="20"/>
          <w:color w:val="auto"/>
        </w:rPr>
      </w:pPr>
    </w:p>
    <w:p>
      <w:pPr>
        <w:jc w:val="both"/>
        <w:ind w:firstLine="1296"/>
        <w:spacing w:after="0" w:line="209" w:lineRule="auto"/>
        <w:rPr>
          <w:sz w:val="20"/>
          <w:szCs w:val="20"/>
          <w:color w:val="auto"/>
        </w:rPr>
      </w:pPr>
      <w:r>
        <w:rPr>
          <w:rFonts w:ascii="Times New Roman" w:cs="Times New Roman" w:eastAsia="Times New Roman" w:hAnsi="Times New Roman"/>
          <w:sz w:val="22"/>
          <w:szCs w:val="22"/>
          <w:color w:val="auto"/>
        </w:rPr>
        <w:t xml:space="preserve">SECTION 2.12 </w:t>
      </w:r>
      <w:r>
        <w:rPr>
          <w:rFonts w:ascii="Times New Roman" w:cs="Times New Roman" w:eastAsia="Times New Roman" w:hAnsi="Times New Roman"/>
          <w:sz w:val="22"/>
          <w:szCs w:val="22"/>
          <w:u w:val="single" w:color="auto"/>
          <w:color w:val="auto"/>
        </w:rPr>
        <w:t>Inspectors of Election</w:t>
      </w:r>
      <w:r>
        <w:rPr>
          <w:rFonts w:ascii="Times New Roman" w:cs="Times New Roman" w:eastAsia="Times New Roman" w:hAnsi="Times New Roman"/>
          <w:sz w:val="22"/>
          <w:szCs w:val="22"/>
          <w:color w:val="auto"/>
        </w:rPr>
        <w:t>. 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chairman of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 (a) ascertain the number of shares of capital stock of the Corporation outstanding and the voting power of each such share, (b) determine the shares of capital stock of the Corporation represented at the meeting and the validity of proxies and ballots, (c) count all votes and ballots, (d) determine and retain for a reasonable period a record of the disposition of any challenges made to any determination by the inspectors, and (e)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151"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 xml:space="preserve">SECTION 2.13 </w:t>
      </w:r>
      <w:r>
        <w:rPr>
          <w:rFonts w:ascii="Times New Roman" w:cs="Times New Roman" w:eastAsia="Times New Roman" w:hAnsi="Times New Roman"/>
          <w:sz w:val="22"/>
          <w:szCs w:val="22"/>
          <w:u w:val="single" w:color="auto"/>
          <w:color w:val="auto"/>
        </w:rPr>
        <w:t>Delivery to the Corporation</w:t>
      </w:r>
      <w:r>
        <w:rPr>
          <w:rFonts w:ascii="Times New Roman" w:cs="Times New Roman" w:eastAsia="Times New Roman" w:hAnsi="Times New Roman"/>
          <w:sz w:val="22"/>
          <w:szCs w:val="22"/>
          <w:color w:val="auto"/>
        </w:rPr>
        <w:t>. Whenever this Article II requires one or more persons (including a record or beneficial owner of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the Corporation expressly opts out of Section 116 of the DGCL with respect the delivery of information and documents to the Corporation required by this Article II.</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Board of Directors</w:t>
      </w:r>
    </w:p>
    <w:p>
      <w:pPr>
        <w:spacing w:after="0" w:line="183"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 xml:space="preserve">SECTION 3.01 </w:t>
      </w:r>
      <w:r>
        <w:rPr>
          <w:rFonts w:ascii="Times New Roman" w:cs="Times New Roman" w:eastAsia="Times New Roman" w:hAnsi="Times New Roman"/>
          <w:sz w:val="22"/>
          <w:szCs w:val="22"/>
          <w:u w:val="single" w:color="auto"/>
          <w:color w:val="auto"/>
        </w:rPr>
        <w:t>Powers</w:t>
      </w:r>
      <w:r>
        <w:rPr>
          <w:rFonts w:ascii="Times New Roman" w:cs="Times New Roman" w:eastAsia="Times New Roman" w:hAnsi="Times New Roman"/>
          <w:sz w:val="22"/>
          <w:szCs w:val="22"/>
          <w:color w:val="auto"/>
        </w:rPr>
        <w:t>. Except as otherwise provided in the Amended and Restated Certificate of Incorporation or the DGCL, the business and affairs of the Corporation shall be managed by or under the direction of the Board of Directors. The Board of Directors may exercise all such authority and powers of the Corporation and do all such lawful acts and things as are not by the DGCL or the Amended and Restated Certificate of Incorporation directed or required to be exercised or done by the stockholders.</w:t>
      </w:r>
    </w:p>
    <w:p>
      <w:pPr>
        <w:spacing w:after="0" w:line="152"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 xml:space="preserve">SECTION 3.02 </w:t>
      </w:r>
      <w:r>
        <w:rPr>
          <w:rFonts w:ascii="Times New Roman" w:cs="Times New Roman" w:eastAsia="Times New Roman" w:hAnsi="Times New Roman"/>
          <w:sz w:val="22"/>
          <w:szCs w:val="22"/>
          <w:u w:val="single" w:color="auto"/>
          <w:color w:val="auto"/>
        </w:rPr>
        <w:t>Number and Term; Chairman</w:t>
      </w:r>
      <w:r>
        <w:rPr>
          <w:rFonts w:ascii="Times New Roman" w:cs="Times New Roman" w:eastAsia="Times New Roman" w:hAnsi="Times New Roman"/>
          <w:sz w:val="22"/>
          <w:szCs w:val="22"/>
          <w:color w:val="auto"/>
        </w:rPr>
        <w:t>. Subject to the Amended and Restated Certificate of Incorporation, the number of directors shall be fixed exclusively by resolution of the Board of Directors. Directors shall be elected by the stockholders at their annual meeting, and the term of each director so elected shall be as set forth in the Amended and Restated Certificate of Incorporation. Directors need not be stockholders. The Board of Directors shall elect a Chairman of the Board of Directors, who shall have the powers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19" w:lineRule="auto"/>
        <w:rPr>
          <w:sz w:val="20"/>
          <w:szCs w:val="20"/>
          <w:color w:val="auto"/>
        </w:rPr>
      </w:pPr>
      <w:r>
        <w:rPr>
          <w:rFonts w:ascii="Times New Roman" w:cs="Times New Roman" w:eastAsia="Times New Roman" w:hAnsi="Times New Roman"/>
          <w:sz w:val="18"/>
          <w:szCs w:val="18"/>
          <w:color w:val="auto"/>
        </w:rPr>
        <w:t>420093</w:t>
      </w:r>
    </w:p>
    <w:p>
      <w:pPr>
        <w:spacing w:after="0"/>
        <w:rPr>
          <w:sz w:val="20"/>
          <w:szCs w:val="20"/>
          <w:color w:val="auto"/>
        </w:rPr>
      </w:pPr>
      <w:r>
        <w:rPr>
          <w:rFonts w:ascii="Times New Roman" w:cs="Times New Roman" w:eastAsia="Times New Roman" w:hAnsi="Times New Roman"/>
          <w:sz w:val="18"/>
          <w:szCs w:val="18"/>
          <w:color w:val="auto"/>
        </w:rPr>
        <w:t>12.06.2022</w:t>
      </w:r>
    </w:p>
    <w:p>
      <w:pPr>
        <w:sectPr>
          <w:pgSz w:w="11900" w:h="16838" w:orient="portrait"/>
          <w:cols w:equalWidth="0" w:num="1">
            <w:col w:w="11240"/>
          </w:cols>
          <w:pgMar w:left="320" w:top="1395" w:right="339" w:bottom="1440" w:gutter="0" w:footer="0" w:header="0"/>
        </w:sectPr>
      </w:pPr>
    </w:p>
    <w:bookmarkStart w:id="50" w:name="page51"/>
    <w:bookmarkEnd w:id="50"/>
    <w:p>
      <w:pPr>
        <w:jc w:val="both"/>
        <w:spacing w:after="0" w:line="215" w:lineRule="auto"/>
        <w:rPr>
          <w:sz w:val="20"/>
          <w:szCs w:val="20"/>
          <w:color w:val="auto"/>
        </w:rPr>
      </w:pPr>
      <w:r>
        <w:rPr>
          <w:rFonts w:ascii="Times New Roman" w:cs="Times New Roman" w:eastAsia="Times New Roman" w:hAnsi="Times New Roman"/>
          <w:sz w:val="22"/>
          <w:szCs w:val="22"/>
          <w:color w:val="auto"/>
        </w:rPr>
        <w:t>perform such duties as provided in these Amended and Restated Bylaws and as the Board of Directors may from time to time prescribe. The Chairman of the Board of Directors shall preside at all meetings of the Board of Directors at which he or she is present. If the Chairman of the Board of Directors is not present at a meeting of the Board of Directors, the Chief Executive Officer (if the Chief Executive Officer is a director and is not also the Chairman of the Board of Directors) shall preside at such meeting, and, if the Chief Executive Officer is not present at such meeting or is not a director, a majority of the directors present at such meeting shall elect one of their members to preside over such meeting.</w:t>
      </w:r>
    </w:p>
    <w:p>
      <w:pPr>
        <w:spacing w:after="0" w:line="152"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 xml:space="preserve">SECTION 3.03 </w:t>
      </w:r>
      <w:r>
        <w:rPr>
          <w:rFonts w:ascii="Times New Roman" w:cs="Times New Roman" w:eastAsia="Times New Roman" w:hAnsi="Times New Roman"/>
          <w:sz w:val="22"/>
          <w:szCs w:val="22"/>
          <w:u w:val="single" w:color="auto"/>
          <w:color w:val="auto"/>
        </w:rPr>
        <w:t>Resignations</w:t>
      </w:r>
      <w:r>
        <w:rPr>
          <w:rFonts w:ascii="Times New Roman" w:cs="Times New Roman" w:eastAsia="Times New Roman" w:hAnsi="Times New Roman"/>
          <w:sz w:val="22"/>
          <w:szCs w:val="22"/>
          <w:color w:val="auto"/>
        </w:rPr>
        <w:t>. Any director may resign at any time upon notice given in writing or by electronic transmission to the Board of Directors, the Chairman of the Board of Directors, the Chief Executive Officer or the Secretary of the Corporation. The resignation shall take effect at the time or upon the happening of any event specified therein, and if no specification is so made, at the time of its receipt. The acceptance of a resignation shall not be necessary to make it effective unless otherwise expressly provided in the resignation.</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SECTION 3.04 </w:t>
      </w:r>
      <w:r>
        <w:rPr>
          <w:rFonts w:ascii="Times New Roman" w:cs="Times New Roman" w:eastAsia="Times New Roman" w:hAnsi="Times New Roman"/>
          <w:sz w:val="22"/>
          <w:szCs w:val="22"/>
          <w:u w:val="single" w:color="auto"/>
          <w:color w:val="auto"/>
        </w:rPr>
        <w:t>Removal</w:t>
      </w:r>
      <w:r>
        <w:rPr>
          <w:rFonts w:ascii="Times New Roman" w:cs="Times New Roman" w:eastAsia="Times New Roman" w:hAnsi="Times New Roman"/>
          <w:sz w:val="22"/>
          <w:szCs w:val="22"/>
          <w:color w:val="auto"/>
        </w:rPr>
        <w:t>. Directors of the Corporation may be removed in the manner provided in the Amended and Restated Certificate of Incorporation and applicable law.</w:t>
      </w:r>
    </w:p>
    <w:p>
      <w:pPr>
        <w:spacing w:after="0" w:line="150"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 xml:space="preserve">SECTION 3.05 </w:t>
      </w:r>
      <w:r>
        <w:rPr>
          <w:rFonts w:ascii="Times New Roman" w:cs="Times New Roman" w:eastAsia="Times New Roman" w:hAnsi="Times New Roman"/>
          <w:sz w:val="22"/>
          <w:szCs w:val="22"/>
          <w:u w:val="single" w:color="auto"/>
          <w:color w:val="auto"/>
        </w:rPr>
        <w:t>Vacancies and Newly Created Directorships</w:t>
      </w:r>
      <w:r>
        <w:rPr>
          <w:rFonts w:ascii="Times New Roman" w:cs="Times New Roman" w:eastAsia="Times New Roman" w:hAnsi="Times New Roman"/>
          <w:sz w:val="22"/>
          <w:szCs w:val="22"/>
          <w:color w:val="auto"/>
        </w:rPr>
        <w:t>. Except as otherwise provided by applicable law, vacancies occurring in any directorship (whether by death, resignation, retirement, disqualification, removal or other cause) and newly created directorships resulting from any increase in the number of directors shall be filled in accordance with the Amended and Restated Certificate of Incorporation. Any director elected to fill a vacancy or newly created directorship shall hold office until the next election of the class for which such director shall have been chosen and until his or her successor shall be elected and qualified, or until his or her earlier death, resignation, retirement, disqualification or removal.</w:t>
      </w:r>
    </w:p>
    <w:p>
      <w:pPr>
        <w:spacing w:after="0" w:line="152"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 xml:space="preserve">SECTION 3.06 </w:t>
      </w:r>
      <w:r>
        <w:rPr>
          <w:rFonts w:ascii="Times New Roman" w:cs="Times New Roman" w:eastAsia="Times New Roman" w:hAnsi="Times New Roman"/>
          <w:sz w:val="22"/>
          <w:szCs w:val="22"/>
          <w:u w:val="single" w:color="auto"/>
          <w:color w:val="auto"/>
        </w:rPr>
        <w:t>Meetings</w:t>
      </w:r>
      <w:r>
        <w:rPr>
          <w:rFonts w:ascii="Times New Roman" w:cs="Times New Roman" w:eastAsia="Times New Roman" w:hAnsi="Times New Roman"/>
          <w:sz w:val="22"/>
          <w:szCs w:val="22"/>
          <w:color w:val="auto"/>
        </w:rPr>
        <w:t>. Regular meetings of the Board of Directors may be held at such places and times as shall be determined from time to time by the Board of Directors. Special meetings of the Board of Directors may be called by the Chief Executive Officer of the Corporation or the Chairman of the Board of Directors or as provided by the Amended and Restated Certificate of Incorporation, and shall be called by the Chief Executive Officer or the Secretary of the Corporation if directed by a majority of directors then in office and shall be at such places and times as they or he or she shall fix. Notice need not be given of regular meetings of the Board of Directors. At least twenty-four (24) hours before each special meeting of the Board of Directors, either written notice, notice by electronic transmission or oral notice (either in person or by telephone) notice of the time, date and place of the meeting shall be given to each director. Unless otherwise indicated in the notice thereof, any and all business may be transacted at a special meeting.</w:t>
      </w:r>
    </w:p>
    <w:p>
      <w:pPr>
        <w:spacing w:after="0" w:line="158"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 xml:space="preserve">SECTION 3.07 </w:t>
      </w:r>
      <w:r>
        <w:rPr>
          <w:rFonts w:ascii="Times New Roman" w:cs="Times New Roman" w:eastAsia="Times New Roman" w:hAnsi="Times New Roman"/>
          <w:sz w:val="22"/>
          <w:szCs w:val="22"/>
          <w:u w:val="single" w:color="auto"/>
          <w:color w:val="auto"/>
        </w:rPr>
        <w:t>Quorum, Voting and Adjournment</w:t>
      </w:r>
      <w:r>
        <w:rPr>
          <w:rFonts w:ascii="Times New Roman" w:cs="Times New Roman" w:eastAsia="Times New Roman" w:hAnsi="Times New Roman"/>
          <w:sz w:val="22"/>
          <w:szCs w:val="22"/>
          <w:color w:val="auto"/>
        </w:rPr>
        <w:t>. Except as otherwise provided by the DGCL, the Amended and Restated Certificate of Incorporation or these Amended and Restated Bylaws, a majority of the total number of directors shall constitute a quorum for the transaction of business. Except as otherwise provided by law, the Amended and Restated Certificate of Incorporation or these Amended and Restated Bylaws, the act of a majority of the directors present at a meeting at which a quorum is present shall be the act of the Board of Directors. In the absence of a quorum, a majority of the directors present thereat may adjourn such meeting to another time and place. Notice of such adjourned meeting need not be given if the time and place of such adjourned meeting are announced at the meeting so adjourned.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19" w:lineRule="auto"/>
        <w:rPr>
          <w:sz w:val="20"/>
          <w:szCs w:val="20"/>
          <w:color w:val="auto"/>
        </w:rPr>
      </w:pPr>
      <w:r>
        <w:rPr>
          <w:rFonts w:ascii="Times New Roman" w:cs="Times New Roman" w:eastAsia="Times New Roman" w:hAnsi="Times New Roman"/>
          <w:sz w:val="18"/>
          <w:szCs w:val="18"/>
          <w:color w:val="auto"/>
        </w:rPr>
        <w:t>420093</w:t>
      </w:r>
    </w:p>
    <w:p>
      <w:pPr>
        <w:spacing w:after="0"/>
        <w:rPr>
          <w:sz w:val="20"/>
          <w:szCs w:val="20"/>
          <w:color w:val="auto"/>
        </w:rPr>
      </w:pPr>
      <w:r>
        <w:rPr>
          <w:rFonts w:ascii="Times New Roman" w:cs="Times New Roman" w:eastAsia="Times New Roman" w:hAnsi="Times New Roman"/>
          <w:sz w:val="18"/>
          <w:szCs w:val="18"/>
          <w:color w:val="auto"/>
        </w:rPr>
        <w:t>12.06.2022</w:t>
      </w:r>
    </w:p>
    <w:p>
      <w:pPr>
        <w:sectPr>
          <w:pgSz w:w="11900" w:h="16838" w:orient="portrait"/>
          <w:cols w:equalWidth="0" w:num="1">
            <w:col w:w="11240"/>
          </w:cols>
          <w:pgMar w:left="320" w:top="1395" w:right="339" w:bottom="1440" w:gutter="0" w:footer="0" w:header="0"/>
        </w:sectPr>
      </w:pPr>
    </w:p>
    <w:bookmarkStart w:id="51" w:name="page52"/>
    <w:bookmarkEnd w:id="51"/>
    <w:p>
      <w:pPr>
        <w:jc w:val="both"/>
        <w:ind w:firstLine="1296"/>
        <w:spacing w:after="0" w:line="207" w:lineRule="auto"/>
        <w:rPr>
          <w:sz w:val="20"/>
          <w:szCs w:val="20"/>
          <w:color w:val="auto"/>
        </w:rPr>
      </w:pPr>
      <w:r>
        <w:rPr>
          <w:rFonts w:ascii="Times New Roman" w:cs="Times New Roman" w:eastAsia="Times New Roman" w:hAnsi="Times New Roman"/>
          <w:sz w:val="22"/>
          <w:szCs w:val="22"/>
          <w:color w:val="auto"/>
        </w:rPr>
        <w:t xml:space="preserve">SECTION 3.08 </w:t>
      </w:r>
      <w:r>
        <w:rPr>
          <w:rFonts w:ascii="Times New Roman" w:cs="Times New Roman" w:eastAsia="Times New Roman" w:hAnsi="Times New Roman"/>
          <w:sz w:val="22"/>
          <w:szCs w:val="22"/>
          <w:u w:val="single" w:color="auto"/>
          <w:color w:val="auto"/>
        </w:rPr>
        <w:t>Committees; Committee Rules</w:t>
      </w:r>
      <w:r>
        <w:rPr>
          <w:rFonts w:ascii="Times New Roman" w:cs="Times New Roman" w:eastAsia="Times New Roman" w:hAnsi="Times New Roman"/>
          <w:sz w:val="22"/>
          <w:szCs w:val="22"/>
          <w:color w:val="auto"/>
        </w:rPr>
        <w:t>. The Board of Directors may designate one or more committees, including but not limited to an Audit Committee, a Compensation Committee and a Nominating and Governance Committee, each such committee to consist of one or more of the directors of the Corporation. The Board of Directors may designate one or more directors as alternate members of any committee to replace any absent or disqualified member at any meeting of the committee. Any such committee, to the extent provided in the resolution of the Board of Directors establishing such committee,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in reference to the following matters: (a) approving or adopting, or recommending to the stockholders, any action or matter (other than the election or removal of directors) expressly required by the DGCL to be submitted to stockholders for approval or (b) adopting, amending or repealing any Bylaw of the Corporation. All committees of the Board of Directors shall keep minutes of their meetings and shall report their proceedings to the Board of Directors when requested or required by the Board of Directors. Each committee of the Board of Directors may fix its own rules of procedure and shall hold its meetings as provided by such rules, except as may otherwise be provided by a resolution of the Board of Directors designating such committee. Unless otherwise provided in such a resolution, the presence of at least a majority of the members of the committee shall be necessary to constitute a quorum unless the committee shall consist of one or two members, in which event one member shall constitute a quorum; and all matters shall be determined by a majority vote of the members present at a meeting of the committee at which a quorum is present. Unless otherwise provided in such a resolution, in the event that a member and that member’s alternate, if alternates are designated by the Board of Directors, of such committee is or are absent or disqualified, the member or members thereof present at any meeting and not disqualified from voting, whether or not such member or members constitute a quorum, may unanimously appoint another member of the Board of Directors to act at the meeting in place of any such absent or disqualified member.</w:t>
      </w:r>
    </w:p>
    <w:p>
      <w:pPr>
        <w:spacing w:after="0" w:line="170"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 xml:space="preserve">SECTION 3.09 </w:t>
      </w:r>
      <w:r>
        <w:rPr>
          <w:rFonts w:ascii="Times New Roman" w:cs="Times New Roman" w:eastAsia="Times New Roman" w:hAnsi="Times New Roman"/>
          <w:sz w:val="22"/>
          <w:szCs w:val="22"/>
          <w:u w:val="single" w:color="auto"/>
          <w:color w:val="auto"/>
        </w:rPr>
        <w:t>Action Without a Meeting</w:t>
      </w:r>
      <w:r>
        <w:rPr>
          <w:rFonts w:ascii="Times New Roman" w:cs="Times New Roman" w:eastAsia="Times New Roman" w:hAnsi="Times New Roman"/>
          <w:sz w:val="22"/>
          <w:szCs w:val="22"/>
          <w:color w:val="auto"/>
        </w:rPr>
        <w:t>. Unless otherwise restricted by the Amended and Restated Certificate of Incorporation, any action required or permitted to be taken at any meeting of the Board of Directors or of any committee thereof may be taken without a meeting if all members of the Board of Directors or any committee thereof, as the case may be, consent thereto in writing or by electronic transmission. After an action is taken, the consent or consents relating thereto shall be filed in the minutes of the proceedings of the Board of Directors. Such filing shall be in paper form if the minutes are maintained in paper form or shall be in electronic form if the minutes are maintained in electronic form.</w:t>
      </w:r>
    </w:p>
    <w:p>
      <w:pPr>
        <w:spacing w:after="0" w:line="152"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 xml:space="preserve">SECTION 3.10 </w:t>
      </w:r>
      <w:r>
        <w:rPr>
          <w:rFonts w:ascii="Times New Roman" w:cs="Times New Roman" w:eastAsia="Times New Roman" w:hAnsi="Times New Roman"/>
          <w:sz w:val="22"/>
          <w:szCs w:val="22"/>
          <w:u w:val="single" w:color="auto"/>
          <w:color w:val="auto"/>
        </w:rPr>
        <w:t>Remote Meeting</w:t>
      </w:r>
      <w:r>
        <w:rPr>
          <w:rFonts w:ascii="Times New Roman" w:cs="Times New Roman" w:eastAsia="Times New Roman" w:hAnsi="Times New Roman"/>
          <w:sz w:val="22"/>
          <w:szCs w:val="22"/>
          <w:color w:val="auto"/>
        </w:rPr>
        <w:t>. Unless otherwise restricted by the Amended and Restated Certificate of Incorporation, members of the Board of Directors, or any committee designated by the Board of Directors, may participate in a meeting by means of conference telephone or other communications equipment in which all persons participating in the meeting can hear each other. Participation in a meeting by means of conference telephone or other communications equipment shall constitute presence in person at such meeting.</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SECTION 3.11 </w:t>
      </w: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The Board of Directors shall have the authority to fix the compensation, including fees and reimbursement of expenses, of directors for services to the Corporation in any capacity.</w:t>
      </w:r>
    </w:p>
    <w:p>
      <w:pPr>
        <w:spacing w:after="0" w:line="150"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SECTION 3.12 </w:t>
      </w:r>
      <w:r>
        <w:rPr>
          <w:rFonts w:ascii="Times New Roman" w:cs="Times New Roman" w:eastAsia="Times New Roman" w:hAnsi="Times New Roman"/>
          <w:sz w:val="22"/>
          <w:szCs w:val="22"/>
          <w:u w:val="single" w:color="auto"/>
          <w:color w:val="auto"/>
        </w:rPr>
        <w:t>Reliance on Books and Records</w:t>
      </w:r>
      <w:r>
        <w:rPr>
          <w:rFonts w:ascii="Times New Roman" w:cs="Times New Roman" w:eastAsia="Times New Roman" w:hAnsi="Times New Roman"/>
          <w:sz w:val="22"/>
          <w:szCs w:val="22"/>
          <w:color w:val="auto"/>
        </w:rPr>
        <w:t>. A member of the Board of Directors, or a member of any committee designated by the Board of Directors shall, in the performance of such person’s duties, be fully protected in relying in good faith upon records of the Corporation and upon such information, opinions, reports or statements presented to the Corporation by any of the Corporation’s officers or employees, or committees of the Board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19" w:lineRule="auto"/>
        <w:rPr>
          <w:sz w:val="20"/>
          <w:szCs w:val="20"/>
          <w:color w:val="auto"/>
        </w:rPr>
      </w:pPr>
      <w:r>
        <w:rPr>
          <w:rFonts w:ascii="Times New Roman" w:cs="Times New Roman" w:eastAsia="Times New Roman" w:hAnsi="Times New Roman"/>
          <w:sz w:val="18"/>
          <w:szCs w:val="18"/>
          <w:color w:val="auto"/>
        </w:rPr>
        <w:t>420093</w:t>
      </w:r>
    </w:p>
    <w:p>
      <w:pPr>
        <w:spacing w:after="0"/>
        <w:rPr>
          <w:sz w:val="20"/>
          <w:szCs w:val="20"/>
          <w:color w:val="auto"/>
        </w:rPr>
      </w:pPr>
      <w:r>
        <w:rPr>
          <w:rFonts w:ascii="Times New Roman" w:cs="Times New Roman" w:eastAsia="Times New Roman" w:hAnsi="Times New Roman"/>
          <w:sz w:val="18"/>
          <w:szCs w:val="18"/>
          <w:color w:val="auto"/>
        </w:rPr>
        <w:t>12.06.2022</w:t>
      </w:r>
    </w:p>
    <w:p>
      <w:pPr>
        <w:sectPr>
          <w:pgSz w:w="11900" w:h="16838" w:orient="portrait"/>
          <w:cols w:equalWidth="0" w:num="1">
            <w:col w:w="11240"/>
          </w:cols>
          <w:pgMar w:left="320" w:top="1395" w:right="339" w:bottom="1440" w:gutter="0" w:footer="0" w:header="0"/>
        </w:sectPr>
      </w:pPr>
    </w:p>
    <w:bookmarkStart w:id="52" w:name="page53"/>
    <w:bookmarkEnd w:id="52"/>
    <w:p>
      <w:pPr>
        <w:jc w:val="both"/>
        <w:spacing w:after="0" w:line="236" w:lineRule="auto"/>
        <w:rPr>
          <w:sz w:val="20"/>
          <w:szCs w:val="20"/>
          <w:color w:val="auto"/>
        </w:rPr>
      </w:pPr>
      <w:r>
        <w:rPr>
          <w:rFonts w:ascii="Times New Roman" w:cs="Times New Roman" w:eastAsia="Times New Roman" w:hAnsi="Times New Roman"/>
          <w:sz w:val="22"/>
          <w:szCs w:val="22"/>
          <w:color w:val="auto"/>
        </w:rPr>
        <w:t>Directors, or by any other person as to matters the member reasonably believes are within such other person’s professional or expert competence and who has been selected with reasonable care by or on behalf of the Corporation.</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Officers</w:t>
      </w:r>
    </w:p>
    <w:p>
      <w:pPr>
        <w:spacing w:after="0" w:line="183"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 xml:space="preserve">SECTION 4.01 </w:t>
      </w:r>
      <w:r>
        <w:rPr>
          <w:rFonts w:ascii="Times New Roman" w:cs="Times New Roman" w:eastAsia="Times New Roman" w:hAnsi="Times New Roman"/>
          <w:sz w:val="22"/>
          <w:szCs w:val="22"/>
          <w:u w:val="single" w:color="auto"/>
          <w:color w:val="auto"/>
        </w:rPr>
        <w:t>Number</w:t>
      </w:r>
      <w:r>
        <w:rPr>
          <w:rFonts w:ascii="Times New Roman" w:cs="Times New Roman" w:eastAsia="Times New Roman" w:hAnsi="Times New Roman"/>
          <w:sz w:val="22"/>
          <w:szCs w:val="22"/>
          <w:color w:val="auto"/>
        </w:rPr>
        <w:t>. The officers of the Corporation shall include any officers required by the DGCL, each of whom shall be elected by the Board of Directors and who shall hold office for such terms as shall be determined by the Board of Directors and until their successors are elected and qualify or until their earlier resignation or removal. In addition, the Board of Directors may elect a Chief Executive Officer, a President, one or more Vice Presidents, including one or more Executive Vice Presidents, Senior Vice Presidents, a Treasurer, a Secretary, one or more Assistant Treasurers and one or more Assistant Secretaries, who shall hold their office for such terms and shall exercise such powers and perform such duties as shall be determined from time to time by the Board of Directors. Any number of offices may be held by the same person.</w:t>
      </w:r>
    </w:p>
    <w:p>
      <w:pPr>
        <w:spacing w:after="0" w:line="156"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SECTION 4.02 </w:t>
      </w:r>
      <w:r>
        <w:rPr>
          <w:rFonts w:ascii="Times New Roman" w:cs="Times New Roman" w:eastAsia="Times New Roman" w:hAnsi="Times New Roman"/>
          <w:sz w:val="22"/>
          <w:szCs w:val="22"/>
          <w:u w:val="single" w:color="auto"/>
          <w:color w:val="auto"/>
        </w:rPr>
        <w:t>Other Officers and Agents</w:t>
      </w:r>
      <w:r>
        <w:rPr>
          <w:rFonts w:ascii="Times New Roman" w:cs="Times New Roman" w:eastAsia="Times New Roman" w:hAnsi="Times New Roman"/>
          <w:sz w:val="22"/>
          <w:szCs w:val="22"/>
          <w:color w:val="auto"/>
        </w:rPr>
        <w:t>. The Board of Directors may appoint such other officers and agents as it deems advisable, who shall hold their office for such terms and shall exercise and perform such powers and duties as shall be determined from time to time by the Board of Directors. The Board of Directors may appoint one or more officers called a Vice Chairman of the Board of Directors, each of whom must be a member of the Board of Directors.</w:t>
      </w:r>
    </w:p>
    <w:p>
      <w:pPr>
        <w:spacing w:after="0" w:line="152"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 xml:space="preserve">SECTION 4.03 </w:t>
      </w:r>
      <w:r>
        <w:rPr>
          <w:rFonts w:ascii="Times New Roman" w:cs="Times New Roman" w:eastAsia="Times New Roman" w:hAnsi="Times New Roman"/>
          <w:sz w:val="22"/>
          <w:szCs w:val="22"/>
          <w:u w:val="single" w:color="auto"/>
          <w:color w:val="auto"/>
        </w:rPr>
        <w:t>Chief Executive Officer/President</w:t>
      </w:r>
      <w:r>
        <w:rPr>
          <w:rFonts w:ascii="Times New Roman" w:cs="Times New Roman" w:eastAsia="Times New Roman" w:hAnsi="Times New Roman"/>
          <w:sz w:val="22"/>
          <w:szCs w:val="22"/>
          <w:color w:val="auto"/>
        </w:rPr>
        <w:t>. The Chief Executive Officer, who may also be the President, subject to the determination of the Board of Directors, shall have general executive charge, management, and control of the properties and operations of the Corporation in the ordinary course of its business, with all such powers with respect to such properties and operations as may be reasonably incident to such responsibilities. If the Board of Directors has not elected a Chairman of the Board of Directors or in the absence or inability to act as the Chairman of the Board of Directors, the Chief Executive Officer shall exercise all of the powers and discharge all of the duties of the Chairman of the Board of Directors, but only if the Chief Executive Officer is a director of the Corporation.</w:t>
      </w:r>
    </w:p>
    <w:p>
      <w:pPr>
        <w:spacing w:after="0" w:line="156" w:lineRule="exact"/>
        <w:rPr>
          <w:sz w:val="20"/>
          <w:szCs w:val="20"/>
          <w:color w:val="auto"/>
        </w:rPr>
      </w:pPr>
    </w:p>
    <w:p>
      <w:pPr>
        <w:jc w:val="both"/>
        <w:ind w:right="20"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4.04 </w:t>
      </w:r>
      <w:r>
        <w:rPr>
          <w:rFonts w:ascii="Times New Roman" w:cs="Times New Roman" w:eastAsia="Times New Roman" w:hAnsi="Times New Roman"/>
          <w:sz w:val="22"/>
          <w:szCs w:val="22"/>
          <w:u w:val="single" w:color="auto"/>
          <w:color w:val="auto"/>
        </w:rPr>
        <w:t>Vice Presidents</w:t>
      </w:r>
      <w:r>
        <w:rPr>
          <w:rFonts w:ascii="Times New Roman" w:cs="Times New Roman" w:eastAsia="Times New Roman" w:hAnsi="Times New Roman"/>
          <w:sz w:val="22"/>
          <w:szCs w:val="22"/>
          <w:color w:val="auto"/>
        </w:rPr>
        <w:t>. Each Vice President, if any are appointed, of whom one or more may be designated an Executive Vice President or Senior Vice President, shall have such powers and shall perform such duties as shall be assigned to him or her by the Chief Executive Officer or the Board of Directors.</w:t>
      </w:r>
    </w:p>
    <w:p>
      <w:pPr>
        <w:spacing w:after="0" w:line="152"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1"/>
          <w:szCs w:val="21"/>
          <w:color w:val="auto"/>
        </w:rPr>
        <w:t xml:space="preserve">SECTION 4.05 </w:t>
      </w:r>
      <w:r>
        <w:rPr>
          <w:rFonts w:ascii="Times New Roman" w:cs="Times New Roman" w:eastAsia="Times New Roman" w:hAnsi="Times New Roman"/>
          <w:sz w:val="21"/>
          <w:szCs w:val="21"/>
          <w:u w:val="single" w:color="auto"/>
          <w:color w:val="auto"/>
        </w:rPr>
        <w:t>Treasurer</w:t>
      </w:r>
      <w:r>
        <w:rPr>
          <w:rFonts w:ascii="Times New Roman" w:cs="Times New Roman" w:eastAsia="Times New Roman" w:hAnsi="Times New Roman"/>
          <w:sz w:val="21"/>
          <w:szCs w:val="21"/>
          <w:color w:val="auto"/>
        </w:rPr>
        <w:t>. The Treasurer, if any is appointed, shall have custody of the corporate funds, securities, evidences of indebtedness and other valuables of the Corporation and shall keep full and accurate accounts of receipts and disbursements in books belonging to the Corporation. The Treasurer shall deposit all moneys and other valuables in the name and to the credit of the Corporation in such depositories as may be designated by the Board of Directors or its designees selected for such purposes. The Treasurer shall disburse the funds of the Corporation, taking proper vouchers therefor. The Treasurer shall render to the Chief Executive Officer and the Board of Directors, upon their request, a report of the financial condition of the Corporation. If required by the Board of Directors, the Treasurer shall give the Corporation a bond for the faithful discharge of his or her duties in such amount and with such surety as the Board of Directors shall prescribe.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19" w:lineRule="auto"/>
        <w:rPr>
          <w:sz w:val="20"/>
          <w:szCs w:val="20"/>
          <w:color w:val="auto"/>
        </w:rPr>
      </w:pPr>
      <w:r>
        <w:rPr>
          <w:rFonts w:ascii="Times New Roman" w:cs="Times New Roman" w:eastAsia="Times New Roman" w:hAnsi="Times New Roman"/>
          <w:sz w:val="18"/>
          <w:szCs w:val="18"/>
          <w:color w:val="auto"/>
        </w:rPr>
        <w:t>420093</w:t>
      </w:r>
    </w:p>
    <w:p>
      <w:pPr>
        <w:spacing w:after="0"/>
        <w:rPr>
          <w:sz w:val="20"/>
          <w:szCs w:val="20"/>
          <w:color w:val="auto"/>
        </w:rPr>
      </w:pPr>
      <w:r>
        <w:rPr>
          <w:rFonts w:ascii="Times New Roman" w:cs="Times New Roman" w:eastAsia="Times New Roman" w:hAnsi="Times New Roman"/>
          <w:sz w:val="18"/>
          <w:szCs w:val="18"/>
          <w:color w:val="auto"/>
        </w:rPr>
        <w:t>12.06.2022</w:t>
      </w:r>
    </w:p>
    <w:p>
      <w:pPr>
        <w:sectPr>
          <w:pgSz w:w="11900" w:h="16838" w:orient="portrait"/>
          <w:cols w:equalWidth="0" w:num="1">
            <w:col w:w="11240"/>
          </w:cols>
          <w:pgMar w:left="320" w:top="1395" w:right="339" w:bottom="1440" w:gutter="0" w:footer="0" w:header="0"/>
        </w:sectPr>
      </w:pPr>
    </w:p>
    <w:bookmarkStart w:id="53" w:name="page54"/>
    <w:bookmarkEnd w:id="53"/>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In addition, the Treasurer shall have such further powers and perform such other duties incident to the office of Treasurer as from time to time are assigned to him or her by the Chief Executive Officer or the Board of Directors.</w:t>
      </w:r>
    </w:p>
    <w:p>
      <w:pPr>
        <w:spacing w:after="0" w:line="150"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 xml:space="preserve">SECTION 4.06 </w:t>
      </w:r>
      <w:r>
        <w:rPr>
          <w:rFonts w:ascii="Times New Roman" w:cs="Times New Roman" w:eastAsia="Times New Roman" w:hAnsi="Times New Roman"/>
          <w:sz w:val="22"/>
          <w:szCs w:val="22"/>
          <w:u w:val="single" w:color="auto"/>
          <w:color w:val="auto"/>
        </w:rPr>
        <w:t>Secretary</w:t>
      </w:r>
      <w:r>
        <w:rPr>
          <w:rFonts w:ascii="Times New Roman" w:cs="Times New Roman" w:eastAsia="Times New Roman" w:hAnsi="Times New Roman"/>
          <w:sz w:val="22"/>
          <w:szCs w:val="22"/>
          <w:color w:val="auto"/>
        </w:rPr>
        <w:t>. The Secretary shall: (a) cause minutes of all meetings of the stockholders and directors to be recorded and kept properly; (b) cause all notices required by these Amended and Restated Bylaws or otherwise to be given properly; (c) see that the minute books, stock books, and other nonfinancial books, records and papers of the Corporation are kept properly; and (d) cause all reports, statements, returns, certificates and other documents to be prepared and filed when and as required. The Secretary shall have such further powers and perform such other duties as prescribed from time to time by the Chief Executive Officer or the Board of Directors.</w:t>
      </w:r>
    </w:p>
    <w:p>
      <w:pPr>
        <w:spacing w:after="0" w:line="152"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 xml:space="preserve">SECTION 4.07 </w:t>
      </w:r>
      <w:r>
        <w:rPr>
          <w:rFonts w:ascii="Times New Roman" w:cs="Times New Roman" w:eastAsia="Times New Roman" w:hAnsi="Times New Roman"/>
          <w:sz w:val="22"/>
          <w:szCs w:val="22"/>
          <w:u w:val="single" w:color="auto"/>
          <w:color w:val="auto"/>
        </w:rPr>
        <w:t>Assistant Treasurers and Assistant Secretaries</w:t>
      </w:r>
      <w:r>
        <w:rPr>
          <w:rFonts w:ascii="Times New Roman" w:cs="Times New Roman" w:eastAsia="Times New Roman" w:hAnsi="Times New Roman"/>
          <w:sz w:val="22"/>
          <w:szCs w:val="22"/>
          <w:color w:val="auto"/>
        </w:rPr>
        <w:t>. Each Assistant Treasurer and each Assistant Secretary, if any are appointed, shall be vested with all the powers and shall perform all the duties of the Treasurer and Secretary, respectively, in the absence or disability of such officer, unless or until the Chief Executive Officer or the Board of Directors shall otherwise determine. In addition, Assistant Treasurers and Assistant Secretaries shall have such powers and shall perform such duties as shall be assigned to them by the Chief Executive Officer or the Board of Directors.</w:t>
      </w:r>
    </w:p>
    <w:p>
      <w:pPr>
        <w:spacing w:after="0" w:line="152"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 xml:space="preserve">SECTION 4.08 </w:t>
      </w:r>
      <w:r>
        <w:rPr>
          <w:rFonts w:ascii="Times New Roman" w:cs="Times New Roman" w:eastAsia="Times New Roman" w:hAnsi="Times New Roman"/>
          <w:sz w:val="22"/>
          <w:szCs w:val="22"/>
          <w:u w:val="single" w:color="auto"/>
          <w:color w:val="auto"/>
        </w:rPr>
        <w:t>Corporate Funds and Checks</w:t>
      </w:r>
      <w:r>
        <w:rPr>
          <w:rFonts w:ascii="Times New Roman" w:cs="Times New Roman" w:eastAsia="Times New Roman" w:hAnsi="Times New Roman"/>
          <w:sz w:val="22"/>
          <w:szCs w:val="22"/>
          <w:color w:val="auto"/>
        </w:rPr>
        <w:t>. The funds of the Corporation shall be kept in such depositories as shall from time to time be prescribed by the Board of Directors or its designees selected for such purposes. All checks or other orders for the payment of money shall be signed by the Chief Executive Officer, a Vice President, the Treasurer or the Secretary or such other person or agent as may from time to time be authorized and with such countersignature, if any, as may be required by the Board of Directors.</w:t>
      </w:r>
    </w:p>
    <w:p>
      <w:pPr>
        <w:spacing w:after="0" w:line="152"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 xml:space="preserve">SECTION 4.09 </w:t>
      </w:r>
      <w:r>
        <w:rPr>
          <w:rFonts w:ascii="Times New Roman" w:cs="Times New Roman" w:eastAsia="Times New Roman" w:hAnsi="Times New Roman"/>
          <w:sz w:val="22"/>
          <w:szCs w:val="22"/>
          <w:u w:val="single" w:color="auto"/>
          <w:color w:val="auto"/>
        </w:rPr>
        <w:t>Contracts and Other Documents</w:t>
      </w:r>
      <w:r>
        <w:rPr>
          <w:rFonts w:ascii="Times New Roman" w:cs="Times New Roman" w:eastAsia="Times New Roman" w:hAnsi="Times New Roman"/>
          <w:sz w:val="22"/>
          <w:szCs w:val="22"/>
          <w:color w:val="auto"/>
        </w:rPr>
        <w:t>. The Chief Executive Officer and the Secretary, or such other officer or officers as may from time to time be authorized by the Board of Directors, any committee given specific authority in the premises by the Board of Directors, or the Chief Executive Officer during the intervals between the meetings of the Board of Directors, shall have power to sign and execute on behalf of the Corporation deeds, conveyances and contracts, and any and all other documents requiring execution by the Corporation.</w:t>
      </w:r>
    </w:p>
    <w:p>
      <w:pPr>
        <w:spacing w:after="0" w:line="152"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 xml:space="preserve">SECTION 4.10 </w:t>
      </w:r>
      <w:r>
        <w:rPr>
          <w:rFonts w:ascii="Times New Roman" w:cs="Times New Roman" w:eastAsia="Times New Roman" w:hAnsi="Times New Roman"/>
          <w:sz w:val="22"/>
          <w:szCs w:val="22"/>
          <w:u w:val="single" w:color="auto"/>
          <w:color w:val="auto"/>
        </w:rPr>
        <w:t>Ownership of Stock of Another Corporation</w:t>
      </w:r>
      <w:r>
        <w:rPr>
          <w:rFonts w:ascii="Times New Roman" w:cs="Times New Roman" w:eastAsia="Times New Roman" w:hAnsi="Times New Roman"/>
          <w:sz w:val="22"/>
          <w:szCs w:val="22"/>
          <w:color w:val="auto"/>
        </w:rPr>
        <w:t>. Unless otherwise directed by the Board of Directors, the Chief Executive Officer, a Vice President, the Treasurer or the Secretary, or such other officer or agent as shall be authorized by the Board of Directors, shall have the power and authority, on behalf of the Corporation, to attend and to vote at any meeting of securityholders of any entity in which the Corporation holds securities or equity interests and may exercise, on behalf of the Corporation, any and all of the rights and powers incident to the ownership of such securities or equity interests at any such meeting, including the authority to execute and deliver proxies and consents on behalf of the Corporation.</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SECTION 4.11 </w:t>
      </w:r>
      <w:r>
        <w:rPr>
          <w:rFonts w:ascii="Times New Roman" w:cs="Times New Roman" w:eastAsia="Times New Roman" w:hAnsi="Times New Roman"/>
          <w:sz w:val="22"/>
          <w:szCs w:val="22"/>
          <w:u w:val="single" w:color="auto"/>
          <w:color w:val="auto"/>
        </w:rPr>
        <w:t>Delegation of Duties</w:t>
      </w:r>
      <w:r>
        <w:rPr>
          <w:rFonts w:ascii="Times New Roman" w:cs="Times New Roman" w:eastAsia="Times New Roman" w:hAnsi="Times New Roman"/>
          <w:sz w:val="22"/>
          <w:szCs w:val="22"/>
          <w:color w:val="auto"/>
        </w:rPr>
        <w:t>. In the absence, disability or refusal of any officer to exercise and perform his or her duties, the Board of Directors may delegate to another officer such powers or duties.</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4.12 </w:t>
      </w:r>
      <w:r>
        <w:rPr>
          <w:rFonts w:ascii="Times New Roman" w:cs="Times New Roman" w:eastAsia="Times New Roman" w:hAnsi="Times New Roman"/>
          <w:sz w:val="22"/>
          <w:szCs w:val="22"/>
          <w:u w:val="single" w:color="auto"/>
          <w:color w:val="auto"/>
        </w:rPr>
        <w:t>Resignation and Removal</w:t>
      </w:r>
      <w:r>
        <w:rPr>
          <w:rFonts w:ascii="Times New Roman" w:cs="Times New Roman" w:eastAsia="Times New Roman" w:hAnsi="Times New Roman"/>
          <w:sz w:val="22"/>
          <w:szCs w:val="22"/>
          <w:color w:val="auto"/>
        </w:rPr>
        <w:t>. Any officer of the Corporation may be removed from office for or without cause at any time by the Board of Directors. Any officer may resign at any time in the same manner prescribed under Section 3.03 of these Amended and Restated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19" w:lineRule="auto"/>
        <w:rPr>
          <w:sz w:val="20"/>
          <w:szCs w:val="20"/>
          <w:color w:val="auto"/>
        </w:rPr>
      </w:pPr>
      <w:r>
        <w:rPr>
          <w:rFonts w:ascii="Times New Roman" w:cs="Times New Roman" w:eastAsia="Times New Roman" w:hAnsi="Times New Roman"/>
          <w:sz w:val="18"/>
          <w:szCs w:val="18"/>
          <w:color w:val="auto"/>
        </w:rPr>
        <w:t>420093</w:t>
      </w:r>
    </w:p>
    <w:p>
      <w:pPr>
        <w:spacing w:after="0"/>
        <w:rPr>
          <w:sz w:val="20"/>
          <w:szCs w:val="20"/>
          <w:color w:val="auto"/>
        </w:rPr>
      </w:pPr>
      <w:r>
        <w:rPr>
          <w:rFonts w:ascii="Times New Roman" w:cs="Times New Roman" w:eastAsia="Times New Roman" w:hAnsi="Times New Roman"/>
          <w:sz w:val="18"/>
          <w:szCs w:val="18"/>
          <w:color w:val="auto"/>
        </w:rPr>
        <w:t>12.06.2022</w:t>
      </w:r>
    </w:p>
    <w:p>
      <w:pPr>
        <w:sectPr>
          <w:pgSz w:w="11900" w:h="16838" w:orient="portrait"/>
          <w:cols w:equalWidth="0" w:num="1">
            <w:col w:w="11240"/>
          </w:cols>
          <w:pgMar w:left="320" w:top="1395" w:right="339" w:bottom="1440" w:gutter="0" w:footer="0" w:header="0"/>
        </w:sectPr>
      </w:pPr>
    </w:p>
    <w:bookmarkStart w:id="54" w:name="page55"/>
    <w:bookmarkEnd w:id="54"/>
    <w:p>
      <w:pPr>
        <w:jc w:val="center"/>
        <w:ind w:left="1220"/>
        <w:spacing w:after="0"/>
        <w:tabs>
          <w:tab w:leader="none" w:pos="200" w:val="left"/>
        </w:tabs>
        <w:rPr>
          <w:sz w:val="20"/>
          <w:szCs w:val="20"/>
          <w:color w:val="auto"/>
        </w:rPr>
      </w:pPr>
      <w:r>
        <w:rPr>
          <w:rFonts w:ascii="Times New Roman" w:cs="Times New Roman" w:eastAsia="Times New Roman" w:hAnsi="Times New Roman"/>
          <w:sz w:val="22"/>
          <w:szCs w:val="22"/>
          <w:color w:val="auto"/>
        </w:rPr>
        <w:t>SECTION 4.13</w:t>
      </w:r>
      <w:r>
        <w:rPr>
          <w:sz w:val="20"/>
          <w:szCs w:val="20"/>
          <w:color w:val="auto"/>
        </w:rPr>
        <w:tab/>
      </w:r>
      <w:r>
        <w:rPr>
          <w:rFonts w:ascii="Times New Roman" w:cs="Times New Roman" w:eastAsia="Times New Roman" w:hAnsi="Times New Roman"/>
          <w:sz w:val="21"/>
          <w:szCs w:val="21"/>
          <w:u w:val="single" w:color="auto"/>
          <w:color w:val="auto"/>
        </w:rPr>
        <w:t>Vacancies</w:t>
      </w:r>
      <w:r>
        <w:rPr>
          <w:rFonts w:ascii="Times New Roman" w:cs="Times New Roman" w:eastAsia="Times New Roman" w:hAnsi="Times New Roman"/>
          <w:sz w:val="21"/>
          <w:szCs w:val="21"/>
          <w:color w:val="auto"/>
        </w:rPr>
        <w:t>. The Board of Directors shall have the power to fill vacancies occurring in any office.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Stock</w:t>
      </w:r>
    </w:p>
    <w:p>
      <w:pPr>
        <w:spacing w:after="0" w:line="210"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1"/>
          <w:szCs w:val="21"/>
          <w:color w:val="auto"/>
        </w:rPr>
        <w:t xml:space="preserve">SECTION 5.01 </w:t>
      </w:r>
      <w:r>
        <w:rPr>
          <w:rFonts w:ascii="Times New Roman" w:cs="Times New Roman" w:eastAsia="Times New Roman" w:hAnsi="Times New Roman"/>
          <w:sz w:val="21"/>
          <w:szCs w:val="21"/>
          <w:u w:val="single" w:color="auto"/>
          <w:color w:val="auto"/>
        </w:rPr>
        <w:t>Shares With Certificates</w:t>
      </w:r>
      <w:r>
        <w:rPr>
          <w:rFonts w:ascii="Times New Roman" w:cs="Times New Roman" w:eastAsia="Times New Roman" w:hAnsi="Times New Roman"/>
          <w:sz w:val="21"/>
          <w:szCs w:val="21"/>
          <w:color w:val="auto"/>
        </w:rPr>
        <w:t xml:space="preserve">. The shares of stock of the Corporation shall be represented by certificates,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Board of Directors may provide by resolution or resolutions that some or all of any or all classes or series of the Corporation’s stock shall be uncertificated shares. Any such resolution shall not apply to shares represented by a certificate until such certificate is surrendered to the Corporation. Every holder of stock in the Corporation represented by certificates shall be entitled to have a certificate signed by, or in the name of the Corporation by any two authorized officers of the Corporation (it being understood that each of the Chairman of the Board of Directors, the Vice Chairman of the Board of Directors, the Chief Executive Officer, a President, the Chief Financial Officer, a Vice President, the Treasurer, an Assistant Treasurer, the Secretary and an Assistant Secretary of the Corporation shall be an authorized officer for such purpose). Any or all of the signatures on the certificate may be a facsimile or other electronic signature. The Board of Directors shall have the power to appoint one or more transfer agents and/or registrars for the transfer or registration of certificates of stock of any class, and may require stock certificates to be countersigned or registered by one or more of such transfer agents and/or registrars.</w:t>
      </w:r>
    </w:p>
    <w:p>
      <w:pPr>
        <w:spacing w:after="0" w:line="157"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 xml:space="preserve">SECTION 5.02 </w:t>
      </w:r>
      <w:r>
        <w:rPr>
          <w:rFonts w:ascii="Times New Roman" w:cs="Times New Roman" w:eastAsia="Times New Roman" w:hAnsi="Times New Roman"/>
          <w:sz w:val="22"/>
          <w:szCs w:val="22"/>
          <w:u w:val="single" w:color="auto"/>
          <w:color w:val="auto"/>
        </w:rPr>
        <w:t>Shares Without Certificates</w:t>
      </w:r>
      <w:r>
        <w:rPr>
          <w:rFonts w:ascii="Times New Roman" w:cs="Times New Roman" w:eastAsia="Times New Roman" w:hAnsi="Times New Roman"/>
          <w:sz w:val="22"/>
          <w:szCs w:val="22"/>
          <w:color w:val="auto"/>
        </w:rPr>
        <w:t xml:space="preserve">. If the Board of Directors chooses to issue shares of stock without certificates, the Corporation, if required by the DGCL, shall, within a reasonable time after the issue or transfer of shares without certificates, give a notice to the registered owner thereof containing the information required to be set forth or stated on stock certificates by the applicable provisions of the DGCL. The Corporation may adopt a system of issuance, recordation and transfer of its shares of stock by electronic or other means not involving the issuance of certificates,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the use of such system by the Corporation is permitted in accordance with applicable law.</w:t>
      </w:r>
    </w:p>
    <w:p>
      <w:pPr>
        <w:spacing w:after="0" w:line="152"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1"/>
          <w:szCs w:val="21"/>
          <w:color w:val="auto"/>
        </w:rPr>
        <w:t xml:space="preserve">SECTION 5.03 </w:t>
      </w:r>
      <w:r>
        <w:rPr>
          <w:rFonts w:ascii="Times New Roman" w:cs="Times New Roman" w:eastAsia="Times New Roman" w:hAnsi="Times New Roman"/>
          <w:sz w:val="21"/>
          <w:szCs w:val="21"/>
          <w:u w:val="single" w:color="auto"/>
          <w:color w:val="auto"/>
        </w:rPr>
        <w:t>Transfer of Shares</w:t>
      </w:r>
      <w:r>
        <w:rPr>
          <w:rFonts w:ascii="Times New Roman" w:cs="Times New Roman" w:eastAsia="Times New Roman" w:hAnsi="Times New Roman"/>
          <w:sz w:val="21"/>
          <w:szCs w:val="21"/>
          <w:color w:val="auto"/>
        </w:rPr>
        <w:t>. Shares of stock of the Corporation shall be transferable upon its books by the holders thereof, in person or by their duly authorized attorneys or legal representatives, in the manner prescribed by law, the Amended and Restated Certificate of Incorporation and in these Amended and Restated Bylaws, upon surrender to the Corporation by delivery thereof (to the extent evidenced by a physical stock certificate) to the person in charge of the stock and transfer books and ledgers. Certificates representing such shares, if any, shall be cancelled and new certificates, if the shares are to be certificated, shall thereupon be issued. Shares of capital stock of the Corporation that are not represented by a certificate shall be transferred in accordance with any procedures adopted by the Corporation or its agents and applicable law. A record shall be made of each transfer. Whenever any transfer of shares shall be made for collateral security, and not absolutely, it shall be so expressed in the entry of the transfer if, when the certificates are presented to the Corporation for transfer or uncertificated shares requested to be transferred, both the transferor and transferee request the Corporation to do so. The Board of Directors shall have power and authority to make such rules and regulations as it may deem necessary or proper concerning the issue, transfer and registration of certificates representing shares of stock of the Corporation and uncertificated shares.</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5.04 </w:t>
      </w:r>
      <w:r>
        <w:rPr>
          <w:rFonts w:ascii="Times New Roman" w:cs="Times New Roman" w:eastAsia="Times New Roman" w:hAnsi="Times New Roman"/>
          <w:sz w:val="22"/>
          <w:szCs w:val="22"/>
          <w:u w:val="single" w:color="auto"/>
          <w:color w:val="auto"/>
        </w:rPr>
        <w:t>Lost, Stolen, Destroyed or Mutilated Certificates</w:t>
      </w:r>
      <w:r>
        <w:rPr>
          <w:rFonts w:ascii="Times New Roman" w:cs="Times New Roman" w:eastAsia="Times New Roman" w:hAnsi="Times New Roman"/>
          <w:sz w:val="22"/>
          <w:szCs w:val="22"/>
          <w:color w:val="auto"/>
        </w:rPr>
        <w:t>. A new certificate of stock or uncertificated shares may be issued in the place of any certificate previously issued by the Corporation alleged to have been lost, stolen or destroyed, and the Corporation may, in its discretion, require the owner of such lost, stolen or destroyed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19" w:lineRule="auto"/>
        <w:rPr>
          <w:sz w:val="20"/>
          <w:szCs w:val="20"/>
          <w:color w:val="auto"/>
        </w:rPr>
      </w:pPr>
      <w:r>
        <w:rPr>
          <w:rFonts w:ascii="Times New Roman" w:cs="Times New Roman" w:eastAsia="Times New Roman" w:hAnsi="Times New Roman"/>
          <w:sz w:val="18"/>
          <w:szCs w:val="18"/>
          <w:color w:val="auto"/>
        </w:rPr>
        <w:t>420093</w:t>
      </w:r>
    </w:p>
    <w:p>
      <w:pPr>
        <w:spacing w:after="0"/>
        <w:rPr>
          <w:sz w:val="20"/>
          <w:szCs w:val="20"/>
          <w:color w:val="auto"/>
        </w:rPr>
      </w:pPr>
      <w:r>
        <w:rPr>
          <w:rFonts w:ascii="Times New Roman" w:cs="Times New Roman" w:eastAsia="Times New Roman" w:hAnsi="Times New Roman"/>
          <w:sz w:val="18"/>
          <w:szCs w:val="18"/>
          <w:color w:val="auto"/>
        </w:rPr>
        <w:t>12.06.2022</w:t>
      </w:r>
    </w:p>
    <w:p>
      <w:pPr>
        <w:sectPr>
          <w:pgSz w:w="11900" w:h="16838" w:orient="portrait"/>
          <w:cols w:equalWidth="0" w:num="1">
            <w:col w:w="11240"/>
          </w:cols>
          <w:pgMar w:left="320" w:top="1395" w:right="339" w:bottom="1440" w:gutter="0" w:footer="0" w:header="0"/>
        </w:sectPr>
      </w:pPr>
    </w:p>
    <w:bookmarkStart w:id="55" w:name="page56"/>
    <w:bookmarkEnd w:id="55"/>
    <w:p>
      <w:pPr>
        <w:jc w:val="both"/>
        <w:spacing w:after="0" w:line="215" w:lineRule="auto"/>
        <w:rPr>
          <w:sz w:val="20"/>
          <w:szCs w:val="20"/>
          <w:color w:val="auto"/>
        </w:rPr>
      </w:pPr>
      <w:r>
        <w:rPr>
          <w:rFonts w:ascii="Times New Roman" w:cs="Times New Roman" w:eastAsia="Times New Roman" w:hAnsi="Times New Roman"/>
          <w:sz w:val="22"/>
          <w:szCs w:val="22"/>
          <w:color w:val="auto"/>
        </w:rPr>
        <w:t>or his or her legal representative, to give the Corporation a bond, in such sum as the Corporation may direct, in order to indemnify the Corporation against any claims that may be made against it in connection therewith. A new certificate or uncertificated shares of stock may be issued in the place of any certificate previously issued by the Corporation that has become mutilated upon the surrender by such owner of such mutilated certificate and, if required by the Corporation, the posting of a bond by such owner in an amount sufficient to indemnify the Corporation against any claim that may be made against it in connection therewith.</w:t>
      </w:r>
    </w:p>
    <w:p>
      <w:pPr>
        <w:spacing w:after="0" w:line="152" w:lineRule="exact"/>
        <w:rPr>
          <w:sz w:val="20"/>
          <w:szCs w:val="20"/>
          <w:color w:val="auto"/>
        </w:rPr>
      </w:pPr>
    </w:p>
    <w:p>
      <w:pPr>
        <w:jc w:val="both"/>
        <w:ind w:firstLine="1296"/>
        <w:spacing w:after="0" w:line="205" w:lineRule="auto"/>
        <w:rPr>
          <w:sz w:val="20"/>
          <w:szCs w:val="20"/>
          <w:color w:val="auto"/>
        </w:rPr>
      </w:pPr>
      <w:r>
        <w:rPr>
          <w:rFonts w:ascii="Times New Roman" w:cs="Times New Roman" w:eastAsia="Times New Roman" w:hAnsi="Times New Roman"/>
          <w:sz w:val="22"/>
          <w:szCs w:val="22"/>
          <w:color w:val="auto"/>
        </w:rPr>
        <w:t xml:space="preserve">SECTION 5.05 </w:t>
      </w:r>
      <w:r>
        <w:rPr>
          <w:rFonts w:ascii="Times New Roman" w:cs="Times New Roman" w:eastAsia="Times New Roman" w:hAnsi="Times New Roman"/>
          <w:sz w:val="22"/>
          <w:szCs w:val="22"/>
          <w:u w:val="single" w:color="auto"/>
          <w:color w:val="auto"/>
        </w:rPr>
        <w:t>List of Stockholders Entitled To Vote</w:t>
      </w:r>
      <w:r>
        <w:rPr>
          <w:rFonts w:ascii="Times New Roman" w:cs="Times New Roman" w:eastAsia="Times New Roman" w:hAnsi="Times New Roman"/>
          <w:sz w:val="22"/>
          <w:szCs w:val="22"/>
          <w:color w:val="auto"/>
        </w:rPr>
        <w:t>. The Corporation shall prepare, no later than the tenth (10th) day before each meeting of stockholders, a complete list of the stockholders entitled to vote at the meeting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the record date for determining the stockholders entitled to vote is less than ten (10) days before the date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meeting, the list shall reflect the stockholders entitled to vote as of the tenth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before the meeting date), arranged in alphabetical order, and showing the address of each stockholder and the number of shares registered in the name of each stockholder. Such list shall be open to the examination of any stockholder, for any purpose germane to the meeting for ten (10) days ending on the day before the meeting date (a) on a reasonably accessible electronic network,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information required to gain access to such list is provided with the notice of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Except as otherwise provided by law, the stock ledger shall be the only evidence as to who are the stockholders entitled to examine the list of stockholders required by this Section 5.05 or to vote in person or by proxy at any meeting of stockholders.</w:t>
      </w:r>
    </w:p>
    <w:p>
      <w:pPr>
        <w:spacing w:after="0" w:line="156" w:lineRule="exact"/>
        <w:rPr>
          <w:sz w:val="20"/>
          <w:szCs w:val="20"/>
          <w:color w:val="auto"/>
        </w:rPr>
      </w:pPr>
    </w:p>
    <w:p>
      <w:pPr>
        <w:ind w:left="1300"/>
        <w:spacing w:after="0"/>
        <w:tabs>
          <w:tab w:leader="none" w:pos="2840" w:val="left"/>
        </w:tabs>
        <w:rPr>
          <w:sz w:val="20"/>
          <w:szCs w:val="20"/>
          <w:color w:val="auto"/>
        </w:rPr>
      </w:pPr>
      <w:r>
        <w:rPr>
          <w:rFonts w:ascii="Times New Roman" w:cs="Times New Roman" w:eastAsia="Times New Roman" w:hAnsi="Times New Roman"/>
          <w:sz w:val="22"/>
          <w:szCs w:val="22"/>
          <w:color w:val="auto"/>
        </w:rPr>
        <w:t>SECTION 5.06</w:t>
      </w:r>
      <w:r>
        <w:rPr>
          <w:sz w:val="20"/>
          <w:szCs w:val="20"/>
          <w:color w:val="auto"/>
        </w:rPr>
        <w:tab/>
      </w:r>
      <w:r>
        <w:rPr>
          <w:rFonts w:ascii="Times New Roman" w:cs="Times New Roman" w:eastAsia="Times New Roman" w:hAnsi="Times New Roman"/>
          <w:sz w:val="21"/>
          <w:szCs w:val="21"/>
          <w:u w:val="single" w:color="auto"/>
          <w:color w:val="auto"/>
        </w:rPr>
        <w:t>Fixing Date for Determination of Stockholders of Record</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09" w:lineRule="auto"/>
        <w:tabs>
          <w:tab w:leader="none" w:pos="2031"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55" w:lineRule="exact"/>
        <w:rPr>
          <w:rFonts w:ascii="Times New Roman" w:cs="Times New Roman" w:eastAsia="Times New Roman" w:hAnsi="Times New Roman"/>
          <w:sz w:val="22"/>
          <w:szCs w:val="22"/>
          <w:color w:val="auto"/>
        </w:rPr>
      </w:pPr>
    </w:p>
    <w:p>
      <w:pPr>
        <w:jc w:val="both"/>
        <w:ind w:firstLine="1304"/>
        <w:spacing w:after="0" w:line="220" w:lineRule="auto"/>
        <w:tabs>
          <w:tab w:leader="none" w:pos="1819"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not be more than sixty</w:t>
      </w:r>
    </w:p>
    <w:p>
      <w:pPr>
        <w:spacing w:after="0" w:line="2" w:lineRule="exact"/>
        <w:rPr>
          <w:rFonts w:ascii="Times New Roman" w:cs="Times New Roman" w:eastAsia="Times New Roman" w:hAnsi="Times New Roman"/>
          <w:sz w:val="21"/>
          <w:szCs w:val="21"/>
          <w:color w:val="auto"/>
        </w:rPr>
      </w:pPr>
    </w:p>
    <w:p>
      <w:pPr>
        <w:ind w:left="420" w:hanging="412"/>
        <w:spacing w:after="0"/>
        <w:tabs>
          <w:tab w:leader="none" w:pos="4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prior to such action. If no such record date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19" w:lineRule="auto"/>
        <w:rPr>
          <w:sz w:val="20"/>
          <w:szCs w:val="20"/>
          <w:color w:val="auto"/>
        </w:rPr>
      </w:pPr>
      <w:r>
        <w:rPr>
          <w:rFonts w:ascii="Times New Roman" w:cs="Times New Roman" w:eastAsia="Times New Roman" w:hAnsi="Times New Roman"/>
          <w:sz w:val="18"/>
          <w:szCs w:val="18"/>
          <w:color w:val="auto"/>
        </w:rPr>
        <w:t>420093</w:t>
      </w:r>
    </w:p>
    <w:p>
      <w:pPr>
        <w:spacing w:after="0"/>
        <w:rPr>
          <w:sz w:val="20"/>
          <w:szCs w:val="20"/>
          <w:color w:val="auto"/>
        </w:rPr>
      </w:pPr>
      <w:r>
        <w:rPr>
          <w:rFonts w:ascii="Times New Roman" w:cs="Times New Roman" w:eastAsia="Times New Roman" w:hAnsi="Times New Roman"/>
          <w:sz w:val="18"/>
          <w:szCs w:val="18"/>
          <w:color w:val="auto"/>
        </w:rPr>
        <w:t>12.06.2022</w:t>
      </w:r>
    </w:p>
    <w:p>
      <w:pPr>
        <w:sectPr>
          <w:pgSz w:w="11900" w:h="16838" w:orient="portrait"/>
          <w:cols w:equalWidth="0" w:num="1">
            <w:col w:w="11240"/>
          </w:cols>
          <w:pgMar w:left="320" w:top="1395" w:right="339" w:bottom="1440" w:gutter="0" w:footer="0" w:header="0"/>
        </w:sectPr>
      </w:pPr>
    </w:p>
    <w:bookmarkStart w:id="56" w:name="page57"/>
    <w:bookmarkEnd w:id="56"/>
    <w:p>
      <w:pPr>
        <w:spacing w:after="0" w:line="236" w:lineRule="auto"/>
        <w:rPr>
          <w:sz w:val="20"/>
          <w:szCs w:val="20"/>
          <w:color w:val="auto"/>
        </w:rPr>
      </w:pPr>
      <w:r>
        <w:rPr>
          <w:rFonts w:ascii="Times New Roman" w:cs="Times New Roman" w:eastAsia="Times New Roman" w:hAnsi="Times New Roman"/>
          <w:sz w:val="22"/>
          <w:szCs w:val="22"/>
          <w:color w:val="auto"/>
        </w:rPr>
        <w:t>fixed, the record date for determining stockholders for any such purpose shall be at the close of business on the day on which the Board of Directors adopts the resolution relating thereto.</w:t>
      </w:r>
    </w:p>
    <w:p>
      <w:pPr>
        <w:spacing w:after="0" w:line="150" w:lineRule="exact"/>
        <w:rPr>
          <w:sz w:val="20"/>
          <w:szCs w:val="20"/>
          <w:color w:val="auto"/>
        </w:rPr>
      </w:pPr>
    </w:p>
    <w:p>
      <w:pPr>
        <w:jc w:val="both"/>
        <w:ind w:firstLine="1304"/>
        <w:spacing w:after="0" w:line="211" w:lineRule="auto"/>
        <w:tabs>
          <w:tab w:leader="none" w:pos="1917"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restricted by the Amended and Restated Certificate of Incorporation, in order that the Corporation may determine the stockholders entitled to express consent to corporate action in writing without a meeting, the Board of Directors may fix a record date,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If no record date for determining stockholders entitled to express consent to corporate action in writing without a meeting is fixed by the Board of Directors, (a) when no prior action of the Board of Directors is required by law, the record date for such purpose shall be the first date on which a signed written consent setting forth the action taken or proposed to be taken is delivered to the Corporation in accordance with applicable law, and (b) if prior action by the Board of Directors is required by law, the record date for such purpose shall be at the close of business on the day on which the Board of Directors adopts the resolution taking such prior action.</w:t>
      </w:r>
    </w:p>
    <w:p>
      <w:pPr>
        <w:spacing w:after="0" w:line="152"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 xml:space="preserve">SECTION 5.07 </w:t>
      </w:r>
      <w:r>
        <w:rPr>
          <w:rFonts w:ascii="Times New Roman" w:cs="Times New Roman" w:eastAsia="Times New Roman" w:hAnsi="Times New Roman"/>
          <w:sz w:val="22"/>
          <w:szCs w:val="22"/>
          <w:u w:val="single" w:color="auto"/>
          <w:color w:val="auto"/>
        </w:rPr>
        <w:t>Registered Stockholders</w:t>
      </w:r>
      <w:r>
        <w:rPr>
          <w:rFonts w:ascii="Times New Roman" w:cs="Times New Roman" w:eastAsia="Times New Roman" w:hAnsi="Times New Roman"/>
          <w:sz w:val="22"/>
          <w:szCs w:val="22"/>
          <w:color w:val="auto"/>
        </w:rPr>
        <w:t>. Prior to the surrender to the Corporation of the certificate or certificates for a share or shares of stock or notification to the Corporation of the transfer of uncertificated shares with a request to record the transfer of such share or shares, the Corporation may treat the registered owner of such share or shares as the person entitled to receive dividends, to vote, to receive notifications and otherwise to exercise all the rights and powers of an owner of such share or shares. To the fullest extent permitted by law, the Corporation shall not be bound to recognize any equitable or other claim to or interest in such share or shares on the part of any other person, whether or not it shall have express or other notice thereof.</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and Waiver of Notice</w:t>
      </w:r>
    </w:p>
    <w:p>
      <w:pPr>
        <w:spacing w:after="0" w:line="183" w:lineRule="exact"/>
        <w:rPr>
          <w:sz w:val="20"/>
          <w:szCs w:val="20"/>
          <w:color w:val="auto"/>
        </w:rPr>
      </w:pPr>
    </w:p>
    <w:p>
      <w:pPr>
        <w:ind w:left="1300"/>
        <w:spacing w:after="0"/>
        <w:tabs>
          <w:tab w:leader="none" w:pos="2840" w:val="left"/>
        </w:tabs>
        <w:rPr>
          <w:sz w:val="20"/>
          <w:szCs w:val="20"/>
          <w:color w:val="auto"/>
        </w:rPr>
      </w:pPr>
      <w:r>
        <w:rPr>
          <w:rFonts w:ascii="Times New Roman" w:cs="Times New Roman" w:eastAsia="Times New Roman" w:hAnsi="Times New Roman"/>
          <w:sz w:val="22"/>
          <w:szCs w:val="22"/>
          <w:color w:val="auto"/>
        </w:rPr>
        <w:t>SECTION 6.01</w:t>
      </w:r>
      <w:r>
        <w:rPr>
          <w:sz w:val="20"/>
          <w:szCs w:val="20"/>
          <w:color w:val="auto"/>
        </w:rPr>
        <w:tab/>
      </w: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9" w:lineRule="auto"/>
        <w:tabs>
          <w:tab w:leader="none" w:pos="1822"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manner by which notice otherwise may be given effectively to stockholders, any notice to stockholders given by the Corporation under any provision of the DGCL, the Amended and Restated Certificate of Incorporation or these Amended and Restated Bylaws may be given in writing directed to the stockholder’s mailing address (or by electronic transmission directed to the stockholder’s electronic mail address, as applicable) as it appears on the records of the Corporation. Notice shall be given (i) if mailed, when deposited in the United States mail, (ii) if delivered by courier service, the earlier of when the notice is received or left at the stockholder’s address, or (iii) if given by electronic mail, when directed to such stockholder’s electronic mail address (unless the stockholder has notified the Corporation in writing or by electronic transmission of an objection to receiving notice by electronic mail or such notice is prohibited by the DGCL to be given by electronic transmission). A notice by electronic mail must include a prominent legend that the communication is an important notice regarding the Corporation. A notice by electronic mail will include any files attached thereto and any information hyperlinked to a website if such electronic mail includes the contact information of an officer or agent of the Corporation who is available to assist with accessing such files or information. Any notice to stockholders given by the Corporation under any provision of the DGCL, the Certificate of Incorporation or these Bylaws provided by means of electronic transmission (other than any such notice given by electronic mail) may only be given in a form consented to by such stockholder, and any such notice by such means of electronic transmission shall be deemed to be given as provided by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19" w:lineRule="auto"/>
        <w:rPr>
          <w:sz w:val="20"/>
          <w:szCs w:val="20"/>
          <w:color w:val="auto"/>
        </w:rPr>
      </w:pPr>
      <w:r>
        <w:rPr>
          <w:rFonts w:ascii="Times New Roman" w:cs="Times New Roman" w:eastAsia="Times New Roman" w:hAnsi="Times New Roman"/>
          <w:sz w:val="18"/>
          <w:szCs w:val="18"/>
          <w:color w:val="auto"/>
        </w:rPr>
        <w:t>420093</w:t>
      </w:r>
    </w:p>
    <w:p>
      <w:pPr>
        <w:spacing w:after="0"/>
        <w:rPr>
          <w:sz w:val="20"/>
          <w:szCs w:val="20"/>
          <w:color w:val="auto"/>
        </w:rPr>
      </w:pPr>
      <w:r>
        <w:rPr>
          <w:rFonts w:ascii="Times New Roman" w:cs="Times New Roman" w:eastAsia="Times New Roman" w:hAnsi="Times New Roman"/>
          <w:sz w:val="18"/>
          <w:szCs w:val="18"/>
          <w:color w:val="auto"/>
        </w:rPr>
        <w:t>12.06.2022</w:t>
      </w:r>
    </w:p>
    <w:p>
      <w:pPr>
        <w:sectPr>
          <w:pgSz w:w="11900" w:h="16838" w:orient="portrait"/>
          <w:cols w:equalWidth="0" w:num="1">
            <w:col w:w="11240"/>
          </w:cols>
          <w:pgMar w:left="320" w:top="1395" w:right="339" w:bottom="1440" w:gutter="0" w:footer="0" w:header="0"/>
        </w:sectPr>
      </w:pPr>
    </w:p>
    <w:bookmarkStart w:id="57" w:name="page58"/>
    <w:bookmarkEnd w:id="57"/>
    <w:p>
      <w:pPr>
        <w:jc w:val="both"/>
        <w:ind w:firstLine="1304"/>
        <w:spacing w:after="0" w:line="231" w:lineRule="auto"/>
        <w:tabs>
          <w:tab w:leader="none" w:pos="1932"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provided herein or permitted by applicable law, notices to any director may be in writing and delivered personally or mailed to such director at such director’s address appearing on the books of the Corporation, or may be given by telephone or by any means of electronic transmission (including, without limitation, electronic mail) directed to an address for receipt by such director of electronic transmissions appearing on the books of the Corporation.</w:t>
      </w:r>
    </w:p>
    <w:p>
      <w:pPr>
        <w:spacing w:after="0" w:line="150" w:lineRule="exact"/>
        <w:rPr>
          <w:rFonts w:ascii="Times New Roman" w:cs="Times New Roman" w:eastAsia="Times New Roman" w:hAnsi="Times New Roman"/>
          <w:sz w:val="21"/>
          <w:szCs w:val="21"/>
          <w:color w:val="auto"/>
        </w:rPr>
      </w:pPr>
    </w:p>
    <w:p>
      <w:pPr>
        <w:jc w:val="both"/>
        <w:ind w:firstLine="1304"/>
        <w:spacing w:after="0" w:line="212" w:lineRule="auto"/>
        <w:tabs>
          <w:tab w:leader="none" w:pos="1807"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manner by which notice otherwise may be given effectively to stockholders, and except as prohibited by applicable law, any notice to stockholders given by the Corporation under any provision of applicable law, the Amended and Restated Certificate of Incorporation, or these Amended and Restated Bylaws shall be effective if given by a single written notice to stockholders who share an address if consented to by the stockholders at that address to whom such notice is given. Any such consent shall be revocable by the stockholder by written notice to the corporation. Any stockholder who fails to object in writing to the corporation, within sixty (60) days of having been given written notice by the Corporation of its intention to send the single notice permitted under this Section 6.01(C), shall be deemed to have consented to receiving such single written notice.</w:t>
      </w:r>
    </w:p>
    <w:p>
      <w:pPr>
        <w:spacing w:after="0" w:line="372"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 xml:space="preserve">SECTION 6.02 </w:t>
      </w:r>
      <w:r>
        <w:rPr>
          <w:rFonts w:ascii="Times New Roman" w:cs="Times New Roman" w:eastAsia="Times New Roman" w:hAnsi="Times New Roman"/>
          <w:sz w:val="22"/>
          <w:szCs w:val="22"/>
          <w:u w:val="single" w:color="auto"/>
          <w:color w:val="auto"/>
        </w:rPr>
        <w:t>Waiver of Notice</w:t>
      </w:r>
      <w:r>
        <w:rPr>
          <w:rFonts w:ascii="Times New Roman" w:cs="Times New Roman" w:eastAsia="Times New Roman" w:hAnsi="Times New Roman"/>
          <w:sz w:val="22"/>
          <w:szCs w:val="22"/>
          <w:color w:val="auto"/>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nor the purpose of any meeting need be specified in such a waiver. Attendance at any meeting (in person or by remote communication) shall constitute waiver of notice except attendance for the express purpose of objecting at the beginning of the meeting to the transaction of any business because the meeting is not lawfully called or convened.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Indemnification</w:t>
      </w:r>
    </w:p>
    <w:p>
      <w:pPr>
        <w:spacing w:after="0" w:line="224" w:lineRule="exact"/>
        <w:rPr>
          <w:sz w:val="20"/>
          <w:szCs w:val="20"/>
          <w:color w:val="auto"/>
        </w:rPr>
      </w:pPr>
    </w:p>
    <w:p>
      <w:pPr>
        <w:jc w:val="both"/>
        <w:ind w:firstLine="1296"/>
        <w:spacing w:after="0" w:line="209" w:lineRule="auto"/>
        <w:rPr>
          <w:sz w:val="20"/>
          <w:szCs w:val="20"/>
          <w:color w:val="auto"/>
        </w:rPr>
      </w:pPr>
      <w:r>
        <w:rPr>
          <w:rFonts w:ascii="Times New Roman" w:cs="Times New Roman" w:eastAsia="Times New Roman" w:hAnsi="Times New Roman"/>
          <w:sz w:val="22"/>
          <w:szCs w:val="22"/>
          <w:color w:val="auto"/>
        </w:rPr>
        <w:t xml:space="preserve">SECTION 7.01 </w:t>
      </w:r>
      <w:r>
        <w:rPr>
          <w:rFonts w:ascii="Times New Roman" w:cs="Times New Roman" w:eastAsia="Times New Roman" w:hAnsi="Times New Roman"/>
          <w:sz w:val="22"/>
          <w:szCs w:val="22"/>
          <w:u w:val="single" w:color="auto"/>
          <w:color w:val="auto"/>
        </w:rPr>
        <w:t>Right to Indemnification</w:t>
      </w:r>
      <w:r>
        <w:rPr>
          <w:rFonts w:ascii="Times New Roman" w:cs="Times New Roman" w:eastAsia="Times New Roman" w:hAnsi="Times New Roman"/>
          <w:sz w:val="22"/>
          <w:szCs w:val="22"/>
          <w:color w:val="auto"/>
        </w:rPr>
        <w:t>. Each person who was or is made a party or is threatened to be made a party to or is otherwise involved in any action, suit or proceeding, whether civil, criminal, administrative or investigative (hereinafter a “</w:t>
      </w:r>
      <w:r>
        <w:rPr>
          <w:rFonts w:ascii="Times New Roman" w:cs="Times New Roman" w:eastAsia="Times New Roman" w:hAnsi="Times New Roman"/>
          <w:sz w:val="22"/>
          <w:szCs w:val="22"/>
          <w:u w:val="single" w:color="auto"/>
          <w:color w:val="auto"/>
        </w:rPr>
        <w:t>proceeding</w:t>
      </w:r>
      <w:r>
        <w:rPr>
          <w:rFonts w:ascii="Times New Roman" w:cs="Times New Roman" w:eastAsia="Times New Roman" w:hAnsi="Times New Roman"/>
          <w:sz w:val="22"/>
          <w:szCs w:val="22"/>
          <w:color w:val="auto"/>
        </w:rPr>
        <w:t>”), by reason of the fact that he or she is or was a director or an officer of the Corporation or, while a director or officer of the Corporation, is or was serving at the request of the Corporation as a director, officer, employee, agent or trustee of another corporation or of a partnership, joint venture, trust or other enterprise, including service with respect to an employee benefit plan (hereinafter an “</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xml:space="preserve">”), whether the basis of such proceeding is alleged action in an official capacity as a director, officer, employee, agent or trustee or in any other capacity while serving as a director, officer, employee, agent or trustee, shall be indemnified and held harmless by the Corporation to the fullest extent permitted by Delaware law, as the same exists or may hereafter be amended (but, in the case of any such amendment, if permitted, only to the extent that such amendment permits the Corporation to provide broader indemnification rights than such law permitted the Corporation to provide prior to such amendment), against all expense, liability and loss (including attorneys’ fees, judgments, fines, ERISA excise taxes or penalties and amounts paid in settlement) reasonably incurred or suffered by such indemnitee in connection therewith;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except as provided in Section 7.03 of these Amended and Restated Bylaws with respect to proceedings to enforce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rights to indemnification or advancement of expenses or with respect to any compulsory counterclaim brought by such indemnitee, the Corporation shall indemnify any such indemnitee in connection with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3" w:lineRule="auto"/>
        <w:rPr>
          <w:sz w:val="20"/>
          <w:szCs w:val="20"/>
          <w:color w:val="auto"/>
        </w:rPr>
      </w:pPr>
      <w:r>
        <w:rPr>
          <w:rFonts w:ascii="Times New Roman" w:cs="Times New Roman" w:eastAsia="Times New Roman" w:hAnsi="Times New Roman"/>
          <w:sz w:val="18"/>
          <w:szCs w:val="18"/>
          <w:color w:val="auto"/>
        </w:rPr>
        <w:t>420093</w:t>
      </w:r>
    </w:p>
    <w:p>
      <w:pPr>
        <w:spacing w:after="0"/>
        <w:rPr>
          <w:sz w:val="20"/>
          <w:szCs w:val="20"/>
          <w:color w:val="auto"/>
        </w:rPr>
      </w:pPr>
      <w:r>
        <w:rPr>
          <w:rFonts w:ascii="Times New Roman" w:cs="Times New Roman" w:eastAsia="Times New Roman" w:hAnsi="Times New Roman"/>
          <w:sz w:val="18"/>
          <w:szCs w:val="18"/>
          <w:color w:val="auto"/>
        </w:rPr>
        <w:t>12.06.2022</w:t>
      </w:r>
    </w:p>
    <w:p>
      <w:pPr>
        <w:sectPr>
          <w:pgSz w:w="11900" w:h="16838" w:orient="portrait"/>
          <w:cols w:equalWidth="0" w:num="1">
            <w:col w:w="11240"/>
          </w:cols>
          <w:pgMar w:left="320" w:top="1395" w:right="339" w:bottom="1440" w:gutter="0" w:footer="0" w:header="0"/>
        </w:sectPr>
      </w:pPr>
    </w:p>
    <w:bookmarkStart w:id="58" w:name="page59"/>
    <w:bookmarkEnd w:id="58"/>
    <w:p>
      <w:pPr>
        <w:jc w:val="both"/>
        <w:spacing w:after="0" w:line="236" w:lineRule="auto"/>
        <w:rPr>
          <w:sz w:val="20"/>
          <w:szCs w:val="20"/>
          <w:color w:val="auto"/>
        </w:rPr>
      </w:pPr>
      <w:r>
        <w:rPr>
          <w:rFonts w:ascii="Times New Roman" w:cs="Times New Roman" w:eastAsia="Times New Roman" w:hAnsi="Times New Roman"/>
          <w:sz w:val="22"/>
          <w:szCs w:val="22"/>
          <w:color w:val="auto"/>
        </w:rPr>
        <w:t>proceeding (or part thereof) initiated by such indemnitee only if such proceeding (or part thereof) was authorized by the Board of Directors.</w:t>
      </w:r>
    </w:p>
    <w:p>
      <w:pPr>
        <w:spacing w:after="0" w:line="150" w:lineRule="exact"/>
        <w:rPr>
          <w:sz w:val="20"/>
          <w:szCs w:val="20"/>
          <w:color w:val="auto"/>
        </w:rPr>
      </w:pPr>
    </w:p>
    <w:p>
      <w:pPr>
        <w:jc w:val="both"/>
        <w:ind w:firstLine="1296"/>
        <w:spacing w:after="0" w:line="209" w:lineRule="auto"/>
        <w:rPr>
          <w:sz w:val="20"/>
          <w:szCs w:val="20"/>
          <w:color w:val="auto"/>
        </w:rPr>
      </w:pPr>
      <w:r>
        <w:rPr>
          <w:rFonts w:ascii="Times New Roman" w:cs="Times New Roman" w:eastAsia="Times New Roman" w:hAnsi="Times New Roman"/>
          <w:sz w:val="22"/>
          <w:szCs w:val="22"/>
          <w:color w:val="auto"/>
        </w:rPr>
        <w:t>Any reference to an officer of the Corporation in this Article VII shall be deemed to refer exclusively to the Chief Executive Officer, President, Chief Financial Officer, General Counsel, Treasurer and Secretary of the Corporation appointed pursuant to Article IV of these Bylaws, and to any Vice President, Assistant Secretary, Assistant Treasurer or other officer of the Corporation appointed by the Board of Directors pursuant to Article IV of these Bylaws,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but not an officer thereof as described in the preceding sentence, has been given or has used the title of “Vice President” or any other title that could be construed to suggest or imply that such person is or may be such an officer of the Corporation or of such other corporation, partnership, joint venture, trust, employee benefit plan or other enterprise shall not result in such person being constituted as, or being deemed to be, such an officer of the Corporation or of such other corporation, partnership, joint venture, trust, employee benefit plan or other enterprise for purposes of this Article VII.</w:t>
      </w:r>
    </w:p>
    <w:p>
      <w:pPr>
        <w:spacing w:after="0" w:line="156"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color w:val="auto"/>
        </w:rPr>
        <w:t xml:space="preserve">SECTION 7.02 </w:t>
      </w:r>
      <w:r>
        <w:rPr>
          <w:rFonts w:ascii="Times New Roman" w:cs="Times New Roman" w:eastAsia="Times New Roman" w:hAnsi="Times New Roman"/>
          <w:sz w:val="22"/>
          <w:szCs w:val="22"/>
          <w:u w:val="single" w:color="auto"/>
          <w:color w:val="auto"/>
        </w:rPr>
        <w:t>Right to Advancement of Expenses</w:t>
      </w:r>
      <w:r>
        <w:rPr>
          <w:rFonts w:ascii="Times New Roman" w:cs="Times New Roman" w:eastAsia="Times New Roman" w:hAnsi="Times New Roman"/>
          <w:sz w:val="22"/>
          <w:szCs w:val="22"/>
          <w:color w:val="auto"/>
        </w:rPr>
        <w:t>. In addition to the right to indemnification conferred in Section 7.01, an indemnitee shall also have the right to be paid by the Corporation the expenses (including attorney’s fees) incurred in appearing at, participating in or defending any such proceeding in advance of its final disposition or in connection with a proceeding brought to establish or enforce a right to indemnification or advancement of expenses under this Article VII (which shall be governed by Section 7.03 (hereinafter an “</w:t>
      </w:r>
      <w:r>
        <w:rPr>
          <w:rFonts w:ascii="Times New Roman" w:cs="Times New Roman" w:eastAsia="Times New Roman" w:hAnsi="Times New Roman"/>
          <w:sz w:val="22"/>
          <w:szCs w:val="22"/>
          <w:u w:val="single" w:color="auto"/>
          <w:color w:val="auto"/>
        </w:rPr>
        <w:t>advancement of expenses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if the DGCL requires or in the case of an advance made in a proceeding brought to establish or enforce a right to indemnification or advancement, an advancement of expenses incurred by an indemnitee in his or her capacity as a director or officer (and not in any other capacity in which service was or is rendered by such indemnitee, including, without limitation, service to an employee benefit plan) shall be made solely upon delivery to the Corporation of an undertaking (hereinafter an “</w:t>
      </w:r>
      <w:r>
        <w:rPr>
          <w:rFonts w:ascii="Times New Roman" w:cs="Times New Roman" w:eastAsia="Times New Roman" w:hAnsi="Times New Roman"/>
          <w:sz w:val="22"/>
          <w:szCs w:val="22"/>
          <w:u w:val="single" w:color="auto"/>
          <w:color w:val="auto"/>
        </w:rPr>
        <w:t>undertaking</w:t>
      </w:r>
      <w:r>
        <w:rPr>
          <w:rFonts w:ascii="Times New Roman" w:cs="Times New Roman" w:eastAsia="Times New Roman" w:hAnsi="Times New Roman"/>
          <w:sz w:val="22"/>
          <w:szCs w:val="22"/>
          <w:color w:val="auto"/>
        </w:rPr>
        <w:t>”), by or on behalf of such indemnitee, to repay all amounts so advanced if it shall ultimately be determined by final judicial decision from which there is no further right to appeal (hereinafter a “</w:t>
      </w:r>
      <w:r>
        <w:rPr>
          <w:rFonts w:ascii="Times New Roman" w:cs="Times New Roman" w:eastAsia="Times New Roman" w:hAnsi="Times New Roman"/>
          <w:sz w:val="22"/>
          <w:szCs w:val="22"/>
          <w:u w:val="single" w:color="auto"/>
          <w:color w:val="auto"/>
        </w:rPr>
        <w:t>final adjudication</w:t>
      </w:r>
      <w:r>
        <w:rPr>
          <w:rFonts w:ascii="Times New Roman" w:cs="Times New Roman" w:eastAsia="Times New Roman" w:hAnsi="Times New Roman"/>
          <w:sz w:val="22"/>
          <w:szCs w:val="22"/>
          <w:color w:val="auto"/>
        </w:rPr>
        <w:t>”) that such indemnitee is not entitled to be indemnified or entitled to advancement of expenses under Sections 7.01 and 7.02 or otherwise.</w:t>
      </w:r>
    </w:p>
    <w:p>
      <w:pPr>
        <w:spacing w:after="0" w:line="152"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color w:val="auto"/>
        </w:rPr>
        <w:t xml:space="preserve">SECTION 7.03 </w:t>
      </w:r>
      <w:r>
        <w:rPr>
          <w:rFonts w:ascii="Times New Roman" w:cs="Times New Roman" w:eastAsia="Times New Roman" w:hAnsi="Times New Roman"/>
          <w:sz w:val="22"/>
          <w:szCs w:val="22"/>
          <w:u w:val="single" w:color="auto"/>
          <w:color w:val="auto"/>
        </w:rPr>
        <w:t>Right of Indemnitee to Bring Suit</w:t>
      </w:r>
      <w:r>
        <w:rPr>
          <w:rFonts w:ascii="Times New Roman" w:cs="Times New Roman" w:eastAsia="Times New Roman" w:hAnsi="Times New Roman"/>
          <w:sz w:val="22"/>
          <w:szCs w:val="22"/>
          <w:color w:val="auto"/>
        </w:rPr>
        <w:t>. If a claim under Section 7.01 or 7.02 of these Amended and Restated Bylaws is not paid in full by the Corporation within (a) sixty (60) days after a written claim for indemnification has been received by the Corporation or (b) twenty (20) days after a claim for an advancement of expenses has been received by the Corporation, the indemnitee may at any time thereafter bring suit against the Corporation to recover the unpaid amount of the claim or to obtain advancement of expenses, as applicable. To the fullest extent permitted by law, if the indemnitee is successful in whole or in part in any such suit, or in a suit brought by the Corporation to recover an advancement of expenses pursuant to the terms of an undertaking, the indemnitee shall be entitled to be paid also the expense of prosecuting or defending such suit. In any suit brought by the indemnitee to enforce a right to indemnification hereunder (but not in a suit brought by the indemnitee to enforce a right to an advancement of expenses) it shall be a defense that the indemnitee has not met any applicable standard for indemnification set forth in the DGCL, and in any suit brought by the Corporation to recover an advancement of expenses pursuant to the terms of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19" w:lineRule="auto"/>
        <w:rPr>
          <w:sz w:val="20"/>
          <w:szCs w:val="20"/>
          <w:color w:val="auto"/>
        </w:rPr>
      </w:pPr>
      <w:r>
        <w:rPr>
          <w:rFonts w:ascii="Times New Roman" w:cs="Times New Roman" w:eastAsia="Times New Roman" w:hAnsi="Times New Roman"/>
          <w:sz w:val="18"/>
          <w:szCs w:val="18"/>
          <w:color w:val="auto"/>
        </w:rPr>
        <w:t>420093</w:t>
      </w:r>
    </w:p>
    <w:p>
      <w:pPr>
        <w:spacing w:after="0"/>
        <w:rPr>
          <w:sz w:val="20"/>
          <w:szCs w:val="20"/>
          <w:color w:val="auto"/>
        </w:rPr>
      </w:pPr>
      <w:r>
        <w:rPr>
          <w:rFonts w:ascii="Times New Roman" w:cs="Times New Roman" w:eastAsia="Times New Roman" w:hAnsi="Times New Roman"/>
          <w:sz w:val="18"/>
          <w:szCs w:val="18"/>
          <w:color w:val="auto"/>
        </w:rPr>
        <w:t>12.06.2022</w:t>
      </w:r>
    </w:p>
    <w:p>
      <w:pPr>
        <w:sectPr>
          <w:pgSz w:w="11900" w:h="16838" w:orient="portrait"/>
          <w:cols w:equalWidth="0" w:num="1">
            <w:col w:w="11240"/>
          </w:cols>
          <w:pgMar w:left="320" w:top="1395" w:right="339" w:bottom="1440" w:gutter="0" w:footer="0" w:header="0"/>
        </w:sectPr>
      </w:pPr>
    </w:p>
    <w:bookmarkStart w:id="59" w:name="page60"/>
    <w:bookmarkEnd w:id="59"/>
    <w:p>
      <w:pPr>
        <w:jc w:val="both"/>
        <w:spacing w:after="0" w:line="210" w:lineRule="auto"/>
        <w:rPr>
          <w:sz w:val="20"/>
          <w:szCs w:val="20"/>
          <w:color w:val="auto"/>
        </w:rPr>
      </w:pPr>
      <w:r>
        <w:rPr>
          <w:rFonts w:ascii="Times New Roman" w:cs="Times New Roman" w:eastAsia="Times New Roman" w:hAnsi="Times New Roman"/>
          <w:sz w:val="22"/>
          <w:szCs w:val="22"/>
          <w:color w:val="auto"/>
        </w:rPr>
        <w:t>undertaking, the Corporation shall be entitled to recover such expenses upon a final adjudication that the indemnitee has not met any applicable standard for indemnification set forth in the DGCL. Neither the failure of the Corporation (including by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by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VII or otherwise shall be on the Corporation.</w:t>
      </w:r>
    </w:p>
    <w:p>
      <w:pPr>
        <w:spacing w:after="0" w:line="152" w:lineRule="exact"/>
        <w:rPr>
          <w:sz w:val="20"/>
          <w:szCs w:val="20"/>
          <w:color w:val="auto"/>
        </w:rPr>
      </w:pPr>
    </w:p>
    <w:p>
      <w:pPr>
        <w:ind w:left="1300"/>
        <w:spacing w:after="0"/>
        <w:tabs>
          <w:tab w:leader="none" w:pos="2840" w:val="left"/>
        </w:tabs>
        <w:rPr>
          <w:sz w:val="20"/>
          <w:szCs w:val="20"/>
          <w:color w:val="auto"/>
        </w:rPr>
      </w:pPr>
      <w:r>
        <w:rPr>
          <w:rFonts w:ascii="Times New Roman" w:cs="Times New Roman" w:eastAsia="Times New Roman" w:hAnsi="Times New Roman"/>
          <w:sz w:val="22"/>
          <w:szCs w:val="22"/>
          <w:color w:val="auto"/>
        </w:rPr>
        <w:t>SECTION 7.04</w:t>
      </w:r>
      <w:r>
        <w:rPr>
          <w:sz w:val="20"/>
          <w:szCs w:val="20"/>
          <w:color w:val="auto"/>
        </w:rPr>
        <w:tab/>
      </w:r>
      <w:r>
        <w:rPr>
          <w:rFonts w:ascii="Times New Roman" w:cs="Times New Roman" w:eastAsia="Times New Roman" w:hAnsi="Times New Roman"/>
          <w:sz w:val="21"/>
          <w:szCs w:val="21"/>
          <w:u w:val="single" w:color="auto"/>
          <w:color w:val="auto"/>
        </w:rPr>
        <w:t>Indemnification Not Exclusive</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3" w:lineRule="auto"/>
        <w:tabs>
          <w:tab w:leader="none" w:pos="18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 of indemnification to or the advancement of expenses and costs to any indemnitee under this Article VII, or the entitlement of any indemnitee to indemnification or advancement of expenses and costs under this Article VII, shall not limit or restrict in any way the power of the Corporation to indemnify or advance expenses and costs to such indemnitee in any other way permitted by law or be deemed exclusive of, or invalidate, any right to which any indemnitee seeking indemnification or advancement of expenses and costs may be entitled under any law, agreement, vote of stockholders or disinterested directors or otherwise, both as to action in such indemnitee’s capacity as an officer, director, employee or agent of the Corporation and as to action in any other capacity.</w:t>
      </w:r>
    </w:p>
    <w:p>
      <w:pPr>
        <w:spacing w:after="0" w:line="156" w:lineRule="exact"/>
        <w:rPr>
          <w:rFonts w:ascii="Times New Roman" w:cs="Times New Roman" w:eastAsia="Times New Roman" w:hAnsi="Times New Roman"/>
          <w:sz w:val="22"/>
          <w:szCs w:val="22"/>
          <w:color w:val="auto"/>
        </w:rPr>
      </w:pPr>
    </w:p>
    <w:p>
      <w:pPr>
        <w:jc w:val="both"/>
        <w:ind w:firstLine="1304"/>
        <w:spacing w:after="0" w:line="208" w:lineRule="auto"/>
        <w:tabs>
          <w:tab w:leader="none" w:pos="194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Given that certain jointly indemnifiable claims (as defined below) may arise due to the service of the indemnitee as a director and/or officer of the Corporation at the request of the indemnitee-related entities (as defined below), the Corporation shall be fully and primarily responsible for the payment to the indemnitee in respect of indemnification or advancement of all expenses, judgments, penalties, fines and amounts paid in settlement to the extent legally permitted and as required by the terms of the Amended and Restated Certificate of Incorporation or these Amended and Restated Bylaws of the Corporation (or any other agreement between the Corporation and such persons) in connection with any such jointly indemnifiable claims, pursuant to and in accordance with the terms of this Article VII, irrespective of any right of recovery the indemnitee may have from the indemnitee-related entities. Any obligation on the part of any indemnitee-related entities to indemnify or advance expenses to any indemnitee shall be secondary to the Corporation’s obligation and shall be reduced by any amount that the indemnitee may collect as indemnification or advancement from the Corporation. The Corporation irrevocably waives, relinquishes and releases the indemnitee-related entities from any and all claims it may have against the indemnitee-related entities for contribution, subrogation or any other recovery of any kind in respect thereof. Under no circumstance shall the Corporation be entitled to any right of subrogation or contribution by the indemnitee-related entities and no right of advancement or recovery the indemnitee may have from the indemnitee-related entities shall reduce or otherwise alter the rights of the indemnitee or the obligations of the Corporation hereunder. In the event that any of the indemnitee-related entities shall make any payment to the indemnitee in respect of indemnification or advancement of expenses with respect to any jointly indemnifiable claim, the indemnitee-related entity making such payment shall be subrogated to the extent of such payment to all of the rights of recovery of the indemnitee against the Corporation, and the indemnitee shall execute all papers reasonably required and shall do all things that may be reasonably necessary to secure such rights,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19" w:lineRule="auto"/>
        <w:rPr>
          <w:sz w:val="20"/>
          <w:szCs w:val="20"/>
          <w:color w:val="auto"/>
        </w:rPr>
      </w:pPr>
      <w:r>
        <w:rPr>
          <w:rFonts w:ascii="Times New Roman" w:cs="Times New Roman" w:eastAsia="Times New Roman" w:hAnsi="Times New Roman"/>
          <w:sz w:val="18"/>
          <w:szCs w:val="18"/>
          <w:color w:val="auto"/>
        </w:rPr>
        <w:t>420093</w:t>
      </w:r>
    </w:p>
    <w:p>
      <w:pPr>
        <w:spacing w:after="0"/>
        <w:rPr>
          <w:sz w:val="20"/>
          <w:szCs w:val="20"/>
          <w:color w:val="auto"/>
        </w:rPr>
      </w:pPr>
      <w:r>
        <w:rPr>
          <w:rFonts w:ascii="Times New Roman" w:cs="Times New Roman" w:eastAsia="Times New Roman" w:hAnsi="Times New Roman"/>
          <w:sz w:val="18"/>
          <w:szCs w:val="18"/>
          <w:color w:val="auto"/>
        </w:rPr>
        <w:t>12.06.2022</w:t>
      </w:r>
    </w:p>
    <w:p>
      <w:pPr>
        <w:sectPr>
          <w:pgSz w:w="11900" w:h="16838" w:orient="portrait"/>
          <w:cols w:equalWidth="0" w:num="1">
            <w:col w:w="11240"/>
          </w:cols>
          <w:pgMar w:left="320" w:top="1395" w:right="339" w:bottom="1440" w:gutter="0" w:footer="0" w:header="0"/>
        </w:sectPr>
      </w:pPr>
    </w:p>
    <w:bookmarkStart w:id="60" w:name="page61"/>
    <w:bookmarkEnd w:id="60"/>
    <w:p>
      <w:pPr>
        <w:jc w:val="both"/>
        <w:spacing w:after="0" w:line="225" w:lineRule="auto"/>
        <w:rPr>
          <w:sz w:val="20"/>
          <w:szCs w:val="20"/>
          <w:color w:val="auto"/>
        </w:rPr>
      </w:pPr>
      <w:r>
        <w:rPr>
          <w:rFonts w:ascii="Times New Roman" w:cs="Times New Roman" w:eastAsia="Times New Roman" w:hAnsi="Times New Roman"/>
          <w:sz w:val="22"/>
          <w:szCs w:val="22"/>
          <w:color w:val="auto"/>
        </w:rPr>
        <w:t>the execution of such documents as may be necessary to enable the indemnitee-related entities effectively to bring suit to enforce such rights. Each of the indemnitee-related entities shall be third-party beneficiaries with respect to this Section 7.04(B) of Article VII, entitled to enforce this Section 7.04(B) of Article VII.</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For purposes of this Section 7.04(B) of Article VII, the following terms shall have the following meanings:</w:t>
      </w:r>
    </w:p>
    <w:p>
      <w:pPr>
        <w:spacing w:after="0" w:line="179" w:lineRule="exact"/>
        <w:rPr>
          <w:sz w:val="20"/>
          <w:szCs w:val="20"/>
          <w:color w:val="auto"/>
        </w:rPr>
      </w:pPr>
    </w:p>
    <w:p>
      <w:pPr>
        <w:jc w:val="both"/>
        <w:ind w:firstLine="656"/>
        <w:spacing w:after="0" w:line="213" w:lineRule="auto"/>
        <w:tabs>
          <w:tab w:leader="none" w:pos="114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indemnitee-related entities</w:t>
      </w:r>
      <w:r>
        <w:rPr>
          <w:rFonts w:ascii="Times New Roman" w:cs="Times New Roman" w:eastAsia="Times New Roman" w:hAnsi="Times New Roman"/>
          <w:sz w:val="22"/>
          <w:szCs w:val="22"/>
          <w:color w:val="auto"/>
        </w:rPr>
        <w:t>” means any corporation, limited liability company, partnership, joint venture, trust, employee benefit plan or other enterprise (other than the Corporation or any other corporation, limited liability company, partnership, joint venture, trust, employee benefit plan or other enterprise for which the indemnitee has agreed, on behalf of the Corporation or at the Corporation’s request, to serve as a director, officer, employee or agent and which service is covered by the indemnity described herein) from whom an indemnitee may be entitled to indemnification or advancement of expenses with respect to which, in whole or in part, the Corporation may also have an indemnification or advancement obligation (other than as a result of obligations under an insurance policy).</w:t>
      </w:r>
    </w:p>
    <w:p>
      <w:pPr>
        <w:spacing w:after="0" w:line="156" w:lineRule="exact"/>
        <w:rPr>
          <w:rFonts w:ascii="Times New Roman" w:cs="Times New Roman" w:eastAsia="Times New Roman" w:hAnsi="Times New Roman"/>
          <w:sz w:val="22"/>
          <w:szCs w:val="22"/>
          <w:color w:val="auto"/>
        </w:rPr>
      </w:pPr>
    </w:p>
    <w:p>
      <w:pPr>
        <w:jc w:val="both"/>
        <w:ind w:firstLine="656"/>
        <w:spacing w:after="0" w:line="227" w:lineRule="auto"/>
        <w:tabs>
          <w:tab w:leader="none" w:pos="113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u w:val="single" w:color="auto"/>
          <w:color w:val="auto"/>
        </w:rPr>
        <w:t>jointly indemnifiable claims</w:t>
      </w:r>
      <w:r>
        <w:rPr>
          <w:rFonts w:ascii="Times New Roman" w:cs="Times New Roman" w:eastAsia="Times New Roman" w:hAnsi="Times New Roman"/>
          <w:sz w:val="21"/>
          <w:szCs w:val="21"/>
          <w:color w:val="auto"/>
        </w:rPr>
        <w:t>” shall be broadly construed and shall include, without limitation, any action, suit or proceeding for which the indemnitee shall be entitled to indemnification or advancement of expenses from both the indemnitee-related entities and the Corporation pursuant to Delaware law or other comparable governing law, or any agreement or certificate of incorporation, bylaws, partnership agreement, operating agreement, certificate of formation, certificate of limited partnership or other comparable organizational documents of the Corporation or the indemnitee-related entities, as applicable.</w:t>
      </w:r>
    </w:p>
    <w:p>
      <w:pPr>
        <w:spacing w:after="0" w:line="154"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 xml:space="preserve">SECTION 7.05 </w:t>
      </w:r>
      <w:r>
        <w:rPr>
          <w:rFonts w:ascii="Times New Roman" w:cs="Times New Roman" w:eastAsia="Times New Roman" w:hAnsi="Times New Roman"/>
          <w:sz w:val="22"/>
          <w:szCs w:val="22"/>
          <w:u w:val="single" w:color="auto"/>
          <w:color w:val="auto"/>
        </w:rPr>
        <w:t>Corporate Obligations; Reliance</w:t>
      </w:r>
      <w:r>
        <w:rPr>
          <w:rFonts w:ascii="Times New Roman" w:cs="Times New Roman" w:eastAsia="Times New Roman" w:hAnsi="Times New Roman"/>
          <w:sz w:val="22"/>
          <w:szCs w:val="22"/>
          <w:color w:val="auto"/>
        </w:rPr>
        <w:t>. The rights granted pursuant to the provisions of this Article VII shall be contract rights and such rights shall continue as to an indemnitee who has ceased to be a director or officer and shall inure to the benefit of the indemnitee’s heirs, executors and administrators. Any amendment, alteration or repeal of this Article VII that adversely affects any right of an indemnitee or its successors shall be prospective only and shall not limit, eliminate, or impair any such right with respect to any proceeding involving any occurrence or alleged occurrence of any action or omission to act that took place prior to such amendment or repeal.</w:t>
      </w:r>
    </w:p>
    <w:p>
      <w:pPr>
        <w:spacing w:after="0" w:line="152"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SECTION 7.06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The Corporation may purchase and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152"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SECTION 7.07 </w:t>
      </w:r>
      <w:r>
        <w:rPr>
          <w:rFonts w:ascii="Times New Roman" w:cs="Times New Roman" w:eastAsia="Times New Roman" w:hAnsi="Times New Roman"/>
          <w:sz w:val="22"/>
          <w:szCs w:val="22"/>
          <w:u w:val="single" w:color="auto"/>
          <w:color w:val="auto"/>
        </w:rPr>
        <w:t>Indemnification of Employees and Agents of the Corporation</w:t>
      </w:r>
      <w:r>
        <w:rPr>
          <w:rFonts w:ascii="Times New Roman" w:cs="Times New Roman" w:eastAsia="Times New Roman" w:hAnsi="Times New Roman"/>
          <w:sz w:val="22"/>
          <w:szCs w:val="22"/>
          <w:color w:val="auto"/>
        </w:rPr>
        <w:t>. The Corporation may, to the extent authorized from time to time by the Board of Directors, grant rights to indemnification and to the advancement of expenses to any employee or agent of the Corporation to the fullest extent of the provisions of this Article VII with respect to the indemnification and advancement of expenses of directors and officers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19" w:lineRule="auto"/>
        <w:rPr>
          <w:sz w:val="20"/>
          <w:szCs w:val="20"/>
          <w:color w:val="auto"/>
        </w:rPr>
      </w:pPr>
      <w:r>
        <w:rPr>
          <w:rFonts w:ascii="Times New Roman" w:cs="Times New Roman" w:eastAsia="Times New Roman" w:hAnsi="Times New Roman"/>
          <w:sz w:val="18"/>
          <w:szCs w:val="18"/>
          <w:color w:val="auto"/>
        </w:rPr>
        <w:t>420093</w:t>
      </w:r>
    </w:p>
    <w:p>
      <w:pPr>
        <w:spacing w:after="0"/>
        <w:rPr>
          <w:sz w:val="20"/>
          <w:szCs w:val="20"/>
          <w:color w:val="auto"/>
        </w:rPr>
      </w:pPr>
      <w:r>
        <w:rPr>
          <w:rFonts w:ascii="Times New Roman" w:cs="Times New Roman" w:eastAsia="Times New Roman" w:hAnsi="Times New Roman"/>
          <w:sz w:val="18"/>
          <w:szCs w:val="18"/>
          <w:color w:val="auto"/>
        </w:rPr>
        <w:t>12.06.2022</w:t>
      </w:r>
    </w:p>
    <w:p>
      <w:pPr>
        <w:sectPr>
          <w:pgSz w:w="11900" w:h="16838" w:orient="portrait"/>
          <w:cols w:equalWidth="0" w:num="1">
            <w:col w:w="11240"/>
          </w:cols>
          <w:pgMar w:left="320" w:top="1395"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5"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8.01 </w:t>
      </w:r>
      <w:r>
        <w:rPr>
          <w:rFonts w:ascii="Times New Roman" w:cs="Times New Roman" w:eastAsia="Times New Roman" w:hAnsi="Times New Roman"/>
          <w:sz w:val="22"/>
          <w:szCs w:val="22"/>
          <w:u w:val="single" w:color="auto"/>
          <w:color w:val="auto"/>
        </w:rPr>
        <w:t>Electronic Transmission, etc</w:t>
      </w:r>
      <w:r>
        <w:rPr>
          <w:rFonts w:ascii="Times New Roman" w:cs="Times New Roman" w:eastAsia="Times New Roman" w:hAnsi="Times New Roman"/>
          <w:sz w:val="22"/>
          <w:szCs w:val="22"/>
          <w:color w:val="auto"/>
        </w:rPr>
        <w:t>. For purposes of these Amended and Restated Bylaws, “</w:t>
      </w:r>
      <w:r>
        <w:rPr>
          <w:rFonts w:ascii="Times New Roman" w:cs="Times New Roman" w:eastAsia="Times New Roman" w:hAnsi="Times New Roman"/>
          <w:sz w:val="22"/>
          <w:szCs w:val="22"/>
          <w:u w:val="single" w:color="auto"/>
          <w:color w:val="auto"/>
        </w:rPr>
        <w:t>electronic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transmission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electronic mail</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electronic mail address</w:t>
      </w:r>
      <w:r>
        <w:rPr>
          <w:rFonts w:ascii="Times New Roman" w:cs="Times New Roman" w:eastAsia="Times New Roman" w:hAnsi="Times New Roman"/>
          <w:sz w:val="22"/>
          <w:szCs w:val="22"/>
          <w:color w:val="auto"/>
        </w:rPr>
        <w:t>” shall have the meanings ascribed thereto in the DGCL.</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1"/>
          <w:szCs w:val="21"/>
          <w:color w:val="auto"/>
        </w:rPr>
        <w:t xml:space="preserve">SECTION 8.02 </w:t>
      </w:r>
      <w:r>
        <w:rPr>
          <w:rFonts w:ascii="Times New Roman" w:cs="Times New Roman" w:eastAsia="Times New Roman" w:hAnsi="Times New Roman"/>
          <w:sz w:val="21"/>
          <w:szCs w:val="21"/>
          <w:u w:val="single" w:color="auto"/>
          <w:color w:val="auto"/>
        </w:rPr>
        <w:t>Corporate Seal</w:t>
      </w:r>
      <w:r>
        <w:rPr>
          <w:rFonts w:ascii="Times New Roman" w:cs="Times New Roman" w:eastAsia="Times New Roman" w:hAnsi="Times New Roman"/>
          <w:sz w:val="21"/>
          <w:szCs w:val="21"/>
          <w:color w:val="auto"/>
        </w:rPr>
        <w:t>. The Board of Directors may provide a suitable seal, containing the name of the Corporation, which seal shall be in the charge of the Secretary. If and when so directed by the Board of Directors or a committee thereof, duplicates of the seal may be kept and used by the Treasurer or by an Assistant Secretary or Assistant Treasurer.</w:t>
      </w:r>
    </w:p>
    <w:p>
      <w:pPr>
        <w:spacing w:after="0" w:line="15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1"/>
          <w:szCs w:val="21"/>
          <w:color w:val="auto"/>
        </w:rPr>
        <w:t xml:space="preserve">SECTION 8.03 </w:t>
      </w:r>
      <w:r>
        <w:rPr>
          <w:rFonts w:ascii="Times New Roman" w:cs="Times New Roman" w:eastAsia="Times New Roman" w:hAnsi="Times New Roman"/>
          <w:sz w:val="21"/>
          <w:szCs w:val="21"/>
          <w:u w:val="single" w:color="auto"/>
          <w:color w:val="auto"/>
        </w:rPr>
        <w:t>Fiscal Year</w:t>
      </w:r>
      <w:r>
        <w:rPr>
          <w:rFonts w:ascii="Times New Roman" w:cs="Times New Roman" w:eastAsia="Times New Roman" w:hAnsi="Times New Roman"/>
          <w:sz w:val="21"/>
          <w:szCs w:val="21"/>
          <w:color w:val="auto"/>
        </w:rPr>
        <w:t>. The fiscal year of the Corporation shall end on the Saturday closest to January 31 of each year (which Saturday may occur on a date following January 31), or such other day as the Board of Directors may designate.</w:t>
      </w:r>
    </w:p>
    <w:p>
      <w:pPr>
        <w:spacing w:after="0" w:line="135"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SECTION 8.04 </w:t>
      </w:r>
      <w:r>
        <w:rPr>
          <w:rFonts w:ascii="Times New Roman" w:cs="Times New Roman" w:eastAsia="Times New Roman" w:hAnsi="Times New Roman"/>
          <w:sz w:val="22"/>
          <w:szCs w:val="22"/>
          <w:u w:val="single" w:color="auto"/>
          <w:color w:val="auto"/>
        </w:rPr>
        <w:t>Section Headings; Section References</w:t>
      </w:r>
      <w:r>
        <w:rPr>
          <w:rFonts w:ascii="Times New Roman" w:cs="Times New Roman" w:eastAsia="Times New Roman" w:hAnsi="Times New Roman"/>
          <w:sz w:val="22"/>
          <w:szCs w:val="22"/>
          <w:color w:val="auto"/>
        </w:rPr>
        <w:t>. Section headings in these Amended and Restated Bylaws are for convenience of reference only and shall not be given any substantive effect in limiting or otherwise construing any provision herein. Except as otherwise indicated, section references herein refer to sections of these Amended and Restated Bylaws.</w:t>
      </w:r>
    </w:p>
    <w:p>
      <w:pPr>
        <w:spacing w:after="0" w:line="152"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SECTION 8.05 </w:t>
      </w:r>
      <w:r>
        <w:rPr>
          <w:rFonts w:ascii="Times New Roman" w:cs="Times New Roman" w:eastAsia="Times New Roman" w:hAnsi="Times New Roman"/>
          <w:sz w:val="22"/>
          <w:szCs w:val="22"/>
          <w:u w:val="single" w:color="auto"/>
          <w:color w:val="auto"/>
        </w:rPr>
        <w:t>Inconsistent Provisions</w:t>
      </w:r>
      <w:r>
        <w:rPr>
          <w:rFonts w:ascii="Times New Roman" w:cs="Times New Roman" w:eastAsia="Times New Roman" w:hAnsi="Times New Roman"/>
          <w:sz w:val="22"/>
          <w:szCs w:val="22"/>
          <w:color w:val="auto"/>
        </w:rPr>
        <w:t>. In the event that any provision of these Amended and Restated Bylaws is or becomes inconsistent with any provision of the Amended and Restated Certificate of Incorporation, the DGCL or any other applicable law, such provision of these Amended and Restated Bylaws shall not be given any effect to the extent of such inconsistency but shall otherwise be given full force and effect.</w:t>
      </w:r>
    </w:p>
    <w:p>
      <w:pPr>
        <w:spacing w:after="0" w:line="14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17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b w:val="1"/>
          <w:bCs w:val="1"/>
          <w:color w:val="auto"/>
        </w:rPr>
        <w:t>Amendments</w:t>
      </w:r>
    </w:p>
    <w:p>
      <w:pPr>
        <w:spacing w:after="0" w:line="183" w:lineRule="exact"/>
        <w:rPr>
          <w:sz w:val="20"/>
          <w:szCs w:val="20"/>
          <w:color w:val="auto"/>
        </w:rPr>
      </w:pPr>
    </w:p>
    <w:p>
      <w:pPr>
        <w:jc w:val="both"/>
        <w:ind w:firstLine="1296"/>
        <w:spacing w:after="0" w:line="209" w:lineRule="auto"/>
        <w:rPr>
          <w:sz w:val="20"/>
          <w:szCs w:val="20"/>
          <w:color w:val="auto"/>
        </w:rPr>
      </w:pPr>
      <w:r>
        <w:rPr>
          <w:rFonts w:ascii="Times New Roman" w:cs="Times New Roman" w:eastAsia="Times New Roman" w:hAnsi="Times New Roman"/>
          <w:sz w:val="22"/>
          <w:szCs w:val="22"/>
          <w:color w:val="auto"/>
        </w:rPr>
        <w:t xml:space="preserve">SECTION 9.01 </w:t>
      </w: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The Board of Directors is authorized to make, repeal, alter, amend and rescind, in whole or in part, these Amended and Restated Bylaws without the assent or vote of the stockholders in any manner not inconsistent with the laws of the State of Delaware or the Amended and Restated Certificate of Incorporation. For so long as KKR beneficially owns, in the aggregate, at least 40% in voting power of the stock of the Corporation entitled to vote generally in the election of directors, in addition to any vote of the holders of any class or series of capital stock of the Corporation required by the Amended and Restated Certificate of Incorporation (including any certificate of designation relating to any series of Preferred Stock (as defined in the Amended and Restated Certificate of Incorporation)), by these Amended and Restated Bylaws or applicable law, the affirmative vote of the holders of a majority in voting power of all the then-outstanding shares of stock of the Corporation entitled to vote thereon, voting together as a single class, shall be required in order for the stockholders of the Corporation to alter, amend, repeal or rescind, in whole or in part, any provision of these Amended and Restated Bylaws or to adopt any provision inconsistent therewith. Notwithstanding any other provisions of these Amended and Restated Bylaws or any provision of law that might otherwise permit a lesser vote of the stockholders, at any time when KKR beneficially owns, in the aggregate, less than 40% in voting power of the stock of the Corporation entitled to vote generally in the election of directors, in addition to any vote of the holders of any class or series of capital stock of the Corporation required by the Amended and Restated Certificate of Incorporation (including any certificate of designation relating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3" w:lineRule="auto"/>
        <w:rPr>
          <w:sz w:val="20"/>
          <w:szCs w:val="20"/>
          <w:color w:val="auto"/>
        </w:rPr>
      </w:pPr>
      <w:r>
        <w:rPr>
          <w:rFonts w:ascii="Times New Roman" w:cs="Times New Roman" w:eastAsia="Times New Roman" w:hAnsi="Times New Roman"/>
          <w:sz w:val="18"/>
          <w:szCs w:val="18"/>
          <w:color w:val="auto"/>
        </w:rPr>
        <w:t>420093</w:t>
      </w:r>
    </w:p>
    <w:p>
      <w:pPr>
        <w:spacing w:after="0"/>
        <w:rPr>
          <w:sz w:val="20"/>
          <w:szCs w:val="20"/>
          <w:color w:val="auto"/>
        </w:rPr>
      </w:pPr>
      <w:r>
        <w:rPr>
          <w:rFonts w:ascii="Times New Roman" w:cs="Times New Roman" w:eastAsia="Times New Roman" w:hAnsi="Times New Roman"/>
          <w:sz w:val="18"/>
          <w:szCs w:val="18"/>
          <w:color w:val="auto"/>
        </w:rPr>
        <w:t>12.06.2022</w:t>
      </w:r>
    </w:p>
    <w:p>
      <w:pPr>
        <w:sectPr>
          <w:pgSz w:w="11900" w:h="16838" w:orient="portrait"/>
          <w:cols w:equalWidth="0" w:num="1">
            <w:col w:w="11240"/>
          </w:cols>
          <w:pgMar w:left="320" w:top="1418" w:right="339" w:bottom="1440" w:gutter="0" w:footer="0" w:header="0"/>
        </w:sectPr>
      </w:pPr>
    </w:p>
    <w:bookmarkStart w:id="62" w:name="page63"/>
    <w:bookmarkEnd w:id="62"/>
    <w:p>
      <w:pPr>
        <w:jc w:val="both"/>
        <w:spacing w:after="0" w:line="217" w:lineRule="auto"/>
        <w:rPr>
          <w:sz w:val="20"/>
          <w:szCs w:val="20"/>
          <w:color w:val="auto"/>
        </w:rPr>
      </w:pPr>
      <w:r>
        <w:rPr>
          <w:rFonts w:ascii="Times New Roman" w:cs="Times New Roman" w:eastAsia="Times New Roman" w:hAnsi="Times New Roman"/>
          <w:sz w:val="22"/>
          <w:szCs w:val="22"/>
          <w:color w:val="auto"/>
        </w:rPr>
        <w:t>series of Preferred Stock (as defined in the Amended and Restated Certificate of Incorporation)), these Amended and Restated Bylaws or applicable law, the affirmative vote of the holders of at least 66⅔% in voting power of all the then-outstanding shares of stock of the Corporation entitled to vote thereon, voting together as a single class, shall be required in order for the stockholders of the Corporation to alter, amend, repeal or rescind, in whole or in part, any provision of these Amended and Restated Bylaws (including, without limitation, this Section 9.01) or to adopt any provision inconsistent herewith.</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pacing w:after="0" w:line="219" w:lineRule="auto"/>
        <w:rPr>
          <w:sz w:val="20"/>
          <w:szCs w:val="20"/>
          <w:color w:val="auto"/>
        </w:rPr>
      </w:pPr>
      <w:r>
        <w:rPr>
          <w:rFonts w:ascii="Times New Roman" w:cs="Times New Roman" w:eastAsia="Times New Roman" w:hAnsi="Times New Roman"/>
          <w:sz w:val="18"/>
          <w:szCs w:val="18"/>
          <w:color w:val="auto"/>
        </w:rPr>
        <w:t>420093</w:t>
      </w:r>
    </w:p>
    <w:p>
      <w:pPr>
        <w:spacing w:after="0"/>
        <w:rPr>
          <w:sz w:val="20"/>
          <w:szCs w:val="20"/>
          <w:color w:val="auto"/>
        </w:rPr>
      </w:pPr>
      <w:r>
        <w:rPr>
          <w:rFonts w:ascii="Times New Roman" w:cs="Times New Roman" w:eastAsia="Times New Roman" w:hAnsi="Times New Roman"/>
          <w:sz w:val="18"/>
          <w:szCs w:val="18"/>
          <w:color w:val="auto"/>
        </w:rPr>
        <w:t>12.06.2022</w:t>
      </w:r>
    </w:p>
    <w:p>
      <w:pPr>
        <w:sectPr>
          <w:pgSz w:w="11900" w:h="16838" w:orient="portrait"/>
          <w:cols w:equalWidth="0" w:num="1">
            <w:col w:w="11240"/>
          </w:cols>
          <w:pgMar w:left="320" w:top="1395"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 C. Hicks, certify that:</w:t>
      </w:r>
    </w:p>
    <w:p>
      <w:pPr>
        <w:spacing w:after="0" w:line="117" w:lineRule="exact"/>
        <w:rPr>
          <w:sz w:val="20"/>
          <w:szCs w:val="20"/>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October 29, 2022 (this “Report”) of Academy Sports and Outdoors, Inc. (the “Registrant”);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KEN C. HICKS</w:t>
            </w:r>
          </w:p>
        </w:tc>
        <w:tc>
          <w:tcPr>
            <w:tcW w:w="6140" w:type="dxa"/>
            <w:vAlign w:val="bottom"/>
          </w:tcPr>
          <w:p>
            <w:pPr>
              <w:ind w:left="4400"/>
              <w:spacing w:after="0"/>
              <w:rPr>
                <w:sz w:val="20"/>
                <w:szCs w:val="20"/>
                <w:color w:val="auto"/>
              </w:rPr>
            </w:pPr>
            <w:r>
              <w:rPr>
                <w:rFonts w:ascii="Times New Roman" w:cs="Times New Roman" w:eastAsia="Times New Roman" w:hAnsi="Times New Roman"/>
                <w:sz w:val="18"/>
                <w:szCs w:val="18"/>
                <w:color w:val="auto"/>
                <w:w w:val="97"/>
              </w:rPr>
              <w:t>Date: December 7, 2022</w:t>
            </w:r>
          </w:p>
        </w:tc>
      </w:tr>
      <w:tr>
        <w:trPr>
          <w:trHeight w:val="218"/>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 C. Hicks</w:t>
            </w:r>
          </w:p>
        </w:tc>
        <w:tc>
          <w:tcPr>
            <w:tcW w:w="6140" w:type="dxa"/>
            <w:vAlign w:val="bottom"/>
          </w:tcPr>
          <w:p>
            <w:pPr>
              <w:spacing w:after="0"/>
              <w:rPr>
                <w:sz w:val="18"/>
                <w:szCs w:val="18"/>
                <w:color w:val="auto"/>
              </w:rPr>
            </w:pP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c>
          <w:tcPr>
            <w:tcW w:w="6140" w:type="dxa"/>
            <w:vAlign w:val="bottom"/>
          </w:tcPr>
          <w:p>
            <w:pPr>
              <w:spacing w:after="0"/>
              <w:rPr>
                <w:sz w:val="19"/>
                <w:szCs w:val="19"/>
                <w:color w:val="auto"/>
              </w:rPr>
            </w:pPr>
          </w:p>
        </w:tc>
      </w:tr>
      <w:tr>
        <w:trPr>
          <w:trHeight w:val="234"/>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6140" w:type="dxa"/>
            <w:vAlign w:val="bottom"/>
          </w:tcPr>
          <w:p>
            <w:pPr>
              <w:spacing w:after="0"/>
              <w:rPr>
                <w:sz w:val="20"/>
                <w:szCs w:val="20"/>
                <w:color w:val="auto"/>
              </w:rPr>
            </w:pPr>
          </w:p>
        </w:tc>
      </w:tr>
    </w:tbl>
    <w:p>
      <w:pPr>
        <w:sectPr>
          <w:pgSz w:w="11900" w:h="16838" w:orient="portrait"/>
          <w:cols w:equalWidth="0" w:num="1">
            <w:col w:w="11240"/>
          </w:cols>
          <w:pgMar w:left="320" w:top="1089"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P. Mullican, certify that:</w:t>
      </w:r>
    </w:p>
    <w:p>
      <w:pPr>
        <w:spacing w:after="0" w:line="117" w:lineRule="exact"/>
        <w:rPr>
          <w:sz w:val="20"/>
          <w:szCs w:val="20"/>
          <w:color w:val="auto"/>
        </w:rPr>
      </w:pPr>
    </w:p>
    <w:p>
      <w:pPr>
        <w:ind w:left="6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October 29, 2022 (this “Report”) of Academy Sports and Outdoors, Inc. (the “Registrant”);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P. MULLICAN</w:t>
            </w:r>
          </w:p>
        </w:tc>
        <w:tc>
          <w:tcPr>
            <w:tcW w:w="6140" w:type="dxa"/>
            <w:vAlign w:val="bottom"/>
          </w:tcPr>
          <w:p>
            <w:pPr>
              <w:ind w:left="4400"/>
              <w:spacing w:after="0"/>
              <w:rPr>
                <w:sz w:val="20"/>
                <w:szCs w:val="20"/>
                <w:color w:val="auto"/>
              </w:rPr>
            </w:pPr>
            <w:r>
              <w:rPr>
                <w:rFonts w:ascii="Times New Roman" w:cs="Times New Roman" w:eastAsia="Times New Roman" w:hAnsi="Times New Roman"/>
                <w:sz w:val="18"/>
                <w:szCs w:val="18"/>
                <w:color w:val="auto"/>
                <w:w w:val="97"/>
              </w:rPr>
              <w:t>Date: December 7, 2022</w:t>
            </w:r>
          </w:p>
        </w:tc>
      </w:tr>
      <w:tr>
        <w:trPr>
          <w:trHeight w:val="218"/>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P. Mullican</w:t>
            </w:r>
          </w:p>
        </w:tc>
        <w:tc>
          <w:tcPr>
            <w:tcW w:w="6140" w:type="dxa"/>
            <w:vAlign w:val="bottom"/>
          </w:tcPr>
          <w:p>
            <w:pPr>
              <w:spacing w:after="0"/>
              <w:rPr>
                <w:sz w:val="18"/>
                <w:szCs w:val="18"/>
                <w:color w:val="auto"/>
              </w:rPr>
            </w:pP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6140" w:type="dxa"/>
            <w:vAlign w:val="bottom"/>
          </w:tcPr>
          <w:p>
            <w:pPr>
              <w:spacing w:after="0"/>
              <w:rPr>
                <w:sz w:val="19"/>
                <w:szCs w:val="19"/>
                <w:color w:val="auto"/>
              </w:rPr>
            </w:pPr>
          </w:p>
        </w:tc>
      </w:tr>
      <w:tr>
        <w:trPr>
          <w:trHeight w:val="234"/>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6140" w:type="dxa"/>
            <w:vAlign w:val="bottom"/>
          </w:tcPr>
          <w:p>
            <w:pPr>
              <w:spacing w:after="0"/>
              <w:rPr>
                <w:sz w:val="20"/>
                <w:szCs w:val="20"/>
                <w:color w:val="auto"/>
              </w:rPr>
            </w:pPr>
          </w:p>
        </w:tc>
      </w:tr>
    </w:tbl>
    <w:p>
      <w:pPr>
        <w:sectPr>
          <w:pgSz w:w="11900" w:h="16838" w:orient="portrait"/>
          <w:cols w:equalWidth="0" w:num="1">
            <w:col w:w="11240"/>
          </w:cols>
          <w:pgMar w:left="320" w:top="1089"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Academy Sports and Outdoors, Inc.. (the “Company”) for the quarterly period ended October 29, 2022, as filed with the Securities and Exchange Commission on the date hereof (the “Report”), I, Ken C. Hicks, Chairman, President and Chief Executive Officer of the Company, certify, pursuant to 18 U.S.C. Section 1350, as adopted pursuant to Section 906 of the Sarbanes-Oxley Act of 2002, that to my knowledge:</w:t>
      </w:r>
    </w:p>
    <w:p>
      <w:pPr>
        <w:spacing w:after="0" w:line="72"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KEN C. HICKS</w:t>
            </w:r>
          </w:p>
        </w:tc>
        <w:tc>
          <w:tcPr>
            <w:tcW w:w="4440" w:type="dxa"/>
            <w:vAlign w:val="bottom"/>
            <w:gridSpan w:val="2"/>
          </w:tcPr>
          <w:p>
            <w:pPr>
              <w:ind w:left="2700"/>
              <w:spacing w:after="0"/>
              <w:rPr>
                <w:sz w:val="20"/>
                <w:szCs w:val="20"/>
                <w:color w:val="auto"/>
              </w:rPr>
            </w:pPr>
            <w:r>
              <w:rPr>
                <w:rFonts w:ascii="Times New Roman" w:cs="Times New Roman" w:eastAsia="Times New Roman" w:hAnsi="Times New Roman"/>
                <w:sz w:val="18"/>
                <w:szCs w:val="18"/>
                <w:color w:val="auto"/>
                <w:w w:val="97"/>
              </w:rPr>
              <w:t>Date: December 7, 2022</w:t>
            </w:r>
          </w:p>
        </w:tc>
      </w:tr>
      <w:tr>
        <w:trPr>
          <w:trHeight w:val="218"/>
        </w:trPr>
        <w:tc>
          <w:tcPr>
            <w:tcW w:w="6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Ken C. Hicks</w:t>
            </w:r>
          </w:p>
        </w:tc>
        <w:tc>
          <w:tcPr>
            <w:tcW w:w="3100" w:type="dxa"/>
            <w:vAlign w:val="bottom"/>
            <w:tcBorders>
              <w:top w:val="single" w:sz="8" w:color="auto"/>
            </w:tcBorders>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c>
          <w:tcPr>
            <w:tcW w:w="3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4"/>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10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ectPr>
          <w:pgSz w:w="11900" w:h="16838" w:orient="portrait"/>
          <w:cols w:equalWidth="0" w:num="1">
            <w:col w:w="11240"/>
          </w:cols>
          <w:pgMar w:left="320" w:top="1089"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Academy Sports and Outdoors, Inc. (the “Company”) for the quarterly period ended October 29, 2022, as filed with the Securities and Exchange Commission on the date hereof (the “Report”), I, Michael P. Mullican, Executive Vice President and Chief Financial Officer of the Company, certify, pursuant to 18 U.S.C. Section 1350, as adopted pursuant to Section 906 of the Sarbanes-Oxley Act of 2002, that to my knowledge:</w:t>
      </w:r>
    </w:p>
    <w:p>
      <w:pPr>
        <w:spacing w:after="0" w:line="72"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MICHAEL P. MULLICAN</w:t>
            </w:r>
          </w:p>
        </w:tc>
        <w:tc>
          <w:tcPr>
            <w:tcW w:w="4300" w:type="dxa"/>
            <w:vAlign w:val="bottom"/>
            <w:gridSpan w:val="2"/>
          </w:tcPr>
          <w:p>
            <w:pPr>
              <w:ind w:left="2560"/>
              <w:spacing w:after="0"/>
              <w:rPr>
                <w:sz w:val="20"/>
                <w:szCs w:val="20"/>
                <w:color w:val="auto"/>
              </w:rPr>
            </w:pPr>
            <w:r>
              <w:rPr>
                <w:rFonts w:ascii="Times New Roman" w:cs="Times New Roman" w:eastAsia="Times New Roman" w:hAnsi="Times New Roman"/>
                <w:sz w:val="18"/>
                <w:szCs w:val="18"/>
                <w:color w:val="auto"/>
                <w:w w:val="97"/>
              </w:rPr>
              <w:t>Date: December 7, 2022</w:t>
            </w:r>
          </w:p>
        </w:tc>
      </w:tr>
      <w:tr>
        <w:trPr>
          <w:trHeight w:val="218"/>
        </w:trPr>
        <w:tc>
          <w:tcPr>
            <w:tcW w:w="6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Michael P. Mullican</w:t>
            </w:r>
          </w:p>
        </w:tc>
        <w:tc>
          <w:tcPr>
            <w:tcW w:w="2960" w:type="dxa"/>
            <w:vAlign w:val="bottom"/>
            <w:tcBorders>
              <w:top w:val="single" w:sz="8" w:color="auto"/>
            </w:tcBorders>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29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4"/>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96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decimal"/>
      <w:start w:val="90"/>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1)"/>
      <w:numFmt w:val="lowerLetter"/>
      <w:start w:val="1"/>
    </w:lvl>
  </w:abstractNum>
  <w:abstractNum w:abstractNumId="14">
    <w:nsid w:val="1E7FF521"/>
    <w:multiLevelType w:val="hybridMultilevel"/>
    <w:lvl w:ilvl="0">
      <w:lvlJc w:val="left"/>
      <w:lvlText w:val="(%1)"/>
      <w:numFmt w:val="lowerLetter"/>
      <w:start w:val="1"/>
    </w:lvl>
  </w:abstractNum>
  <w:abstractNum w:abstractNumId="15">
    <w:nsid w:val="7C3DBD3D"/>
    <w:multiLevelType w:val="hybridMultilevel"/>
    <w:lvl w:ilvl="0">
      <w:lvlJc w:val="left"/>
      <w:lvlText w:val="(%1)"/>
      <w:numFmt w:val="decimal"/>
      <w:start w:val="1"/>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1)"/>
      <w:numFmt w:val="decimal"/>
      <w:start w:val="1"/>
    </w:lvl>
  </w:abstractNum>
  <w:abstractNum w:abstractNumId="18">
    <w:nsid w:val="22221A70"/>
    <w:multiLevelType w:val="hybridMultilevel"/>
    <w:lvl w:ilvl="0">
      <w:lvlJc w:val="left"/>
      <w:lvlText w:val="(%1)"/>
      <w:numFmt w:val="decimal"/>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1)"/>
      <w:numFmt w:val="lowerLetter"/>
      <w:start w:val="1"/>
    </w:lvl>
  </w:abstractNum>
  <w:abstractNum w:abstractNumId="25">
    <w:nsid w:val="5072367"/>
    <w:multiLevelType w:val="hybridMultilevel"/>
    <w:lvl w:ilvl="0">
      <w:lvlJc w:val="left"/>
      <w:lvlText w:val="(%1)"/>
      <w:numFmt w:val="upperLetter"/>
      <w:start w:val="1"/>
    </w:lvl>
  </w:abstractNum>
  <w:abstractNum w:abstractNumId="26">
    <w:nsid w:val="3804823E"/>
    <w:multiLevelType w:val="hybridMultilevel"/>
    <w:lvl w:ilvl="0">
      <w:lvlJc w:val="left"/>
      <w:lvlText w:val="(%1)"/>
      <w:numFmt w:val="decimal"/>
      <w:start w:val="1"/>
    </w:lvl>
  </w:abstractNum>
  <w:abstractNum w:abstractNumId="27">
    <w:nsid w:val="77465F01"/>
    <w:multiLevelType w:val="hybridMultilevel"/>
    <w:lvl w:ilvl="0">
      <w:lvlJc w:val="left"/>
      <w:lvlText w:val="(%1)"/>
      <w:numFmt w:val="decimal"/>
      <w:start w:val="2"/>
    </w:lvl>
  </w:abstractNum>
  <w:abstractNum w:abstractNumId="28">
    <w:nsid w:val="7724C67E"/>
    <w:multiLevelType w:val="hybridMultilevel"/>
    <w:lvl w:ilvl="0">
      <w:lvlJc w:val="left"/>
      <w:lvlText w:val="(%1)"/>
      <w:numFmt w:val="lowerRoman"/>
      <w:start w:val="4"/>
    </w:lvl>
  </w:abstractNum>
  <w:abstractNum w:abstractNumId="29">
    <w:nsid w:val="5C482A97"/>
    <w:multiLevelType w:val="hybridMultilevel"/>
    <w:lvl w:ilvl="0">
      <w:lvlJc w:val="left"/>
      <w:lvlText w:val="(%1)"/>
      <w:numFmt w:val="upperLetter"/>
      <w:start w:val="2"/>
    </w:lvl>
  </w:abstractNum>
  <w:abstractNum w:abstractNumId="30">
    <w:nsid w:val="2463B9EA"/>
    <w:multiLevelType w:val="hybridMultilevel"/>
    <w:lvl w:ilvl="0">
      <w:lvlJc w:val="left"/>
      <w:lvlText w:val="(%1)"/>
      <w:numFmt w:val="decimal"/>
      <w:start w:val="1"/>
    </w:lvl>
  </w:abstractNum>
  <w:abstractNum w:abstractNumId="31">
    <w:nsid w:val="5E884ADC"/>
    <w:multiLevelType w:val="hybridMultilevel"/>
    <w:lvl w:ilvl="0">
      <w:lvlJc w:val="left"/>
      <w:lvlText w:val="(%1)"/>
      <w:numFmt w:val="decimal"/>
      <w:start w:val="2"/>
    </w:lvl>
  </w:abstractNum>
  <w:abstractNum w:abstractNumId="32">
    <w:nsid w:val="51EAD36B"/>
    <w:multiLevelType w:val="hybridMultilevel"/>
    <w:lvl w:ilvl="0">
      <w:lvlJc w:val="left"/>
      <w:lvlText w:val="(%1)"/>
      <w:numFmt w:val="upperLetter"/>
      <w:start w:val="1"/>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1)"/>
      <w:numFmt w:val="decimal"/>
      <w:start w:val="3"/>
    </w:lvl>
  </w:abstractNum>
  <w:abstractNum w:abstractNumId="35">
    <w:nsid w:val="153EA438"/>
    <w:multiLevelType w:val="hybridMultilevel"/>
    <w:lvl w:ilvl="0">
      <w:lvlJc w:val="left"/>
      <w:lvlText w:val="%1"/>
      <w:numFmt w:val="decimal"/>
      <w:start w:val="1"/>
    </w:lvl>
    <w:lvl w:ilvl="1">
      <w:lvlJc w:val="left"/>
      <w:lvlText w:val="(%2)"/>
      <w:numFmt w:val="upperLetter"/>
      <w:start w:val="1"/>
    </w:lvl>
  </w:abstractNum>
  <w:abstractNum w:abstractNumId="36">
    <w:nsid w:val="3855585C"/>
    <w:multiLevelType w:val="hybridMultilevel"/>
    <w:lvl w:ilvl="0">
      <w:lvlJc w:val="left"/>
      <w:lvlText w:val="(%1)"/>
      <w:numFmt w:val="decimal"/>
      <w:start w:val="60"/>
    </w:lvl>
    <w:lvl w:ilvl="1">
      <w:lvlJc w:val="left"/>
      <w:lvlText w:val="%2"/>
      <w:numFmt w:val="upperLetter"/>
      <w:start w:val="1"/>
    </w:lvl>
  </w:abstractNum>
  <w:abstractNum w:abstractNumId="37">
    <w:nsid w:val="70A64E2A"/>
    <w:multiLevelType w:val="hybridMultilevel"/>
    <w:lvl w:ilvl="0">
      <w:lvlJc w:val="left"/>
      <w:lvlText w:val="(%1)"/>
      <w:numFmt w:val="upperLetter"/>
      <w:start w:val="3"/>
    </w:lvl>
  </w:abstractNum>
  <w:abstractNum w:abstractNumId="38">
    <w:nsid w:val="6A2342EC"/>
    <w:multiLevelType w:val="hybridMultilevel"/>
    <w:lvl w:ilvl="0">
      <w:lvlJc w:val="left"/>
      <w:lvlText w:val="(%1)"/>
      <w:numFmt w:val="upperLetter"/>
      <w:start w:val="1"/>
    </w:lvl>
  </w:abstractNum>
  <w:abstractNum w:abstractNumId="39">
    <w:nsid w:val="2A487CB0"/>
    <w:multiLevelType w:val="hybridMultilevel"/>
    <w:lvl w:ilvl="0">
      <w:lvlJc w:val="left"/>
      <w:lvlText w:val="(%1)"/>
      <w:numFmt w:val="upperLetter"/>
      <w:start w:val="2"/>
    </w:lvl>
  </w:abstractNum>
  <w:abstractNum w:abstractNumId="40">
    <w:nsid w:val="1D4ED43B"/>
    <w:multiLevelType w:val="hybridMultilevel"/>
    <w:lvl w:ilvl="0">
      <w:lvlJc w:val="left"/>
      <w:lvlText w:val="(%1)"/>
      <w:numFmt w:val="upperLetter"/>
      <w:start w:val="1"/>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5" Type="http://schemas.openxmlformats.org/officeDocument/2006/relationships/image" Target="media/image47.png"/><Relationship Id="rId54" Type="http://schemas.openxmlformats.org/officeDocument/2006/relationships/hyperlink" Target="http://www.sec.gov/Archives/edgar/data/0001817358/000119312520264744/d910645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2022-12-07T15:10:41Z</dcterms:created>
  <dcterms:modified xsi:type="dcterms:W3CDTF">2022-12-07T15:10:41Z</dcterms:modified>
</cp:coreProperties>
</file>