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137160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March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141605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261620</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129540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379" w:lineRule="exact"/>
        <w:rPr>
          <w:sz w:val="24"/>
          <w:szCs w:val="24"/>
          <w:color w:val="auto"/>
        </w:rPr>
      </w:pPr>
    </w:p>
    <w:p>
      <w:pPr>
        <w:ind w:left="18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206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85-1800912</w:t>
      </w:r>
    </w:p>
    <w:p>
      <w:pPr>
        <w:spacing w:after="0" w:line="153" w:lineRule="exact"/>
        <w:rPr>
          <w:sz w:val="24"/>
          <w:szCs w:val="24"/>
          <w:color w:val="auto"/>
        </w:rPr>
      </w:pPr>
    </w:p>
    <w:p>
      <w:pPr>
        <w:sectPr>
          <w:pgSz w:w="11900" w:h="16838" w:orient="portrait"/>
          <w:cols w:equalWidth="0" w:num="3">
            <w:col w:w="4500" w:space="720"/>
            <w:col w:w="2760" w:space="720"/>
            <w:col w:w="246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138" w:lineRule="exact"/>
        <w:rPr>
          <w:sz w:val="24"/>
          <w:szCs w:val="24"/>
          <w:color w:val="auto"/>
        </w:rPr>
      </w:pPr>
    </w:p>
    <w:p>
      <w:pPr>
        <w:sectPr>
          <w:pgSz w:w="11900" w:h="16838" w:orient="portrait"/>
          <w:cols w:equalWidth="0" w:num="3">
            <w:col w:w="4420" w:space="720"/>
            <w:col w:w="2640" w:space="720"/>
            <w:col w:w="2660"/>
          </w:cols>
          <w:pgMar w:left="340" w:top="747" w:right="399" w:bottom="1440" w:gutter="0" w:footer="0" w:header="0"/>
          <w:type w:val="continuous"/>
        </w:sectPr>
      </w:pPr>
    </w:p>
    <w:p>
      <w:pPr>
        <w:ind w:left="11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60" w:space="720"/>
            <w:col w:w="2460" w:space="720"/>
            <w:col w:w="2700"/>
          </w:cols>
          <w:pgMar w:left="340" w:top="747" w:right="399" w:bottom="1440" w:gutter="0" w:footer="0" w:header="0"/>
          <w:type w:val="continuous"/>
        </w:sect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404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Arial" w:cs="Arial" w:eastAsia="Arial" w:hAnsi="Arial"/>
                <w:sz w:val="16"/>
                <w:szCs w:val="16"/>
                <w:b w:val="1"/>
                <w:bCs w:val="1"/>
                <w:color w:val="auto"/>
                <w:w w:val="88"/>
              </w:rPr>
              <w:t>Title of each class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gridSpan w:val="2"/>
          </w:tcPr>
          <w:p>
            <w:pPr>
              <w:jc w:val="center"/>
              <w:ind w:left="12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7"/>
          <w:szCs w:val="17"/>
          <w:color w:val="auto"/>
        </w:rPr>
        <w:t>On March 30, 2021, Academy Sports and Outdoors, Inc. (the “Company”) issued a press release announcing financial results for the fiscal fourth quarter and full year ended January 30, 2021. A copy of the release is furnished herewith as Exhibit 99.1 and incorporated by reference herein.</w:t>
      </w:r>
    </w:p>
    <w:p>
      <w:pPr>
        <w:spacing w:after="0" w:line="174" w:lineRule="exact"/>
        <w:rPr>
          <w:sz w:val="20"/>
          <w:szCs w:val="20"/>
          <w:color w:val="auto"/>
        </w:rPr>
      </w:pPr>
    </w:p>
    <w:p>
      <w:pPr>
        <w:jc w:val="both"/>
        <w:ind w:firstLine="401"/>
        <w:spacing w:after="0" w:line="241"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5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 No.</w:t>
            </w:r>
          </w:p>
        </w:tc>
        <w:tc>
          <w:tcPr>
            <w:tcW w:w="9540" w:type="dxa"/>
            <w:vAlign w:val="bottom"/>
          </w:tcPr>
          <w:p>
            <w:pPr>
              <w:ind w:left="39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r>
      <w:tr>
        <w:trPr>
          <w:trHeight w:val="196"/>
        </w:trPr>
        <w:tc>
          <w:tcPr>
            <w:tcW w:w="1500" w:type="dxa"/>
            <w:vAlign w:val="bottom"/>
            <w:gridSpan w:val="3"/>
            <w:shd w:val="clear" w:color="auto" w:fill="CCEEFF"/>
          </w:tcPr>
          <w:p>
            <w:pPr>
              <w:jc w:val="right"/>
              <w:ind w:right="100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7"/>
                <w:szCs w:val="17"/>
                <w:color w:val="auto"/>
              </w:rPr>
            </w:pPr>
          </w:p>
        </w:tc>
        <w:tc>
          <w:tcPr>
            <w:tcW w:w="9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Academy Sports and Outdoors, Inc. Press Release March 30, 2021</w:t>
            </w: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5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41"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Arial" w:cs="Arial" w:eastAsia="Arial" w:hAnsi="Arial"/>
          <w:sz w:val="18"/>
          <w:szCs w:val="18"/>
          <w:color w:val="auto"/>
        </w:rPr>
        <w:t>Date: March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514350</wp:posOffset>
            </wp:positionV>
            <wp:extent cx="197167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16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Announces Record Sales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Earnings for the Fourth Quarter &amp; Fiscal 2020</w:t>
      </w: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Fourth Quarter and Full Year Comparable Sales Increased 16.1%</w:t>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Fourth Quarter Gross Margin Rate Expanded 420 basis points over Q4 2019</w:t>
      </w:r>
    </w:p>
    <w:p>
      <w:pPr>
        <w:spacing w:after="0" w:line="239"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Full Year Net Income Increased 157.2% over 2019 to $308.8 million</w:t>
      </w:r>
    </w:p>
    <w:p>
      <w:pPr>
        <w:spacing w:after="0" w:line="200" w:lineRule="exact"/>
        <w:rPr>
          <w:sz w:val="20"/>
          <w:szCs w:val="20"/>
          <w:color w:val="auto"/>
        </w:rPr>
      </w:pPr>
    </w:p>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KATY, TEXAS (PRNewswire — March 30, 2021) </w:t>
      </w:r>
      <w:r>
        <w:rPr>
          <w:rFonts w:ascii="Arial" w:cs="Arial" w:eastAsia="Arial" w:hAnsi="Arial"/>
          <w:sz w:val="18"/>
          <w:szCs w:val="18"/>
          <w:color w:val="auto"/>
        </w:rPr>
        <w:t>– Academy Sports and Outdoors, Inc. (Nasdaq: ASO) ("Academy"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its financial results for the fourth quarter and fiscal year ended January 30, 2021. Unless otherwise indicated, comparisons are to the same period in the prior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2020 Results</w:t>
      </w:r>
    </w:p>
    <w:p>
      <w:pPr>
        <w:spacing w:after="0" w:line="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Net sales increased 16.6% to a record $1.60 billion. Comparable sales increased 16.1%, driven by strong consumer demand across all markets and merchandise divisions</w:t>
      </w:r>
      <w:r>
        <w:rPr>
          <w:rFonts w:ascii="Arial" w:cs="Arial" w:eastAsia="Arial" w:hAnsi="Arial"/>
          <w:sz w:val="21"/>
          <w:szCs w:val="21"/>
          <w:color w:val="008080"/>
        </w:rPr>
        <w:t>,</w:t>
      </w:r>
      <w:r>
        <w:rPr>
          <w:rFonts w:ascii="Arial" w:cs="Arial" w:eastAsia="Arial" w:hAnsi="Arial"/>
          <w:sz w:val="18"/>
          <w:szCs w:val="18"/>
          <w:color w:val="auto"/>
        </w:rPr>
        <w:t xml:space="preserve"> particularly Sports &amp; Recreation. E-commerce sales grew 60.7%, led by an increase in website visits and the continued consumer adoption of new fulfillment methods, such as buy online, pick-up in-store, ship-to-store and curbside pick-up.</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profit increased 34.7% to $499.1 million. The gross margin rate increased 420 basis points to 31.2%. This increase was driven by higher merchandise margins, fewer promotions and a reduction in clearance sales.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was $91.5 million, a 416.0% increase over $17.7 million in the prior year quarter, resulting in diluted earnings per share of $0.97, compared to $0.24 per share in the prior year quarter. Pro forma adjusted net income, which excludes the impact of certain non-cash and extraordinary items, was $ 103.1 million, a 485.8% increase over pro forma adjusted net income of $17.6 million in the prior year quarter. Pro forma diluted earnings per share were $1.09, compared to $0.23 per share in the prior year quarter.</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333333"/>
        </w:rPr>
        <w:t>I am very proud of everything the Academy Sports + Outdoors team members achieved in 2020 as they faced substantial adversity and</w:t>
      </w:r>
      <w:r>
        <w:rPr>
          <w:rFonts w:ascii="Arial" w:cs="Arial" w:eastAsia="Arial" w:hAnsi="Arial"/>
          <w:sz w:val="18"/>
          <w:szCs w:val="18"/>
          <w:color w:val="auto"/>
        </w:rPr>
        <w:t xml:space="preserve"> </w:t>
      </w:r>
      <w:r>
        <w:rPr>
          <w:rFonts w:ascii="Arial" w:cs="Arial" w:eastAsia="Arial" w:hAnsi="Arial"/>
          <w:sz w:val="18"/>
          <w:szCs w:val="18"/>
          <w:color w:val="333333"/>
        </w:rPr>
        <w:t xml:space="preserve">uncertainty due to the pandemic. Through collaboration, dedication and innovation, the team produced remarkable results and delivered fun to millions of customers while laying the foundation for future success,” said </w:t>
      </w:r>
      <w:r>
        <w:rPr>
          <w:rFonts w:ascii="Arial" w:cs="Arial" w:eastAsia="Arial" w:hAnsi="Arial"/>
          <w:sz w:val="18"/>
          <w:szCs w:val="18"/>
          <w:color w:val="000000"/>
        </w:rPr>
        <w:t>Ken Hicks, Chairman, President and Chief Executive Officer.</w:t>
      </w:r>
      <w:r>
        <w:rPr>
          <w:rFonts w:ascii="Arial" w:cs="Arial" w:eastAsia="Arial" w:hAnsi="Arial"/>
          <w:sz w:val="18"/>
          <w:szCs w:val="18"/>
          <w:color w:val="333333"/>
        </w:rPr>
        <w:t xml:space="preserve"> “With our outstanding team, strong balance sheet and by investing in our key initiatives, such as power merchandising and e-commerce capabilities, Academy is very well positioned to continue to drive top and bottom line growth for the long term as well as enhance shareholder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2020 Results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sales increased 17.8% to a record $5.69 billion. Comparable sales increased 16.1%. This growth was led by a 138.3% increase in e-commerce sales and strong demand in the Outdoor and Sports &amp; Recreation categories.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21.2% to a record $1.73 billion. The gross margin rate was 30.5%, a 90 basis point improvement over the prior year.</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increased 157.2% to a record $308.8 million. This resulted in diluted earnings per share of $3.79, compared to diluted earnings per share of $1.60 for fiscal 2019. Fiscal 2020 pro forma adjusted net income was $311.7 million, a 310.7% increase over fiscal 2019 pro forma adjusted net income of $75.9 million. This resulted in pro forma adjusted diluted earnings per share of $3.83, compared to pro forma adjusted diluted earnings per share of $1.02 in fiscal 2019.</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Michael Mullican, Executive Vice President and Chief Financial Officer, said, "Thanks to the tremendous efforts of the team, Academy ended the fiscal year in a very strong financial position. Being able to flow our record sales through to the bottom line allows us to invest in additional initiatives to create efficiencies and fuel future growth and profitability.”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Update</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the end of fiscal 2020, the Company’s cash and cash equivalents totaled $377.6 million, compared to $149.4 million at the end of fiscal 2019. Net cash provided by operating activities was $1.01 billion for fiscal 2020 compared to $263.7 million in fiscal 2019. Fiscal 2020 adjusted free cash flow was $978.5 million compared to $196.9 million for fiscal 2019.</w:t>
      </w:r>
    </w:p>
    <w:p>
      <w:pPr>
        <w:sectPr>
          <w:pgSz w:w="11900" w:h="16838" w:orient="portrait"/>
          <w:cols w:equalWidth="0" w:num="1">
            <w:col w:w="11240"/>
          </w:cols>
          <w:pgMar w:left="320" w:top="364" w:right="339" w:bottom="954"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364" w:right="339" w:bottom="954" w:gutter="0" w:footer="0" w:header="0"/>
          <w:type w:val="continuous"/>
        </w:sectPr>
      </w:pPr>
    </w:p>
    <w:bookmarkStart w:id="4" w:name="page5"/>
    <w:bookmarkEnd w:id="4"/>
    <w:p>
      <w:pPr>
        <w:jc w:val="both"/>
        <w:spacing w:after="0" w:line="238" w:lineRule="auto"/>
        <w:rPr>
          <w:sz w:val="20"/>
          <w:szCs w:val="20"/>
          <w:color w:val="auto"/>
        </w:rPr>
      </w:pPr>
      <w:r>
        <w:rPr>
          <w:rFonts w:ascii="Arial" w:cs="Arial" w:eastAsia="Arial" w:hAnsi="Arial"/>
          <w:sz w:val="18"/>
          <w:szCs w:val="18"/>
          <w:color w:val="auto"/>
        </w:rPr>
        <w:t>As a reminder, on November 6, 2020, the Company issued $400 million of senior secured notes and entered into a new $400 million term loan facility, both of which mature in 2027. The net proceeds from the notes and the new term loan, as well as cash on hand, were utilized to repay in full outstanding borrowings under the Company’s existing term loan facility in the amount of $1.43 billion, reducing the Company’s debt by $631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Outlook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fiscal 2021 guidance for stockholders and analysts.</w:t>
      </w:r>
    </w:p>
    <w:p>
      <w:pPr>
        <w:spacing w:after="0" w:line="246" w:lineRule="exact"/>
        <w:rPr>
          <w:sz w:val="20"/>
          <w:szCs w:val="20"/>
          <w:color w:val="auto"/>
        </w:rPr>
      </w:pPr>
    </w:p>
    <w:tbl>
      <w:tblPr>
        <w:tblLayout w:type="fixed"/>
        <w:tblInd w:w="1090" w:type="dxa"/>
        <w:tblCellMar>
          <w:top w:w="0" w:type="dxa"/>
          <w:left w:w="0" w:type="dxa"/>
          <w:bottom w:w="0" w:type="dxa"/>
          <w:right w:w="0" w:type="dxa"/>
        </w:tblCellMar>
      </w:tblPr>
      <w:tr>
        <w:trPr>
          <w:trHeight w:val="285"/>
        </w:trPr>
        <w:tc>
          <w:tcPr>
            <w:tcW w:w="2800" w:type="dxa"/>
            <w:vAlign w:val="bottom"/>
            <w:tcBorders>
              <w:top w:val="single" w:sz="8" w:color="auto"/>
              <w:left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20" w:type="dxa"/>
            <w:vAlign w:val="bottom"/>
            <w:tcBorders>
              <w:top w:val="single" w:sz="8" w:color="auto"/>
              <w:right w:val="single" w:sz="8" w:color="auto"/>
            </w:tcBorders>
            <w:gridSpan w:val="2"/>
          </w:tcPr>
          <w:p>
            <w:pPr>
              <w:ind w:left="260"/>
              <w:spacing w:after="0"/>
              <w:rPr>
                <w:sz w:val="20"/>
                <w:szCs w:val="20"/>
                <w:color w:val="auto"/>
              </w:rPr>
            </w:pPr>
            <w:r>
              <w:rPr>
                <w:rFonts w:ascii="Arial" w:cs="Arial" w:eastAsia="Arial" w:hAnsi="Arial"/>
                <w:sz w:val="14"/>
                <w:szCs w:val="14"/>
                <w:color w:val="auto"/>
              </w:rPr>
              <w:t>% change(at mid-point)</w:t>
            </w:r>
          </w:p>
        </w:tc>
        <w:tc>
          <w:tcPr>
            <w:tcW w:w="0" w:type="dxa"/>
            <w:vAlign w:val="bottom"/>
          </w:tcPr>
          <w:p>
            <w:pPr>
              <w:spacing w:after="0"/>
              <w:rPr>
                <w:sz w:val="1"/>
                <w:szCs w:val="1"/>
                <w:color w:val="auto"/>
              </w:rPr>
            </w:pPr>
          </w:p>
        </w:tc>
      </w:tr>
      <w:tr>
        <w:trPr>
          <w:trHeight w:val="255"/>
        </w:trPr>
        <w:tc>
          <w:tcPr>
            <w:tcW w:w="2800" w:type="dxa"/>
            <w:vAlign w:val="bottom"/>
            <w:tcBorders>
              <w:left w:val="single" w:sz="8" w:color="auto"/>
            </w:tcBorders>
          </w:tcPr>
          <w:p>
            <w:pPr>
              <w:spacing w:after="0"/>
              <w:rPr>
                <w:sz w:val="22"/>
                <w:szCs w:val="22"/>
                <w:color w:val="auto"/>
              </w:rPr>
            </w:pPr>
          </w:p>
        </w:tc>
        <w:tc>
          <w:tcPr>
            <w:tcW w:w="2080" w:type="dxa"/>
            <w:vAlign w:val="bottom"/>
            <w:gridSpan w:val="2"/>
          </w:tcPr>
          <w:p>
            <w:pPr>
              <w:ind w:left="340"/>
              <w:spacing w:after="0"/>
              <w:rPr>
                <w:sz w:val="20"/>
                <w:szCs w:val="20"/>
                <w:color w:val="auto"/>
              </w:rPr>
            </w:pPr>
            <w:r>
              <w:rPr>
                <w:rFonts w:ascii="Arial" w:cs="Arial" w:eastAsia="Arial" w:hAnsi="Arial"/>
                <w:sz w:val="18"/>
                <w:szCs w:val="18"/>
                <w:b w:val="1"/>
                <w:bCs w:val="1"/>
                <w:color w:val="auto"/>
              </w:rPr>
              <w:t>2021(e) range</w:t>
            </w:r>
          </w:p>
        </w:tc>
        <w:tc>
          <w:tcPr>
            <w:tcW w:w="1080" w:type="dxa"/>
            <w:vAlign w:val="bottom"/>
          </w:tcPr>
          <w:p>
            <w:pPr>
              <w:jc w:val="center"/>
              <w:ind w:right="117"/>
              <w:spacing w:after="0"/>
              <w:rPr>
                <w:sz w:val="20"/>
                <w:szCs w:val="20"/>
                <w:color w:val="auto"/>
              </w:rPr>
            </w:pPr>
            <w:r>
              <w:rPr>
                <w:rFonts w:ascii="Arial" w:cs="Arial" w:eastAsia="Arial" w:hAnsi="Arial"/>
                <w:sz w:val="18"/>
                <w:szCs w:val="18"/>
                <w:b w:val="1"/>
                <w:bCs w:val="1"/>
                <w:color w:val="auto"/>
                <w:w w:val="99"/>
              </w:rPr>
              <w:t>2020</w:t>
            </w:r>
          </w:p>
        </w:tc>
        <w:tc>
          <w:tcPr>
            <w:tcW w:w="1120" w:type="dxa"/>
            <w:vAlign w:val="bottom"/>
          </w:tcPr>
          <w:p>
            <w:pPr>
              <w:jc w:val="center"/>
              <w:ind w:right="157"/>
              <w:spacing w:after="0"/>
              <w:rPr>
                <w:sz w:val="20"/>
                <w:szCs w:val="20"/>
                <w:color w:val="auto"/>
              </w:rPr>
            </w:pPr>
            <w:r>
              <w:rPr>
                <w:rFonts w:ascii="Arial" w:cs="Arial" w:eastAsia="Arial" w:hAnsi="Arial"/>
                <w:sz w:val="18"/>
                <w:szCs w:val="18"/>
                <w:b w:val="1"/>
                <w:bCs w:val="1"/>
                <w:color w:val="auto"/>
                <w:w w:val="99"/>
              </w:rPr>
              <w:t>2019</w:t>
            </w: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vs. 2020</w:t>
            </w:r>
          </w:p>
        </w:tc>
        <w:tc>
          <w:tcPr>
            <w:tcW w:w="106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vs. 2019</w:t>
            </w:r>
          </w:p>
        </w:tc>
        <w:tc>
          <w:tcPr>
            <w:tcW w:w="0" w:type="dxa"/>
            <w:vAlign w:val="bottom"/>
          </w:tcPr>
          <w:p>
            <w:pPr>
              <w:spacing w:after="0"/>
              <w:rPr>
                <w:sz w:val="1"/>
                <w:szCs w:val="1"/>
                <w:color w:val="auto"/>
              </w:rPr>
            </w:pPr>
          </w:p>
        </w:tc>
      </w:tr>
      <w:tr>
        <w:trPr>
          <w:trHeight w:val="34"/>
        </w:trPr>
        <w:tc>
          <w:tcPr>
            <w:tcW w:w="28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Comparable sales</w:t>
            </w: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800" w:type="dxa"/>
            <w:vAlign w:val="bottom"/>
            <w:tcBorders>
              <w:left w:val="single" w:sz="8" w:color="auto"/>
            </w:tcBorders>
            <w:vMerge w:val="continue"/>
          </w:tcPr>
          <w:p>
            <w:pPr>
              <w:spacing w:after="0"/>
              <w:rPr>
                <w:sz w:val="21"/>
                <w:szCs w:val="21"/>
                <w:color w:val="auto"/>
              </w:rPr>
            </w:pPr>
          </w:p>
        </w:tc>
        <w:tc>
          <w:tcPr>
            <w:tcW w:w="980" w:type="dxa"/>
            <w:vAlign w:val="bottom"/>
            <w:tcBorders>
              <w:left w:val="single" w:sz="8" w:color="auto"/>
            </w:tcBorders>
          </w:tcPr>
          <w:p>
            <w:pPr>
              <w:jc w:val="center"/>
              <w:spacing w:after="0"/>
              <w:rPr>
                <w:sz w:val="20"/>
                <w:szCs w:val="20"/>
                <w:color w:val="auto"/>
              </w:rPr>
            </w:pPr>
            <w:r>
              <w:rPr>
                <w:rFonts w:ascii="Arial" w:cs="Arial" w:eastAsia="Arial" w:hAnsi="Arial"/>
                <w:sz w:val="16"/>
                <w:szCs w:val="16"/>
                <w:color w:val="auto"/>
              </w:rPr>
              <w:t>(2.0)%</w:t>
            </w:r>
          </w:p>
        </w:tc>
        <w:tc>
          <w:tcPr>
            <w:tcW w:w="1100" w:type="dxa"/>
            <w:vAlign w:val="bottom"/>
            <w:tcBorders>
              <w:right w:val="single" w:sz="8" w:color="auto"/>
            </w:tcBorders>
          </w:tcPr>
          <w:p>
            <w:pPr>
              <w:jc w:val="center"/>
              <w:ind w:right="239"/>
              <w:spacing w:after="0"/>
              <w:rPr>
                <w:sz w:val="20"/>
                <w:szCs w:val="20"/>
                <w:color w:val="auto"/>
              </w:rPr>
            </w:pPr>
            <w:r>
              <w:rPr>
                <w:rFonts w:ascii="Arial" w:cs="Arial" w:eastAsia="Arial" w:hAnsi="Arial"/>
                <w:sz w:val="16"/>
                <w:szCs w:val="16"/>
                <w:color w:val="auto"/>
              </w:rPr>
              <w:t>2.0%</w:t>
            </w:r>
          </w:p>
        </w:tc>
        <w:tc>
          <w:tcPr>
            <w:tcW w:w="1080" w:type="dxa"/>
            <w:vAlign w:val="bottom"/>
            <w:tcBorders>
              <w:right w:val="single" w:sz="8" w:color="auto"/>
            </w:tcBorders>
          </w:tcPr>
          <w:p>
            <w:pPr>
              <w:jc w:val="center"/>
              <w:ind w:right="117"/>
              <w:spacing w:after="0"/>
              <w:rPr>
                <w:sz w:val="20"/>
                <w:szCs w:val="20"/>
                <w:color w:val="auto"/>
              </w:rPr>
            </w:pPr>
            <w:r>
              <w:rPr>
                <w:rFonts w:ascii="Arial" w:cs="Arial" w:eastAsia="Arial" w:hAnsi="Arial"/>
                <w:sz w:val="16"/>
                <w:szCs w:val="16"/>
                <w:color w:val="auto"/>
                <w:w w:val="96"/>
              </w:rPr>
              <w:t>16.1%</w:t>
            </w:r>
          </w:p>
        </w:tc>
        <w:tc>
          <w:tcPr>
            <w:tcW w:w="1120" w:type="dxa"/>
            <w:vAlign w:val="bottom"/>
            <w:tcBorders>
              <w:right w:val="single" w:sz="8" w:color="auto"/>
            </w:tcBorders>
          </w:tcPr>
          <w:p>
            <w:pPr>
              <w:jc w:val="center"/>
              <w:ind w:right="117"/>
              <w:spacing w:after="0"/>
              <w:rPr>
                <w:sz w:val="20"/>
                <w:szCs w:val="20"/>
                <w:color w:val="auto"/>
              </w:rPr>
            </w:pPr>
            <w:r>
              <w:rPr>
                <w:rFonts w:ascii="Arial" w:cs="Arial" w:eastAsia="Arial" w:hAnsi="Arial"/>
                <w:sz w:val="16"/>
                <w:szCs w:val="16"/>
                <w:color w:val="auto"/>
              </w:rPr>
              <w:t>(0.7)%</w:t>
            </w:r>
          </w:p>
        </w:tc>
        <w:tc>
          <w:tcPr>
            <w:tcW w:w="96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800" w:type="dxa"/>
            <w:vAlign w:val="bottom"/>
            <w:tcBorders>
              <w:left w:val="single" w:sz="8" w:color="auto"/>
            </w:tcBorders>
            <w:shd w:val="clear" w:color="auto" w:fill="DBDBDB"/>
          </w:tcPr>
          <w:p>
            <w:pPr>
              <w:spacing w:after="0"/>
              <w:rPr>
                <w:sz w:val="24"/>
                <w:szCs w:val="24"/>
                <w:color w:val="auto"/>
              </w:rPr>
            </w:pPr>
          </w:p>
        </w:tc>
        <w:tc>
          <w:tcPr>
            <w:tcW w:w="980" w:type="dxa"/>
            <w:vAlign w:val="bottom"/>
            <w:tcBorders>
              <w:left w:val="single" w:sz="8" w:color="auto"/>
            </w:tcBorders>
            <w:shd w:val="clear" w:color="auto" w:fill="DBDBDB"/>
          </w:tcPr>
          <w:p>
            <w:pPr>
              <w:spacing w:after="0"/>
              <w:rPr>
                <w:sz w:val="24"/>
                <w:szCs w:val="24"/>
                <w:color w:val="auto"/>
              </w:rPr>
            </w:pPr>
          </w:p>
        </w:tc>
        <w:tc>
          <w:tcPr>
            <w:tcW w:w="1100" w:type="dxa"/>
            <w:vAlign w:val="bottom"/>
            <w:tcBorders>
              <w:right w:val="single" w:sz="8" w:color="auto"/>
            </w:tcBorders>
            <w:shd w:val="clear" w:color="auto" w:fill="DBDBDB"/>
          </w:tcPr>
          <w:p>
            <w:pPr>
              <w:spacing w:after="0"/>
              <w:rPr>
                <w:sz w:val="24"/>
                <w:szCs w:val="24"/>
                <w:color w:val="auto"/>
              </w:rPr>
            </w:pPr>
          </w:p>
        </w:tc>
        <w:tc>
          <w:tcPr>
            <w:tcW w:w="1080" w:type="dxa"/>
            <w:vAlign w:val="bottom"/>
            <w:tcBorders>
              <w:right w:val="single" w:sz="8" w:color="auto"/>
            </w:tcBorders>
            <w:shd w:val="clear" w:color="auto" w:fill="DBDBDB"/>
          </w:tcPr>
          <w:p>
            <w:pPr>
              <w:spacing w:after="0"/>
              <w:rPr>
                <w:sz w:val="24"/>
                <w:szCs w:val="24"/>
                <w:color w:val="auto"/>
              </w:rPr>
            </w:pPr>
          </w:p>
        </w:tc>
        <w:tc>
          <w:tcPr>
            <w:tcW w:w="1120" w:type="dxa"/>
            <w:vAlign w:val="bottom"/>
            <w:tcBorders>
              <w:right w:val="single" w:sz="8" w:color="auto"/>
            </w:tcBorders>
            <w:shd w:val="clear" w:color="auto" w:fill="DBDBDB"/>
          </w:tcPr>
          <w:p>
            <w:pPr>
              <w:spacing w:after="0"/>
              <w:rPr>
                <w:sz w:val="24"/>
                <w:szCs w:val="24"/>
                <w:color w:val="auto"/>
              </w:rPr>
            </w:pPr>
          </w:p>
        </w:tc>
        <w:tc>
          <w:tcPr>
            <w:tcW w:w="960" w:type="dxa"/>
            <w:vAlign w:val="bottom"/>
            <w:shd w:val="clear" w:color="auto" w:fill="DBDBDB"/>
          </w:tcPr>
          <w:p>
            <w:pPr>
              <w:spacing w:after="0"/>
              <w:rPr>
                <w:sz w:val="24"/>
                <w:szCs w:val="24"/>
                <w:color w:val="auto"/>
              </w:rPr>
            </w:pPr>
          </w:p>
        </w:tc>
        <w:tc>
          <w:tcPr>
            <w:tcW w:w="1060" w:type="dxa"/>
            <w:vAlign w:val="bottom"/>
            <w:tcBorders>
              <w:right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left w:val="single" w:sz="8" w:color="auto"/>
            </w:tcBorders>
          </w:tcPr>
          <w:p>
            <w:pPr>
              <w:jc w:val="center"/>
              <w:spacing w:after="0"/>
              <w:rPr>
                <w:sz w:val="20"/>
                <w:szCs w:val="20"/>
                <w:color w:val="auto"/>
              </w:rPr>
            </w:pPr>
            <w:r>
              <w:rPr>
                <w:rFonts w:ascii="Arial" w:cs="Arial" w:eastAsia="Arial" w:hAnsi="Arial"/>
                <w:sz w:val="16"/>
                <w:szCs w:val="16"/>
                <w:color w:val="auto"/>
              </w:rPr>
              <w:t>$265.0</w:t>
            </w:r>
          </w:p>
        </w:tc>
        <w:tc>
          <w:tcPr>
            <w:tcW w:w="1100" w:type="dxa"/>
            <w:vAlign w:val="bottom"/>
            <w:tcBorders>
              <w:right w:val="single" w:sz="8" w:color="auto"/>
            </w:tcBorders>
          </w:tcPr>
          <w:p>
            <w:pPr>
              <w:jc w:val="center"/>
              <w:ind w:right="239"/>
              <w:spacing w:after="0"/>
              <w:rPr>
                <w:sz w:val="20"/>
                <w:szCs w:val="20"/>
                <w:color w:val="auto"/>
              </w:rPr>
            </w:pPr>
            <w:r>
              <w:rPr>
                <w:rFonts w:ascii="Arial" w:cs="Arial" w:eastAsia="Arial" w:hAnsi="Arial"/>
                <w:sz w:val="16"/>
                <w:szCs w:val="16"/>
                <w:color w:val="auto"/>
              </w:rPr>
              <w:t>$290.0</w:t>
            </w:r>
          </w:p>
        </w:tc>
        <w:tc>
          <w:tcPr>
            <w:tcW w:w="1080" w:type="dxa"/>
            <w:vAlign w:val="bottom"/>
            <w:tcBorders>
              <w:right w:val="single" w:sz="8" w:color="auto"/>
            </w:tcBorders>
          </w:tcPr>
          <w:p>
            <w:pPr>
              <w:jc w:val="center"/>
              <w:ind w:right="117"/>
              <w:spacing w:after="0"/>
              <w:rPr>
                <w:sz w:val="20"/>
                <w:szCs w:val="20"/>
                <w:color w:val="auto"/>
              </w:rPr>
            </w:pPr>
            <w:r>
              <w:rPr>
                <w:rFonts w:ascii="Arial" w:cs="Arial" w:eastAsia="Arial" w:hAnsi="Arial"/>
                <w:sz w:val="16"/>
                <w:szCs w:val="16"/>
                <w:color w:val="auto"/>
                <w:w w:val="98"/>
              </w:rPr>
              <w:t>$308.7</w:t>
            </w:r>
          </w:p>
        </w:tc>
        <w:tc>
          <w:tcPr>
            <w:tcW w:w="1120" w:type="dxa"/>
            <w:vAlign w:val="bottom"/>
            <w:tcBorders>
              <w:right w:val="single" w:sz="8" w:color="auto"/>
            </w:tcBorders>
          </w:tcPr>
          <w:p>
            <w:pPr>
              <w:jc w:val="center"/>
              <w:ind w:right="137"/>
              <w:spacing w:after="0"/>
              <w:rPr>
                <w:sz w:val="20"/>
                <w:szCs w:val="20"/>
                <w:color w:val="auto"/>
              </w:rPr>
            </w:pPr>
            <w:r>
              <w:rPr>
                <w:rFonts w:ascii="Arial" w:cs="Arial" w:eastAsia="Arial" w:hAnsi="Arial"/>
                <w:sz w:val="16"/>
                <w:szCs w:val="16"/>
                <w:color w:val="auto"/>
              </w:rPr>
              <w:t>$120.0</w:t>
            </w:r>
          </w:p>
        </w:tc>
        <w:tc>
          <w:tcPr>
            <w:tcW w:w="960" w:type="dxa"/>
            <w:vAlign w:val="bottom"/>
          </w:tcPr>
          <w:p>
            <w:pPr>
              <w:ind w:left="240"/>
              <w:spacing w:after="0"/>
              <w:rPr>
                <w:sz w:val="20"/>
                <w:szCs w:val="20"/>
                <w:color w:val="auto"/>
              </w:rPr>
            </w:pPr>
            <w:r>
              <w:rPr>
                <w:rFonts w:ascii="Arial" w:cs="Arial" w:eastAsia="Arial" w:hAnsi="Arial"/>
                <w:sz w:val="16"/>
                <w:szCs w:val="16"/>
                <w:color w:val="auto"/>
              </w:rPr>
              <w:t>(10)%</w:t>
            </w:r>
          </w:p>
        </w:tc>
        <w:tc>
          <w:tcPr>
            <w:tcW w:w="1060" w:type="dxa"/>
            <w:vAlign w:val="bottom"/>
            <w:tcBorders>
              <w:right w:val="single" w:sz="8" w:color="auto"/>
            </w:tcBorders>
          </w:tcPr>
          <w:p>
            <w:pPr>
              <w:jc w:val="right"/>
              <w:ind w:right="276"/>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80"/>
        </w:trPr>
        <w:tc>
          <w:tcPr>
            <w:tcW w:w="2800" w:type="dxa"/>
            <w:vAlign w:val="bottom"/>
            <w:tcBorders>
              <w:left w:val="single" w:sz="8" w:color="auto"/>
            </w:tcBorders>
            <w:shd w:val="clear" w:color="auto" w:fill="DBDBDB"/>
          </w:tcPr>
          <w:p>
            <w:pPr>
              <w:spacing w:after="0"/>
              <w:rPr>
                <w:sz w:val="24"/>
                <w:szCs w:val="24"/>
                <w:color w:val="auto"/>
              </w:rPr>
            </w:pPr>
          </w:p>
        </w:tc>
        <w:tc>
          <w:tcPr>
            <w:tcW w:w="980" w:type="dxa"/>
            <w:vAlign w:val="bottom"/>
            <w:tcBorders>
              <w:left w:val="single" w:sz="8" w:color="auto"/>
            </w:tcBorders>
            <w:shd w:val="clear" w:color="auto" w:fill="DBDBDB"/>
          </w:tcPr>
          <w:p>
            <w:pPr>
              <w:spacing w:after="0"/>
              <w:rPr>
                <w:sz w:val="24"/>
                <w:szCs w:val="24"/>
                <w:color w:val="auto"/>
              </w:rPr>
            </w:pPr>
          </w:p>
        </w:tc>
        <w:tc>
          <w:tcPr>
            <w:tcW w:w="1100" w:type="dxa"/>
            <w:vAlign w:val="bottom"/>
            <w:tcBorders>
              <w:right w:val="single" w:sz="8" w:color="auto"/>
            </w:tcBorders>
            <w:shd w:val="clear" w:color="auto" w:fill="DBDBDB"/>
          </w:tcPr>
          <w:p>
            <w:pPr>
              <w:spacing w:after="0"/>
              <w:rPr>
                <w:sz w:val="24"/>
                <w:szCs w:val="24"/>
                <w:color w:val="auto"/>
              </w:rPr>
            </w:pPr>
          </w:p>
        </w:tc>
        <w:tc>
          <w:tcPr>
            <w:tcW w:w="1080" w:type="dxa"/>
            <w:vAlign w:val="bottom"/>
            <w:tcBorders>
              <w:right w:val="single" w:sz="8" w:color="auto"/>
            </w:tcBorders>
            <w:shd w:val="clear" w:color="auto" w:fill="DBDBDB"/>
          </w:tcPr>
          <w:p>
            <w:pPr>
              <w:spacing w:after="0"/>
              <w:rPr>
                <w:sz w:val="24"/>
                <w:szCs w:val="24"/>
                <w:color w:val="auto"/>
              </w:rPr>
            </w:pPr>
          </w:p>
        </w:tc>
        <w:tc>
          <w:tcPr>
            <w:tcW w:w="1120" w:type="dxa"/>
            <w:vAlign w:val="bottom"/>
            <w:tcBorders>
              <w:right w:val="single" w:sz="8" w:color="auto"/>
            </w:tcBorders>
            <w:shd w:val="clear" w:color="auto" w:fill="DBDBDB"/>
          </w:tcPr>
          <w:p>
            <w:pPr>
              <w:spacing w:after="0"/>
              <w:rPr>
                <w:sz w:val="24"/>
                <w:szCs w:val="24"/>
                <w:color w:val="auto"/>
              </w:rPr>
            </w:pPr>
          </w:p>
        </w:tc>
        <w:tc>
          <w:tcPr>
            <w:tcW w:w="960" w:type="dxa"/>
            <w:vAlign w:val="bottom"/>
            <w:shd w:val="clear" w:color="auto" w:fill="DBDBDB"/>
          </w:tcPr>
          <w:p>
            <w:pPr>
              <w:spacing w:after="0"/>
              <w:rPr>
                <w:sz w:val="24"/>
                <w:szCs w:val="24"/>
                <w:color w:val="auto"/>
              </w:rPr>
            </w:pPr>
          </w:p>
        </w:tc>
        <w:tc>
          <w:tcPr>
            <w:tcW w:w="1060" w:type="dxa"/>
            <w:vAlign w:val="bottom"/>
            <w:tcBorders>
              <w:right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Earnings per share-diluted</w:t>
            </w:r>
          </w:p>
        </w:tc>
        <w:tc>
          <w:tcPr>
            <w:tcW w:w="980" w:type="dxa"/>
            <w:vAlign w:val="bottom"/>
            <w:tcBorders>
              <w:left w:val="single" w:sz="8" w:color="auto"/>
            </w:tcBorders>
          </w:tcPr>
          <w:p>
            <w:pPr>
              <w:jc w:val="center"/>
              <w:spacing w:after="0"/>
              <w:rPr>
                <w:sz w:val="20"/>
                <w:szCs w:val="20"/>
                <w:color w:val="auto"/>
              </w:rPr>
            </w:pPr>
            <w:r>
              <w:rPr>
                <w:rFonts w:ascii="Arial" w:cs="Arial" w:eastAsia="Arial" w:hAnsi="Arial"/>
                <w:sz w:val="16"/>
                <w:szCs w:val="16"/>
                <w:color w:val="auto"/>
              </w:rPr>
              <w:t>$2.70</w:t>
            </w:r>
          </w:p>
        </w:tc>
        <w:tc>
          <w:tcPr>
            <w:tcW w:w="1100" w:type="dxa"/>
            <w:vAlign w:val="bottom"/>
            <w:tcBorders>
              <w:right w:val="single" w:sz="8" w:color="auto"/>
            </w:tcBorders>
          </w:tcPr>
          <w:p>
            <w:pPr>
              <w:jc w:val="center"/>
              <w:ind w:right="219"/>
              <w:spacing w:after="0"/>
              <w:rPr>
                <w:sz w:val="20"/>
                <w:szCs w:val="20"/>
                <w:color w:val="auto"/>
              </w:rPr>
            </w:pPr>
            <w:r>
              <w:rPr>
                <w:rFonts w:ascii="Arial" w:cs="Arial" w:eastAsia="Arial" w:hAnsi="Arial"/>
                <w:sz w:val="16"/>
                <w:szCs w:val="16"/>
                <w:color w:val="auto"/>
                <w:w w:val="99"/>
              </w:rPr>
              <w:t>$2.95</w:t>
            </w:r>
          </w:p>
        </w:tc>
        <w:tc>
          <w:tcPr>
            <w:tcW w:w="1080" w:type="dxa"/>
            <w:vAlign w:val="bottom"/>
            <w:tcBorders>
              <w:right w:val="single" w:sz="8" w:color="auto"/>
            </w:tcBorders>
          </w:tcPr>
          <w:p>
            <w:pPr>
              <w:jc w:val="center"/>
              <w:ind w:right="117"/>
              <w:spacing w:after="0"/>
              <w:rPr>
                <w:sz w:val="20"/>
                <w:szCs w:val="20"/>
                <w:color w:val="auto"/>
              </w:rPr>
            </w:pPr>
            <w:r>
              <w:rPr>
                <w:rFonts w:ascii="Arial" w:cs="Arial" w:eastAsia="Arial" w:hAnsi="Arial"/>
                <w:sz w:val="16"/>
                <w:szCs w:val="16"/>
                <w:color w:val="auto"/>
                <w:w w:val="99"/>
              </w:rPr>
              <w:t>$3.79</w:t>
            </w:r>
          </w:p>
        </w:tc>
        <w:tc>
          <w:tcPr>
            <w:tcW w:w="1120" w:type="dxa"/>
            <w:vAlign w:val="bottom"/>
            <w:tcBorders>
              <w:right w:val="single" w:sz="8" w:color="auto"/>
            </w:tcBorders>
          </w:tcPr>
          <w:p>
            <w:pPr>
              <w:jc w:val="center"/>
              <w:ind w:right="117"/>
              <w:spacing w:after="0"/>
              <w:rPr>
                <w:sz w:val="20"/>
                <w:szCs w:val="20"/>
                <w:color w:val="auto"/>
              </w:rPr>
            </w:pPr>
            <w:r>
              <w:rPr>
                <w:rFonts w:ascii="Arial" w:cs="Arial" w:eastAsia="Arial" w:hAnsi="Arial"/>
                <w:sz w:val="16"/>
                <w:szCs w:val="16"/>
                <w:color w:val="auto"/>
                <w:w w:val="99"/>
              </w:rPr>
              <w:t>$1.60</w:t>
            </w:r>
          </w:p>
        </w:tc>
        <w:tc>
          <w:tcPr>
            <w:tcW w:w="960" w:type="dxa"/>
            <w:vAlign w:val="bottom"/>
          </w:tcPr>
          <w:p>
            <w:pPr>
              <w:ind w:left="240"/>
              <w:spacing w:after="0"/>
              <w:rPr>
                <w:sz w:val="20"/>
                <w:szCs w:val="20"/>
                <w:color w:val="auto"/>
              </w:rPr>
            </w:pPr>
            <w:r>
              <w:rPr>
                <w:rFonts w:ascii="Arial" w:cs="Arial" w:eastAsia="Arial" w:hAnsi="Arial"/>
                <w:sz w:val="16"/>
                <w:szCs w:val="16"/>
                <w:color w:val="auto"/>
              </w:rPr>
              <w:t>(25)%</w:t>
            </w:r>
          </w:p>
        </w:tc>
        <w:tc>
          <w:tcPr>
            <w:tcW w:w="1060" w:type="dxa"/>
            <w:vAlign w:val="bottom"/>
            <w:tcBorders>
              <w:right w:val="single" w:sz="8" w:color="auto"/>
            </w:tcBorders>
          </w:tcPr>
          <w:p>
            <w:pPr>
              <w:jc w:val="right"/>
              <w:ind w:right="316"/>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93"/>
        </w:trPr>
        <w:tc>
          <w:tcPr>
            <w:tcW w:w="2800" w:type="dxa"/>
            <w:vAlign w:val="bottom"/>
            <w:tcBorders>
              <w:left w:val="single" w:sz="8" w:color="auto"/>
            </w:tcBorders>
            <w:shd w:val="clear" w:color="auto" w:fill="DBDBDB"/>
          </w:tcPr>
          <w:p>
            <w:pPr>
              <w:spacing w:after="0"/>
              <w:rPr>
                <w:sz w:val="24"/>
                <w:szCs w:val="24"/>
                <w:color w:val="auto"/>
              </w:rPr>
            </w:pPr>
          </w:p>
        </w:tc>
        <w:tc>
          <w:tcPr>
            <w:tcW w:w="980" w:type="dxa"/>
            <w:vAlign w:val="bottom"/>
            <w:tcBorders>
              <w:left w:val="single" w:sz="8" w:color="auto"/>
            </w:tcBorders>
            <w:shd w:val="clear" w:color="auto" w:fill="DBDBDB"/>
          </w:tcPr>
          <w:p>
            <w:pPr>
              <w:spacing w:after="0"/>
              <w:rPr>
                <w:sz w:val="24"/>
                <w:szCs w:val="24"/>
                <w:color w:val="auto"/>
              </w:rPr>
            </w:pPr>
          </w:p>
        </w:tc>
        <w:tc>
          <w:tcPr>
            <w:tcW w:w="1100" w:type="dxa"/>
            <w:vAlign w:val="bottom"/>
            <w:tcBorders>
              <w:right w:val="single" w:sz="8" w:color="auto"/>
            </w:tcBorders>
            <w:shd w:val="clear" w:color="auto" w:fill="DBDBDB"/>
          </w:tcPr>
          <w:p>
            <w:pPr>
              <w:spacing w:after="0"/>
              <w:rPr>
                <w:sz w:val="24"/>
                <w:szCs w:val="24"/>
                <w:color w:val="auto"/>
              </w:rPr>
            </w:pPr>
          </w:p>
        </w:tc>
        <w:tc>
          <w:tcPr>
            <w:tcW w:w="1080" w:type="dxa"/>
            <w:vAlign w:val="bottom"/>
            <w:tcBorders>
              <w:right w:val="single" w:sz="8" w:color="auto"/>
            </w:tcBorders>
            <w:shd w:val="clear" w:color="auto" w:fill="DBDBDB"/>
          </w:tcPr>
          <w:p>
            <w:pPr>
              <w:spacing w:after="0"/>
              <w:rPr>
                <w:sz w:val="24"/>
                <w:szCs w:val="24"/>
                <w:color w:val="auto"/>
              </w:rPr>
            </w:pPr>
          </w:p>
        </w:tc>
        <w:tc>
          <w:tcPr>
            <w:tcW w:w="1120" w:type="dxa"/>
            <w:vAlign w:val="bottom"/>
            <w:tcBorders>
              <w:right w:val="single" w:sz="8" w:color="auto"/>
            </w:tcBorders>
            <w:shd w:val="clear" w:color="auto" w:fill="DBDBDB"/>
          </w:tcPr>
          <w:p>
            <w:pPr>
              <w:spacing w:after="0"/>
              <w:rPr>
                <w:sz w:val="24"/>
                <w:szCs w:val="24"/>
                <w:color w:val="auto"/>
              </w:rPr>
            </w:pPr>
          </w:p>
        </w:tc>
        <w:tc>
          <w:tcPr>
            <w:tcW w:w="960" w:type="dxa"/>
            <w:vAlign w:val="bottom"/>
            <w:shd w:val="clear" w:color="auto" w:fill="DBDBDB"/>
          </w:tcPr>
          <w:p>
            <w:pPr>
              <w:spacing w:after="0"/>
              <w:rPr>
                <w:sz w:val="24"/>
                <w:szCs w:val="24"/>
                <w:color w:val="auto"/>
              </w:rPr>
            </w:pPr>
          </w:p>
        </w:tc>
        <w:tc>
          <w:tcPr>
            <w:tcW w:w="1060" w:type="dxa"/>
            <w:vAlign w:val="bottom"/>
            <w:tcBorders>
              <w:right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Diluted weighted average shares</w:t>
            </w:r>
          </w:p>
        </w:tc>
        <w:tc>
          <w:tcPr>
            <w:tcW w:w="980" w:type="dxa"/>
            <w:vAlign w:val="bottom"/>
            <w:tcBorders>
              <w:lef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outstanding</w:t>
            </w:r>
          </w:p>
        </w:tc>
        <w:tc>
          <w:tcPr>
            <w:tcW w:w="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98,200</w:t>
            </w:r>
          </w:p>
        </w:tc>
        <w:tc>
          <w:tcPr>
            <w:tcW w:w="1100" w:type="dxa"/>
            <w:vAlign w:val="bottom"/>
            <w:tcBorders>
              <w:right w:val="single" w:sz="8" w:color="auto"/>
            </w:tcBorders>
          </w:tcPr>
          <w:p>
            <w:pPr>
              <w:jc w:val="right"/>
              <w:ind w:right="239"/>
              <w:spacing w:after="0"/>
              <w:rPr>
                <w:sz w:val="20"/>
                <w:szCs w:val="20"/>
                <w:color w:val="auto"/>
              </w:rPr>
            </w:pPr>
            <w:r>
              <w:rPr>
                <w:rFonts w:ascii="Arial" w:cs="Arial" w:eastAsia="Arial" w:hAnsi="Arial"/>
                <w:sz w:val="16"/>
                <w:szCs w:val="16"/>
                <w:color w:val="auto"/>
              </w:rPr>
              <w:t>98,200</w:t>
            </w:r>
          </w:p>
        </w:tc>
        <w:tc>
          <w:tcPr>
            <w:tcW w:w="1080" w:type="dxa"/>
            <w:vAlign w:val="bottom"/>
            <w:tcBorders>
              <w:right w:val="single" w:sz="8" w:color="auto"/>
            </w:tcBorders>
          </w:tcPr>
          <w:p>
            <w:pPr>
              <w:jc w:val="right"/>
              <w:ind w:right="177"/>
              <w:spacing w:after="0"/>
              <w:rPr>
                <w:sz w:val="20"/>
                <w:szCs w:val="20"/>
                <w:color w:val="auto"/>
              </w:rPr>
            </w:pPr>
            <w:r>
              <w:rPr>
                <w:rFonts w:ascii="Arial" w:cs="Arial" w:eastAsia="Arial" w:hAnsi="Arial"/>
                <w:sz w:val="16"/>
                <w:szCs w:val="16"/>
                <w:color w:val="auto"/>
              </w:rPr>
              <w:t>81,431</w:t>
            </w:r>
          </w:p>
        </w:tc>
        <w:tc>
          <w:tcPr>
            <w:tcW w:w="1120" w:type="dxa"/>
            <w:vAlign w:val="bottom"/>
            <w:tcBorders>
              <w:right w:val="single" w:sz="8" w:color="auto"/>
            </w:tcBorders>
          </w:tcPr>
          <w:p>
            <w:pPr>
              <w:jc w:val="right"/>
              <w:ind w:right="197"/>
              <w:spacing w:after="0"/>
              <w:rPr>
                <w:sz w:val="20"/>
                <w:szCs w:val="20"/>
                <w:color w:val="auto"/>
              </w:rPr>
            </w:pPr>
            <w:r>
              <w:rPr>
                <w:rFonts w:ascii="Arial" w:cs="Arial" w:eastAsia="Arial" w:hAnsi="Arial"/>
                <w:sz w:val="16"/>
                <w:szCs w:val="16"/>
                <w:color w:val="auto"/>
              </w:rPr>
              <w:t>74,795</w:t>
            </w:r>
          </w:p>
        </w:tc>
        <w:tc>
          <w:tcPr>
            <w:tcW w:w="9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800" w:type="dxa"/>
            <w:vAlign w:val="bottom"/>
            <w:tcBorders>
              <w:left w:val="single" w:sz="8" w:color="auto"/>
            </w:tcBorders>
          </w:tcPr>
          <w:p>
            <w:pPr>
              <w:ind w:left="40"/>
              <w:spacing w:after="0"/>
              <w:rPr>
                <w:sz w:val="20"/>
                <w:szCs w:val="20"/>
                <w:color w:val="auto"/>
              </w:rPr>
            </w:pPr>
            <w:r>
              <w:rPr>
                <w:rFonts w:ascii="Arial" w:cs="Arial" w:eastAsia="Arial" w:hAnsi="Arial"/>
                <w:sz w:val="11"/>
                <w:szCs w:val="11"/>
                <w:b w:val="1"/>
                <w:bCs w:val="1"/>
                <w:color w:val="auto"/>
              </w:rPr>
              <w:t>(in millions, except per share amounts)</w:t>
            </w:r>
          </w:p>
        </w:tc>
        <w:tc>
          <w:tcPr>
            <w:tcW w:w="980" w:type="dxa"/>
            <w:vAlign w:val="bottom"/>
            <w:tcBorders>
              <w:lef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0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left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net interest expense is planned to be $49 million and the tax rate is forecast at 25%.</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Academy will host a conference call today at 11:00 a.m. Eastern Time to discuss its financial results. Listeners may access the call by dialing 1-877-407-3982 from the U.S. or 1-201-493-6780 from international locations. The conference passcode is 13717292. A webcast of the call can be accessed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 telephonic replay of the conference call will be available for approximately 30 days, by dialing 1-844-512-2921 from the U.S. or 1-412-317-6671 from international locations and entering conference passcode 13717292.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0E32E1"/>
        </w:rPr>
        <w:t xml:space="preserve"> </w:t>
      </w:r>
      <w:r>
        <w:rPr>
          <w:rFonts w:ascii="Arial" w:cs="Arial" w:eastAsia="Arial" w:hAnsi="Arial"/>
          <w:sz w:val="18"/>
          <w:szCs w:val="18"/>
          <w:color w:val="000000"/>
        </w:rPr>
        <w:t>for approximately 30 days.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17 private label brands, which go well beyond traditional sporting goods and apparel offerings.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references to "Academy," "Academy Sports + Outdoors," "we," "us," "our" or the "Company" in this press release refer to (1) prior to October 1, 2020 (the "IPO pricing date"), New Academy Holding Company, LLC, a Delaware limited liability company ("NAHC") and the prior parent holding company for our operations, and its consolidated subsidiaries; and (2) on and after the IPO pricing date, Academy Sports and Outdoors, Inc., a Delaware corporation ("ASO, Inc.") and the current parent holding company of our operations, and its consolidated subsidiaries.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the IPO pricing date, we completed a series of reorganization transactions (the "Reorganization Transactions") that resulted in NAHC being contributed to ASO, Inc. by its members and becoming a wholly owned subsidiary of ASO, Inc. and one share of common stock of ASO, Inc. issued to then-existing members of NAHC for every 3.15 membership units of NAHC contributed to ASO, Inc. (the "Contribution</w:t>
      </w:r>
    </w:p>
    <w:p>
      <w:pPr>
        <w:spacing w:after="0" w:line="1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Ratio"). Unless indicated otherwise, the information in this press release has been adjusted to give retrospective effect to the Contribution Ratio.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Adjusted EBITDA, Adjusted Net Income (Loss), Pro Forma Adjusted Net Income (Loss), Pro Forma Adjusted Earnings Per Share, and Adjusted Free Cash Flow have been presented in this press release as supplemental measures of financial performance that are not required by, or presented in accordance with, generally accepted accounting principles (“GAAP”). These non-GAAP measures have limitations as analytical tools. For information on these limitations, as well as information on why management believes these non-GAAP measures are useful, please see our prospectus filed on January 25, 2021 (our “Prospectus”), pursuant to Rule 424(b)(4) under the Securities Act of 1933, as amended (the “Securities Act”), and our Quarterly Report for the thirty-nine weeks ended October 31, 2020 (the "Quarterly Report"), as such limitations and information may be updated from time to time in our periodic filings with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compensate for these limitations by primarily relying on our GAAP results in addition to using these non-GAAP measures supplementally.</w:t>
      </w:r>
    </w:p>
    <w:p>
      <w:pPr>
        <w:sectPr>
          <w:pgSz w:w="11900" w:h="16838" w:orient="portrait"/>
          <w:cols w:equalWidth="0" w:num="1">
            <w:col w:w="11240"/>
          </w:cols>
          <w:pgMar w:left="320" w:top="463"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463" w:right="339" w:bottom="1440" w:gutter="0" w:footer="0" w:header="0"/>
          <w:type w:val="continuous"/>
        </w:sectPr>
      </w:pPr>
    </w:p>
    <w:bookmarkStart w:id="5" w:name="page6"/>
    <w:bookmarkEnd w:id="5"/>
    <w:p>
      <w:pPr>
        <w:jc w:val="both"/>
        <w:spacing w:after="0" w:line="267" w:lineRule="auto"/>
        <w:rPr>
          <w:sz w:val="20"/>
          <w:szCs w:val="20"/>
          <w:color w:val="auto"/>
        </w:rPr>
      </w:pP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This press release contains forward-looking statements within the meaning of Section 27A of the Securities Act and Section 21E of the Securities Exchange Act of 1934, as amended. These statements include, but are not limited to, statements related to our current beliefs and expectations regarding the performance of our industry, our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 factors and uncertainties, which may cause actual results to differ materially from those implied in the forward-looking statements. Such factors include, but are not limited to, overall decline in the health of the economy and consumer discretionary spending; our ability to predict or effectively react to changes in consumer tastes and preferences, to acquire and sell brand name merchandise at competitive prices and/or to manage our inventory balances; the impact of COVID-19 on our business and financial results; intense competition in the sporting goods and outdoor recreation retail industries; our ability to safeguard sensitive or confidential data relating to us and our customers, team members and vendors; risks associated with our reliance on internationally manufactured merchandise; our ability to comply with laws and regulations affecting our business, including those relating to the sale, manufacture and import of consumer products; claims, demands and lawsuits to which we are, and may in the future, be subject and the risk that our insurance or indemnities coverage may not be sufficient; our ability to operate, update or implement our information technology systems; risks associated with disruptions in our supply chain and losses of merchandise purchasing incentives; harm to our reputation; any failure of our third-party vendors of outsourced business services and solutions; our ability to successfully continue our store growth plans or manage our growth effectively, or any failure of our new stores to generate sales and/or achieve profitability; risks associated with our e-commerce business; risks related to our owned brand merchandise; any disruption in the operation of our distribution centers; quarterly and seasonal fluctuations in our operating results; the occurrence of severe weather events, catastrophic health events, natural or man-made disasters, social and political conditions or civil unrest; our ability to protect our intellectual property and avoid the infringement of third-party intellectual property rights; our dependence on our ability to meet our labor needs; the geographic concentration of our stores; fluctuations in merchandise costs and availability; our ability to successfully pursue strategic acquisitions and integrate acquired businesses; payment-related risks; our ability to retain key executives; the effectiveness of our marketing and advertising programs; our substantial indebtedness; and our sponsor controls us and their interests may conflict with ours or yours in the future. Additional factors that could cause our results to differ materially from those described in the forward-looking statements can be found under the heading entitled “Risk Factors” in the Prospectus and the Quarterly Report, as such factors may be further updated from time to time in our periodic filings with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 These factors should not be construed as exhaustive and should be read in conjunction with the other cautionary statements that are included in this release and in our filings with the SEC.</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408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0"/>
        </w:trPr>
        <w:tc>
          <w:tcPr>
            <w:tcW w:w="14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91"/>
        </w:trPr>
        <w:tc>
          <w:tcPr>
            <w:tcW w:w="1420" w:type="dxa"/>
            <w:vAlign w:val="bottom"/>
          </w:tcPr>
          <w:p>
            <w:pPr>
              <w:spacing w:after="0"/>
              <w:rPr>
                <w:sz w:val="20"/>
                <w:szCs w:val="20"/>
                <w:color w:val="auto"/>
              </w:rPr>
            </w:pPr>
            <w:r>
              <w:rPr>
                <w:rFonts w:ascii="Arial" w:cs="Arial" w:eastAsia="Arial" w:hAnsi="Arial"/>
                <w:sz w:val="18"/>
                <w:szCs w:val="18"/>
                <w:color w:val="auto"/>
              </w:rPr>
              <w:t>Matt Hodges</w:t>
            </w:r>
          </w:p>
        </w:tc>
        <w:tc>
          <w:tcPr>
            <w:tcW w:w="25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Elise Hasbrook</w:t>
            </w:r>
          </w:p>
        </w:tc>
      </w:tr>
      <w:tr>
        <w:trPr>
          <w:trHeight w:val="270"/>
        </w:trPr>
        <w:tc>
          <w:tcPr>
            <w:tcW w:w="392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4080" w:type="dxa"/>
            <w:vAlign w:val="bottom"/>
          </w:tcPr>
          <w:p>
            <w:pPr>
              <w:spacing w:after="0"/>
              <w:rPr>
                <w:sz w:val="23"/>
                <w:szCs w:val="23"/>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2500" w:type="dxa"/>
            <w:vAlign w:val="bottom"/>
          </w:tcPr>
          <w:p>
            <w:pPr>
              <w:spacing w:after="0"/>
              <w:rPr>
                <w:sz w:val="23"/>
                <w:szCs w:val="23"/>
                <w:color w:val="auto"/>
              </w:rPr>
            </w:pPr>
          </w:p>
        </w:tc>
        <w:tc>
          <w:tcPr>
            <w:tcW w:w="5300" w:type="dxa"/>
            <w:vAlign w:val="bottom"/>
            <w:gridSpan w:val="2"/>
          </w:tcPr>
          <w:p>
            <w:pPr>
              <w:ind w:left="4080"/>
              <w:spacing w:after="0"/>
              <w:rPr>
                <w:sz w:val="20"/>
                <w:szCs w:val="20"/>
                <w:color w:val="auto"/>
              </w:rPr>
            </w:pPr>
            <w:r>
              <w:rPr>
                <w:rFonts w:ascii="Arial" w:cs="Arial" w:eastAsia="Arial" w:hAnsi="Arial"/>
                <w:sz w:val="18"/>
                <w:szCs w:val="18"/>
                <w:color w:val="auto"/>
              </w:rPr>
              <w:t>281-944-6041</w:t>
            </w:r>
          </w:p>
        </w:tc>
        <w:tc>
          <w:tcPr>
            <w:tcW w:w="1240" w:type="dxa"/>
            <w:vAlign w:val="bottom"/>
          </w:tcPr>
          <w:p>
            <w:pPr>
              <w:spacing w:after="0"/>
              <w:rPr>
                <w:sz w:val="23"/>
                <w:szCs w:val="23"/>
                <w:color w:val="auto"/>
              </w:rPr>
            </w:pPr>
          </w:p>
        </w:tc>
      </w:tr>
      <w:tr>
        <w:trPr>
          <w:trHeight w:val="270"/>
        </w:trPr>
        <w:tc>
          <w:tcPr>
            <w:tcW w:w="3920" w:type="dxa"/>
            <w:vAlign w:val="bottom"/>
            <w:gridSpan w:val="2"/>
          </w:tcPr>
          <w:p>
            <w:pPr>
              <w:spacing w:after="0"/>
              <w:rPr>
                <w:sz w:val="20"/>
                <w:szCs w:val="20"/>
                <w:color w:val="auto"/>
              </w:rPr>
            </w:pPr>
            <w:r>
              <w:rPr>
                <w:rFonts w:ascii="Arial" w:cs="Arial" w:eastAsia="Arial" w:hAnsi="Arial"/>
                <w:sz w:val="18"/>
                <w:szCs w:val="18"/>
                <w:color w:val="0E32E1"/>
              </w:rPr>
              <w:t>Matt.hodges@academy.com</w:t>
            </w:r>
          </w:p>
        </w:tc>
        <w:tc>
          <w:tcPr>
            <w:tcW w:w="40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0E32E1"/>
                <w:w w:val="98"/>
              </w:rPr>
              <w:t>Elise.hasbrook@academy.com</w:t>
            </w:r>
          </w:p>
        </w:tc>
      </w:tr>
      <w:tr>
        <w:trPr>
          <w:trHeight w:val="783"/>
        </w:trPr>
        <w:tc>
          <w:tcPr>
            <w:tcW w:w="1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80" w:type="dxa"/>
            <w:vAlign w:val="bottom"/>
          </w:tcPr>
          <w:p>
            <w:pPr>
              <w:jc w:val="right"/>
              <w:ind w:right="2250"/>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8"/>
              </w:rPr>
              <w:t>January 30, 2021</w:t>
            </w:r>
          </w:p>
        </w:tc>
        <w:tc>
          <w:tcPr>
            <w:tcW w:w="100" w:type="dxa"/>
            <w:vAlign w:val="bottom"/>
          </w:tcPr>
          <w:p>
            <w:pPr>
              <w:spacing w:after="0"/>
              <w:rPr>
                <w:sz w:val="15"/>
                <w:szCs w:val="15"/>
                <w:color w:val="auto"/>
              </w:rPr>
            </w:pPr>
          </w:p>
        </w:tc>
        <w:tc>
          <w:tcPr>
            <w:tcW w:w="1940" w:type="dxa"/>
            <w:vAlign w:val="bottom"/>
            <w:gridSpan w:val="2"/>
          </w:tcPr>
          <w:p>
            <w:pPr>
              <w:ind w:left="60"/>
              <w:spacing w:after="0" w:line="182" w:lineRule="exact"/>
              <w:rPr>
                <w:sz w:val="20"/>
                <w:szCs w:val="20"/>
                <w:color w:val="auto"/>
              </w:rPr>
            </w:pPr>
            <w:r>
              <w:rPr>
                <w:rFonts w:ascii="Arial" w:cs="Arial" w:eastAsia="Arial" w:hAnsi="Arial"/>
                <w:sz w:val="18"/>
                <w:szCs w:val="18"/>
                <w:b w:val="1"/>
                <w:bCs w:val="1"/>
                <w:color w:val="auto"/>
              </w:rPr>
              <w:t>Percentage of Sales</w:t>
            </w:r>
          </w:p>
        </w:tc>
        <w:tc>
          <w:tcPr>
            <w:tcW w:w="120" w:type="dxa"/>
            <w:vAlign w:val="bottom"/>
          </w:tcPr>
          <w:p>
            <w:pPr>
              <w:spacing w:after="0"/>
              <w:rPr>
                <w:sz w:val="15"/>
                <w:szCs w:val="15"/>
                <w:color w:val="auto"/>
              </w:rPr>
            </w:pPr>
          </w:p>
        </w:tc>
        <w:tc>
          <w:tcPr>
            <w:tcW w:w="15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February 1, 2020</w:t>
            </w:r>
          </w:p>
        </w:tc>
        <w:tc>
          <w:tcPr>
            <w:tcW w:w="80" w:type="dxa"/>
            <w:vAlign w:val="bottom"/>
          </w:tcPr>
          <w:p>
            <w:pPr>
              <w:spacing w:after="0"/>
              <w:rPr>
                <w:sz w:val="15"/>
                <w:szCs w:val="15"/>
                <w:color w:val="auto"/>
              </w:rPr>
            </w:pPr>
          </w:p>
        </w:tc>
        <w:tc>
          <w:tcPr>
            <w:tcW w:w="18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Percentage of Sales</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960" w:type="dxa"/>
            <w:vAlign w:val="bottom"/>
            <w:gridSpan w:val="2"/>
          </w:tcPr>
          <w:p>
            <w:pPr>
              <w:jc w:val="right"/>
              <w:ind w:right="77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940" w:type="dxa"/>
            <w:vAlign w:val="bottom"/>
            <w:gridSpan w:val="2"/>
          </w:tcPr>
          <w:p>
            <w:pPr>
              <w:jc w:val="right"/>
              <w:ind w:right="770"/>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1,597,436</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1,370,492</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1,098,348</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68.8 %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999,960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73.0 %</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499,088</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31.2 %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370,532</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358,056</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328,315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141,032</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42,217</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16,027</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24,136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retirement of debt, net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4,249</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(797)</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0.0 %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121,553</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30,031</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903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91,522</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5.7 %</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17,738</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90,253</w:t>
            </w: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72,468</w:t>
            </w: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94,377</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74,974</w:t>
            </w:r>
          </w:p>
        </w:tc>
        <w:tc>
          <w:tcPr>
            <w:tcW w:w="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After effect of the retrospective presentation of the Reorganization Transactions and Contribution Ratio</w:t>
      </w:r>
    </w:p>
    <w:p>
      <w:pPr>
        <w:ind w:left="180" w:hanging="172"/>
        <w:spacing w:after="0" w:line="196" w:lineRule="auto"/>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Column may not add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0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Fiscal Year Ended</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1"/>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Percentage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rPr>
              <w:t>Percentage of</w:t>
            </w:r>
          </w:p>
        </w:tc>
      </w:tr>
      <w:tr>
        <w:trPr>
          <w:trHeight w:val="268"/>
        </w:trPr>
        <w:tc>
          <w:tcPr>
            <w:tcW w:w="44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January 30, 2021</w:t>
            </w:r>
          </w:p>
        </w:tc>
        <w:tc>
          <w:tcPr>
            <w:tcW w:w="8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(2)</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February 1, 2020</w:t>
            </w:r>
          </w:p>
        </w:tc>
        <w:tc>
          <w:tcPr>
            <w:tcW w:w="8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(2)</w:t>
            </w: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5,689,233</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4,829,897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3,955,188</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69.5 %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3,398,743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70.4 %</w:t>
            </w:r>
          </w:p>
        </w:tc>
      </w:tr>
      <w:tr>
        <w:trPr>
          <w:trHeight w:val="27"/>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1,734,045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30.5 %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1,431,154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1,313,647</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23.1 %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1,251,733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25.9 %</w:t>
            </w:r>
          </w:p>
        </w:tc>
      </w:tr>
      <w:tr>
        <w:trPr>
          <w:trHeight w:val="27"/>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420,398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179,421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86,514</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101,307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early retirement of debt, net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(1,654)</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0.0 %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(2,481)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339,120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122,860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30,356</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0.5 %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2,817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89"/>
        </w:trPr>
        <w:tc>
          <w:tcPr>
            <w:tcW w:w="4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308,764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3"/>
        </w:trPr>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70"/>
        </w:trPr>
        <w:tc>
          <w:tcPr>
            <w:tcW w:w="4480" w:type="dxa"/>
            <w:vAlign w:val="bottom"/>
          </w:tcPr>
          <w:p>
            <w:pPr>
              <w:ind w:left="2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57"/>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70"/>
        </w:trPr>
        <w:tc>
          <w:tcPr>
            <w:tcW w:w="4480" w:type="dxa"/>
            <w:vAlign w:val="bottom"/>
          </w:tcPr>
          <w:p>
            <w:pPr>
              <w:ind w:left="2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77,994</w:t>
            </w: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72,477</w:t>
            </w: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4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81,431</w:t>
            </w: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w:t>
            </w:r>
          </w:p>
        </w:tc>
        <w:tc>
          <w:tcPr>
            <w:tcW w:w="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bl>
    <w:p>
      <w:pPr>
        <w:spacing w:after="0" w:line="89"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After effect of retrospective presentation of the Reorganization Transactions and Contribution Ratio</w:t>
      </w:r>
    </w:p>
    <w:p>
      <w:pPr>
        <w:ind w:left="160" w:hanging="152"/>
        <w:spacing w:after="0" w:line="228" w:lineRule="auto"/>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Column may not add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30, 2021</w:t>
            </w:r>
          </w:p>
        </w:tc>
        <w:tc>
          <w:tcPr>
            <w:tcW w:w="160" w:type="dxa"/>
            <w:vAlign w:val="bottom"/>
          </w:tcPr>
          <w:p>
            <w:pPr>
              <w:spacing w:after="0"/>
              <w:rPr>
                <w:sz w:val="19"/>
                <w:szCs w:val="19"/>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1, 2020</w:t>
            </w:r>
          </w:p>
        </w:tc>
        <w:tc>
          <w:tcPr>
            <w:tcW w:w="0" w:type="dxa"/>
            <w:vAlign w:val="bottom"/>
          </w:tcPr>
          <w:p>
            <w:pPr>
              <w:spacing w:after="0"/>
              <w:rPr>
                <w:sz w:val="1"/>
                <w:szCs w:val="1"/>
                <w:color w:val="auto"/>
              </w:rPr>
            </w:pPr>
          </w:p>
        </w:tc>
      </w:tr>
      <w:tr>
        <w:trPr>
          <w:trHeight w:val="230"/>
        </w:trPr>
        <w:tc>
          <w:tcPr>
            <w:tcW w:w="7720" w:type="dxa"/>
            <w:vAlign w:val="bottom"/>
            <w:tcBorders>
              <w:top w:val="single" w:sz="8" w:color="CCEEFF"/>
            </w:tcBorders>
            <w:shd w:val="clear" w:color="auto" w:fill="CCEEFF"/>
          </w:tcPr>
          <w:p>
            <w:pPr>
              <w:ind w:left="350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377,604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149,385</w:t>
            </w:r>
          </w:p>
        </w:tc>
        <w:tc>
          <w:tcPr>
            <w:tcW w:w="0" w:type="dxa"/>
            <w:vAlign w:val="bottom"/>
          </w:tcPr>
          <w:p>
            <w:pPr>
              <w:spacing w:after="0"/>
              <w:rPr>
                <w:sz w:val="1"/>
                <w:szCs w:val="1"/>
                <w:color w:val="auto"/>
              </w:rPr>
            </w:pPr>
          </w:p>
        </w:tc>
      </w:tr>
      <w:tr>
        <w:trPr>
          <w:trHeight w:val="233"/>
        </w:trPr>
        <w:tc>
          <w:tcPr>
            <w:tcW w:w="7720" w:type="dxa"/>
            <w:vAlign w:val="bottom"/>
          </w:tcPr>
          <w:p>
            <w:pPr>
              <w:ind w:left="240"/>
              <w:spacing w:after="0"/>
              <w:rPr>
                <w:sz w:val="20"/>
                <w:szCs w:val="20"/>
                <w:color w:val="auto"/>
              </w:rPr>
            </w:pPr>
            <w:r>
              <w:rPr>
                <w:rFonts w:ascii="Arial" w:cs="Arial" w:eastAsia="Arial" w:hAnsi="Arial"/>
                <w:sz w:val="16"/>
                <w:szCs w:val="16"/>
                <w:color w:val="auto"/>
              </w:rPr>
              <w:t>Accounts receivable - less allowance for doubtful accounts of $1,172 and $3,275, respectively</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17,306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13,999</w:t>
            </w:r>
          </w:p>
        </w:tc>
        <w:tc>
          <w:tcPr>
            <w:tcW w:w="0" w:type="dxa"/>
            <w:vAlign w:val="bottom"/>
          </w:tcPr>
          <w:p>
            <w:pPr>
              <w:spacing w:after="0"/>
              <w:rPr>
                <w:sz w:val="1"/>
                <w:szCs w:val="1"/>
                <w:color w:val="auto"/>
              </w:rPr>
            </w:pPr>
          </w:p>
        </w:tc>
      </w:tr>
      <w:tr>
        <w:trPr>
          <w:trHeight w:val="253"/>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Merchandise inventories, net</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990,034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1,099,749</w:t>
            </w:r>
          </w:p>
        </w:tc>
        <w:tc>
          <w:tcPr>
            <w:tcW w:w="0" w:type="dxa"/>
            <w:vAlign w:val="bottom"/>
          </w:tcPr>
          <w:p>
            <w:pPr>
              <w:spacing w:after="0"/>
              <w:rPr>
                <w:sz w:val="1"/>
                <w:szCs w:val="1"/>
                <w:color w:val="auto"/>
              </w:rPr>
            </w:pPr>
          </w:p>
        </w:tc>
      </w:tr>
      <w:tr>
        <w:trPr>
          <w:trHeight w:val="233"/>
        </w:trPr>
        <w:tc>
          <w:tcPr>
            <w:tcW w:w="772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28,313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24,548</w:t>
            </w:r>
          </w:p>
        </w:tc>
        <w:tc>
          <w:tcPr>
            <w:tcW w:w="0" w:type="dxa"/>
            <w:vAlign w:val="bottom"/>
          </w:tcPr>
          <w:p>
            <w:pPr>
              <w:spacing w:after="0"/>
              <w:rPr>
                <w:sz w:val="1"/>
                <w:szCs w:val="1"/>
                <w:color w:val="auto"/>
              </w:rPr>
            </w:pPr>
          </w:p>
        </w:tc>
      </w:tr>
      <w:tr>
        <w:trPr>
          <w:trHeight w:val="246"/>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Assets held for sale</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1,763</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33"/>
        </w:trPr>
        <w:tc>
          <w:tcPr>
            <w:tcW w:w="772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1,415,020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1,289,444</w:t>
            </w:r>
          </w:p>
        </w:tc>
        <w:tc>
          <w:tcPr>
            <w:tcW w:w="0" w:type="dxa"/>
            <w:vAlign w:val="bottom"/>
          </w:tcPr>
          <w:p>
            <w:pPr>
              <w:spacing w:after="0"/>
              <w:rPr>
                <w:sz w:val="1"/>
                <w:szCs w:val="1"/>
                <w:color w:val="auto"/>
              </w:rPr>
            </w:pPr>
          </w:p>
        </w:tc>
      </w:tr>
      <w:tr>
        <w:trPr>
          <w:trHeight w:val="226"/>
        </w:trPr>
        <w:tc>
          <w:tcPr>
            <w:tcW w:w="7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 NET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378,260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441,407</w:t>
            </w:r>
          </w:p>
        </w:tc>
        <w:tc>
          <w:tcPr>
            <w:tcW w:w="0" w:type="dxa"/>
            <w:vAlign w:val="bottom"/>
          </w:tcPr>
          <w:p>
            <w:pPr>
              <w:spacing w:after="0"/>
              <w:rPr>
                <w:sz w:val="1"/>
                <w:szCs w:val="1"/>
                <w:color w:val="auto"/>
              </w:rPr>
            </w:pPr>
          </w:p>
        </w:tc>
      </w:tr>
      <w:tr>
        <w:trPr>
          <w:trHeight w:val="25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RIGHT-OF-USE ASSETS</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1,143,699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1,145,705</w:t>
            </w:r>
          </w:p>
        </w:tc>
        <w:tc>
          <w:tcPr>
            <w:tcW w:w="0" w:type="dxa"/>
            <w:vAlign w:val="bottom"/>
          </w:tcPr>
          <w:p>
            <w:pPr>
              <w:spacing w:after="0"/>
              <w:rPr>
                <w:sz w:val="1"/>
                <w:szCs w:val="1"/>
                <w:color w:val="auto"/>
              </w:rPr>
            </w:pPr>
          </w:p>
        </w:tc>
      </w:tr>
      <w:tr>
        <w:trPr>
          <w:trHeight w:val="23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TRADE NAME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577,000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577,000</w:t>
            </w:r>
          </w:p>
        </w:tc>
        <w:tc>
          <w:tcPr>
            <w:tcW w:w="0" w:type="dxa"/>
            <w:vAlign w:val="bottom"/>
          </w:tcPr>
          <w:p>
            <w:pPr>
              <w:spacing w:after="0"/>
              <w:rPr>
                <w:sz w:val="1"/>
                <w:szCs w:val="1"/>
                <w:color w:val="auto"/>
              </w:rPr>
            </w:pPr>
          </w:p>
        </w:tc>
      </w:tr>
      <w:tr>
        <w:trPr>
          <w:trHeight w:val="25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861,920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861,920</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8,583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15,845</w:t>
            </w:r>
          </w:p>
        </w:tc>
        <w:tc>
          <w:tcPr>
            <w:tcW w:w="0" w:type="dxa"/>
            <w:vAlign w:val="bottom"/>
          </w:tcPr>
          <w:p>
            <w:pPr>
              <w:spacing w:after="0"/>
              <w:rPr>
                <w:sz w:val="1"/>
                <w:szCs w:val="1"/>
                <w:color w:val="auto"/>
              </w:rPr>
            </w:pPr>
          </w:p>
        </w:tc>
      </w:tr>
      <w:tr>
        <w:trPr>
          <w:trHeight w:val="268"/>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4,384,482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4,331,321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1600"/>
              <w:spacing w:after="0"/>
              <w:rPr>
                <w:sz w:val="20"/>
                <w:szCs w:val="20"/>
                <w:color w:val="auto"/>
              </w:rPr>
            </w:pPr>
            <w:r>
              <w:rPr>
                <w:rFonts w:ascii="Arial" w:cs="Arial" w:eastAsia="Arial" w:hAnsi="Arial"/>
                <w:sz w:val="16"/>
                <w:szCs w:val="16"/>
                <w:b w:val="1"/>
                <w:bCs w:val="1"/>
                <w:color w:val="auto"/>
              </w:rPr>
              <w:t>LIABILITIES AND STOCKHOLDERS' / PARTNERS' EQUITY</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791,404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428,823</w:t>
            </w:r>
          </w:p>
        </w:tc>
        <w:tc>
          <w:tcPr>
            <w:tcW w:w="0" w:type="dxa"/>
            <w:vAlign w:val="bottom"/>
          </w:tcPr>
          <w:p>
            <w:pPr>
              <w:spacing w:after="0"/>
              <w:rPr>
                <w:sz w:val="1"/>
                <w:szCs w:val="1"/>
                <w:color w:val="auto"/>
              </w:rPr>
            </w:pPr>
          </w:p>
        </w:tc>
      </w:tr>
      <w:tr>
        <w:trPr>
          <w:trHeight w:val="233"/>
        </w:trPr>
        <w:tc>
          <w:tcPr>
            <w:tcW w:w="772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291,351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211,381</w:t>
            </w:r>
          </w:p>
        </w:tc>
        <w:tc>
          <w:tcPr>
            <w:tcW w:w="0" w:type="dxa"/>
            <w:vAlign w:val="bottom"/>
          </w:tcPr>
          <w:p>
            <w:pPr>
              <w:spacing w:after="0"/>
              <w:rPr>
                <w:sz w:val="1"/>
                <w:szCs w:val="1"/>
                <w:color w:val="auto"/>
              </w:rPr>
            </w:pPr>
          </w:p>
        </w:tc>
      </w:tr>
      <w:tr>
        <w:trPr>
          <w:trHeight w:val="253"/>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lease liabilities</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80,338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76,329</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34,116</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1,167,093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750,649</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 net</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781,489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1,428,542</w:t>
            </w:r>
          </w:p>
        </w:tc>
        <w:tc>
          <w:tcPr>
            <w:tcW w:w="0" w:type="dxa"/>
            <w:vAlign w:val="bottom"/>
          </w:tcPr>
          <w:p>
            <w:pPr>
              <w:spacing w:after="0"/>
              <w:rPr>
                <w:sz w:val="1"/>
                <w:szCs w:val="1"/>
                <w:color w:val="auto"/>
              </w:rPr>
            </w:pPr>
          </w:p>
        </w:tc>
      </w:tr>
      <w:tr>
        <w:trPr>
          <w:trHeight w:val="23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LONG-TERM LEASE LIABILITIES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1,150,088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1,141,896</w:t>
            </w:r>
          </w:p>
        </w:tc>
        <w:tc>
          <w:tcPr>
            <w:tcW w:w="0" w:type="dxa"/>
            <w:vAlign w:val="bottom"/>
          </w:tcPr>
          <w:p>
            <w:pPr>
              <w:spacing w:after="0"/>
              <w:rPr>
                <w:sz w:val="1"/>
                <w:szCs w:val="1"/>
                <w:color w:val="auto"/>
              </w:rPr>
            </w:pPr>
          </w:p>
        </w:tc>
      </w:tr>
      <w:tr>
        <w:trPr>
          <w:trHeight w:val="25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 NET</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138,703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35,126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19,197</w:t>
            </w:r>
          </w:p>
        </w:tc>
        <w:tc>
          <w:tcPr>
            <w:tcW w:w="0" w:type="dxa"/>
            <w:vAlign w:val="bottom"/>
          </w:tcPr>
          <w:p>
            <w:pPr>
              <w:spacing w:after="0"/>
              <w:rPr>
                <w:sz w:val="1"/>
                <w:szCs w:val="1"/>
                <w:color w:val="auto"/>
              </w:rPr>
            </w:pPr>
          </w:p>
        </w:tc>
      </w:tr>
      <w:tr>
        <w:trPr>
          <w:trHeight w:val="236"/>
        </w:trPr>
        <w:tc>
          <w:tcPr>
            <w:tcW w:w="772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3,272,499</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3,340,284</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REDEEMABLE MEMBERSHIP UNITS</w:t>
            </w:r>
          </w:p>
        </w:tc>
        <w:tc>
          <w:tcPr>
            <w:tcW w:w="1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STOCKHOLDERS' / PARTNERS' EQUITY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20" w:type="dxa"/>
            <w:vAlign w:val="bottom"/>
          </w:tcPr>
          <w:p>
            <w:pPr>
              <w:ind w:left="240"/>
              <w:spacing w:after="0"/>
              <w:rPr>
                <w:sz w:val="20"/>
                <w:szCs w:val="20"/>
                <w:color w:val="auto"/>
              </w:rPr>
            </w:pPr>
            <w:r>
              <w:rPr>
                <w:rFonts w:ascii="Arial" w:cs="Arial" w:eastAsia="Arial" w:hAnsi="Arial"/>
                <w:sz w:val="16"/>
                <w:szCs w:val="16"/>
                <w:color w:val="auto"/>
              </w:rPr>
              <w:t>Preferred stock, $0.01 par value, authorized 50,000,000 shares; none issued and outstanding</w:t>
            </w:r>
          </w:p>
        </w:tc>
        <w:tc>
          <w:tcPr>
            <w:tcW w:w="16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Partners' equity, membership units authorized, issued and outstanding were 72,468,164 as of February</w:t>
            </w:r>
          </w:p>
        </w:tc>
        <w:tc>
          <w:tcPr>
            <w:tcW w:w="160" w:type="dxa"/>
            <w:vAlign w:val="bottom"/>
            <w:shd w:val="clear" w:color="auto" w:fill="CCEEFF"/>
          </w:tcPr>
          <w:p>
            <w:pPr>
              <w:spacing w:after="0"/>
              <w:rPr>
                <w:sz w:val="19"/>
                <w:szCs w:val="19"/>
                <w:color w:val="auto"/>
              </w:rPr>
            </w:pPr>
          </w:p>
        </w:tc>
        <w:tc>
          <w:tcPr>
            <w:tcW w:w="1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1, 2020</w:t>
            </w:r>
          </w:p>
        </w:tc>
        <w:tc>
          <w:tcPr>
            <w:tcW w:w="16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996,285</w:t>
            </w:r>
          </w:p>
        </w:tc>
        <w:tc>
          <w:tcPr>
            <w:tcW w:w="0" w:type="dxa"/>
            <w:vAlign w:val="bottom"/>
          </w:tcPr>
          <w:p>
            <w:pPr>
              <w:spacing w:after="0"/>
              <w:rPr>
                <w:sz w:val="1"/>
                <w:szCs w:val="1"/>
                <w:color w:val="auto"/>
              </w:rPr>
            </w:pPr>
          </w:p>
        </w:tc>
      </w:tr>
      <w:tr>
        <w:trPr>
          <w:trHeight w:val="218"/>
        </w:trPr>
        <w:tc>
          <w:tcPr>
            <w:tcW w:w="7720" w:type="dxa"/>
            <w:vAlign w:val="bottom"/>
          </w:tcPr>
          <w:p>
            <w:pPr>
              <w:ind w:left="240"/>
              <w:spacing w:after="0"/>
              <w:rPr>
                <w:sz w:val="20"/>
                <w:szCs w:val="20"/>
                <w:color w:val="auto"/>
              </w:rPr>
            </w:pPr>
            <w:r>
              <w:rPr>
                <w:rFonts w:ascii="Arial" w:cs="Arial" w:eastAsia="Arial" w:hAnsi="Arial"/>
                <w:sz w:val="16"/>
                <w:szCs w:val="16"/>
                <w:color w:val="auto"/>
              </w:rPr>
              <w:t>Common stock, $0.01 par value, authorized 300,000,000 shares; 91,114,475 issued and outstanding</w:t>
            </w:r>
          </w:p>
        </w:tc>
        <w:tc>
          <w:tcPr>
            <w:tcW w:w="16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720" w:type="dxa"/>
            <w:vAlign w:val="bottom"/>
          </w:tcPr>
          <w:p>
            <w:pPr>
              <w:ind w:left="240"/>
              <w:spacing w:after="0"/>
              <w:rPr>
                <w:sz w:val="20"/>
                <w:szCs w:val="20"/>
                <w:color w:val="auto"/>
              </w:rPr>
            </w:pPr>
            <w:r>
              <w:rPr>
                <w:rFonts w:ascii="Arial" w:cs="Arial" w:eastAsia="Arial" w:hAnsi="Arial"/>
                <w:sz w:val="16"/>
                <w:szCs w:val="16"/>
                <w:color w:val="auto"/>
              </w:rPr>
              <w:t>as of January 30, 2021</w:t>
            </w:r>
          </w:p>
        </w:tc>
        <w:tc>
          <w:tcPr>
            <w:tcW w:w="16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127,228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72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987,168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(8,066)</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Stockholders' / partners' equity</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1,111,983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988,219</w:t>
            </w:r>
          </w:p>
        </w:tc>
        <w:tc>
          <w:tcPr>
            <w:tcW w:w="0" w:type="dxa"/>
            <w:vAlign w:val="bottom"/>
          </w:tcPr>
          <w:p>
            <w:pPr>
              <w:spacing w:after="0"/>
              <w:rPr>
                <w:sz w:val="1"/>
                <w:szCs w:val="1"/>
                <w:color w:val="auto"/>
              </w:rPr>
            </w:pPr>
          </w:p>
        </w:tc>
      </w:tr>
      <w:tr>
        <w:trPr>
          <w:trHeight w:val="268"/>
        </w:trPr>
        <w:tc>
          <w:tcPr>
            <w:tcW w:w="7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 and stockholders' / partners'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4,384,482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4,331,321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After effect of retrospective presentation of the Reorganization Transactions and Contribution Ratio</w:t>
      </w: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Fiscal Year Ended</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37"/>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30, 2021</w:t>
            </w:r>
          </w:p>
        </w:tc>
        <w:tc>
          <w:tcPr>
            <w:tcW w:w="10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February 1, 2020</w:t>
            </w:r>
          </w:p>
        </w:tc>
        <w:tc>
          <w:tcPr>
            <w:tcW w:w="140" w:type="dxa"/>
            <w:vAlign w:val="bottom"/>
          </w:tcPr>
          <w:p>
            <w:pPr>
              <w:spacing w:after="0"/>
              <w:rPr>
                <w:sz w:val="20"/>
                <w:szCs w:val="20"/>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February 2, 2019</w:t>
            </w:r>
          </w:p>
        </w:tc>
      </w:tr>
      <w:tr>
        <w:trPr>
          <w:trHeight w:val="23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r>
      <w:tr>
        <w:trPr>
          <w:trHeight w:val="233"/>
        </w:trPr>
        <w:tc>
          <w:tcPr>
            <w:tcW w:w="59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308,764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120,043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21,442</w:t>
            </w:r>
          </w:p>
        </w:tc>
      </w:tr>
      <w:tr>
        <w:trPr>
          <w:trHeight w:val="228"/>
        </w:trPr>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4"/>
        </w:trPr>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activities: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3"/>
        </w:trPr>
        <w:tc>
          <w:tcPr>
            <w:tcW w:w="59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105,481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117,254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132,782</w:t>
            </w:r>
          </w:p>
        </w:tc>
      </w:tr>
      <w:tr>
        <w:trPr>
          <w:trHeight w:val="253"/>
        </w:trPr>
        <w:tc>
          <w:tcPr>
            <w:tcW w:w="5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lease expense</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13,880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940" w:type="dxa"/>
            <w:vAlign w:val="bottom"/>
          </w:tcPr>
          <w:p>
            <w:pPr>
              <w:ind w:left="460"/>
              <w:spacing w:after="0"/>
              <w:rPr>
                <w:sz w:val="20"/>
                <w:szCs w:val="20"/>
                <w:color w:val="auto"/>
              </w:rPr>
            </w:pPr>
            <w:r>
              <w:rPr>
                <w:rFonts w:ascii="Arial" w:cs="Arial" w:eastAsia="Arial" w:hAnsi="Arial"/>
                <w:sz w:val="16"/>
                <w:szCs w:val="16"/>
                <w:color w:val="auto"/>
              </w:rPr>
              <w:t>Equity compensation</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31,617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7,881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4,633</w:t>
            </w:r>
          </w:p>
        </w:tc>
      </w:tr>
      <w:tr>
        <w:trPr>
          <w:trHeight w:val="253"/>
        </w:trPr>
        <w:tc>
          <w:tcPr>
            <w:tcW w:w="5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deferred loan and other costs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5,516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w:t>
            </w:r>
          </w:p>
        </w:tc>
      </w:tr>
      <w:tr>
        <w:trPr>
          <w:trHeight w:val="233"/>
        </w:trPr>
        <w:tc>
          <w:tcPr>
            <w:tcW w:w="5940" w:type="dxa"/>
            <w:vAlign w:val="bottom"/>
          </w:tcPr>
          <w:p>
            <w:pPr>
              <w:ind w:left="460"/>
              <w:spacing w:after="0"/>
              <w:rPr>
                <w:sz w:val="20"/>
                <w:szCs w:val="20"/>
                <w:color w:val="auto"/>
              </w:rPr>
            </w:pPr>
            <w:r>
              <w:rPr>
                <w:rFonts w:ascii="Arial" w:cs="Arial" w:eastAsia="Arial" w:hAnsi="Arial"/>
                <w:sz w:val="16"/>
                <w:szCs w:val="16"/>
                <w:color w:val="auto"/>
              </w:rPr>
              <w:t>Loss on swaps from debt refinancing</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1,330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33"/>
        </w:trPr>
        <w:tc>
          <w:tcPr>
            <w:tcW w:w="5940" w:type="dxa"/>
            <w:vAlign w:val="bottom"/>
          </w:tcPr>
          <w:p>
            <w:pPr>
              <w:ind w:left="460"/>
              <w:spacing w:after="0"/>
              <w:rPr>
                <w:sz w:val="20"/>
                <w:szCs w:val="20"/>
                <w:color w:val="auto"/>
              </w:rPr>
            </w:pPr>
            <w:r>
              <w:rPr>
                <w:rFonts w:ascii="Arial" w:cs="Arial" w:eastAsia="Arial" w:hAnsi="Arial"/>
                <w:sz w:val="16"/>
                <w:szCs w:val="16"/>
                <w:color w:val="auto"/>
              </w:rPr>
              <w:t>Non-cash gain on early retirement of debt, net</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(3,582)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(42,265)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disposal of property and equipment</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233"/>
        </w:trPr>
        <w:tc>
          <w:tcPr>
            <w:tcW w:w="5940" w:type="dxa"/>
            <w:vAlign w:val="bottom"/>
          </w:tcPr>
          <w:p>
            <w:pPr>
              <w:ind w:left="460"/>
              <w:spacing w:after="0"/>
              <w:rPr>
                <w:sz w:val="20"/>
                <w:szCs w:val="20"/>
                <w:color w:val="auto"/>
              </w:rPr>
            </w:pPr>
            <w:r>
              <w:rPr>
                <w:rFonts w:ascii="Arial" w:cs="Arial" w:eastAsia="Arial" w:hAnsi="Arial"/>
                <w:sz w:val="16"/>
                <w:szCs w:val="16"/>
                <w:color w:val="auto"/>
              </w:rPr>
              <w:t>Casualty loss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53"/>
        </w:trPr>
        <w:tc>
          <w:tcPr>
            <w:tcW w:w="5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Impairment of long-lived assets</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r>
      <w:tr>
        <w:trPr>
          <w:trHeight w:val="233"/>
        </w:trPr>
        <w:tc>
          <w:tcPr>
            <w:tcW w:w="5940" w:type="dxa"/>
            <w:vAlign w:val="bottom"/>
          </w:tcPr>
          <w:p>
            <w:pPr>
              <w:ind w:left="460"/>
              <w:spacing w:after="0"/>
              <w:rPr>
                <w:sz w:val="20"/>
                <w:szCs w:val="20"/>
                <w:color w:val="auto"/>
              </w:rPr>
            </w:pPr>
            <w:r>
              <w:rPr>
                <w:rFonts w:ascii="Arial" w:cs="Arial" w:eastAsia="Arial" w:hAnsi="Arial"/>
                <w:sz w:val="16"/>
                <w:szCs w:val="16"/>
                <w:color w:val="auto"/>
              </w:rPr>
              <w:t>Changes in assets and liabilities:</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3"/>
        </w:trPr>
        <w:tc>
          <w:tcPr>
            <w:tcW w:w="5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w:t>
            </w:r>
          </w:p>
        </w:tc>
      </w:tr>
      <w:tr>
        <w:trPr>
          <w:trHeight w:val="233"/>
        </w:trPr>
        <w:tc>
          <w:tcPr>
            <w:tcW w:w="5940" w:type="dxa"/>
            <w:vAlign w:val="bottom"/>
          </w:tcPr>
          <w:p>
            <w:pPr>
              <w:ind w:left="680"/>
              <w:spacing w:after="0"/>
              <w:rPr>
                <w:sz w:val="20"/>
                <w:szCs w:val="20"/>
                <w:color w:val="auto"/>
              </w:rPr>
            </w:pPr>
            <w:r>
              <w:rPr>
                <w:rFonts w:ascii="Arial" w:cs="Arial" w:eastAsia="Arial" w:hAnsi="Arial"/>
                <w:sz w:val="16"/>
                <w:szCs w:val="16"/>
                <w:color w:val="auto"/>
              </w:rPr>
              <w:t>Merchandise inventories, net</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109,520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34,407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89,284</w:t>
            </w:r>
          </w:p>
        </w:tc>
      </w:tr>
      <w:tr>
        <w:trPr>
          <w:trHeight w:val="253"/>
        </w:trPr>
        <w:tc>
          <w:tcPr>
            <w:tcW w:w="5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(3,765)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r>
      <w:tr>
        <w:trPr>
          <w:trHeight w:val="233"/>
        </w:trPr>
        <w:tc>
          <w:tcPr>
            <w:tcW w:w="5940" w:type="dxa"/>
            <w:vAlign w:val="bottom"/>
          </w:tcPr>
          <w:p>
            <w:pPr>
              <w:ind w:left="680"/>
              <w:spacing w:after="0"/>
              <w:rPr>
                <w:sz w:val="20"/>
                <w:szCs w:val="20"/>
                <w:color w:val="auto"/>
              </w:rPr>
            </w:pPr>
            <w:r>
              <w:rPr>
                <w:rFonts w:ascii="Arial" w:cs="Arial" w:eastAsia="Arial" w:hAnsi="Arial"/>
                <w:sz w:val="16"/>
                <w:szCs w:val="16"/>
                <w:color w:val="auto"/>
              </w:rPr>
              <w:t>Other noncurrent assets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(2,496)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53"/>
        </w:trPr>
        <w:tc>
          <w:tcPr>
            <w:tcW w:w="5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361,518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(70,029)</w:t>
            </w:r>
          </w:p>
        </w:tc>
      </w:tr>
      <w:tr>
        <w:trPr>
          <w:trHeight w:val="233"/>
        </w:trPr>
        <w:tc>
          <w:tcPr>
            <w:tcW w:w="5940" w:type="dxa"/>
            <w:vAlign w:val="bottom"/>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57,376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20,615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(2,703)</w:t>
            </w:r>
          </w:p>
        </w:tc>
      </w:tr>
      <w:tr>
        <w:trPr>
          <w:trHeight w:val="253"/>
        </w:trPr>
        <w:tc>
          <w:tcPr>
            <w:tcW w:w="5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payable</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14,124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940" w:type="dxa"/>
            <w:vAlign w:val="bottom"/>
          </w:tcPr>
          <w:p>
            <w:pPr>
              <w:ind w:left="680"/>
              <w:spacing w:after="0"/>
              <w:rPr>
                <w:sz w:val="20"/>
                <w:szCs w:val="20"/>
                <w:color w:val="auto"/>
              </w:rPr>
            </w:pPr>
            <w:r>
              <w:rPr>
                <w:rFonts w:ascii="Arial" w:cs="Arial" w:eastAsia="Arial" w:hAnsi="Arial"/>
                <w:sz w:val="16"/>
                <w:szCs w:val="16"/>
                <w:color w:val="auto"/>
              </w:rPr>
              <w:t>Deferred rent/tenant improvement allowances</w:t>
            </w:r>
          </w:p>
        </w:tc>
        <w:tc>
          <w:tcPr>
            <w:tcW w:w="16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2,833</w:t>
            </w:r>
          </w:p>
        </w:tc>
      </w:tr>
      <w:tr>
        <w:trPr>
          <w:trHeight w:val="246"/>
        </w:trPr>
        <w:tc>
          <w:tcPr>
            <w:tcW w:w="5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14,400</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10,874</w:t>
            </w:r>
          </w:p>
        </w:tc>
      </w:tr>
      <w:tr>
        <w:trPr>
          <w:trHeight w:val="236"/>
        </w:trPr>
        <w:tc>
          <w:tcPr>
            <w:tcW w:w="594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1,011,597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263,669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198,481</w:t>
            </w:r>
          </w:p>
        </w:tc>
      </w:tr>
      <w:tr>
        <w:trPr>
          <w:trHeight w:val="81"/>
        </w:trPr>
        <w:tc>
          <w:tcPr>
            <w:tcW w:w="5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3"/>
        </w:trPr>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(107,905)</w:t>
            </w:r>
          </w:p>
        </w:tc>
      </w:tr>
      <w:tr>
        <w:trPr>
          <w:trHeight w:val="233"/>
        </w:trPr>
        <w:tc>
          <w:tcPr>
            <w:tcW w:w="5940" w:type="dxa"/>
            <w:vAlign w:val="bottom"/>
          </w:tcPr>
          <w:p>
            <w:pPr>
              <w:ind w:left="240"/>
              <w:spacing w:after="0"/>
              <w:rPr>
                <w:sz w:val="20"/>
                <w:szCs w:val="20"/>
                <w:color w:val="auto"/>
              </w:rPr>
            </w:pPr>
            <w:r>
              <w:rPr>
                <w:rFonts w:ascii="Arial" w:cs="Arial" w:eastAsia="Arial" w:hAnsi="Arial"/>
                <w:sz w:val="16"/>
                <w:szCs w:val="16"/>
                <w:color w:val="auto"/>
              </w:rPr>
              <w:t>Proceeds from insurance claims</w:t>
            </w:r>
          </w:p>
        </w:tc>
        <w:tc>
          <w:tcPr>
            <w:tcW w:w="16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2,593</w:t>
            </w:r>
          </w:p>
        </w:tc>
      </w:tr>
      <w:tr>
        <w:trPr>
          <w:trHeight w:val="253"/>
        </w:trPr>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the sale of property and equipment</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10,429</w:t>
            </w:r>
          </w:p>
        </w:tc>
      </w:tr>
      <w:tr>
        <w:trPr>
          <w:trHeight w:val="237"/>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Note receivable from member</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(4,144)</w:t>
            </w:r>
          </w:p>
        </w:tc>
      </w:tr>
      <w:tr>
        <w:trPr>
          <w:trHeight w:val="236"/>
        </w:trPr>
        <w:tc>
          <w:tcPr>
            <w:tcW w:w="594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(33,144)</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(66,783)</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(99,027)</w:t>
            </w:r>
          </w:p>
        </w:tc>
      </w:tr>
      <w:tr>
        <w:trPr>
          <w:trHeight w:val="81"/>
        </w:trPr>
        <w:tc>
          <w:tcPr>
            <w:tcW w:w="5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3"/>
        </w:trPr>
        <w:tc>
          <w:tcPr>
            <w:tcW w:w="5940" w:type="dxa"/>
            <w:vAlign w:val="bottom"/>
          </w:tcPr>
          <w:p>
            <w:pPr>
              <w:ind w:left="240"/>
              <w:spacing w:after="0"/>
              <w:rPr>
                <w:sz w:val="20"/>
                <w:szCs w:val="20"/>
                <w:color w:val="auto"/>
              </w:rPr>
            </w:pPr>
            <w:r>
              <w:rPr>
                <w:rFonts w:ascii="Arial" w:cs="Arial" w:eastAsia="Arial" w:hAnsi="Arial"/>
                <w:sz w:val="16"/>
                <w:szCs w:val="16"/>
                <w:color w:val="auto"/>
              </w:rPr>
              <w:t>Proceeds from ABL Facility</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502,500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526,812</w:t>
            </w:r>
          </w:p>
        </w:tc>
      </w:tr>
      <w:tr>
        <w:trPr>
          <w:trHeight w:val="253"/>
        </w:trPr>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ABL Facility</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(561,812)</w:t>
            </w:r>
          </w:p>
        </w:tc>
      </w:tr>
      <w:tr>
        <w:trPr>
          <w:trHeight w:val="233"/>
        </w:trPr>
        <w:tc>
          <w:tcPr>
            <w:tcW w:w="5940" w:type="dxa"/>
            <w:vAlign w:val="bottom"/>
          </w:tcPr>
          <w:p>
            <w:pPr>
              <w:ind w:left="240"/>
              <w:spacing w:after="0"/>
              <w:rPr>
                <w:sz w:val="20"/>
                <w:szCs w:val="20"/>
                <w:color w:val="auto"/>
              </w:rPr>
            </w:pPr>
            <w:r>
              <w:rPr>
                <w:rFonts w:ascii="Arial" w:cs="Arial" w:eastAsia="Arial" w:hAnsi="Arial"/>
                <w:sz w:val="16"/>
                <w:szCs w:val="16"/>
                <w:color w:val="auto"/>
              </w:rPr>
              <w:t>Proceeds from Term Loan, net of discount</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396,000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Term Loan</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(1,461,072)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(18,250)</w:t>
            </w:r>
          </w:p>
        </w:tc>
      </w:tr>
      <w:tr>
        <w:trPr>
          <w:trHeight w:val="233"/>
        </w:trPr>
        <w:tc>
          <w:tcPr>
            <w:tcW w:w="5940" w:type="dxa"/>
            <w:vAlign w:val="bottom"/>
          </w:tcPr>
          <w:p>
            <w:pPr>
              <w:ind w:left="240"/>
              <w:spacing w:after="0"/>
              <w:rPr>
                <w:sz w:val="20"/>
                <w:szCs w:val="20"/>
                <w:color w:val="auto"/>
              </w:rPr>
            </w:pPr>
            <w:r>
              <w:rPr>
                <w:rFonts w:ascii="Arial" w:cs="Arial" w:eastAsia="Arial" w:hAnsi="Arial"/>
                <w:sz w:val="16"/>
                <w:szCs w:val="16"/>
                <w:color w:val="auto"/>
              </w:rPr>
              <w:t>Proceeds from Notes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issuance fees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(14,147)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w:t>
            </w:r>
          </w:p>
        </w:tc>
      </w:tr>
      <w:tr>
        <w:trPr>
          <w:trHeight w:val="233"/>
        </w:trPr>
        <w:tc>
          <w:tcPr>
            <w:tcW w:w="5940" w:type="dxa"/>
            <w:vAlign w:val="bottom"/>
          </w:tcPr>
          <w:p>
            <w:pPr>
              <w:ind w:left="240"/>
              <w:spacing w:after="0"/>
              <w:rPr>
                <w:sz w:val="20"/>
                <w:szCs w:val="20"/>
                <w:color w:val="auto"/>
              </w:rPr>
            </w:pPr>
            <w:r>
              <w:rPr>
                <w:rFonts w:ascii="Arial" w:cs="Arial" w:eastAsia="Arial" w:hAnsi="Arial"/>
                <w:sz w:val="16"/>
                <w:szCs w:val="16"/>
                <w:color w:val="auto"/>
              </w:rPr>
              <w:t>Share-Based Award Payments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(20,970)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940" w:type="dxa"/>
            <w:vAlign w:val="bottom"/>
          </w:tcPr>
          <w:p>
            <w:pPr>
              <w:ind w:left="240"/>
              <w:spacing w:after="0"/>
              <w:rPr>
                <w:sz w:val="20"/>
                <w:szCs w:val="20"/>
                <w:color w:val="auto"/>
              </w:rPr>
            </w:pPr>
            <w:r>
              <w:rPr>
                <w:rFonts w:ascii="Arial" w:cs="Arial" w:eastAsia="Arial" w:hAnsi="Arial"/>
                <w:sz w:val="16"/>
                <w:szCs w:val="16"/>
                <w:color w:val="auto"/>
              </w:rPr>
              <w:t>Equity contributions from Managers</w:t>
            </w:r>
          </w:p>
        </w:tc>
        <w:tc>
          <w:tcPr>
            <w:tcW w:w="16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53"/>
        </w:trPr>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94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net of Offering Costs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206,970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5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Redeemable Membership Units</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594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(750,234)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(123,192)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(54,808)</w:t>
            </w:r>
          </w:p>
        </w:tc>
      </w:tr>
      <w:tr>
        <w:trPr>
          <w:trHeight w:val="81"/>
        </w:trPr>
        <w:tc>
          <w:tcPr>
            <w:tcW w:w="59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r>
      <w:tr>
        <w:trPr>
          <w:trHeight w:val="233"/>
        </w:trPr>
        <w:tc>
          <w:tcPr>
            <w:tcW w:w="59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228,219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73,694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44,646</w:t>
            </w:r>
          </w:p>
        </w:tc>
      </w:tr>
      <w:tr>
        <w:trPr>
          <w:trHeight w:val="24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149,385</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75,691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31,045</w:t>
            </w:r>
          </w:p>
        </w:tc>
      </w:tr>
      <w:tr>
        <w:trPr>
          <w:trHeight w:val="243"/>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377,604</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149,385</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75,691</w:t>
            </w: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765"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further adjusted to exclude consulting fees, private equity sponsor monitoring fees, equity compensation expense, gain on early extinguishment of debt, net, severance and executive transition costs, costs related to the COVID-19 pandemic and other adjustments. We describe these adjustments reconciling net income (loss) to Adjusted EBITDA in the following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5"/>
          </w:tcPr>
          <w:p>
            <w:pPr>
              <w:ind w:left="66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33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30, 2021</w:t>
            </w: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February 1, 2020</w:t>
            </w:r>
          </w:p>
        </w:tc>
        <w:tc>
          <w:tcPr>
            <w:tcW w:w="12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January 30, 2021</w:t>
            </w:r>
          </w:p>
        </w:tc>
        <w:tc>
          <w:tcPr>
            <w:tcW w:w="1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February 1, 2020</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308,764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120,043</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16,027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24,136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86,514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101,307</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25,763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28,561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105,481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117,254</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Consulting fees (a)</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1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14,793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3,636</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(c)</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4,249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(3,582)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(42,265)</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12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17,632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(f)</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7,111</w:t>
            </w:r>
          </w:p>
        </w:tc>
      </w:tr>
      <w:tr>
        <w:trPr>
          <w:trHeight w:val="237"/>
        </w:trPr>
        <w:tc>
          <w:tcPr>
            <w:tcW w:w="424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178,383</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77,218</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607,023</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322,814</w:t>
            </w: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00" w:hanging="374"/>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59"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our contractual payments under a monitoring agreement ("Monitoring Agreement") with our private equity sponsor Kohlberg Kravis Roberts &amp; Co. L.P.</w:t>
      </w:r>
    </w:p>
    <w:p>
      <w:pPr>
        <w:spacing w:after="0" w:line="33" w:lineRule="exact"/>
        <w:rPr>
          <w:rFonts w:ascii="Arial" w:cs="Arial" w:eastAsia="Arial" w:hAnsi="Arial"/>
          <w:sz w:val="16"/>
          <w:szCs w:val="16"/>
          <w:color w:val="auto"/>
        </w:rPr>
      </w:pPr>
    </w:p>
    <w:p>
      <w:pPr>
        <w:ind w:left="400" w:right="60" w:hanging="374"/>
        <w:spacing w:after="0" w:line="260"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33" w:lineRule="exact"/>
        <w:rPr>
          <w:rFonts w:ascii="Arial" w:cs="Arial" w:eastAsia="Arial" w:hAnsi="Arial"/>
          <w:sz w:val="16"/>
          <w:szCs w:val="16"/>
          <w:color w:val="auto"/>
        </w:rPr>
      </w:pPr>
    </w:p>
    <w:p>
      <w:pPr>
        <w:ind w:left="400" w:hanging="374"/>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59" w:lineRule="exact"/>
        <w:rPr>
          <w:rFonts w:ascii="Arial" w:cs="Arial" w:eastAsia="Arial" w:hAnsi="Arial"/>
          <w:sz w:val="16"/>
          <w:szCs w:val="16"/>
          <w:color w:val="auto"/>
        </w:rPr>
      </w:pPr>
    </w:p>
    <w:p>
      <w:pPr>
        <w:ind w:left="400" w:right="160" w:hanging="374"/>
        <w:spacing w:after="0" w:line="251"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26" w:lineRule="exact"/>
        <w:rPr>
          <w:rFonts w:ascii="Arial" w:cs="Arial" w:eastAsia="Arial" w:hAnsi="Arial"/>
          <w:sz w:val="16"/>
          <w:szCs w:val="16"/>
          <w:color w:val="auto"/>
        </w:rPr>
      </w:pPr>
    </w:p>
    <w:p>
      <w:pPr>
        <w:jc w:val="both"/>
        <w:ind w:left="400" w:right="20" w:hanging="374"/>
        <w:spacing w:after="0" w:line="221"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adjustments include (representing deductions or additions to Adjusted EBITDA) amounts that management believes are not representative of our operating performance, including investment income, installation costs for energy savings associated with our profitability initiatives, legal fees associated with our distribution and the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25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We define “Adjusted Net Income (Loss)” as net income (loss), plus consulting fees, private equity sponsor monitoring fees, equity compensation expense, gain on early extinguishment of debt, net, severance and executive transition costs, costs related to the COVID-19 pandemic and other adjustments, less the tax effect of these adjustments. We define “Pro Forma Adjusted Net Income (Loss)” as Adjusted Net Income (Loss) less the retroactive tax effect of Adjusted Net Income at our estimated effective tax rate of approximately 25% for periods prior to October 1, 2020, the effective date of our conversion to a C-Corporation. We define “Pro Forma Adjusted Earnings per Common Share, Basic” as Pro Forma Adjusted Net Income divided by the basic weighted average common shares outstanding during the period and “Pro Forma Adjusted Earnings per Common Share, Diluted”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following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30, 2021</w:t>
            </w:r>
          </w:p>
        </w:tc>
        <w:tc>
          <w:tcPr>
            <w:tcW w:w="1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1, 2020</w:t>
            </w:r>
          </w:p>
        </w:tc>
        <w:tc>
          <w:tcPr>
            <w:tcW w:w="18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30, 2021</w:t>
            </w:r>
          </w:p>
        </w:tc>
        <w:tc>
          <w:tcPr>
            <w:tcW w:w="180" w:type="dxa"/>
            <w:vAlign w:val="bottom"/>
          </w:tcPr>
          <w:p>
            <w:pPr>
              <w:spacing w:after="0"/>
              <w:rPr>
                <w:sz w:val="20"/>
                <w:szCs w:val="20"/>
                <w:color w:val="auto"/>
              </w:rPr>
            </w:pPr>
          </w:p>
        </w:tc>
        <w:tc>
          <w:tcPr>
            <w:tcW w:w="1580" w:type="dxa"/>
            <w:vAlign w:val="bottom"/>
          </w:tcPr>
          <w:p>
            <w:pPr>
              <w:jc w:val="right"/>
              <w:ind w:right="159"/>
              <w:spacing w:after="0"/>
              <w:rPr>
                <w:sz w:val="20"/>
                <w:szCs w:val="20"/>
                <w:color w:val="auto"/>
              </w:rPr>
            </w:pPr>
            <w:r>
              <w:rPr>
                <w:rFonts w:ascii="Arial" w:cs="Arial" w:eastAsia="Arial" w:hAnsi="Arial"/>
                <w:sz w:val="16"/>
                <w:szCs w:val="16"/>
                <w:b w:val="1"/>
                <w:bCs w:val="1"/>
                <w:color w:val="auto"/>
              </w:rPr>
              <w:t>February 1, 2020</w:t>
            </w:r>
          </w:p>
        </w:tc>
        <w:tc>
          <w:tcPr>
            <w:tcW w:w="0" w:type="dxa"/>
            <w:vAlign w:val="bottom"/>
          </w:tcPr>
          <w:p>
            <w:pPr>
              <w:spacing w:after="0"/>
              <w:rPr>
                <w:sz w:val="1"/>
                <w:szCs w:val="1"/>
                <w:color w:val="auto"/>
              </w:rPr>
            </w:pPr>
          </w:p>
        </w:tc>
      </w:tr>
      <w:tr>
        <w:trPr>
          <w:trHeight w:val="24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91,522</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17,738</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308,764</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120,043</w:t>
            </w: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color w:val="auto"/>
              </w:rPr>
              <w:t>Consulting fees (a)</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equity monitoring fee (b)</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14,793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color w:val="auto"/>
              </w:rPr>
              <w:t>Equity compensation (c)</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4,568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31,617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7,881</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early extinguishment of debt, net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(42,265)</w:t>
            </w: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color w:val="auto"/>
              </w:rPr>
              <w:t>Severance and executive transition costs (d)</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2,434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6,571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the COVID-19 pandemic (e)</w:t>
            </w: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17,632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color w:val="auto"/>
              </w:rPr>
              <w:t>Other (f)</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3,698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8,592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7,111</w:t>
            </w:r>
          </w:p>
        </w:tc>
        <w:tc>
          <w:tcPr>
            <w:tcW w:w="0" w:type="dxa"/>
            <w:vAlign w:val="bottom"/>
          </w:tcPr>
          <w:p>
            <w:pPr>
              <w:spacing w:after="0"/>
              <w:rPr>
                <w:sz w:val="1"/>
                <w:szCs w:val="1"/>
                <w:color w:val="auto"/>
              </w:rPr>
            </w:pPr>
          </w:p>
        </w:tc>
      </w:tr>
      <w:tr>
        <w:trPr>
          <w:trHeight w:val="24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effects of these adjustments (g)</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3"/>
        </w:trPr>
        <w:tc>
          <w:tcPr>
            <w:tcW w:w="4000" w:type="dxa"/>
            <w:vAlign w:val="bottom"/>
          </w:tcPr>
          <w:p>
            <w:pPr>
              <w:ind w:left="240"/>
              <w:spacing w:after="0"/>
              <w:rPr>
                <w:sz w:val="20"/>
                <w:szCs w:val="20"/>
                <w:color w:val="auto"/>
              </w:rPr>
            </w:pPr>
            <w:r>
              <w:rPr>
                <w:rFonts w:ascii="Arial" w:cs="Arial" w:eastAsia="Arial" w:hAnsi="Arial"/>
                <w:sz w:val="16"/>
                <w:szCs w:val="16"/>
                <w:color w:val="auto"/>
              </w:rPr>
              <w:t>Adjusted Net Income</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106,535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23,607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384,536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101,469</w:t>
            </w:r>
          </w:p>
        </w:tc>
        <w:tc>
          <w:tcPr>
            <w:tcW w:w="0" w:type="dxa"/>
            <w:vAlign w:val="bottom"/>
          </w:tcPr>
          <w:p>
            <w:pPr>
              <w:spacing w:after="0"/>
              <w:rPr>
                <w:sz w:val="1"/>
                <w:szCs w:val="1"/>
                <w:color w:val="auto"/>
              </w:rPr>
            </w:pPr>
          </w:p>
        </w:tc>
      </w:tr>
      <w:tr>
        <w:trPr>
          <w:trHeight w:val="228"/>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tax effect of change to C-Corporation</w:t>
            </w:r>
          </w:p>
        </w:tc>
        <w:tc>
          <w:tcPr>
            <w:tcW w:w="160" w:type="dxa"/>
            <w:vAlign w:val="bottom"/>
            <w:shd w:val="clear" w:color="auto" w:fill="CCEEFF"/>
          </w:tcPr>
          <w:p>
            <w:pPr>
              <w:spacing w:after="0"/>
              <w:rPr>
                <w:sz w:val="19"/>
                <w:szCs w:val="19"/>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(3,434)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(72,844)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status (h)</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(25,542)</w:t>
            </w: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Arial" w:cs="Arial" w:eastAsia="Arial" w:hAnsi="Arial"/>
                <w:sz w:val="16"/>
                <w:szCs w:val="16"/>
                <w:color w:val="auto"/>
              </w:rPr>
              <w:t>Pro Forma Adjusted 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103,101</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17,600</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311,692</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75,927</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00" w:type="dxa"/>
            <w:vAlign w:val="bottom"/>
          </w:tcPr>
          <w:p>
            <w:pPr>
              <w:ind w:left="20"/>
              <w:spacing w:after="0"/>
              <w:rPr>
                <w:sz w:val="20"/>
                <w:szCs w:val="20"/>
                <w:color w:val="auto"/>
              </w:rPr>
            </w:pPr>
            <w:r>
              <w:rPr>
                <w:rFonts w:ascii="Arial" w:cs="Arial" w:eastAsia="Arial" w:hAnsi="Arial"/>
                <w:sz w:val="16"/>
                <w:szCs w:val="16"/>
                <w:color w:val="auto"/>
              </w:rPr>
              <w:t>Pro Forma Adjusted Earnings per Share</w:t>
            </w: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3"/>
        </w:trPr>
        <w:tc>
          <w:tcPr>
            <w:tcW w:w="4000" w:type="dxa"/>
            <w:vAlign w:val="bottom"/>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3.83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5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Arial" w:cs="Arial" w:eastAsia="Arial" w:hAnsi="Arial"/>
                <w:sz w:val="16"/>
                <w:szCs w:val="16"/>
                <w:color w:val="auto"/>
              </w:rPr>
              <w:t xml:space="preserve">Basic </w:t>
            </w:r>
            <w:r>
              <w:rPr>
                <w:rFonts w:ascii="Arial" w:cs="Arial" w:eastAsia="Arial" w:hAnsi="Arial"/>
                <w:sz w:val="21"/>
                <w:szCs w:val="21"/>
                <w:color w:val="auto"/>
                <w:vertAlign w:val="superscript"/>
              </w:rPr>
              <w:t>(1)</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90,253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72,468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77,994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72,477</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94,377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74,974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81,431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74,795</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00" w:hanging="160"/>
        <w:spacing w:after="0"/>
        <w:tabs>
          <w:tab w:leader="none" w:pos="400" w:val="left"/>
        </w:tabs>
        <w:numPr>
          <w:ilvl w:val="1"/>
          <w:numId w:val="5"/>
        </w:numPr>
        <w:rPr>
          <w:rFonts w:ascii="Arial" w:cs="Arial" w:eastAsia="Arial" w:hAnsi="Arial"/>
          <w:sz w:val="19"/>
          <w:szCs w:val="19"/>
          <w:color w:val="auto"/>
          <w:vertAlign w:val="superscript"/>
        </w:rPr>
      </w:pPr>
      <w:r>
        <w:rPr>
          <w:rFonts w:ascii="Arial" w:cs="Arial" w:eastAsia="Arial" w:hAnsi="Arial"/>
          <w:sz w:val="15"/>
          <w:szCs w:val="15"/>
          <w:color w:val="auto"/>
        </w:rPr>
        <w:t>After effect of retrospective presentation of the Reorganization Transactions and Contribution Ratio</w:t>
      </w:r>
    </w:p>
    <w:p>
      <w:pPr>
        <w:spacing w:after="0" w:line="102" w:lineRule="exact"/>
        <w:rPr>
          <w:rFonts w:ascii="Arial" w:cs="Arial" w:eastAsia="Arial" w:hAnsi="Arial"/>
          <w:sz w:val="19"/>
          <w:szCs w:val="19"/>
          <w:color w:val="auto"/>
          <w:vertAlign w:val="superscript"/>
        </w:rPr>
      </w:pPr>
    </w:p>
    <w:p>
      <w:pPr>
        <w:ind w:left="400" w:hanging="374"/>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59" w:lineRule="exact"/>
        <w:rPr>
          <w:rFonts w:ascii="Arial" w:cs="Arial" w:eastAsia="Arial" w:hAnsi="Arial"/>
          <w:sz w:val="16"/>
          <w:szCs w:val="16"/>
          <w:color w:val="auto"/>
        </w:rPr>
      </w:pPr>
    </w:p>
    <w:p>
      <w:pPr>
        <w:ind w:left="400" w:hanging="374"/>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our contractual payments under our Monitoring Agreement with our private equity sponsor Kohlberg Kravis Roberts &amp; Co. L.P.</w:t>
      </w:r>
    </w:p>
    <w:p>
      <w:pPr>
        <w:spacing w:after="0" w:line="59"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33" w:lineRule="exact"/>
        <w:rPr>
          <w:rFonts w:ascii="Arial" w:cs="Arial" w:eastAsia="Arial" w:hAnsi="Arial"/>
          <w:sz w:val="16"/>
          <w:szCs w:val="16"/>
          <w:color w:val="auto"/>
        </w:rPr>
      </w:pPr>
    </w:p>
    <w:p>
      <w:pPr>
        <w:ind w:left="400" w:hanging="374"/>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59" w:lineRule="exact"/>
        <w:rPr>
          <w:rFonts w:ascii="Arial" w:cs="Arial" w:eastAsia="Arial" w:hAnsi="Arial"/>
          <w:sz w:val="16"/>
          <w:szCs w:val="16"/>
          <w:color w:val="auto"/>
        </w:rPr>
      </w:pPr>
    </w:p>
    <w:p>
      <w:pPr>
        <w:jc w:val="both"/>
        <w:ind w:left="400" w:right="20" w:hanging="374"/>
        <w:spacing w:after="0" w:line="251"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40" w:lineRule="exact"/>
        <w:rPr>
          <w:rFonts w:ascii="Arial" w:cs="Arial" w:eastAsia="Arial" w:hAnsi="Arial"/>
          <w:sz w:val="16"/>
          <w:szCs w:val="16"/>
          <w:color w:val="auto"/>
        </w:rPr>
      </w:pPr>
    </w:p>
    <w:p>
      <w:pPr>
        <w:jc w:val="both"/>
        <w:ind w:left="400" w:right="20" w:hanging="374"/>
        <w:spacing w:after="0" w:line="251"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40" w:lineRule="exact"/>
        <w:rPr>
          <w:rFonts w:ascii="Arial" w:cs="Arial" w:eastAsia="Arial" w:hAnsi="Arial"/>
          <w:sz w:val="16"/>
          <w:szCs w:val="16"/>
          <w:color w:val="auto"/>
        </w:rPr>
      </w:pPr>
    </w:p>
    <w:p>
      <w:pPr>
        <w:ind w:left="400" w:hanging="374"/>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made to arrive at Adjusted Net Income at our historical tax rate.</w:t>
      </w:r>
    </w:p>
    <w:p>
      <w:pPr>
        <w:spacing w:after="0" w:line="59"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provided by (used in) investing activities. We describe these adjustments reconciling net cash provided by operating activities to Adjusted Free Cash Flow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5"/>
          </w:tcPr>
          <w:p>
            <w:pPr>
              <w:ind w:left="680"/>
              <w:spacing w:after="0"/>
              <w:rPr>
                <w:sz w:val="20"/>
                <w:szCs w:val="20"/>
                <w:color w:val="auto"/>
              </w:rPr>
            </w:pPr>
            <w:r>
              <w:rPr>
                <w:rFonts w:ascii="Arial" w:cs="Arial" w:eastAsia="Arial" w:hAnsi="Arial"/>
                <w:sz w:val="18"/>
                <w:szCs w:val="18"/>
                <w:b w:val="1"/>
                <w:bCs w:val="1"/>
                <w:color w:val="auto"/>
              </w:rPr>
              <w:t>Thirteen Weeks Ended</w:t>
            </w:r>
          </w:p>
        </w:tc>
        <w:tc>
          <w:tcPr>
            <w:tcW w:w="140" w:type="dxa"/>
            <w:vAlign w:val="bottom"/>
          </w:tcPr>
          <w:p>
            <w:pPr>
              <w:spacing w:after="0"/>
              <w:rPr>
                <w:sz w:val="20"/>
                <w:szCs w:val="20"/>
                <w:color w:val="auto"/>
              </w:rPr>
            </w:pPr>
          </w:p>
        </w:tc>
        <w:tc>
          <w:tcPr>
            <w:tcW w:w="34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January 30, 2021</w:t>
            </w:r>
          </w:p>
        </w:tc>
        <w:tc>
          <w:tcPr>
            <w:tcW w:w="14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1, 2020</w:t>
            </w: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January 30, 2021</w:t>
            </w:r>
          </w:p>
        </w:tc>
        <w:tc>
          <w:tcPr>
            <w:tcW w:w="14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February 1, 2020</w:t>
            </w:r>
          </w:p>
        </w:tc>
      </w:tr>
      <w:tr>
        <w:trPr>
          <w:trHeight w:val="27"/>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154,379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168,913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1,011,597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263,669</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(19,354)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(14,204)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(33,144)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(66,783)</w:t>
            </w:r>
          </w:p>
        </w:tc>
      </w:tr>
      <w:tr>
        <w:trPr>
          <w:trHeight w:val="27"/>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135,025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978,453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730"/>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lvl w:ilvl="1">
      <w:lvlJc w:val="left"/>
      <w:lvlText w:val="(%2)"/>
      <w:numFmt w:val="decimal"/>
      <w:start w:val="1"/>
    </w:lvl>
  </w:abstractNum>
  <w:abstractNum w:abstractNumId="5">
    <w:nsid w:val="507ED7AB"/>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2021-03-30T07:07:33Z</dcterms:created>
  <dcterms:modified xsi:type="dcterms:W3CDTF">2021-03-30T07:07:33Z</dcterms:modified>
</cp:coreProperties>
</file>