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1319530</wp:posOffset>
            </wp:positionH>
            <wp:positionV relativeFrom="paragraph">
              <wp:posOffset>50800</wp:posOffset>
            </wp:positionV>
            <wp:extent cx="3985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3700" w:right="1180" w:hanging="2527"/>
        <w:spacing w:after="0" w:line="281" w:lineRule="auto"/>
        <w:tabs>
          <w:tab w:leader="none" w:pos="1355"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January 28, 2023</w:t>
      </w:r>
    </w:p>
    <w:p>
      <w:pPr>
        <w:ind w:left="51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32" w:lineRule="exact"/>
        <w:rPr>
          <w:rFonts w:ascii="MS PGothic" w:cs="MS PGothic" w:eastAsia="MS PGothic" w:hAnsi="MS PGothic"/>
          <w:sz w:val="16"/>
          <w:szCs w:val="16"/>
          <w:color w:val="auto"/>
        </w:rPr>
      </w:pPr>
    </w:p>
    <w:p>
      <w:pPr>
        <w:ind w:left="1200" w:hanging="193"/>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 ___________ to ___________</w:t>
      </w:r>
      <w:r>
        <w:rPr>
          <w:rFonts w:ascii="Arial" w:cs="Arial" w:eastAsia="Arial" w:hAnsi="Arial"/>
          <w:sz w:val="16"/>
          <w:szCs w:val="16"/>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1319530</wp:posOffset>
            </wp:positionH>
            <wp:positionV relativeFrom="paragraph">
              <wp:posOffset>54610</wp:posOffset>
            </wp:positionV>
            <wp:extent cx="3985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5895" cy="8890"/>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114935</wp:posOffset>
            </wp:positionV>
            <wp:extent cx="137160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1960" w:type="dxa"/>
            <w:vAlign w:val="bottom"/>
            <w:gridSpan w:val="2"/>
          </w:tcPr>
          <w:p>
            <w:pPr>
              <w:jc w:val="center"/>
              <w:ind w:right="679"/>
              <w:spacing w:after="0"/>
              <w:rPr>
                <w:sz w:val="20"/>
                <w:szCs w:val="20"/>
                <w:color w:val="auto"/>
              </w:rPr>
            </w:pPr>
            <w:r>
              <w:rPr>
                <w:rFonts w:ascii="Arial" w:cs="Arial" w:eastAsia="Arial" w:hAnsi="Arial"/>
                <w:sz w:val="16"/>
                <w:szCs w:val="16"/>
                <w:b w:val="1"/>
                <w:bCs w:val="1"/>
                <w:color w:val="auto"/>
                <w:w w:val="91"/>
              </w:rPr>
              <w:t>Delaware</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1"/>
              </w:rPr>
              <w:t>85-1800912</w:t>
            </w:r>
          </w:p>
        </w:tc>
      </w:tr>
      <w:tr>
        <w:trPr>
          <w:trHeight w:val="311"/>
        </w:trPr>
        <w:tc>
          <w:tcPr>
            <w:tcW w:w="6940" w:type="dxa"/>
            <w:vAlign w:val="bottom"/>
            <w:gridSpan w:val="6"/>
          </w:tcPr>
          <w:p>
            <w:pPr>
              <w:jc w:val="center"/>
              <w:ind w:right="280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2960" w:type="dxa"/>
            <w:vAlign w:val="bottom"/>
          </w:tcPr>
          <w:p>
            <w:pPr>
              <w:jc w:val="center"/>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97"/>
        </w:trPr>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1800 North Mason Road</w:t>
            </w:r>
          </w:p>
        </w:tc>
        <w:tc>
          <w:tcPr>
            <w:tcW w:w="2960" w:type="dxa"/>
            <w:vAlign w:val="bottom"/>
          </w:tcPr>
          <w:p>
            <w:pPr>
              <w:spacing w:after="0"/>
              <w:rPr>
                <w:sz w:val="24"/>
                <w:szCs w:val="24"/>
                <w:color w:val="auto"/>
              </w:rPr>
            </w:pPr>
          </w:p>
        </w:tc>
      </w:tr>
      <w:tr>
        <w:trPr>
          <w:trHeight w:val="230"/>
        </w:trPr>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Katy, Texas 77449</w:t>
            </w:r>
          </w:p>
        </w:tc>
        <w:tc>
          <w:tcPr>
            <w:tcW w:w="2960" w:type="dxa"/>
            <w:vAlign w:val="bottom"/>
          </w:tcPr>
          <w:p>
            <w:pPr>
              <w:spacing w:after="0"/>
              <w:rPr>
                <w:sz w:val="19"/>
                <w:szCs w:val="19"/>
                <w:color w:val="auto"/>
              </w:rPr>
            </w:pPr>
          </w:p>
        </w:tc>
      </w:tr>
      <w:tr>
        <w:trPr>
          <w:trHeight w:val="216"/>
        </w:trPr>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gridSpan w:val="3"/>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 (Zip Code)</w:t>
            </w:r>
          </w:p>
        </w:tc>
        <w:tc>
          <w:tcPr>
            <w:tcW w:w="2960" w:type="dxa"/>
            <w:vAlign w:val="bottom"/>
          </w:tcPr>
          <w:p>
            <w:pPr>
              <w:spacing w:after="0"/>
              <w:rPr>
                <w:sz w:val="18"/>
                <w:szCs w:val="18"/>
                <w:color w:val="auto"/>
              </w:rPr>
            </w:pPr>
          </w:p>
        </w:tc>
      </w:tr>
      <w:tr>
        <w:trPr>
          <w:trHeight w:val="270"/>
        </w:trPr>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60" w:type="dxa"/>
            <w:vAlign w:val="bottom"/>
            <w:gridSpan w:val="2"/>
          </w:tcPr>
          <w:p>
            <w:pPr>
              <w:jc w:val="center"/>
              <w:ind w:left="1039"/>
              <w:spacing w:after="0"/>
              <w:rPr>
                <w:sz w:val="20"/>
                <w:szCs w:val="20"/>
                <w:color w:val="auto"/>
              </w:rPr>
            </w:pPr>
            <w:r>
              <w:rPr>
                <w:rFonts w:ascii="Arial" w:cs="Arial" w:eastAsia="Arial" w:hAnsi="Arial"/>
                <w:sz w:val="16"/>
                <w:szCs w:val="16"/>
                <w:b w:val="1"/>
                <w:bCs w:val="1"/>
                <w:color w:val="auto"/>
                <w:w w:val="93"/>
              </w:rPr>
              <w:t>(281) 646-5200</w:t>
            </w:r>
          </w:p>
        </w:tc>
        <w:tc>
          <w:tcPr>
            <w:tcW w:w="1040" w:type="dxa"/>
            <w:vAlign w:val="bottom"/>
          </w:tcPr>
          <w:p>
            <w:pPr>
              <w:spacing w:after="0"/>
              <w:rPr>
                <w:sz w:val="23"/>
                <w:szCs w:val="23"/>
                <w:color w:val="auto"/>
              </w:rPr>
            </w:pPr>
          </w:p>
        </w:tc>
        <w:tc>
          <w:tcPr>
            <w:tcW w:w="2960" w:type="dxa"/>
            <w:vAlign w:val="bottom"/>
          </w:tcPr>
          <w:p>
            <w:pPr>
              <w:spacing w:after="0"/>
              <w:rPr>
                <w:sz w:val="23"/>
                <w:szCs w:val="23"/>
                <w:color w:val="auto"/>
              </w:rPr>
            </w:pPr>
          </w:p>
        </w:tc>
      </w:tr>
      <w:tr>
        <w:trPr>
          <w:trHeight w:val="216"/>
        </w:trPr>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60" w:type="dxa"/>
            <w:vAlign w:val="bottom"/>
            <w:gridSpan w:val="4"/>
          </w:tcPr>
          <w:p>
            <w:pPr>
              <w:jc w:val="center"/>
              <w:ind w:right="2822"/>
              <w:spacing w:after="0"/>
              <w:rPr>
                <w:sz w:val="20"/>
                <w:szCs w:val="20"/>
                <w:color w:val="auto"/>
              </w:rPr>
            </w:pPr>
            <w:r>
              <w:rPr>
                <w:rFonts w:ascii="Arial" w:cs="Arial" w:eastAsia="Arial" w:hAnsi="Arial"/>
                <w:sz w:val="16"/>
                <w:szCs w:val="16"/>
                <w:i w:val="1"/>
                <w:iCs w:val="1"/>
                <w:color w:val="auto"/>
                <w:w w:val="91"/>
              </w:rPr>
              <w:t>(Registrant’s Telephone Number, including Area Code)</w:t>
            </w:r>
          </w:p>
        </w:tc>
      </w:tr>
      <w:tr>
        <w:trPr>
          <w:trHeight w:val="270"/>
        </w:trPr>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20" w:type="dxa"/>
            <w:vAlign w:val="bottom"/>
            <w:gridSpan w:val="5"/>
          </w:tcPr>
          <w:p>
            <w:pPr>
              <w:jc w:val="center"/>
              <w:ind w:right="206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82"/>
        </w:trPr>
        <w:tc>
          <w:tcPr>
            <w:tcW w:w="148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Arial" w:cs="Arial" w:eastAsia="Arial" w:hAnsi="Arial"/>
                <w:sz w:val="16"/>
                <w:szCs w:val="16"/>
                <w:b w:val="1"/>
                <w:bCs w:val="1"/>
                <w:i w:val="1"/>
                <w:iCs w:val="1"/>
                <w:color w:val="auto"/>
                <w:w w:val="87"/>
              </w:rPr>
              <w:t>Title of each class</w:t>
            </w:r>
          </w:p>
        </w:tc>
        <w:tc>
          <w:tcPr>
            <w:tcW w:w="760" w:type="dxa"/>
            <w:vAlign w:val="bottom"/>
          </w:tcPr>
          <w:p>
            <w:pPr>
              <w:spacing w:after="0"/>
              <w:rPr>
                <w:sz w:val="15"/>
                <w:szCs w:val="15"/>
                <w:color w:val="auto"/>
              </w:rPr>
            </w:pPr>
          </w:p>
        </w:tc>
        <w:tc>
          <w:tcPr>
            <w:tcW w:w="3500" w:type="dxa"/>
            <w:vAlign w:val="bottom"/>
            <w:gridSpan w:val="3"/>
          </w:tcPr>
          <w:p>
            <w:pPr>
              <w:jc w:val="center"/>
              <w:ind w:left="99"/>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2960" w:type="dxa"/>
            <w:vAlign w:val="bottom"/>
          </w:tcPr>
          <w:p>
            <w:pPr>
              <w:jc w:val="center"/>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3440" w:type="dxa"/>
            <w:vAlign w:val="bottom"/>
            <w:gridSpan w:val="3"/>
          </w:tcPr>
          <w:p>
            <w:pPr>
              <w:jc w:val="center"/>
              <w:ind w:left="644"/>
              <w:spacing w:after="0"/>
              <w:rPr>
                <w:sz w:val="20"/>
                <w:szCs w:val="20"/>
                <w:color w:val="auto"/>
              </w:rPr>
            </w:pPr>
            <w:r>
              <w:rPr>
                <w:rFonts w:ascii="Arial" w:cs="Arial" w:eastAsia="Arial" w:hAnsi="Arial"/>
                <w:sz w:val="16"/>
                <w:szCs w:val="16"/>
                <w:color w:val="auto"/>
                <w:w w:val="90"/>
              </w:rPr>
              <w:t>Common Stock, par value $0.01 per share</w:t>
            </w:r>
          </w:p>
        </w:tc>
        <w:tc>
          <w:tcPr>
            <w:tcW w:w="1220" w:type="dxa"/>
            <w:vAlign w:val="bottom"/>
          </w:tcPr>
          <w:p>
            <w:pPr>
              <w:spacing w:after="0"/>
              <w:rPr>
                <w:sz w:val="20"/>
                <w:szCs w:val="20"/>
                <w:color w:val="auto"/>
              </w:rPr>
            </w:pPr>
          </w:p>
        </w:tc>
        <w:tc>
          <w:tcPr>
            <w:tcW w:w="2280" w:type="dxa"/>
            <w:vAlign w:val="bottom"/>
            <w:gridSpan w:val="2"/>
          </w:tcPr>
          <w:p>
            <w:pPr>
              <w:jc w:val="center"/>
              <w:ind w:right="1060"/>
              <w:spacing w:after="0"/>
              <w:rPr>
                <w:sz w:val="20"/>
                <w:szCs w:val="20"/>
                <w:color w:val="auto"/>
              </w:rPr>
            </w:pPr>
            <w:r>
              <w:rPr>
                <w:rFonts w:ascii="Arial" w:cs="Arial" w:eastAsia="Arial" w:hAnsi="Arial"/>
                <w:sz w:val="16"/>
                <w:szCs w:val="16"/>
                <w:color w:val="auto"/>
              </w:rPr>
              <w:t>ASO</w:t>
            </w:r>
          </w:p>
        </w:tc>
        <w:tc>
          <w:tcPr>
            <w:tcW w:w="29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30"/>
        </w:trPr>
        <w:tc>
          <w:tcPr>
            <w:tcW w:w="694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2960" w:type="dxa"/>
            <w:vAlign w:val="bottom"/>
          </w:tcPr>
          <w:p>
            <w:pPr>
              <w:ind w:left="14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694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2960" w:type="dxa"/>
            <w:vAlign w:val="bottom"/>
          </w:tcPr>
          <w:p>
            <w:pPr>
              <w:ind w:left="14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line="153" w:lineRule="exact"/>
              <w:rPr>
                <w:sz w:val="20"/>
                <w:szCs w:val="20"/>
                <w:color w:val="auto"/>
              </w:rPr>
            </w:pPr>
            <w:r>
              <w:rPr>
                <w:rFonts w:ascii="Arial" w:cs="Arial" w:eastAsia="Arial" w:hAnsi="Arial"/>
                <w:sz w:val="14"/>
                <w:szCs w:val="14"/>
                <w:color w:val="auto"/>
                <w:w w:val="94"/>
              </w:rPr>
              <w:t>Indicate by check mark whether the registrant (1) has filed all reports required to be filed by Section 13 or 15(d) of the Securities Exchange Act</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360" w:type="dxa"/>
            <w:vAlign w:val="bottom"/>
          </w:tcPr>
          <w:p>
            <w:pPr>
              <w:spacing w:after="0" w:line="141" w:lineRule="exact"/>
              <w:rPr>
                <w:sz w:val="20"/>
                <w:szCs w:val="20"/>
                <w:color w:val="auto"/>
              </w:rPr>
            </w:pPr>
            <w:r>
              <w:rPr>
                <w:rFonts w:ascii="Arial" w:cs="Arial" w:eastAsia="Arial" w:hAnsi="Arial"/>
                <w:sz w:val="14"/>
                <w:szCs w:val="14"/>
                <w:color w:val="auto"/>
                <w:w w:val="93"/>
              </w:rPr>
              <w:t>of 1934 during the preceding 12 months (or for such shorter period that the registrant was required to file such reports), and (2) has been subject</w:t>
            </w:r>
          </w:p>
        </w:tc>
        <w:tc>
          <w:tcPr>
            <w:tcW w:w="780" w:type="dxa"/>
            <w:vAlign w:val="bottom"/>
            <w:vMerge w:val="restart"/>
          </w:tcPr>
          <w:p>
            <w:pPr>
              <w:ind w:left="2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 </w:t>
            </w:r>
            <w:r>
              <w:rPr>
                <w:rFonts w:ascii="MS PGothic" w:cs="MS PGothic" w:eastAsia="MS PGothic" w:hAnsi="MS PGothic"/>
                <w:sz w:val="14"/>
                <w:szCs w:val="14"/>
                <w:color w:val="auto"/>
                <w:w w:val="90"/>
              </w:rPr>
              <w:t>☐</w:t>
            </w:r>
          </w:p>
        </w:tc>
        <w:tc>
          <w:tcPr>
            <w:tcW w:w="0" w:type="dxa"/>
            <w:vAlign w:val="bottom"/>
          </w:tcPr>
          <w:p>
            <w:pPr>
              <w:spacing w:after="0"/>
              <w:rPr>
                <w:sz w:val="1"/>
                <w:szCs w:val="1"/>
                <w:color w:val="auto"/>
              </w:rPr>
            </w:pPr>
          </w:p>
        </w:tc>
      </w:tr>
      <w:tr>
        <w:trPr>
          <w:trHeight w:val="193"/>
        </w:trPr>
        <w:tc>
          <w:tcPr>
            <w:tcW w:w="8360" w:type="dxa"/>
            <w:vAlign w:val="bottom"/>
          </w:tcPr>
          <w:p>
            <w:pPr>
              <w:spacing w:after="0"/>
              <w:rPr>
                <w:sz w:val="20"/>
                <w:szCs w:val="20"/>
                <w:color w:val="auto"/>
              </w:rPr>
            </w:pPr>
            <w:r>
              <w:rPr>
                <w:rFonts w:ascii="Arial" w:cs="Arial" w:eastAsia="Arial" w:hAnsi="Arial"/>
                <w:sz w:val="14"/>
                <w:szCs w:val="14"/>
                <w:color w:val="auto"/>
              </w:rPr>
              <w:t>to such filing requirements for the past 90 days.</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60" w:type="dxa"/>
            <w:vAlign w:val="bottom"/>
          </w:tcPr>
          <w:p>
            <w:pPr>
              <w:spacing w:after="0"/>
              <w:rPr>
                <w:sz w:val="20"/>
                <w:szCs w:val="20"/>
                <w:color w:val="auto"/>
              </w:rPr>
            </w:pPr>
            <w:r>
              <w:rPr>
                <w:rFonts w:ascii="Arial" w:cs="Arial" w:eastAsia="Arial" w:hAnsi="Arial"/>
                <w:sz w:val="14"/>
                <w:szCs w:val="14"/>
                <w:color w:val="auto"/>
                <w:w w:val="97"/>
              </w:rPr>
              <w:t>Indicate by check mark whether the registrant has submitted electronically every Interactive Data File required to be submitted pursuant to</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360" w:type="dxa"/>
            <w:vAlign w:val="bottom"/>
          </w:tcPr>
          <w:p>
            <w:pPr>
              <w:spacing w:after="0"/>
              <w:rPr>
                <w:sz w:val="20"/>
                <w:szCs w:val="20"/>
                <w:color w:val="auto"/>
              </w:rPr>
            </w:pPr>
            <w:r>
              <w:rPr>
                <w:rFonts w:ascii="Arial" w:cs="Arial" w:eastAsia="Arial" w:hAnsi="Arial"/>
                <w:sz w:val="14"/>
                <w:szCs w:val="14"/>
                <w:color w:val="auto"/>
                <w:w w:val="99"/>
              </w:rPr>
              <w:t>Rule 405 of Regulation S-T (§232.405 of this chapter) during the preceding 12 months (or for such shorter period that the registrant was</w:t>
            </w:r>
          </w:p>
        </w:tc>
        <w:tc>
          <w:tcPr>
            <w:tcW w:w="780" w:type="dxa"/>
            <w:vAlign w:val="bottom"/>
            <w:vMerge w:val="restart"/>
          </w:tcPr>
          <w:p>
            <w:pPr>
              <w:ind w:left="2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 </w:t>
            </w:r>
            <w:r>
              <w:rPr>
                <w:rFonts w:ascii="MS PGothic" w:cs="MS PGothic" w:eastAsia="MS PGothic" w:hAnsi="MS PGothic"/>
                <w:sz w:val="14"/>
                <w:szCs w:val="14"/>
                <w:color w:val="auto"/>
                <w:w w:val="90"/>
              </w:rPr>
              <w:t>☐</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20"/>
                <w:szCs w:val="20"/>
                <w:color w:val="auto"/>
              </w:rPr>
            </w:pPr>
            <w:r>
              <w:rPr>
                <w:rFonts w:ascii="Arial" w:cs="Arial" w:eastAsia="Arial" w:hAnsi="Arial"/>
                <w:sz w:val="14"/>
                <w:szCs w:val="14"/>
                <w:color w:val="auto"/>
              </w:rPr>
              <w:t>required to submit such files).</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460"/>
          </w:cols>
          <w:pgMar w:left="720" w:top="504" w:right="719" w:bottom="1440" w:gutter="0" w:footer="0" w:header="0"/>
        </w:sectPr>
      </w:pPr>
    </w:p>
    <w:p>
      <w:pPr>
        <w:spacing w:after="0" w:line="9" w:lineRule="exact"/>
        <w:rPr>
          <w:sz w:val="24"/>
          <w:szCs w:val="24"/>
          <w:color w:val="auto"/>
        </w:rPr>
      </w:pPr>
    </w:p>
    <w:p>
      <w:pPr>
        <w:ind w:left="21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2960"/>
        <w:spacing w:after="0" w:line="139"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56" w:lineRule="exact"/>
        <w:rPr>
          <w:sz w:val="24"/>
          <w:szCs w:val="24"/>
          <w:color w:val="auto"/>
        </w:rPr>
      </w:pPr>
    </w:p>
    <w:p>
      <w:pPr>
        <w:sectPr>
          <w:pgSz w:w="11900" w:h="16838" w:orient="portrait"/>
          <w:cols w:equalWidth="0" w:num="2">
            <w:col w:w="5660" w:space="720"/>
            <w:col w:w="4080"/>
          </w:cols>
          <w:pgMar w:left="720" w:top="504" w:right="719" w:bottom="1440" w:gutter="0" w:footer="0" w:header="0"/>
          <w:type w:val="continuous"/>
        </w:sectPr>
      </w:pPr>
    </w:p>
    <w:p>
      <w:pPr>
        <w:ind w:left="21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8" w:lineRule="exact"/>
        <w:rPr>
          <w:sz w:val="24"/>
          <w:szCs w:val="24"/>
          <w:color w:val="auto"/>
        </w:rPr>
      </w:pPr>
    </w:p>
    <w:p>
      <w:pPr>
        <w:sectPr>
          <w:pgSz w:w="11900" w:h="16838" w:orient="portrait"/>
          <w:cols w:equalWidth="0" w:num="2">
            <w:col w:w="5660" w:space="720"/>
            <w:col w:w="4080"/>
          </w:cols>
          <w:pgMar w:left="720" w:top="504" w:right="719" w:bottom="1440" w:gutter="0" w:footer="0" w:header="0"/>
          <w:type w:val="continuous"/>
        </w:sectPr>
      </w:pPr>
    </w:p>
    <w:p>
      <w:pPr>
        <w:ind w:right="2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right="20"/>
        <w:spacing w:after="0" w:line="17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ind w:right="160"/>
        <w:spacing w:after="0" w:line="17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5" w:lineRule="exact"/>
        <w:rPr>
          <w:sz w:val="24"/>
          <w:szCs w:val="24"/>
          <w:color w:val="auto"/>
        </w:rPr>
      </w:pPr>
    </w:p>
    <w:p>
      <w:pPr>
        <w:ind w:right="100"/>
        <w:spacing w:after="0" w:line="17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The aggregate market value of the Common Stock held by non-affiliates of the registrant, based on the closing price of the Common Stock on the Nasdaq Stock Market LLC on July 29, 2022, the last business day of the registrant's most recently completed second fiscal quarter, was approximately $3.4 billion.</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As of March 9, 2023, Academy Sports and Outdoors, Inc. had 76,954,579 shares of common stock, par value $0.01 per share, outstanding.</w:t>
      </w:r>
    </w:p>
    <w:p>
      <w:pPr>
        <w:spacing w:after="0" w:line="96" w:lineRule="exact"/>
        <w:rPr>
          <w:sz w:val="24"/>
          <w:szCs w:val="24"/>
          <w:color w:val="auto"/>
        </w:rPr>
      </w:pPr>
    </w:p>
    <w:p>
      <w:pPr>
        <w:spacing w:after="0"/>
        <w:rPr>
          <w:sz w:val="20"/>
          <w:szCs w:val="20"/>
          <w:color w:val="auto"/>
        </w:rPr>
      </w:pPr>
      <w:r>
        <w:rPr>
          <w:rFonts w:ascii="Arial" w:cs="Arial" w:eastAsia="Arial" w:hAnsi="Arial"/>
          <w:sz w:val="13"/>
          <w:szCs w:val="13"/>
          <w:color w:val="auto"/>
        </w:rPr>
        <w:t>Documents Incorporated by Reference: Part III of this Annual Report on Form 10-K incorporates certain information from the registrant's definite proxy statement for its 2023</w:t>
      </w:r>
    </w:p>
    <w:p>
      <w:pPr>
        <w:spacing w:after="0" w:line="11" w:lineRule="exact"/>
        <w:rPr>
          <w:sz w:val="24"/>
          <w:szCs w:val="24"/>
          <w:color w:val="auto"/>
        </w:rPr>
      </w:pPr>
    </w:p>
    <w:p>
      <w:pPr>
        <w:spacing w:after="0" w:line="227" w:lineRule="auto"/>
        <w:rPr>
          <w:sz w:val="20"/>
          <w:szCs w:val="20"/>
          <w:color w:val="auto"/>
        </w:rPr>
      </w:pPr>
      <w:r>
        <w:rPr>
          <w:rFonts w:ascii="Arial" w:cs="Arial" w:eastAsia="Arial" w:hAnsi="Arial"/>
          <w:sz w:val="14"/>
          <w:szCs w:val="14"/>
          <w:color w:val="auto"/>
        </w:rPr>
        <w:t>Annual Meeting of Stockholders, which shall be filed with the Securities and Exchange Commission pursuant to Regulation 14A of the Securities Exchange Act of 1934, as amended, within 120 days of the registrant's fiscal year 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381000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504" w:right="7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rPr>
              <w:t>Page</w:t>
            </w:r>
          </w:p>
        </w:tc>
      </w:tr>
      <w:tr>
        <w:trPr>
          <w:trHeight w:val="183"/>
        </w:trPr>
        <w:tc>
          <w:tcPr>
            <w:tcW w:w="9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CAUTIONARY STATEMENT REGARDING FORWARD-LOOKING STATEMENTS</w:t>
            </w:r>
          </w:p>
        </w:tc>
        <w:tc>
          <w:tcPr>
            <w:tcW w:w="860" w:type="dxa"/>
            <w:vAlign w:val="bottom"/>
            <w:gridSpan w:val="5"/>
            <w:shd w:val="clear" w:color="auto" w:fill="CCEEFF"/>
          </w:tcPr>
          <w:p>
            <w:pPr>
              <w:jc w:val="center"/>
              <w:ind w:left="610"/>
              <w:spacing w:after="0" w:line="182" w:lineRule="exact"/>
              <w:rPr>
                <w:sz w:val="20"/>
                <w:szCs w:val="20"/>
                <w:color w:val="auto"/>
              </w:rPr>
            </w:pPr>
            <w:r>
              <w:rPr>
                <w:rFonts w:ascii="Arial" w:cs="Arial" w:eastAsia="Arial" w:hAnsi="Arial"/>
                <w:sz w:val="18"/>
                <w:szCs w:val="18"/>
                <w:color w:val="0000FF"/>
                <w:w w:val="79"/>
              </w:rPr>
              <w:t>3</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PART I</w:t>
            </w:r>
          </w:p>
        </w:tc>
        <w:tc>
          <w:tcPr>
            <w:tcW w:w="860" w:type="dxa"/>
            <w:vAlign w:val="bottom"/>
            <w:gridSpan w:val="5"/>
          </w:tcPr>
          <w:p>
            <w:pPr>
              <w:jc w:val="center"/>
              <w:ind w:left="610"/>
              <w:spacing w:after="0" w:line="189" w:lineRule="exact"/>
              <w:rPr>
                <w:sz w:val="20"/>
                <w:szCs w:val="20"/>
                <w:color w:val="auto"/>
              </w:rPr>
            </w:pPr>
            <w:r>
              <w:rPr>
                <w:rFonts w:ascii="Arial" w:cs="Arial" w:eastAsia="Arial" w:hAnsi="Arial"/>
                <w:sz w:val="18"/>
                <w:szCs w:val="18"/>
                <w:color w:val="0000FF"/>
                <w:w w:val="79"/>
              </w:rPr>
              <w:t>6</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 Business</w:t>
            </w:r>
          </w:p>
        </w:tc>
        <w:tc>
          <w:tcPr>
            <w:tcW w:w="860" w:type="dxa"/>
            <w:vAlign w:val="bottom"/>
            <w:gridSpan w:val="5"/>
            <w:shd w:val="clear" w:color="auto" w:fill="CCEEFF"/>
          </w:tcPr>
          <w:p>
            <w:pPr>
              <w:jc w:val="center"/>
              <w:ind w:left="610"/>
              <w:spacing w:after="0" w:line="189" w:lineRule="exact"/>
              <w:rPr>
                <w:sz w:val="20"/>
                <w:szCs w:val="20"/>
                <w:color w:val="auto"/>
              </w:rPr>
            </w:pPr>
            <w:r>
              <w:rPr>
                <w:rFonts w:ascii="Arial" w:cs="Arial" w:eastAsia="Arial" w:hAnsi="Arial"/>
                <w:sz w:val="18"/>
                <w:szCs w:val="18"/>
                <w:color w:val="0000FF"/>
                <w:w w:val="79"/>
              </w:rPr>
              <w:t>6</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1A. Risk Factors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16</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1B. Unresolved Staff Comments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2. Properties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40</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3. Legal Proceedings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4. Mine Safety Disclosures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41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41</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w w:val="99"/>
              </w:rPr>
              <w:t>Item 5. Market for Registrant's Common Equity, Related Stockholder Matters and Issuer Purchases of Equity Securities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41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6. Reserved</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43</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7A. Quantitative and Qualitative Disclosures About Market Risk</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58</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8. Financial Statements and Supplementary Data</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58</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59</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9A. Controls and Procedures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60</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9B. Other Information</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9C. Disclosure Regarding Foreign Jurisdictions that Prevent Inspections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62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III</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10. Directors, Executive Officers and Corporate Governance</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62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11. Executive Compensation</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12. Security Ownership of Certain Beneficial Owners and Management and Related Shareholder Matters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62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13. Certain Relationships and Related Transactions, and Director Independence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63</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14. Principal Accountant Fees and Services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63</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IV</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64</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15. Exhibits and Financial Statement Schedules</w:t>
            </w:r>
          </w:p>
        </w:tc>
        <w:tc>
          <w:tcPr>
            <w:tcW w:w="860" w:type="dxa"/>
            <w:vAlign w:val="bottom"/>
            <w:gridSpan w:val="5"/>
          </w:tcPr>
          <w:p>
            <w:pPr>
              <w:jc w:val="center"/>
              <w:ind w:left="590"/>
              <w:spacing w:after="0" w:line="189" w:lineRule="exact"/>
              <w:rPr>
                <w:sz w:val="20"/>
                <w:szCs w:val="20"/>
                <w:color w:val="auto"/>
              </w:rPr>
            </w:pPr>
            <w:r>
              <w:rPr>
                <w:rFonts w:ascii="Arial" w:cs="Arial" w:eastAsia="Arial" w:hAnsi="Arial"/>
                <w:sz w:val="18"/>
                <w:szCs w:val="18"/>
                <w:color w:val="0000FF"/>
                <w:w w:val="89"/>
              </w:rPr>
              <w:t>64</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16. Form 10-K Summary</w:t>
            </w: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93"/>
              </w:rPr>
              <w:t>101</w:t>
            </w: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89" w:lineRule="exact"/>
              <w:rPr>
                <w:sz w:val="20"/>
                <w:szCs w:val="20"/>
                <w:color w:val="auto"/>
              </w:rPr>
            </w:pPr>
            <w:r>
              <w:rPr>
                <w:rFonts w:ascii="Arial" w:cs="Arial" w:eastAsia="Arial" w:hAnsi="Arial"/>
                <w:sz w:val="18"/>
                <w:szCs w:val="18"/>
                <w:color w:val="0000FF"/>
                <w:w w:val="93"/>
              </w:rPr>
              <w:t>107</w:t>
            </w:r>
          </w:p>
        </w:tc>
        <w:tc>
          <w:tcPr>
            <w:tcW w:w="6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292"/>
        <w:spacing w:after="0" w:line="253" w:lineRule="auto"/>
        <w:rPr>
          <w:sz w:val="20"/>
          <w:szCs w:val="20"/>
          <w:color w:val="auto"/>
        </w:rPr>
      </w:pPr>
      <w:r>
        <w:rPr>
          <w:rFonts w:ascii="Arial" w:cs="Arial" w:eastAsia="Arial" w:hAnsi="Arial"/>
          <w:sz w:val="18"/>
          <w:szCs w:val="18"/>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spacing w:after="0" w:line="221"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spacing w:after="0" w:line="219"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7"/>
          <w:szCs w:val="17"/>
          <w:color w:val="auto"/>
        </w:rPr>
        <w:t>All references to "Academy," "we," "us," "our" or the "Company" in this Annual Report refer to (1) prior to October 1, 2020, New Academy Holding Company, LLC, a Delaware limited liability company and the prior parent holding company of our operations, and its consolidated subsidiaries; and (2) on and after October 1, 2020,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spacing w:after="0" w:line="200" w:lineRule="exact"/>
        <w:rPr>
          <w:sz w:val="20"/>
          <w:szCs w:val="20"/>
          <w:color w:val="auto"/>
        </w:rPr>
      </w:pPr>
    </w:p>
    <w:p>
      <w:pPr>
        <w:jc w:val="both"/>
        <w:ind w:firstLine="292"/>
        <w:spacing w:after="0" w:line="268"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“2020,” “2021,” and “2022” relate to our fiscal years ended January 30, 2021, January 29, 2022, and January 28, 2023, respectively, unless the context requires otherwise.</w:t>
      </w:r>
    </w:p>
    <w:p>
      <w:pPr>
        <w:spacing w:after="0" w:line="193" w:lineRule="exact"/>
        <w:rPr>
          <w:sz w:val="20"/>
          <w:szCs w:val="20"/>
          <w:color w:val="auto"/>
        </w:rPr>
      </w:pPr>
    </w:p>
    <w:p>
      <w:pPr>
        <w:jc w:val="both"/>
        <w:ind w:firstLine="292"/>
        <w:spacing w:after="0" w:line="277" w:lineRule="auto"/>
        <w:rPr>
          <w:sz w:val="20"/>
          <w:szCs w:val="20"/>
          <w:color w:val="auto"/>
        </w:rPr>
      </w:pPr>
      <w:r>
        <w:rPr>
          <w:rFonts w:ascii="Arial" w:cs="Arial" w:eastAsia="Arial" w:hAnsi="Arial"/>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impact of the COVID-19 pandemic on our business and the communities we serve;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private label brand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3"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climate change and other sustainability-related matters;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product safety;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23" w:lineRule="exact"/>
        <w:rPr>
          <w:sz w:val="20"/>
          <w:szCs w:val="20"/>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and related debt service payments and our ability to generate sufficient cash flow to satisfy all of our obligations under our indebtedness;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incur substantially more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our current and future operations imposed by the terms of our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borrow under the ABL Facility (as defined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may hinder our ability to negotiate favorable terms with our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Risks Related to the Ownership of Our Common Stock</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is volatile or may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or decision to pay dividends on our common stock or conduct stock repurchases;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or negative coverage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could delay or prevent a change of control;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is authorized to issue and designate shares of preferred stock without stockholder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exclusive forum provision;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be diluted by any future issuances of shares by us.</w:t>
      </w:r>
    </w:p>
    <w:p>
      <w:pPr>
        <w:spacing w:after="0" w:line="238"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included elsewhere in this Annual Report for the fiscal year ended January 28, 2023.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Academy Sports + Outdoors is a leading full-line sporting goods and outdoor recreation retailers in the United States. Originally founded in 1938 as a family business in Texas, we now operate 268 stores across 18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31%, 28%, 21%, and 20% of our 2022 net sales, respectively) through both leading national brands and a portfolio of 20 private label brands, which go well beyond traditional sporting goods and apparel offerings.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following attributes differentiate us from our competitors:</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 and is localized for individual stores.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Emerging, growing and profitable omnichannel strategy that leverages our buy-online-pickup-in-store program ("BOPIS") and shipping fulfillment capabilities.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growing presence in some of the fastest-growing Metropolitan Statistical Areas (or "MSAs").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whitespace opportunity for new stores for both in-fill and adjacent geographies and new markets.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appeals to customers from beginners to experts, including families and casual participants.</w:t>
      </w:r>
    </w:p>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access to national brand and private label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2022 merchandise sales was comprised of national brand products, with the remainder coming from exclusive products in our portfolio of private label brands. No single brand we carry accounted for more than 11% of our 2022 sales.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Our average customer visits our stores anywhere from two to three times per year.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retail business is highly competitive based on many variables including price, product assortment, customer service, omnichannel experience and store locations.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Mass general merchants </w:t>
      </w:r>
      <w:r>
        <w:rPr>
          <w:rFonts w:ascii="Arial" w:cs="Arial" w:eastAsia="Arial" w:hAnsi="Arial"/>
          <w:sz w:val="18"/>
          <w:szCs w:val="18"/>
          <w:color w:val="auto"/>
        </w:rPr>
        <w:t>(examples: Walmart, Kohl’s and Target) generally range in size from 50,000 to over 200,000 square feet and are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shopping centers, free-standing sites or regional malls. Sporting goods merchandise and apparel and outdoor recreation products may represent a small portion of the total merchandise in these stores.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Large format sporting goods stores </w:t>
      </w:r>
      <w:r>
        <w:rPr>
          <w:rFonts w:ascii="Arial" w:cs="Arial" w:eastAsia="Arial" w:hAnsi="Arial"/>
          <w:sz w:val="18"/>
          <w:szCs w:val="18"/>
          <w:color w:val="auto"/>
        </w:rPr>
        <w:t>(examples: Dick’s Sporting Goods and Scheels) generally range in size from 20,000 to over 100,000 square</w:t>
      </w:r>
      <w:r>
        <w:rPr>
          <w:rFonts w:ascii="Arial" w:cs="Arial" w:eastAsia="Arial" w:hAnsi="Arial"/>
          <w:sz w:val="18"/>
          <w:szCs w:val="18"/>
          <w:i w:val="1"/>
          <w:iCs w:val="1"/>
          <w:color w:val="auto"/>
        </w:rPr>
        <w:t xml:space="preserve"> </w:t>
      </w:r>
      <w:r>
        <w:rPr>
          <w:rFonts w:ascii="Arial" w:cs="Arial" w:eastAsia="Arial" w:hAnsi="Arial"/>
          <w:sz w:val="18"/>
          <w:szCs w:val="18"/>
          <w:color w:val="auto"/>
        </w:rPr>
        <w:t>feet and offer a broad selection of sporting goods and outdoor recreation merchandise.</w:t>
      </w:r>
    </w:p>
    <w:p>
      <w:pPr>
        <w:spacing w:after="0" w:line="62" w:lineRule="exact"/>
        <w:rPr>
          <w:rFonts w:ascii="Arial" w:cs="Arial" w:eastAsia="Arial" w:hAnsi="Arial"/>
          <w:sz w:val="18"/>
          <w:szCs w:val="18"/>
          <w:color w:val="auto"/>
        </w:rPr>
      </w:pPr>
    </w:p>
    <w:p>
      <w:pPr>
        <w:jc w:val="both"/>
        <w:ind w:left="660" w:right="2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Traditional sporting goods stores </w:t>
      </w:r>
      <w:r>
        <w:rPr>
          <w:rFonts w:ascii="Arial" w:cs="Arial" w:eastAsia="Arial" w:hAnsi="Arial"/>
          <w:sz w:val="16"/>
          <w:szCs w:val="16"/>
          <w:color w:val="auto"/>
        </w:rPr>
        <w:t>(examples: Hibbett Sports and Big 5 Sporting Goods) generally range in size from 5,000 to 20,000 square feet</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frequently located in regional malls and shopping centers and typically carry a varied assortment of primarily sporting goods merchandise.</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Specialty outdoor retailers </w:t>
      </w:r>
      <w:r>
        <w:rPr>
          <w:rFonts w:ascii="Arial" w:cs="Arial" w:eastAsia="Arial" w:hAnsi="Arial"/>
          <w:sz w:val="18"/>
          <w:szCs w:val="18"/>
          <w:color w:val="auto"/>
        </w:rPr>
        <w:t>(examples: Bass Pro Shop/Cabela’s and Sportsman’s Warehouse) generally range in size from 7,500 to over 100,000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typically focus on specific categories such as outdoor recreation.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Specialty footwear retailers </w:t>
      </w:r>
      <w:r>
        <w:rPr>
          <w:rFonts w:ascii="Arial" w:cs="Arial" w:eastAsia="Arial" w:hAnsi="Arial"/>
          <w:sz w:val="18"/>
          <w:szCs w:val="18"/>
          <w:color w:val="auto"/>
        </w:rPr>
        <w:t>(examples: Foot Locker, Boot Barn and The Finish Line) generally range in size from 2,000 to 20,000 square feet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focus on specific categories such as athletic footwear.</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Catalogue &amp; Internet retailers </w:t>
      </w:r>
      <w:r>
        <w:rPr>
          <w:rFonts w:ascii="Arial" w:cs="Arial" w:eastAsia="Arial" w:hAnsi="Arial"/>
          <w:sz w:val="18"/>
          <w:szCs w:val="18"/>
          <w:color w:val="auto"/>
        </w:rPr>
        <w:t>(examples: Amazon, eBay, and Fanatics) do not typically operate brick and mortar stores and primarily rely 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goods. Sporting goods merchandise and apparel and outdoor recreation products may represent a small portion of the total merchandise on their websites.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merchandise consists of national brand products that we purchase and license from various vendors, private label brand products that we brand with our internal brands and exclusive license products that we purchase and license from vendors and carry exclusively. We have long-standing relationships with many of our suppliers and have partnered with them to grow our business over time. In 2022, we purchased merchandise from approximately 1,400 vendors. For 2022, 2021 and 2020 no vendor represented more than 11%, 11%, and 12% of our total purchases, respectively.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preferred access to hundreds of well-recognized national brands, such as Nike, Under Armour, adidas, Winchester, Brooks, Crocs, Wilson, Spaulding, Yeti, the North Face, and Columbia Sportswear, which are critical to our market penetration. These and some of our other national brands rely on us to broaden their consumer reach, which fosters a mutually beneficial relationship when it comes to pricing and assortment, and we play a critical role in delivering customer volume for these brands. Our national brand assortment spans across each brand’s price spectrum, which we complement with an assortment of our private label brands priced below the national brand price spectrum. As such, we receive favorable product allocations from leading suppliers.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private label brand portfolio consists of 20 brands, including Academy Sports + Outdoors, Magellan Outdoors, BCG, O'rageous, Game Winner, Outdoor Gourmet and Freely. Our private label brand strategy focuses on in-filling categories and price points that our national brand products may not satisfy. Our private label brand offerings support and complement our overall merchandising strategy due to limited price-point overlap with national brands. Additionally, our private label brands generate strong brand equity and drive significant customer loyalty. Approximately 56% of our customers purchased a private label brand from us in 2022.</w:t>
      </w: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As of January 28, 2023, we generally organized our merchandise in four divisions made up of sixteen categories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Division</w:t>
            </w:r>
          </w:p>
        </w:tc>
        <w:tc>
          <w:tcPr>
            <w:tcW w:w="2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Category</w:t>
            </w:r>
          </w:p>
        </w:tc>
        <w:tc>
          <w:tcPr>
            <w:tcW w:w="6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Primary product types</w:t>
            </w:r>
          </w:p>
        </w:tc>
      </w:tr>
      <w:tr>
        <w:trPr>
          <w:trHeight w:val="74"/>
        </w:trPr>
        <w:tc>
          <w:tcPr>
            <w:tcW w:w="19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6800" w:type="dxa"/>
            <w:vAlign w:val="bottom"/>
          </w:tcPr>
          <w:p>
            <w:pPr>
              <w:spacing w:after="0"/>
              <w:rPr>
                <w:sz w:val="6"/>
                <w:szCs w:val="6"/>
                <w:color w:val="auto"/>
              </w:rPr>
            </w:pPr>
          </w:p>
        </w:tc>
      </w:tr>
      <w:tr>
        <w:trPr>
          <w:trHeight w:val="176"/>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Outdoors</w:t>
            </w:r>
          </w:p>
        </w:tc>
        <w:tc>
          <w:tcPr>
            <w:tcW w:w="25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Camping</w:t>
            </w:r>
          </w:p>
        </w:tc>
        <w:tc>
          <w:tcPr>
            <w:tcW w:w="68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8"/>
              </w:rPr>
              <w:t>Coolers and drinkware, camping accessories, camping equipment, sunglasses, backpacks and</w:t>
            </w:r>
          </w:p>
        </w:tc>
      </w:tr>
      <w:tr>
        <w:trPr>
          <w:trHeight w:val="243"/>
        </w:trPr>
        <w:tc>
          <w:tcPr>
            <w:tcW w:w="19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sports bags</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Fishing</w:t>
            </w:r>
          </w:p>
        </w:tc>
        <w:tc>
          <w:tcPr>
            <w:tcW w:w="6800" w:type="dxa"/>
            <w:vAlign w:val="bottom"/>
          </w:tcPr>
          <w:p>
            <w:pPr>
              <w:ind w:left="60"/>
              <w:spacing w:after="0"/>
              <w:rPr>
                <w:sz w:val="20"/>
                <w:szCs w:val="20"/>
                <w:color w:val="auto"/>
              </w:rPr>
            </w:pPr>
            <w:r>
              <w:rPr>
                <w:rFonts w:ascii="Arial" w:cs="Arial" w:eastAsia="Arial" w:hAnsi="Arial"/>
                <w:sz w:val="18"/>
                <w:szCs w:val="18"/>
                <w:color w:val="auto"/>
              </w:rPr>
              <w:t>Marine equipment and fishing rods, reels, baits and equipment</w:t>
            </w:r>
          </w:p>
        </w:tc>
      </w:tr>
      <w:tr>
        <w:trPr>
          <w:trHeight w:val="202"/>
        </w:trPr>
        <w:tc>
          <w:tcPr>
            <w:tcW w:w="1940" w:type="dxa"/>
            <w:vAlign w:val="bottom"/>
            <w:shd w:val="clear" w:color="auto" w:fill="CCEEFF"/>
          </w:tcPr>
          <w:p>
            <w:pPr>
              <w:spacing w:after="0"/>
              <w:rPr>
                <w:sz w:val="17"/>
                <w:szCs w:val="17"/>
                <w:color w:val="auto"/>
              </w:rPr>
            </w:pPr>
          </w:p>
        </w:tc>
        <w:tc>
          <w:tcPr>
            <w:tcW w:w="2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Hunting</w:t>
            </w:r>
          </w:p>
        </w:tc>
        <w:tc>
          <w:tcPr>
            <w:tcW w:w="68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Firearms, ammunition, archery and archery equipment, camouflage apparel, waders,</w:t>
            </w: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shooting accessories, optics, airguns and hunting equipment</w:t>
            </w:r>
          </w:p>
        </w:tc>
      </w:tr>
      <w:tr>
        <w:trPr>
          <w:trHeight w:val="94"/>
        </w:trPr>
        <w:tc>
          <w:tcPr>
            <w:tcW w:w="1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800" w:type="dxa"/>
            <w:vAlign w:val="bottom"/>
          </w:tcPr>
          <w:p>
            <w:pPr>
              <w:spacing w:after="0"/>
              <w:rPr>
                <w:sz w:val="8"/>
                <w:szCs w:val="8"/>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and Recreation</w:t>
            </w: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Fitness</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Fitness equipment, fitness accessories and nutrition supplies</w:t>
            </w:r>
          </w:p>
        </w:tc>
      </w:tr>
      <w:tr>
        <w:trPr>
          <w:trHeight w:val="176"/>
        </w:trPr>
        <w:tc>
          <w:tcPr>
            <w:tcW w:w="1940" w:type="dxa"/>
            <w:vAlign w:val="bottom"/>
          </w:tcPr>
          <w:p>
            <w:pPr>
              <w:spacing w:after="0"/>
              <w:rPr>
                <w:sz w:val="15"/>
                <w:szCs w:val="15"/>
                <w:color w:val="auto"/>
              </w:rPr>
            </w:pPr>
          </w:p>
        </w:tc>
        <w:tc>
          <w:tcPr>
            <w:tcW w:w="2500" w:type="dxa"/>
            <w:vAlign w:val="bottom"/>
          </w:tcPr>
          <w:p>
            <w:pPr>
              <w:ind w:left="320"/>
              <w:spacing w:after="0" w:line="176" w:lineRule="exact"/>
              <w:rPr>
                <w:sz w:val="20"/>
                <w:szCs w:val="20"/>
                <w:color w:val="auto"/>
              </w:rPr>
            </w:pPr>
            <w:r>
              <w:rPr>
                <w:rFonts w:ascii="Arial" w:cs="Arial" w:eastAsia="Arial" w:hAnsi="Arial"/>
                <w:sz w:val="18"/>
                <w:szCs w:val="18"/>
                <w:color w:val="auto"/>
              </w:rPr>
              <w:t>Team sports</w:t>
            </w:r>
          </w:p>
        </w:tc>
        <w:tc>
          <w:tcPr>
            <w:tcW w:w="6800" w:type="dxa"/>
            <w:vAlign w:val="bottom"/>
          </w:tcPr>
          <w:p>
            <w:pPr>
              <w:ind w:left="60"/>
              <w:spacing w:after="0" w:line="176" w:lineRule="exact"/>
              <w:rPr>
                <w:sz w:val="20"/>
                <w:szCs w:val="20"/>
                <w:color w:val="auto"/>
              </w:rPr>
            </w:pPr>
            <w:r>
              <w:rPr>
                <w:rFonts w:ascii="Arial" w:cs="Arial" w:eastAsia="Arial" w:hAnsi="Arial"/>
                <w:sz w:val="18"/>
                <w:szCs w:val="18"/>
                <w:color w:val="auto"/>
                <w:w w:val="93"/>
              </w:rPr>
              <w:t>Team and specialty sports equipment, including baseball, football, basketball, soccer, golf,</w:t>
            </w:r>
          </w:p>
        </w:tc>
      </w:tr>
      <w:tr>
        <w:trPr>
          <w:trHeight w:val="237"/>
        </w:trPr>
        <w:tc>
          <w:tcPr>
            <w:tcW w:w="1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racket sports, and volleyball</w:t>
            </w:r>
          </w:p>
        </w:tc>
      </w:tr>
      <w:tr>
        <w:trPr>
          <w:trHeight w:val="182"/>
        </w:trPr>
        <w:tc>
          <w:tcPr>
            <w:tcW w:w="1940" w:type="dxa"/>
            <w:vAlign w:val="bottom"/>
            <w:shd w:val="clear" w:color="auto" w:fill="CCEEFF"/>
          </w:tcPr>
          <w:p>
            <w:pPr>
              <w:spacing w:after="0"/>
              <w:rPr>
                <w:sz w:val="15"/>
                <w:szCs w:val="15"/>
                <w:color w:val="auto"/>
              </w:rPr>
            </w:pPr>
          </w:p>
        </w:tc>
        <w:tc>
          <w:tcPr>
            <w:tcW w:w="2500" w:type="dxa"/>
            <w:vAlign w:val="bottom"/>
            <w:shd w:val="clear" w:color="auto" w:fill="CCEEFF"/>
          </w:tcPr>
          <w:p>
            <w:pPr>
              <w:ind w:left="320"/>
              <w:spacing w:after="0" w:line="182" w:lineRule="exact"/>
              <w:rPr>
                <w:sz w:val="20"/>
                <w:szCs w:val="20"/>
                <w:color w:val="auto"/>
              </w:rPr>
            </w:pPr>
            <w:r>
              <w:rPr>
                <w:rFonts w:ascii="Arial" w:cs="Arial" w:eastAsia="Arial" w:hAnsi="Arial"/>
                <w:sz w:val="18"/>
                <w:szCs w:val="18"/>
                <w:color w:val="auto"/>
              </w:rPr>
              <w:t>Recreation</w:t>
            </w:r>
          </w:p>
        </w:tc>
        <w:tc>
          <w:tcPr>
            <w:tcW w:w="680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w w:val="95"/>
              </w:rPr>
              <w:t>Patio furniture, outdoor cooking, wheeled goods (bicycles, skateboards and other ride-on</w:t>
            </w:r>
          </w:p>
        </w:tc>
      </w:tr>
      <w:tr>
        <w:trPr>
          <w:trHeight w:val="243"/>
        </w:trPr>
        <w:tc>
          <w:tcPr>
            <w:tcW w:w="19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toys), trampolines, play sets, watersports and pet equipment</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Front end</w:t>
            </w:r>
          </w:p>
        </w:tc>
        <w:tc>
          <w:tcPr>
            <w:tcW w:w="6800" w:type="dxa"/>
            <w:vAlign w:val="bottom"/>
          </w:tcPr>
          <w:p>
            <w:pPr>
              <w:ind w:left="60"/>
              <w:spacing w:after="0"/>
              <w:rPr>
                <w:sz w:val="20"/>
                <w:szCs w:val="20"/>
                <w:color w:val="auto"/>
              </w:rPr>
            </w:pPr>
            <w:r>
              <w:rPr>
                <w:rFonts w:ascii="Arial" w:cs="Arial" w:eastAsia="Arial" w:hAnsi="Arial"/>
                <w:sz w:val="18"/>
                <w:szCs w:val="18"/>
                <w:color w:val="auto"/>
              </w:rPr>
              <w:t>Electronics, watches, and front-end (consumables, batteries, etc.)</w:t>
            </w:r>
          </w:p>
        </w:tc>
      </w:tr>
      <w:tr>
        <w:trPr>
          <w:trHeight w:val="94"/>
        </w:trPr>
        <w:tc>
          <w:tcPr>
            <w:tcW w:w="194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6800" w:type="dxa"/>
            <w:vAlign w:val="bottom"/>
            <w:shd w:val="clear" w:color="auto" w:fill="CCEEFF"/>
          </w:tcPr>
          <w:p>
            <w:pPr>
              <w:spacing w:after="0"/>
              <w:rPr>
                <w:sz w:val="8"/>
                <w:szCs w:val="8"/>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Apparel</w:t>
            </w:r>
          </w:p>
        </w:tc>
        <w:tc>
          <w:tcPr>
            <w:tcW w:w="2500" w:type="dxa"/>
            <w:vAlign w:val="bottom"/>
          </w:tcPr>
          <w:p>
            <w:pPr>
              <w:ind w:left="320"/>
              <w:spacing w:after="0"/>
              <w:rPr>
                <w:sz w:val="20"/>
                <w:szCs w:val="20"/>
                <w:color w:val="auto"/>
              </w:rPr>
            </w:pPr>
            <w:r>
              <w:rPr>
                <w:rFonts w:ascii="Arial" w:cs="Arial" w:eastAsia="Arial" w:hAnsi="Arial"/>
                <w:sz w:val="18"/>
                <w:szCs w:val="18"/>
                <w:color w:val="auto"/>
                <w:w w:val="89"/>
              </w:rPr>
              <w:t>Outdoor and seasonal apparel</w:t>
            </w:r>
          </w:p>
        </w:tc>
        <w:tc>
          <w:tcPr>
            <w:tcW w:w="6800" w:type="dxa"/>
            <w:vAlign w:val="bottom"/>
          </w:tcPr>
          <w:p>
            <w:pPr>
              <w:ind w:left="60"/>
              <w:spacing w:after="0"/>
              <w:rPr>
                <w:sz w:val="20"/>
                <w:szCs w:val="20"/>
                <w:color w:val="auto"/>
              </w:rPr>
            </w:pPr>
            <w:r>
              <w:rPr>
                <w:rFonts w:ascii="Arial" w:cs="Arial" w:eastAsia="Arial" w:hAnsi="Arial"/>
                <w:sz w:val="18"/>
                <w:szCs w:val="18"/>
                <w:color w:val="auto"/>
                <w:w w:val="94"/>
              </w:rPr>
              <w:t>Outdoor apparel, seasonal apparel, denim, work apparel, graphic t-shirts and accessories</w:t>
            </w:r>
          </w:p>
        </w:tc>
      </w:tr>
      <w:tr>
        <w:trPr>
          <w:trHeight w:val="229"/>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Youth apparel</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Boys and girls outdoor and athletic apparel</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Athletic apparel</w:t>
            </w:r>
          </w:p>
        </w:tc>
        <w:tc>
          <w:tcPr>
            <w:tcW w:w="6800" w:type="dxa"/>
            <w:vAlign w:val="bottom"/>
          </w:tcPr>
          <w:p>
            <w:pPr>
              <w:ind w:left="60"/>
              <w:spacing w:after="0"/>
              <w:rPr>
                <w:sz w:val="20"/>
                <w:szCs w:val="20"/>
                <w:color w:val="auto"/>
              </w:rPr>
            </w:pPr>
            <w:r>
              <w:rPr>
                <w:rFonts w:ascii="Arial" w:cs="Arial" w:eastAsia="Arial" w:hAnsi="Arial"/>
                <w:sz w:val="18"/>
                <w:szCs w:val="18"/>
                <w:color w:val="auto"/>
              </w:rPr>
              <w:t>Sporting apparel and apparel for fitness</w:t>
            </w:r>
          </w:p>
        </w:tc>
      </w:tr>
      <w:tr>
        <w:trPr>
          <w:trHeight w:val="229"/>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Licensed apparel</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Professional and collegiate team licensed apparel and accessories</w:t>
            </w:r>
          </w:p>
        </w:tc>
      </w:tr>
      <w:tr>
        <w:trPr>
          <w:trHeight w:val="94"/>
        </w:trPr>
        <w:tc>
          <w:tcPr>
            <w:tcW w:w="1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800" w:type="dxa"/>
            <w:vAlign w:val="bottom"/>
          </w:tcPr>
          <w:p>
            <w:pPr>
              <w:spacing w:after="0"/>
              <w:rPr>
                <w:sz w:val="8"/>
                <w:szCs w:val="8"/>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Footwear</w:t>
            </w: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Casual and seasonal footwear</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Casual shoes, slippers, seasonal footwear and socks</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Work footwear</w:t>
            </w:r>
          </w:p>
        </w:tc>
        <w:tc>
          <w:tcPr>
            <w:tcW w:w="6800" w:type="dxa"/>
            <w:vAlign w:val="bottom"/>
          </w:tcPr>
          <w:p>
            <w:pPr>
              <w:ind w:left="60"/>
              <w:spacing w:after="0"/>
              <w:rPr>
                <w:sz w:val="20"/>
                <w:szCs w:val="20"/>
                <w:color w:val="auto"/>
              </w:rPr>
            </w:pPr>
            <w:r>
              <w:rPr>
                <w:rFonts w:ascii="Arial" w:cs="Arial" w:eastAsia="Arial" w:hAnsi="Arial"/>
                <w:sz w:val="18"/>
                <w:szCs w:val="18"/>
                <w:color w:val="auto"/>
              </w:rPr>
              <w:t>Work and western boots, shoes and hunting footwear</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Youth footwear</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Boys and girls athletic footwear</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Athletic footwear</w:t>
            </w:r>
          </w:p>
        </w:tc>
        <w:tc>
          <w:tcPr>
            <w:tcW w:w="6800" w:type="dxa"/>
            <w:vAlign w:val="bottom"/>
          </w:tcPr>
          <w:p>
            <w:pPr>
              <w:ind w:left="60"/>
              <w:spacing w:after="0"/>
              <w:rPr>
                <w:sz w:val="20"/>
                <w:szCs w:val="20"/>
                <w:color w:val="auto"/>
              </w:rPr>
            </w:pPr>
            <w:r>
              <w:rPr>
                <w:rFonts w:ascii="Arial" w:cs="Arial" w:eastAsia="Arial" w:hAnsi="Arial"/>
                <w:sz w:val="18"/>
                <w:szCs w:val="18"/>
                <w:color w:val="auto"/>
              </w:rPr>
              <w:t>Running shoes, athletic lifestyle and training shoes</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Team sports footwear</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Team and specialty sports footwear and slides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8" w:name="page9"/>
    <w:bookmarkEnd w:id="8"/>
    <w:p>
      <w:pPr>
        <w:ind w:right="140" w:firstLine="324"/>
        <w:spacing w:after="0" w:line="271" w:lineRule="auto"/>
        <w:rPr>
          <w:sz w:val="20"/>
          <w:szCs w:val="20"/>
          <w:color w:val="auto"/>
        </w:rPr>
      </w:pPr>
      <w:r>
        <w:rPr>
          <w:rFonts w:ascii="Arial" w:cs="Arial" w:eastAsia="Arial" w:hAnsi="Arial"/>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28, 2023</w:t>
            </w:r>
          </w:p>
        </w:tc>
        <w:tc>
          <w:tcPr>
            <w:tcW w:w="2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29, 2022</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January 30, 2021</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sales</w:t>
            </w: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Outdoors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1,940,811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2,174,650</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1,968,514</w:t>
            </w: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1,366,785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1,256,357</w:t>
            </w: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Apparel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1,759,005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1,810,345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1,390,519</w:t>
            </w: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1,291,224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1,290,197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1,044,502</w:t>
            </w:r>
          </w:p>
        </w:tc>
      </w:tr>
      <w:tr>
        <w:trPr>
          <w:trHeight w:val="223"/>
        </w:trPr>
        <w:tc>
          <w:tcPr>
            <w:tcW w:w="4900" w:type="dxa"/>
            <w:vAlign w:val="bottom"/>
          </w:tcPr>
          <w:p>
            <w:pPr>
              <w:ind w:left="46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6,357,825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6,738,364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5,659,892</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r>
      <w:tr>
        <w:trPr>
          <w:trHeight w:val="223"/>
        </w:trPr>
        <w:tc>
          <w:tcPr>
            <w:tcW w:w="490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6,395,073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6,773,128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5,689,233</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E-commerce sales consist of 10.7%, 9.3% and 10.4% of merchandise sales for 2022, 2021 and 2020, respectively.</w:t>
      </w:r>
    </w:p>
    <w:p>
      <w:pPr>
        <w:spacing w:after="0" w:line="93" w:lineRule="exact"/>
        <w:rPr>
          <w:rFonts w:ascii="Arial" w:cs="Arial" w:eastAsia="Arial" w:hAnsi="Arial"/>
          <w:sz w:val="21"/>
          <w:szCs w:val="21"/>
          <w:color w:val="auto"/>
          <w:vertAlign w:val="superscript"/>
        </w:rPr>
      </w:pPr>
    </w:p>
    <w:p>
      <w:pPr>
        <w:ind w:firstLine="8"/>
        <w:spacing w:after="0" w:line="227" w:lineRule="auto"/>
        <w:tabs>
          <w:tab w:leader="none" w:pos="20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Other sales consists primarily of the gift card breakage income, credit card bounties and royalties, shipping income, net hunting and fishing license income, sales return allowance and other items.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stores, all of which are based in the U.S., are designed to provide our customers with an easy-in, easy-out shopping experience. The interior of most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stores average approximately 70,000 gross square feet, of which approximately 85% is dedicated to selling space. 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active members of the communities in which we operate, and our long-time customers have grown up with Academy and passed their passion for us on to the next generation, enabling us to benefit from strong customer loyalty and shopping frequency.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As of January 28, 2023, the number of stores that we operated, exclusively in the U.S., by state was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600" w:type="dxa"/>
            <w:vAlign w:val="bottom"/>
            <w:gridSpan w:val="2"/>
          </w:tcPr>
          <w:p>
            <w:pPr>
              <w:ind w:left="2040"/>
              <w:spacing w:after="0"/>
              <w:rPr>
                <w:sz w:val="20"/>
                <w:szCs w:val="20"/>
                <w:color w:val="auto"/>
              </w:rPr>
            </w:pPr>
            <w:r>
              <w:rPr>
                <w:rFonts w:ascii="Arial" w:cs="Arial" w:eastAsia="Arial" w:hAnsi="Arial"/>
                <w:sz w:val="18"/>
                <w:szCs w:val="18"/>
                <w:b w:val="1"/>
                <w:bCs w:val="1"/>
                <w:color w:val="auto"/>
              </w:rPr>
              <w:t>State</w:t>
            </w:r>
          </w:p>
        </w:tc>
        <w:tc>
          <w:tcPr>
            <w:tcW w:w="2220" w:type="dxa"/>
            <w:vAlign w:val="bottom"/>
          </w:tcPr>
          <w:p>
            <w:pPr>
              <w:jc w:val="right"/>
              <w:ind w:right="350"/>
              <w:spacing w:after="0"/>
              <w:rPr>
                <w:sz w:val="20"/>
                <w:szCs w:val="20"/>
                <w:color w:val="auto"/>
              </w:rPr>
            </w:pPr>
            <w:r>
              <w:rPr>
                <w:rFonts w:ascii="Arial" w:cs="Arial" w:eastAsia="Arial" w:hAnsi="Arial"/>
                <w:sz w:val="18"/>
                <w:szCs w:val="18"/>
                <w:b w:val="1"/>
                <w:bCs w:val="1"/>
                <w:color w:val="auto"/>
              </w:rPr>
              <w:t>Number of Stores</w:t>
            </w:r>
          </w:p>
        </w:tc>
      </w:tr>
      <w:tr>
        <w:trPr>
          <w:trHeight w:val="223"/>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Alabama</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Oklahoma</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South Carolina</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Mississippi</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Kansas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Kentucky</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West Virginia</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 strong and growing presence in some of the fastest-growing MSAs in the United States, including Austin, Atlanta and Raleigh, which we believe presents significant growth opportunities in both our core markets and outside our footprint. We believe our real estate strategy has positioned us well for further expansion, and our track record has demonstrated that we can open and operate stores profitably. We believe there is significant near-term opportunity for expansion with stores in in-fill markets, where we already have an established presence, and in adjacent markets, markets nearby to current locations which are not fully represented. We expect to open 13 to 15 stores in fiscal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marketing strategy is designed to reinforce our fun brand, broad selection of merchandise, and our value offering. We regularly analyze consumer trends on media consumption and rely on various media channels to communicate with our customers. We are continually expanding our targeting and personalization capabilities to deliver the right products and messages at the right time and in the media channel they prefer. Our media mix is a blend of digital and traditional, including paid search, email, affiliate, and social media along with linear and streaming broadcast and radio, print, outdoor and direct mail. Our advertising features a broad assortment of products and messaging tailored to the current selling season.</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utilize certain customer data obtained from our customer relationship management, or CRM, platform, which enable us to create effective customer-targeting strategies. Our current CRM programs focus on welcoming our first-time customers, recognizing our top spenders, reactivating our lapsed customers and cross-selling our category customers. We also utilize customer demographic data that we capture to better localize our marketing, to know when our customers buy from us and what items they purchase. With over 45 million customers in our database, there is ample opportunity to increase our communication directly with our customers via one-on-one marketing.</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CRM tools, our Academy Credit Card program also provides data to track our customers’ purchases across all channels, giving us the ability to better serve and target those loyal customers.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jc w:val="both"/>
        <w:ind w:firstLine="324"/>
        <w:spacing w:after="0" w:line="254" w:lineRule="auto"/>
        <w:rPr>
          <w:sz w:val="20"/>
          <w:szCs w:val="20"/>
          <w:color w:val="auto"/>
        </w:rPr>
      </w:pPr>
      <w:r>
        <w:rPr>
          <w:rFonts w:ascii="Arial" w:cs="Arial" w:eastAsia="Arial" w:hAnsi="Arial"/>
          <w:sz w:val="18"/>
          <w:szCs w:val="18"/>
          <w:color w:val="auto"/>
        </w:rPr>
        <w:t>We often create events at our stores to drive customer traffic. These events range from small, private local league shopping nights to large grand opening celebrations to commemorate new store openings that offer various indoor and outdoor activities, athlete and celebrity appearances, fun activities to test our products and meet our suppliers along with food and games. We also leverage sports championship moments when professional or collegiate sports teams in our markets win league titles. At these events we extend our store hours and offer official commemorative merchandise and may also host autograph signings and/or meet-and-greet events with players or coaches from the championship team. We are committed to making a positive impact on the communities we serve and partner with over 700 organizations, including youth sports leagues that reach more than 500,000 participants. We also partner with school districts, Historically Black Colleges and Universities (HBCUs), local parks, hunting and fishing organizations, military bases and local first responders.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the capacity to service up to approximately 120 stores per distribution center.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Members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mission is to provide “Fun for All” and a critical component to our success is our people. As of January 28, 2023, we employed approximately 22,000 team members in the U.S. and ten team members in Hong Kong. Of those team members, approximately 50% were full-time and 50% were part-time. Our employment levels fluctuate over the course of the year mainly due to the seasonality of our business. None of our team members are covered by collective bargaining agreements. The Company believes that it has a good working relationship with its team members.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Culture and Core Values. </w:t>
      </w:r>
      <w:r>
        <w:rPr>
          <w:rFonts w:ascii="Arial" w:cs="Arial" w:eastAsia="Arial" w:hAnsi="Arial"/>
          <w:sz w:val="17"/>
          <w:szCs w:val="17"/>
          <w:color w:val="auto"/>
        </w:rPr>
        <w:t>We strive to provide rewarding careers, benefits, and a workplace culture where team members are empowered to be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authentic self—drawing on their unique perspectives, passions, skills, interests, and experiences in their day-to-day jobs. Our core values establish a strong foundation for our culture and represent the key expectations we have of our team members. These include the following:</w:t>
      </w:r>
    </w:p>
    <w:p>
      <w:pPr>
        <w:spacing w:after="0" w:line="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focus and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Excellence in all we do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Responsible leadership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Initiative with urgency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Students of the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Integrity always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Positive impact on our communities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Diversity, Inclusion and Belonging. </w:t>
      </w:r>
      <w:r>
        <w:rPr>
          <w:rFonts w:ascii="Arial" w:cs="Arial" w:eastAsia="Arial" w:hAnsi="Arial"/>
          <w:sz w:val="18"/>
          <w:szCs w:val="18"/>
          <w:color w:val="auto"/>
        </w:rPr>
        <w:t>At Academy, we believe the diversity of our team members, customers, and all others with whom we interact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enhances the quality of our work environment and our customers’ shopping experience. Academy encourages team members to work together and to value the strengths each team member brings to the team. Our strategy begins with attracting, recruiting, developing, and retaining team members with backgrounds that are representative of our diverse communities because it makes our company and communities stronger. We require all team members to complete unintentional bias training to help eliminate biases from recruiting, hiring, promotions, job assignments and opportunities, evaluations, compensation, and customer service.</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2020, we established our Diversity, Inclusion and Belonging Committee, and they led the organization in the creation of our team member led Diversity, Inclusion and Belonging groups throughout the Company. These groups provide a forum for team members with common interests and/or backgrounds to connect, network, and provide input on issues related events while helping educate and celebrate our team members' diverse backgrounds and experiences.</w:t>
      </w:r>
    </w:p>
    <w:p>
      <w:pPr>
        <w:spacing w:after="0" w:line="2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Talent Management. </w:t>
      </w:r>
      <w:r>
        <w:rPr>
          <w:rFonts w:ascii="Arial" w:cs="Arial" w:eastAsia="Arial" w:hAnsi="Arial"/>
          <w:sz w:val="16"/>
          <w:szCs w:val="16"/>
          <w:color w:val="auto"/>
        </w:rPr>
        <w:t>We believe the best way to serve our customers is to invest in top talent, be open to innovation, and have the vision to succeed.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creating a winning team by recruiting and retaining great people, promoting teamwork, and fostering an enjoyable and rewarding work environment. We also strive to provide all team members with opportunities for personal growth, cross functional training, job opportunities and career advancement. We offer a mix of instructor-led, online, and blended courses in several key areas, including Career Development and Leadership Development. Our wide variety of courses ranges from job specific (i.e., functional) to broad based leadership training to safety, security, ethics, and compliance training. We also engage in regular and ongoing feedback, annual performance reviews and annual talent calibration conversations. Succession planning is conducted on an annual basis to identify suitable internal candidates for key positions within the Company.</w:t>
      </w:r>
    </w:p>
    <w:p>
      <w:pPr>
        <w:spacing w:after="0" w:line="18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color w:val="auto"/>
        </w:rPr>
        <w:t>We offer a competitive compensation and benefits package. Our benefits package is designed to allow team members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pick and choose which benefits are the best for their and their family’s health and well-being. Depending on the team member’s employment and work status, they may be eligible for: medical, dental, and vision insurance; participation in the Company’s 401(k) Plan with a six percent dollar for dollar match up to the IRS deferral limit; participation in the Company’s Employee Stock Purchase Plan which provides a 15 percent discount on the lower of the stock price at the beginning or the end of each offering period; paid time off and paid vacations; the ability for team members to get a portion of their earnings paid daily; tuition reimbursement programs; professional license/certification reimbursement; medical, family, and bereavement leave; additional voluntary short/long term, life, legal, pet, and accident insurance; paid maternity and parental leave; and a 20 percent team member discount on most all of our merchandise, to name a few. We also provide, in all our distribution centers and our Katy corporate office, subsidized meals for all team members at our onsite café and an annual health and benefits fair. Specific to our Katy corporate office, we engage our team members through the opportunity to participate in intramural sport teams, 5K fun walk/run events, subsidized membership in the company gym and exercise classes (this is also open to our Katy distribution team members); “food truck Thursdays”; onsite dental and car wash service; and a company holiday party and other team member appreciation events. In 2022, the Company increased the annual merit and adjustment pool over prior years to recognize and reward our team member’s efforts and support in a unique and challenging year.</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Workplace, Health and Safety. </w:t>
      </w:r>
      <w:r>
        <w:rPr>
          <w:rFonts w:ascii="Arial" w:cs="Arial" w:eastAsia="Arial" w:hAnsi="Arial"/>
          <w:sz w:val="18"/>
          <w:szCs w:val="18"/>
          <w:color w:val="auto"/>
        </w:rPr>
        <w:t>The health and safety of our customers, team members, and communities is our top priority. We strive to ensure that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 and hygienic working environment is provided and that occupational health and safety practices which prevent accidents and injury are promoted. Throughout our stores, distribution centers, and corporate headquarters, we employ policies, procedures, and training to promote safe and healthy work environments.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jc w:val="both"/>
        <w:ind w:right="20" w:firstLine="324"/>
        <w:spacing w:after="0" w:line="275" w:lineRule="auto"/>
        <w:rPr>
          <w:sz w:val="20"/>
          <w:szCs w:val="20"/>
          <w:color w:val="auto"/>
        </w:rPr>
      </w:pPr>
      <w:r>
        <w:rPr>
          <w:rFonts w:ascii="Arial" w:cs="Arial" w:eastAsia="Arial" w:hAnsi="Arial"/>
          <w:sz w:val="17"/>
          <w:szCs w:val="17"/>
          <w:color w:val="auto"/>
        </w:rPr>
        <w:t>Our team member handbook outlines safety expectations, but we also empower our team members with knowledge and skills from various safety training courses during the onboarding process and on an ongoing basis through our learning engagement system with topics such as incident reporting, behavior-based safety, evacuation, active shooter response, hazardous materials, ergonomics, heat safety, electrical safety, industrial truck and pallet jack safety, confined space entry and parking lot and garage safety. We continue to focus on developing and driving our safety-first culture through awareness, training, and actions to reduce the frequency and severity of safety incidents.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is a list of our executive officers, their respective ages as of January 28, 2023 and a brief account of the business experience of each of them.</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ind w:left="1900"/>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ind w:left="260"/>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0" w:type="dxa"/>
            <w:vAlign w:val="bottom"/>
          </w:tcPr>
          <w:p>
            <w:pPr>
              <w:ind w:left="26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Ken C. Hicks</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80" w:type="dxa"/>
            <w:vAlign w:val="bottom"/>
            <w:tcBorders>
              <w:top w:val="single" w:sz="8" w:color="CCEEFF"/>
            </w:tcBorders>
            <w:shd w:val="clear" w:color="auto" w:fill="CCEEFF"/>
          </w:tcPr>
          <w:p>
            <w:pPr>
              <w:spacing w:after="0"/>
              <w:rPr>
                <w:sz w:val="19"/>
                <w:szCs w:val="19"/>
                <w:color w:val="auto"/>
              </w:rPr>
            </w:pPr>
          </w:p>
        </w:tc>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Michael P. Mullican</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P. Lawrence</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Merchandising Officer</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Samuel J. Johnson</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Retail Operations</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Sherry Harriman</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Logistics and Supply Chain</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Jamey Traywick Rutherford</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Vice President, Omnichannel</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Manish Maini</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Information Officer</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William S. Ennis</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Vice President, Chief Human Resources Officer</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Rene G. Casares</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3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Ken C. Hicks </w:t>
      </w:r>
      <w:r>
        <w:rPr>
          <w:rFonts w:ascii="Arial" w:cs="Arial" w:eastAsia="Arial" w:hAnsi="Arial"/>
          <w:sz w:val="17"/>
          <w:szCs w:val="17"/>
          <w:color w:val="auto"/>
        </w:rPr>
        <w:t>has served as the Chairman and our President and Chief Executive Officer since May 2018. Mr. Hicks has served as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managers of New Academy Holding Company, LLC (our predecessor company)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Michael P. Mullican </w:t>
      </w:r>
      <w:r>
        <w:rPr>
          <w:rFonts w:ascii="Arial" w:cs="Arial" w:eastAsia="Arial" w:hAnsi="Arial"/>
          <w:sz w:val="18"/>
          <w:szCs w:val="18"/>
          <w:color w:val="auto"/>
        </w:rPr>
        <w:t>has served as our Executive Vice President and Chief Financial Officer since January 2018. He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2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Steven (Steve) P. Lawrence </w:t>
      </w:r>
      <w:r>
        <w:rPr>
          <w:rFonts w:ascii="Arial" w:cs="Arial" w:eastAsia="Arial" w:hAnsi="Arial"/>
          <w:sz w:val="16"/>
          <w:szCs w:val="16"/>
          <w:color w:val="auto"/>
        </w:rPr>
        <w:t>has served as our Executive Vice President and Chief Merchandising Officer since joining the Academy Sports + Outdoors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Samuel (Sam) J. Johnson </w:t>
      </w:r>
      <w:r>
        <w:rPr>
          <w:rFonts w:ascii="Arial" w:cs="Arial" w:eastAsia="Arial" w:hAnsi="Arial"/>
          <w:sz w:val="16"/>
          <w:szCs w:val="16"/>
          <w:color w:val="auto"/>
        </w:rPr>
        <w:t>has served as our Executive Vice President, Retail Operations since joining the Academy Sports + Outdoors team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8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b w:val="1"/>
          <w:bCs w:val="1"/>
          <w:i w:val="1"/>
          <w:iCs w:val="1"/>
          <w:color w:val="auto"/>
        </w:rPr>
        <w:t xml:space="preserve">Sherry L. Harriman </w:t>
      </w:r>
      <w:r>
        <w:rPr>
          <w:rFonts w:ascii="Arial" w:cs="Arial" w:eastAsia="Arial" w:hAnsi="Arial"/>
          <w:sz w:val="18"/>
          <w:szCs w:val="18"/>
          <w:color w:val="auto"/>
        </w:rPr>
        <w:t>has served as our Senior Vice President, Logistics and Supply Chain since joining the Academy Sports + Outdoors team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2018. Prior to joining Academy Sports + Outdoors, Mrs. Harriman spent 29 years at Walmart, Inc., where she served in various logistics and operations roles until she was promoted to Regional Vice President – Logistics in 2007. In 2010, she was promoted to Divisional Vice President – Supply Chain for Florida and Puerto Rico, where her team delivered innovative Supply Chain solutions that supported omnichannel strategies and disaster relief initiatives. Ms. Harriman holds a Bachelor of Business Administration from the University of Wisconsin-Eau Claire and a Master of Business Administration from John Brown University.</w:t>
      </w:r>
    </w:p>
    <w:p>
      <w:pPr>
        <w:spacing w:after="0" w:line="2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Jamey Traywick Rutherford </w:t>
      </w:r>
      <w:r>
        <w:rPr>
          <w:rFonts w:ascii="Arial" w:cs="Arial" w:eastAsia="Arial" w:hAnsi="Arial"/>
          <w:sz w:val="16"/>
          <w:szCs w:val="16"/>
          <w:color w:val="auto"/>
        </w:rPr>
        <w:t>has served as our Senior Vice President, Omnichannel since joining the Academy Sports + Outdoors team in May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Academy Sports + Outdoors, Ms. Traywick Rutherford spent over 17 years at AutoZone where she served in various e-commerce roles until she was promoted to Vice President, e-commerce in 2010. She transitioned to Vice President, Merchandising in 2017. She holds a Bachelor of Science in Environmental Science from the University of Denver, and a Master of Science in e-commerce from the University of Memphis.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Manish Maini </w:t>
      </w:r>
      <w:r>
        <w:rPr>
          <w:rFonts w:ascii="Arial" w:cs="Arial" w:eastAsia="Arial" w:hAnsi="Arial"/>
          <w:sz w:val="17"/>
          <w:szCs w:val="17"/>
          <w:color w:val="auto"/>
        </w:rPr>
        <w:t>has served as our Senior Vice President, Chief Information Officer since joining the Academy Sports + Outdoors team in June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William (Bill) S. Ennis </w:t>
      </w:r>
      <w:r>
        <w:rPr>
          <w:rFonts w:ascii="Arial" w:cs="Arial" w:eastAsia="Arial" w:hAnsi="Arial"/>
          <w:sz w:val="16"/>
          <w:szCs w:val="16"/>
          <w:color w:val="auto"/>
        </w:rPr>
        <w:t>has served as our Senior Vice President, Chief Human Resources Officer since March 2016. Mr. Ennis joined the Academy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9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Rene G. Casares </w:t>
      </w:r>
      <w:r>
        <w:rPr>
          <w:rFonts w:ascii="Arial" w:cs="Arial" w:eastAsia="Arial" w:hAnsi="Arial"/>
          <w:sz w:val="17"/>
          <w:szCs w:val="17"/>
          <w:color w:val="auto"/>
        </w:rPr>
        <w:t>has served as our Senior Vice President, General Counsel and Secretary since March 2018. He joined the company in July 2013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trademarks, service marks, copyrights, patents, processes, trade secrets, domain names and other intellectual property, including our Academy Sports + Outdoors brand, our private label brands, such as Academy Sports + Outdoors, Magellan Outdoors, BCG, O’rageous, Game Winner, Outdoor Gourmet and Freely, and our designs, names, slogans, images and trade dress associated with these brands, are valuable assets that are critical to our success.</w:t>
      </w:r>
    </w:p>
    <w:p>
      <w:pPr>
        <w:spacing w:after="0" w:line="2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Governmental Regulations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Specifically,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9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laws related to advertising, marketing, pricing and selling our products, including but not limited to firearms, ammunition, and related accessories;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 and forced labor prevention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website design and content regulations;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Foreign Corrupt Practices Act, or FCPA, the U.K. Bribery Act, or UKBA, and other anti-corruption laws;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We are a federally licensed firearms dealer, and we sell firearms, ammunition, and related accessories. Firearms represented approximately 6% of our net sales in 2022.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United States Department of Justice announced a new policy to underscore zero tolerance for willful violations of the law by federally licensed firearms dealers that put public safety at risk. In the future, there may be increased federal, state or local regulation and enforcement affecting the sale of firearms, ammunition, and related accessories, including taxation or restrictions on the type of firearms and ammunition available for retail sale, which could reduce our sales and profitability.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the risk factors herein in "Item 1A. Risk Factors" under the sub-caption "Legal and Regulatory Risks".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securities involves a high degree of risk. In addition to the other information contained in this Annual Report, you should consider the following risk factors before investing in our securities. Risks in this section are grouped in the following categories: (1) Risks Related to Our Business and Industry; (2) Legal and Regulatory Risks; (3) Risks Related to Our Indebtedness; and (4) Risks Related to the Ownership of Our Common Stock. Many risks affect more than one category, and the risks are not in order of significance or probability of occurrence because they have been grouped by categories.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conditions that affect U.S. consumer discretionary spending in our markets include:</w:t>
      </w:r>
    </w:p>
    <w:p>
      <w:pPr>
        <w:spacing w:after="0" w:line="63"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of the economy;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market volatility;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wages, jobs and unemployment trends;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events (including the COVID-19 pandemic) and their effect on our customers, team members, vendors/suppliers and other stakeholders;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housing market, including real estate prices and mortgage rates;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credit availability;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gasoline and fuel prices;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 and inflation;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rates and tax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immigration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customs duties/tariffs and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natural or man-made disasters;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legislation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unrest, trade disputes, labor shortages, and other disruptions to the supply chain;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raw material and commodity prices;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national and international security and safety concerns.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Increasing volatility in financial markets may cause some of the aforementioned conditions to change with even greater degree of frequency and magnitude. In addition, COVID-19 has had, and may continue to have, far-reaching adverse impacts on aspects of our operations, directly and indirectly, including our team members, consumer behavior, inventory, distribution and logistics, our suppliers and the market overall.</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comparable sales, net sales per square foot, customer traffic or average value per transaction may be adversely affected if, for example, our customers reduce their purchases with us due to continued high inflation,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6" w:name="page17"/>
    <w:bookmarkEnd w:id="16"/>
    <w:p>
      <w:pPr>
        <w:jc w:val="both"/>
        <w:ind w:firstLine="324"/>
        <w:spacing w:after="0" w:line="268" w:lineRule="auto"/>
        <w:rPr>
          <w:sz w:val="20"/>
          <w:szCs w:val="20"/>
          <w:color w:val="auto"/>
        </w:rPr>
      </w:pPr>
      <w:r>
        <w:rPr>
          <w:rFonts w:ascii="Arial" w:cs="Arial" w:eastAsia="Arial" w:hAnsi="Arial"/>
          <w:sz w:val="17"/>
          <w:szCs w:val="17"/>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including as a result of continued increases in interest rates,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88"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1" w:lineRule="exact"/>
        <w:rPr>
          <w:sz w:val="20"/>
          <w:szCs w:val="20"/>
          <w:color w:val="auto"/>
        </w:rPr>
      </w:pPr>
    </w:p>
    <w:p>
      <w:pPr>
        <w:ind w:left="13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behavior away from team sports and outdoor activities in favor of media (including social media) and electronics-driven leisure activities;</w:t>
      </w:r>
    </w:p>
    <w:p>
      <w:pPr>
        <w:spacing w:after="0" w:line="8"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local and federal government budget cuts on facilities and activities, such as school athletic budgets, parks, ball fields, recreational sports leagues, hunting and fishing services, etc.;</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weak economic conditions, recession, inflation or other factors, such as global or local pandemics;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legal and regulatory changes in federal and state hunting and fishing seasons, bag limits and firearm and ammunition restrictions;</w:t>
      </w:r>
    </w:p>
    <w:p>
      <w:pPr>
        <w:spacing w:after="0" w:line="74" w:lineRule="exact"/>
        <w:rPr>
          <w:rFonts w:ascii="Arial" w:cs="Arial" w:eastAsia="Arial" w:hAnsi="Arial"/>
          <w:sz w:val="17"/>
          <w:szCs w:val="17"/>
          <w:color w:val="auto"/>
        </w:rPr>
      </w:pPr>
    </w:p>
    <w:p>
      <w:pPr>
        <w:ind w:left="1300" w:right="2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8"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escalating costs of sporting and outdoor activities due to adverse changes in economic conditions, including rising fuel prices, rising participation fees and rising sporting license fees; and</w:t>
      </w:r>
    </w:p>
    <w:p>
      <w:pPr>
        <w:spacing w:after="0" w:line="8"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weather and natural or man-made disasters (e.g., an oil spill closing large areas of hunting or fishing), including heat waves, freezes, hurricanes, tornadoes, large storms and floods, and the effects of such events on the ability of large urban areas to continue spending on sporting goods and outdoor recreation products.</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p>
      <w:pPr>
        <w:jc w:val="both"/>
        <w:ind w:firstLine="324"/>
        <w:spacing w:after="0" w:line="286" w:lineRule="auto"/>
        <w:rPr>
          <w:sz w:val="20"/>
          <w:szCs w:val="20"/>
          <w:color w:val="auto"/>
        </w:rPr>
      </w:pPr>
      <w:r>
        <w:rPr>
          <w:rFonts w:ascii="Arial" w:cs="Arial" w:eastAsia="Arial" w:hAnsi="Arial"/>
          <w:sz w:val="17"/>
          <w:szCs w:val="17"/>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their brand names.</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severe weather,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and may continue to, impact our business and financial results.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COVID-19 pandemic, including measures taken in response have negatively impacted the global and U.S. economies, disrupted consumer spending and global supply chains, and created significant volatility and disruption of labor and financial markets, and may continue to do so. The initial phase of the COVID-19 pandemic saw the imposition by various governmental authorities, and by us, of significant restrictions on the operations of our facilities intended to protect the health and safety of our team members, customers and communities, including temporary full or partial closures and the imposition of new permanent or temporary safety measures. These restrictions, along with other impacts of the COVID-19 pandemic on our team members and customers, adversely impacted our business and results, and any future imposition of restrictions or resurgence of the pandemic could cause further adverse impacts. Our information technology systems and cyber-security could also be adversely affected by a significant increase in remote working by our corporate team members and a significant increase in online orders.</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COVID-19 pandemic, we may also see further disruptions or delays in shipments and negative impacts to pricing of certain components of our products. The COVID-19 pandemic has impacted, and may continue to impact, the suppliers of products we sell, particularly as a result of mandatory shutdowns in locations where our products are manufactured and in some cases due to extreme demand for certain popular or necessary goods or raw materials.</w:t>
      </w:r>
    </w:p>
    <w:p>
      <w:pPr>
        <w:spacing w:after="0" w:line="21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significant amount of our merchandise is produced in China, and the ongoing COVID-19 pandemic in China has led to, and may continue to lead to,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again curtailed, we may need to seek alternate manufacturing sources, which may be more expensive. Alternate sources may not be available or may result in delays in shipments to us from our supply chain and subsequently to our customers, each of which would affect our results of operations. The duration of the production and supply chain disruption, and related financial impact, cannot be estimated at this time. Should such production and distribution closures continue or be re-imposed, the impact on our supply chain in China and globally could have a material adverse effect on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8" w:name="page19"/>
    <w:bookmarkEnd w:id="18"/>
    <w:p>
      <w:pPr>
        <w:jc w:val="both"/>
        <w:ind w:firstLine="324"/>
        <w:spacing w:after="0" w:line="311" w:lineRule="auto"/>
        <w:rPr>
          <w:sz w:val="20"/>
          <w:szCs w:val="20"/>
          <w:color w:val="auto"/>
        </w:rPr>
      </w:pPr>
      <w:r>
        <w:rPr>
          <w:rFonts w:ascii="Arial" w:cs="Arial" w:eastAsia="Arial" w:hAnsi="Arial"/>
          <w:sz w:val="16"/>
          <w:szCs w:val="16"/>
          <w:color w:val="auto"/>
        </w:rPr>
        <w:t>Moreover, during the pandemic we have observed an increase in the popularity of isolated recreation, outdoor and leisure activity products, which has benefited our business and financial results. However, we are unable to predict how long this increased popularity will last or how significant it will be. To the extent the popularity of isolated recreation, outdoor and leisure activity products declines, our sales could be adversely impacted.</w:t>
      </w:r>
    </w:p>
    <w:p>
      <w:pPr>
        <w:spacing w:after="0" w:line="1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extent to which the COVID-19 pandemic continues to impact our results, financial position and liquidity will depend on future developments and the related impact on consumer confidence and spending, labor supply or product supply, all of which are highly uncertain.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Intense competition in the sporting goods and outdoor recreation retail industries could limit our growth and reduce our profitability.</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22"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specialty footwear retailers;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catalogue and internet retailers.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Any failure to protect the integrity, confidentiality, and availability of our digital environment (including our technology infrastructure and networks, third party services, and hosted and on-premises software) and data that we hold relating to us and our customers, team members, and partners (including vendors) could result in lost sales, fines, penalties, assessments, investigations, inquiries, and/or lawsuits, a loss of confidence in us, and harm to our reputation, business, results of operations, and financial condition.</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security of our digital environment (including our technology infrastructure and networks, third party services, and hosted and on-premises software) and data (including from our partners) is critical to our business as a retailer, and we devote significant resources to protecting our digital environment and data. In order to operate our business and to provide products and services to our customers, we collect, source, store, maintain, and process data that can be used to identify a person (i.e., personal data or personally identifiable information), including customers, partners, and team members, along with our intellectual property and proprietary business information. We share data with third parties for further processing consistent with applicable terms and conditions. Our retail stores and online operations depend on the secure transmission and processing of confidential information and the continued operation of systems necessary to perform store operations and to process transactions. Our customers provide payment card and gift card information, alternative payment information, and other personal information to purchase products or services, enroll in promotional programs, apply for credit, create accounts and make purchases on our website, or otherwise communicate and interact with us. Job applicants provide personal information in connection with their employment application and our team members provide personal information in connection with their continued employment. We may share information about individual persons with partners assisting with certain aspects of our business. Some personal data and personally identifiable information may be deemed sensitive or otherwise protected under applicable laws or regulations and may be subject to specific requirements for collection, processing, security, and disposal.</w:t>
      </w: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jc w:val="both"/>
        <w:ind w:firstLine="324"/>
        <w:spacing w:after="0" w:line="285" w:lineRule="auto"/>
        <w:rPr>
          <w:sz w:val="20"/>
          <w:szCs w:val="20"/>
          <w:color w:val="auto"/>
        </w:rPr>
      </w:pPr>
      <w:r>
        <w:rPr>
          <w:rFonts w:ascii="Arial" w:cs="Arial" w:eastAsia="Arial" w:hAnsi="Arial"/>
          <w:sz w:val="16"/>
          <w:szCs w:val="16"/>
          <w:color w:val="auto"/>
        </w:rPr>
        <w:t>We and our partners rely on commercially available information security technology and industry standard operational practices for collecting, storing, maintaining, transmitting, protecting, and processing data. Despite our security measures, we may not be able to anticipate, prevent, and stop future attacks to our digital environment and data and those of our partners. Threat actors may defeat our security measures and may obtain access to data (including personal data or personally identifiable information) that we hold relating to us and our customers, team members, and vendors, or may cause operational harm. For example, ransomware events could cause key systems to be unavailable for use, or credential stuffing attacks of customer accounts on academy.com could cause customer privacy breaches and authorized charges to payment or gift cards, or phishing/smishing attacks, in which attackers masquerade as a trustworthy entity in an electronic communication (including email or text message), could gain control of a user's device and/or credentials. The techniques used by threat actors to attack or access systems and data evolve and may not be recognized until or after being launched against a target. We may not have the resources or technical sophistication to anticipate or prevent rapidly evolving types of cyber-attacks. While we have no knowledge of any material data security breaches to date, actual or suspected attacks, increased risks, and newly discovered vulnerabilities have resulted, and in the future could result, in us expending significant resources related to our information systems, data stores, technology infrastructure and team member training. A future data security breach could also (1) attract substantial media attention, (2) damage our relationships with our customers, team members, and partners, (3) cause a loss of confidence in us or cause us to violate applicable privacy laws and obligations, (4) expose us to costly government enforcement actions or private litigation and financial liability (possibly beyond our insurance coverage), (5) increase the costs we incur to protect against or remediate security breaches and vulnerabilities, (6) result in additional costs and operational activities to comply with consumer protection and data privacy laws and obligations, and/or (7) disrupt our operations and distract our management and other key personnel from performing their primary operational duties, any of which could adversely affect our reputation, business, results of operations, and financial condition.</w:t>
      </w:r>
    </w:p>
    <w:p>
      <w:pPr>
        <w:spacing w:after="0" w:line="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cyber liability insurance in an amount and coverage we deem appropriate, taking into account the specific coverages and coverage requirements in the marketplace. There is no guarantee that our cyber liability insurance will cover a particular cyber incident, that such coverage will be sufficient, or that insurance proceeds will be paid in a timely manner. If an insurance carrier seeks to deny coverage of a particular loss, we may incur costs to dispute the denial of coverage, which could result in paying costs that otherwise would be recovered from insurance and delays in or ultimate denial of coverage.</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data privacy and cyber security regulatory environment is constantly changing, with new and increasingly rigorous or complex requirements. Consumer data privacy and cyber security laws and related regulations have been enacted and additional laws and regulations are under consideration by various state and federal legislatures and regulatory authorities. Maintaining compliance with those requirements may require significant effort, cost, and new or improved technical capabilities, may require changes to our business practices, and may limit our ability to obtain or use data to provide a personalized customer experience or to engage in certain marketing practices. In addition, failure to comply with applicable requirements could subject us to fines, sanctions, governmental investigations, lawsuits, reputational damage, and other risks and costs that may be difficult to anticipate but could become material depending on the specific facts.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significant portion of the merchandise that we sell, including merchandise we purchase from domestic suppliers and much of our private label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For example, in late 2021, the United States Government enacted the Uyghur Forced Labor Prevention Act (“UFLPA”), which presumes goods produced in the Xinjiang Uyghur Autonomous Region of China, or with labor linked to specified Chinese government-sponsored labor programs, were produced using forced labor and prohibits importation of such goods into the United States absent clear and convincing evidence proving otherwise. Compliance with UFLPA could have a material adverse effect on our business, financial condition and results of operations.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0" w:name="page21"/>
    <w:bookmarkEnd w:id="20"/>
    <w:p>
      <w:pPr>
        <w:jc w:val="both"/>
        <w:ind w:firstLine="324"/>
        <w:spacing w:after="0" w:line="272" w:lineRule="auto"/>
        <w:rPr>
          <w:sz w:val="20"/>
          <w:szCs w:val="20"/>
          <w:color w:val="auto"/>
        </w:rPr>
      </w:pPr>
      <w:r>
        <w:rPr>
          <w:rFonts w:ascii="Arial" w:cs="Arial" w:eastAsia="Arial" w:hAnsi="Arial"/>
          <w:sz w:val="17"/>
          <w:szCs w:val="17"/>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become more expensive or may no longer be available at a commercially attractive price or at all, each of which in turn could have a material adverse effect on our business, financial condition and results of operations.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General trade tensions between the United States and China began escalating in 2018, with the Trump administration ultimately imposing multiple rounds of tariffs on imports from China, where we and many of our vendors source commodities. As a result, we have experienced rising inventory costs on private label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have had an adverse effect on our business, financial condition and results of operations. In response, we have sought alternative suppliers or vendors, raised prices, and made changes to our operations. The continuation of this situation could have further adverse effects on our sales and profitability, results of operations and financial condition. As of our report date, no significant modifications have been enacted relative to the escalated tariffs which impact our business.</w:t>
      </w:r>
    </w:p>
    <w:p>
      <w:pPr>
        <w:spacing w:after="0" w:line="2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information technology systems, if not functioning properly or if failing to function altogether,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technology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From time to time we have experienced, and we may in the future further experience, interruptions, damages, or failures of our information technology systems, some of which disrupt our business and cause us to expend additional resources to rectify.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our computer and information technology systems may require repair, upgrade, enhancement, integration and/or replacement for us to maintain successful current operations and achieve future sales and store growth.</w:t>
      </w: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Updating our existing information technology systems subjects us to numerous risks, including:</w:t>
      </w:r>
    </w:p>
    <w:p>
      <w:pPr>
        <w:spacing w:after="0" w:line="63"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information;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of normal operations;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or other operating procedures;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or general computer controls;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maintaining accuracy of historical data;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allocation and dedication of key business resources to the updating of existing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attract and retain adequate experienced technical resources and third-party contractors for the updating of existing systems;</w:t>
      </w:r>
    </w:p>
    <w:p>
      <w:pPr>
        <w:spacing w:after="0" w:line="86"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unknown impact on remaining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adequacy of training and change management to address critical changes in business processes and job functions;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updated information technology system ultimately does not meet the needs of the business.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Any failure to successfully update and maintain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may undertake initiatives involving numerous information technology systems, including our merchandise management, warehouse management, customer relationship management, point of sale, e-commerce, data security, credit card fraud detection, financial reporting, and labor management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approximately 1,400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depend on approximately 1,400 suppliers to supply us in a timely and efficient manner with the merchandise we sell. Our significant dependence on these suppliers exposes us to various risks that could have a material adverse effect on our business and results of operations. In 2022, purchases from our largest vendor represented approximately 11%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as a result of public health emergencies, such as the COVID-19 pandemic, and measures taken by the Chinese government or other governments in response to such events),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 For example, during fiscal 2022 we observed increased competition across the industry for resources throughout the supply chain, which resulted in disruptions to the flow of products from our vendors, labor shortages, reduced shipping container availability, and longer delays at the port. These factors negatively impacted transportation costs and required us to pay higher rates to maintain our inventory levels, and we expect such supply chain challenges to continue at least in the near term. Additionally,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Harm to our reputation could adversely impact our ability to attract and retain customers, team members, vendors and/or other partners.</w:t>
      </w:r>
    </w:p>
    <w:p>
      <w:pPr>
        <w:spacing w:after="0" w:line="1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or enforce our own policies, our policies related to the sale of firearms, ammunition and accessories, our policies relating to public health,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associated with finding replacement service vendors or hiring new team members to provide these business services and solutions in-house.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(vacant) retail stores or developable store sites. The availability of second-generation retail store space, and developable retail sites (i.e., land and redevelopment sites) that meet our criteria is very low. Land prices continue to increase as developers pursue more favorable non-retail options capable of yielding higher returns. Further,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3" w:name="page24"/>
    <w:bookmarkEnd w:id="23"/>
    <w:p>
      <w:pPr>
        <w:jc w:val="both"/>
        <w:ind w:firstLine="324"/>
        <w:spacing w:after="0" w:line="296" w:lineRule="auto"/>
        <w:rPr>
          <w:sz w:val="20"/>
          <w:szCs w:val="20"/>
          <w:color w:val="auto"/>
        </w:rPr>
      </w:pPr>
      <w:r>
        <w:rPr>
          <w:rFonts w:ascii="Arial" w:cs="Arial" w:eastAsia="Arial" w:hAnsi="Arial"/>
          <w:sz w:val="16"/>
          <w:szCs w:val="16"/>
          <w:color w:val="auto"/>
        </w:rPr>
        <w:t>We lease our stores under operating leases with initial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As a result of our anticipated growth, we may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In 2020 and 2021, in response to the then-current retail environment, we temporarily stopped new store openings, before resuming in 2022.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activities expose us to various risks that could have a material adverse impact on our overall results of operations.</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15"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expansion of our sales across the United States, thereby, subjecting us to the regulatory and other requirements of the 50 states;</w:t>
      </w:r>
    </w:p>
    <w:p>
      <w:pPr>
        <w:spacing w:after="0" w:line="74"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keep pace with rapid technological change and maintain investments necessary for our e-commerce operation;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compliance issues related to the online sale of merchandise;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litigation related to the enforcement of patent rights;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privacy and personal data security;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 against credit card and gift card fraud;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fulfillment, inventory control and shipping issues for e-commerce transactions;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issues, including state sales tax collection for e-commerce transactions;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retention and training of personnel qualified to conduct our e-commerce operation;</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4" w:name="page25"/>
    <w:bookmarkEnd w:id="24"/>
    <w:p>
      <w:pPr>
        <w:ind w:left="1300" w:hanging="32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ability to procure adequate computer hardware and software and technology services and solutions from third-party providers; and</w:t>
      </w:r>
    </w:p>
    <w:p>
      <w:pPr>
        <w:spacing w:after="0" w:line="74" w:lineRule="exact"/>
        <w:rPr>
          <w:rFonts w:ascii="Arial" w:cs="Arial" w:eastAsia="Arial" w:hAnsi="Arial"/>
          <w:sz w:val="17"/>
          <w:szCs w:val="17"/>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in visits to, diversion and/or cannibalization of sales from, existing retail stores.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private label brand merchandise exposes us to various risks generally encountered by companies that source, manufacture, market and retail exclusive private label brand merchandise.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national brand merchandise, we offer customers private label brand merchandise that is primarily sold exclusively by Academy. The sale of private label brand merchandise subjects us to certain risks, including:</w:t>
      </w:r>
    </w:p>
    <w:p>
      <w:pPr>
        <w:spacing w:after="0" w:line="8" w:lineRule="exact"/>
        <w:rPr>
          <w:sz w:val="20"/>
          <w:szCs w:val="20"/>
          <w:color w:val="auto"/>
        </w:rPr>
      </w:pPr>
    </w:p>
    <w:p>
      <w:pPr>
        <w:ind w:left="1300" w:right="2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and profitably conduct sourcing and manufacturing activities internally or with third-party agents, manufacturers and distributors;</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mandatory or voluntary product recalls;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and lawsuits resulting from injuries associated with the use of our private label brand merchandise;</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protect our intellectual property or other proprietary rights (e.g., defending against counterfeit, knock-offs, grey-market, infringing or otherwise unauthorized goods);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successfully navigate and avoid claims related to the intellectual property or other proprietary rights of third parties;</w:t>
      </w:r>
    </w:p>
    <w:p>
      <w:pPr>
        <w:spacing w:after="0" w:line="74" w:lineRule="exact"/>
        <w:rPr>
          <w:rFonts w:ascii="Arial" w:cs="Arial" w:eastAsia="Arial" w:hAnsi="Arial"/>
          <w:sz w:val="17"/>
          <w:szCs w:val="17"/>
          <w:color w:val="auto"/>
        </w:rPr>
      </w:pPr>
    </w:p>
    <w:p>
      <w:pPr>
        <w:ind w:left="1300" w:hanging="320"/>
        <w:spacing w:after="0" w:line="316"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1" w:lineRule="exact"/>
        <w:rPr>
          <w:rFonts w:ascii="Arial" w:cs="Arial" w:eastAsia="Arial" w:hAnsi="Arial"/>
          <w:sz w:val="16"/>
          <w:szCs w:val="16"/>
          <w:color w:val="auto"/>
        </w:rPr>
      </w:pPr>
    </w:p>
    <w:p>
      <w:pPr>
        <w:jc w:val="both"/>
        <w:ind w:left="1300" w:hanging="320"/>
        <w:spacing w:after="0" w:line="263"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21"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price of raw materials used in the manufacturing of our private label brand merchandise and other risks generally encountered by entities that source, manufacture, market and retail private label brand merchandise.</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failure to adequately address some or all of these risks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As a result of damage to, or prolonged interruption of, operations or inventory at any of these facilities, or with respect to third-party transportation providers, due to a work stoppage, labor shortage, operations significantly below historical efficiency levels, supply chain disruption, inclement weather or natural or man-made disasters (including events that may be caused or exacerbated by climate change), system failures, slowdowns or strikes, acts of terror or other unforeseen events in the areas or regions of these facilities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and comparable sales may fluctuate due to seasonality and other factors outside of our control.</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quarterly results of operations and comparable sales have historically fluctuated, and may continue to fluctuate, as a result of factors outside our control, including:</w:t>
      </w:r>
    </w:p>
    <w:p>
      <w:pPr>
        <w:spacing w:after="0" w:line="8"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unseasonal or extreme weather conditions, natural or man-made disasters or public health emergencies (such as snow storms, hurricanes, tornadoes, floods, pandemics, and civil disturbances);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catastrophic or tragic events (such as tragedies involving firearms);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demand for the products that we offer in our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new product introduction;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lockouts or strikes involving professional sports teams;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retirement of sports superstars used in marketing various products;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sports scandals, including those involving leagues, associations, teams or athletes with ties to us or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the closure of existing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or failure of college and professional sports teams in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existing or entry of new competitors into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consolidation of competitors in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shift in consumer tastes and fashion trends;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calendar shifts or holiday or seasonal periods;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income tax refunds to customers;</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politics or consumer advocacy affecting our business, including sentiment relating to the sale of firearms and ammunition;</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cancellations of tax-free holidays in certain states;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promotions or other actions taken by us or our existing or possible new competitors; and</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other tenants or landlords or surrounding geographic circumstances in the shopping centers in which we are located.</w:t>
      </w:r>
    </w:p>
    <w:p>
      <w:pPr>
        <w:spacing w:after="0" w:line="1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Unforeseen events, including public health emergencies, such as pandemics, natural disasters, such as earthquakes, hurricanes, tornadoes, freezes, snow or ice storms, floods and heavy rains, heatwaves,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Global climate change may result in significant natural disasters occurring more frequently or with greater intensity, such as drought, wildfires, storms, sea-level rise, and flooding. Socio-political factors, such as foreign wars, civil unrest or other economic or political uncertainties that contribute to consumer unease or harm to our supply chain or store base, may also result in decreased discretionary spending, property damage and/or business interruption losses. For example, we may face losses related to the civil unrest in the United States, such as the that which occurred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and any precautions that we may take may not be adequate to mitigate the impact of such events.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success of our business depends significantly on our ability to hire and retain quality team members, including store managers,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public health emergencies, such as the COVID-19 pandemic. We have experienced, and expect to continue to experience, a shortage of labor for certain functions, which has increased our labor costs and negatively impacted our profitability. The extent and duration of the effect of these labor market challenges are subject to numerous factors, including the continuing effect of the COVID-19 pandemic, availability of qualified persons in the markets where we and our contracted service providers operate and unemployment levels within these markets, behavioral changes, prevailing wage rates and other benefits, inflation, adoption of new or revised employment and labor laws and regulations (including increased minimum wage requirements) or government programs, safety levels of our operations, and our reputation within the labor market.</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jc w:val="both"/>
        <w:ind w:firstLine="324"/>
        <w:spacing w:after="0" w:line="290" w:lineRule="auto"/>
        <w:rPr>
          <w:sz w:val="20"/>
          <w:szCs w:val="20"/>
          <w:color w:val="auto"/>
        </w:rPr>
      </w:pPr>
      <w:r>
        <w:rPr>
          <w:rFonts w:ascii="Arial" w:cs="Arial" w:eastAsia="Arial" w:hAnsi="Arial"/>
          <w:sz w:val="16"/>
          <w:szCs w:val="16"/>
          <w:color w:val="auto"/>
        </w:rPr>
        <w:t>Recent or potential future legislative initiatives may seek to increase the federal minimum wage in the United States, as well as the minimum wage in a number of individual states or markets.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indicated that it intends to propose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1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in order to support our existing business and future initiatives and may not be able to retain or replace these team members, recruit additional qualified personnel or effectively manage succession.</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intense, and we cannot be sure we will be able to find suitable successors promptly, or at all, or to successfully integrate any successors, or that we will be able to attract, retain, and develop a sufficient number of qualified individuals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stores are located primarily in the southern United States which could subject us to regional risks.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jc w:val="both"/>
        <w:ind w:firstLine="324"/>
        <w:spacing w:after="0" w:line="253" w:lineRule="auto"/>
        <w:rPr>
          <w:sz w:val="20"/>
          <w:szCs w:val="20"/>
          <w:color w:val="auto"/>
        </w:rPr>
      </w:pPr>
      <w:r>
        <w:rPr>
          <w:rFonts w:ascii="Arial" w:cs="Arial" w:eastAsia="Arial" w:hAnsi="Arial"/>
          <w:sz w:val="18"/>
          <w:szCs w:val="18"/>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Additionally, during fiscal 2022, we observed increased competition across the industry for resources throughout the supply chain, which resulted in disruptions to the flow of products from our vendors, labor shortages, reduced shipping container availability, and longer delays at the port. These factors negatively impacted transportation costs, and required us to pay higher rates to maintain our inventory levels, and we expect such supply chain challenges to continue at least in the near term. In addition, changes in regulations may result in higher fuel costs through taxation, transportation restrictions or other means. Fluctuations in transportation costs and availability could adversely affect our results of operations.</w:t>
      </w:r>
    </w:p>
    <w:p>
      <w:pPr>
        <w:spacing w:after="0" w:line="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Labor shortages in the transportation industry have and are expected to continue to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Difficulties in moving products manufactured overseas and through the ports of North America, whether due to port congestion, government shutdowns, labor disputes, product regulations and/or inspections or other factors, including man-made or natural disasters and public health emergencies, could negatively affect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and advertising programs.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We may pursue strategic acquisitions, which could have an adverse impact on our business, as could assimilation of companies following acquisition.</w:t>
      </w:r>
    </w:p>
    <w:p>
      <w:pPr>
        <w:spacing w:after="0" w:line="1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costs and risks associated with laws and regulations affecting our business, including those relating to the sale, manufacture and import of consumer products and other matters, and the substance or enforcement of such laws may change or become more stringent.</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(DOJ), Department of Treasury, Federal Trade Commission, Customs and Border Protection, Bureau of Alcohol, Tobacco, Firearms and Explosives (ATF), SEC, Internal Revenue Service, or IRS, and Environmental Protection Agency and comparable state and local agencies.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8"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website design and content regulations;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federally licensed firearms dealer and we sell firearms, ammunition, and related accessories. Firearms represented approximately 6% of our net sales in 2022.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DOJ announced a new policy to underscore zero tolerance for willful violations of the law by federally licensed firearms dealers that put public safety at risk. In the future, there may be increased federal, state or local regulation or enforcement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jc w:val="both"/>
        <w:ind w:firstLine="324"/>
        <w:spacing w:after="0" w:line="259" w:lineRule="auto"/>
        <w:rPr>
          <w:sz w:val="20"/>
          <w:szCs w:val="20"/>
          <w:color w:val="auto"/>
        </w:rPr>
      </w:pPr>
      <w:r>
        <w:rPr>
          <w:rFonts w:ascii="Arial" w:cs="Arial" w:eastAsia="Arial" w:hAnsi="Arial"/>
          <w:sz w:val="18"/>
          <w:szCs w:val="18"/>
          <w:color w:val="auto"/>
        </w:rPr>
        <w:t>Another significant risk relating to our operations is compliance with the FCPA, the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1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climate change and other sustainability-related matters, or legal, regulatory or market expectations and responses.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Climate change resulting from increased concentrations of carbon dioxide and other greenhouse gases in the atmosphere, including increases in global temperatures, changes in weather patterns and increasingly frequent and/or prolonged extreme weather and climate related events, could present risks to our</w:t>
      </w:r>
    </w:p>
    <w:p>
      <w:pPr>
        <w:jc w:val="both"/>
        <w:spacing w:after="0" w:line="299" w:lineRule="auto"/>
        <w:rPr>
          <w:sz w:val="20"/>
          <w:szCs w:val="20"/>
          <w:color w:val="auto"/>
        </w:rPr>
      </w:pPr>
      <w:r>
        <w:rPr>
          <w:rFonts w:ascii="Arial" w:cs="Arial" w:eastAsia="Arial" w:hAnsi="Arial"/>
          <w:sz w:val="16"/>
          <w:szCs w:val="16"/>
          <w:color w:val="auto"/>
        </w:rPr>
        <w:t>operations. For additional information, see also our risk factor related to the impact of severe weather under “Risks Related to Our Business and Industry” above. Climate change could exacerbate challenges relating to the availability and quality of water and raw materials, including those used in the production of the private label and other merchandise that we sell, and may result in changes in regulations or consumer preferences that could have a</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material adverse effect on our business, results of operations and financial condition. There has been an increased focus by governmental and non-governmental organizations, customers, team members and other stakeholders on products that are sustainably made and other sustainability matters, including responsible sourcing, the use of plastic, conservation, energy and water, the recyclability of packaging and materials transparency, all of which</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may require us to incur increased costs for additional transparency, due diligence, and reporting. Additionally, recent proposed regulatory changes related to climate change and reporting, could increase the complexity of, and compliance costs associated with, such regulations that could have a material adverse effect on our business, results of operations and financial condition.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6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7"/>
          <w:szCs w:val="17"/>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1" w:lineRule="exact"/>
        <w:rPr>
          <w:sz w:val="20"/>
          <w:szCs w:val="20"/>
          <w:color w:val="auto"/>
        </w:rPr>
      </w:pPr>
    </w:p>
    <w:p>
      <w:pPr>
        <w:jc w:val="both"/>
        <w:ind w:left="1300" w:hanging="320"/>
        <w:spacing w:after="0" w:line="259"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24"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purchase, manufacture, import, distribution and sale of our private label brand products;</w:t>
      </w:r>
    </w:p>
    <w:p>
      <w:pPr>
        <w:spacing w:after="0" w:line="63"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21"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municipalities or other organizations attempting to recover costs from firearm manufacturers and retailers, relating to the use of firearms and ammunition;</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operations of a fleet of trucks for distribution purposes, including transportation of hazardous materials by such fleet;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procurement and ownership, leasing or operation of property for retail stores, distribution centers and other corporate needs;</w:t>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1" w:name="page32"/>
    <w:bookmarkEnd w:id="31"/>
    <w:p>
      <w:pPr>
        <w:ind w:left="130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alleged infringement upon intellectual property rights to merchandise we sell or technology or services we use, including information technology, marketing and advertising services;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sourcing, including international, customs and trade issues;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 issues, including construction, leasing, zoning and environmental issues;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disputes, including contractual and business disputes with vendors, landlords, or competitors;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tort, personal injury and property damage claims related to our stores, e-commerce, distribution centers or corporate headquarters; and</w:t>
      </w:r>
    </w:p>
    <w:p>
      <w:pPr>
        <w:spacing w:after="0" w:line="86" w:lineRule="exact"/>
        <w:rPr>
          <w:rFonts w:ascii="Arial" w:cs="Arial" w:eastAsia="Arial" w:hAnsi="Arial"/>
          <w:sz w:val="16"/>
          <w:szCs w:val="16"/>
          <w:color w:val="auto"/>
        </w:rPr>
      </w:pPr>
    </w:p>
    <w:p>
      <w:pPr>
        <w:jc w:val="both"/>
        <w:ind w:left="1300" w:hanging="320"/>
        <w:spacing w:after="0" w:line="311"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spacing w:after="0" w:line="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7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 from our vendors sufficient to offset liability losses or, in the case of our private label brand products, where almost all of the manufacturing occurs outside the United States, that we will be able to collect anything at all.</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jc w:val="both"/>
        <w:ind w:right="20" w:firstLine="324"/>
        <w:spacing w:after="0" w:line="277" w:lineRule="auto"/>
        <w:rPr>
          <w:sz w:val="20"/>
          <w:szCs w:val="20"/>
          <w:color w:val="auto"/>
        </w:rPr>
      </w:pPr>
      <w:r>
        <w:rPr>
          <w:rFonts w:ascii="Arial" w:cs="Arial" w:eastAsia="Arial" w:hAnsi="Arial"/>
          <w:sz w:val="18"/>
          <w:szCs w:val="18"/>
          <w:color w:val="auto"/>
        </w:rPr>
        <w:t>With all claims and lawsuits, however, there is a risk that liabilities, fines and losses may not be covered by insurance or indemnity or may exceed insurance or indemnity coverage.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and operating results could be adversely affected by product safety concerns.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products that we offer, including from both national brands and our private label brands, do not meet applicable safety standards or our customers’ expectations regarding safety, we could experience decreased sales, increased costs, and/or be exposed to legal and might give rise to reputational risk. All of our vendors must comply with applicable product safety laws, and it is our expectation that our vendors will stand behind their products to ensure that the products we buy comply with all federal, state, and local requirements for sale, including product safety, labeling, and testing requirements. Negative customer perceptions and publicity regarding the safety and sourcing of the products we sell, and events that give rise to actual, potential, or perceived product safety concerns could expose us to government enforcement action and/or private litigation. Furthermore, reputational damage caused by real or perceived product safety concerns could have a negative impact on our sales and operating results.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our trademarks, service marks, copyrights, patents, processes, trade secrets, domain names and other intellectual property, including our Academy Sports + Outdoors brand, our private label brands, such as Academy Sports + Outdoors, Magellan Outdoors, BCG, O'rageous, Game Winner, Outdoor Gourmet and Freely, and our goodwill, designs, names, slogans, images and trade dress associated with these brands, are valuable assets,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level of indebtedness requires that we dedicate a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28, 2023, we had approximately $194.8 million outstanding under the Term Loan and $400.0 million outstanding under the Notes, all of which is secured. As of January 28, 2023, we had no borrowings outstanding under the ABL Facility (as defined in Note 4 of the accompanying financial statements), an available borrowing capacity under the ABL Facility of approximately $947.8 million (which is subject to customary borrowing conditions, including a borrowing base), and outstanding letters of credit of $13.9 million, all of which were issued under the ABL Facility.</w:t>
      </w:r>
    </w:p>
    <w:p>
      <w:pPr>
        <w:spacing w:after="0" w:line="6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overall level of indebtedness requires that we dedicate a portion of our cash flows to debt service payments. The Term Loan (as defined in Note 4 of the accompanying financial statements) requires quarterly principal payments through September 30, 2027, and monthly cash interest payments through maturity. The ABL Facility, under which we had no borrowings as of January 28, 2023, matures on November 6, 2025. The Notes (as defined in Note 4 of the accompanying financial statements) require semi-annual payments of interest (in arrears) and matures on November 15, 2027.</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indebtedness reduces the funds that would otherwise be available for operations, future business opportunities and payments of our debt obligations and limits our ability to:</w:t>
      </w:r>
    </w:p>
    <w:p>
      <w:pPr>
        <w:spacing w:after="0" w:line="62"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additional financing, if necessary, for working capital and operations, or such financing may not be available on favorable terms;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3" w:name="page34"/>
    <w:bookmarkEnd w:id="33"/>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Despite our level of indebtedness, we may still be able to incur substantially more debt, which could further increase the risks to our financial condition described above.</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Despite our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January 28, 2023, we had no borrowings outstanding under the ABL Facility, and an available borrowing capacity under the ABL Facility of approximately $947.8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22"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or our future debt linked to such a “benchmark” and our ability to service debt that bears interest at floating rates of interest.</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new store profitability is partially attributable to our ability to negotiate attractive rental rates with our landlords and to secure sale-leaseback financing at attractive cap rates. Our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successful retail strategy is partially attributable to our ability to negotiate favorable trade terms with our vendors. Our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level of indebtedness could adversely affect the profitability of our business, which could make it more difficult for us to generate cash flow sufficient to satisfy our obligations under our indebtedness.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8" w:lineRule="exact"/>
        <w:rPr>
          <w:sz w:val="20"/>
          <w:szCs w:val="20"/>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fiscal policy or interest rate regulation;</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6" w:name="page37"/>
    <w:bookmarkEnd w:id="36"/>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74" w:lineRule="exact"/>
        <w:rPr>
          <w:rFonts w:ascii="Arial" w:cs="Arial" w:eastAsia="Arial" w:hAnsi="Arial"/>
          <w:sz w:val="17"/>
          <w:szCs w:val="17"/>
          <w:color w:val="auto"/>
        </w:rPr>
      </w:pPr>
    </w:p>
    <w:p>
      <w:pPr>
        <w:ind w:left="114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63" w:lineRule="exact"/>
        <w:rPr>
          <w:rFonts w:ascii="Arial" w:cs="Arial" w:eastAsia="Arial" w:hAnsi="Arial"/>
          <w:sz w:val="18"/>
          <w:szCs w:val="18"/>
          <w:color w:val="auto"/>
        </w:rPr>
      </w:pPr>
    </w:p>
    <w:p>
      <w:pPr>
        <w:jc w:val="both"/>
        <w:ind w:left="1140" w:hanging="322"/>
        <w:spacing w:after="0" w:line="263"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acts of terrorism, civil unrest, wars (including the invasion of Ukraine by Russia and its regional and global ramifications) or responses to these events.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cannot provide any guaranty of future dividend payments or that we will repurchase our common stock pursuant to our share repurchase program, and our indebtedness could limit our ability to pay future dividends on our common stock.</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declared and paid our first quarterly cash dividend for the fourth quarter for fiscal 2021 and have paid a quarterly cash dividend consistently thereafter. Any determination to pay future dividends to holders of our common stock will be at the discretion of our board of directors and will depend upon many factors, including our financial condition, results of operations, projections, liquidity, earnings, legal requirements, covenant compliance, restrictions in our existing and any future debt agreements and other factors that our board of directors deems relevant. Therefore, there can be no assurance that we will pay any dividends to holders of our common stock or as to the amount of any such dividends. In addition, our historical results of operations, including cash flow, are not indicative of future financial performance, and our actual results of operations could differ significantly from our historical results of operations. We have not adopted, and do not currently expect to adopt, a separate written dividend policy. Furthermore, although our board of directors has authorized a share repurchase program,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operations are conducted through our wholly owned subsidiaries and our ability to generate cash to meet our debt service obligations or to make future dividend payments or conduct share repurchases, if any, is highly dependent on the earnings of, and the receipt of funds from, our subsidiaries via dividends or intercompany loans. In addition, Delaware law may impose requirements that may restrict our ability to pay dividends to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provide for, among other things:</w:t>
      </w:r>
    </w:p>
    <w:p>
      <w:pPr>
        <w:spacing w:after="0" w:line="63" w:lineRule="exact"/>
        <w:rPr>
          <w:sz w:val="20"/>
          <w:szCs w:val="20"/>
          <w:color w:val="auto"/>
        </w:rPr>
      </w:pPr>
    </w:p>
    <w:p>
      <w:pPr>
        <w:ind w:left="114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 2/3% of the shares of common stock entitled to vote generally in the election of directors; and</w:t>
      </w:r>
    </w:p>
    <w:p>
      <w:pPr>
        <w:spacing w:after="0" w:line="8"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shares of common stock entitled to vote generally in the election of directors.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diluted by the future issuance of additional common stock in connection with our incentive plans, acquisitions or otherwise.</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approximately 223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New Academy Holding Company, LLC 2011 Unit Incentive Plan (the "2011 Equity Plan"), our 2020 Omnibus Incentive Plan (the "2020 Equity Plan"), and our 2020 Employee Stock Purchase Plan (the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280" w:firstLine="324"/>
        <w:spacing w:after="0" w:line="271" w:lineRule="auto"/>
        <w:rPr>
          <w:sz w:val="20"/>
          <w:szCs w:val="20"/>
          <w:color w:val="auto"/>
        </w:rPr>
      </w:pPr>
      <w:r>
        <w:rPr>
          <w:rFonts w:ascii="Arial" w:cs="Arial" w:eastAsia="Arial" w:hAnsi="Arial"/>
          <w:sz w:val="18"/>
          <w:szCs w:val="18"/>
          <w:color w:val="auto"/>
        </w:rPr>
        <w:t>We are headquartered at 1800 North Mason Road, Katy, Texas, 77449. The following table sets forth the location, use and size of our corporate and distribution center facilities as of January 28, 2023:</w:t>
      </w: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10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rPr>
              <w:t>Approximate Square</w:t>
            </w:r>
          </w:p>
        </w:tc>
        <w:tc>
          <w:tcPr>
            <w:tcW w:w="340" w:type="dxa"/>
            <w:vAlign w:val="bottom"/>
          </w:tcPr>
          <w:p>
            <w:pPr>
              <w:spacing w:after="0"/>
              <w:rPr>
                <w:sz w:val="15"/>
                <w:szCs w:val="15"/>
                <w:color w:val="auto"/>
              </w:rPr>
            </w:pPr>
          </w:p>
        </w:tc>
      </w:tr>
      <w:tr>
        <w:trPr>
          <w:trHeight w:val="24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444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Use</w:t>
            </w:r>
          </w:p>
        </w:tc>
        <w:tc>
          <w:tcPr>
            <w:tcW w:w="3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Footage</w:t>
            </w:r>
          </w:p>
        </w:tc>
        <w:tc>
          <w:tcPr>
            <w:tcW w:w="340" w:type="dxa"/>
            <w:vAlign w:val="bottom"/>
            <w:tcBorders>
              <w:bottom w:val="single" w:sz="8" w:color="CCEEFF"/>
            </w:tcBorders>
          </w:tcPr>
          <w:p>
            <w:pPr>
              <w:spacing w:after="0"/>
              <w:rPr>
                <w:sz w:val="21"/>
                <w:szCs w:val="2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Katy, Texas</w:t>
            </w:r>
          </w:p>
        </w:tc>
        <w:tc>
          <w:tcPr>
            <w:tcW w:w="4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Corporate Office Building 1</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4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(1)</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Katy, Texas</w:t>
            </w:r>
          </w:p>
        </w:tc>
        <w:tc>
          <w:tcPr>
            <w:tcW w:w="4440" w:type="dxa"/>
            <w:vAlign w:val="bottom"/>
          </w:tcPr>
          <w:p>
            <w:pPr>
              <w:ind w:left="1120"/>
              <w:spacing w:after="0"/>
              <w:rPr>
                <w:sz w:val="20"/>
                <w:szCs w:val="20"/>
                <w:color w:val="auto"/>
              </w:rPr>
            </w:pPr>
            <w:r>
              <w:rPr>
                <w:rFonts w:ascii="Arial" w:cs="Arial" w:eastAsia="Arial" w:hAnsi="Arial"/>
                <w:sz w:val="18"/>
                <w:szCs w:val="18"/>
                <w:color w:val="auto"/>
              </w:rPr>
              <w:t>Corporate Office Building 2</w:t>
            </w:r>
          </w:p>
        </w:tc>
        <w:tc>
          <w:tcPr>
            <w:tcW w:w="3100" w:type="dxa"/>
            <w:vAlign w:val="bottom"/>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(2)</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Katy, Texas</w:t>
            </w:r>
          </w:p>
        </w:tc>
        <w:tc>
          <w:tcPr>
            <w:tcW w:w="4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Bulk Warehouse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Katy, Texas</w:t>
            </w:r>
          </w:p>
        </w:tc>
        <w:tc>
          <w:tcPr>
            <w:tcW w:w="4440" w:type="dxa"/>
            <w:vAlign w:val="bottom"/>
          </w:tcPr>
          <w:p>
            <w:pPr>
              <w:ind w:left="1120"/>
              <w:spacing w:after="0"/>
              <w:rPr>
                <w:sz w:val="20"/>
                <w:szCs w:val="20"/>
                <w:color w:val="auto"/>
              </w:rPr>
            </w:pPr>
            <w:r>
              <w:rPr>
                <w:rFonts w:ascii="Arial" w:cs="Arial" w:eastAsia="Arial" w:hAnsi="Arial"/>
                <w:sz w:val="18"/>
                <w:szCs w:val="18"/>
                <w:color w:val="auto"/>
              </w:rPr>
              <w:t>Distribution Center</w:t>
            </w:r>
          </w:p>
        </w:tc>
        <w:tc>
          <w:tcPr>
            <w:tcW w:w="3100" w:type="dxa"/>
            <w:vAlign w:val="bottom"/>
          </w:tcPr>
          <w:p>
            <w:pPr>
              <w:jc w:val="right"/>
              <w:spacing w:after="0"/>
              <w:rPr>
                <w:sz w:val="20"/>
                <w:szCs w:val="20"/>
                <w:color w:val="auto"/>
              </w:rPr>
            </w:pPr>
            <w:r>
              <w:rPr>
                <w:rFonts w:ascii="Arial" w:cs="Arial" w:eastAsia="Arial" w:hAnsi="Arial"/>
                <w:sz w:val="18"/>
                <w:szCs w:val="18"/>
                <w:color w:val="auto"/>
              </w:rPr>
              <w:t>1,400,000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Twiggs County, Georgia</w:t>
            </w:r>
          </w:p>
        </w:tc>
        <w:tc>
          <w:tcPr>
            <w:tcW w:w="4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Distribution Center</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Cookeville, Tennessee</w:t>
            </w:r>
          </w:p>
        </w:tc>
        <w:tc>
          <w:tcPr>
            <w:tcW w:w="4440" w:type="dxa"/>
            <w:vAlign w:val="bottom"/>
          </w:tcPr>
          <w:p>
            <w:pPr>
              <w:ind w:left="1120"/>
              <w:spacing w:after="0"/>
              <w:rPr>
                <w:sz w:val="20"/>
                <w:szCs w:val="20"/>
                <w:color w:val="auto"/>
              </w:rPr>
            </w:pPr>
            <w:r>
              <w:rPr>
                <w:rFonts w:ascii="Arial" w:cs="Arial" w:eastAsia="Arial" w:hAnsi="Arial"/>
                <w:sz w:val="18"/>
                <w:szCs w:val="18"/>
                <w:color w:val="auto"/>
              </w:rPr>
              <w:t>Distribution Center</w:t>
            </w:r>
          </w:p>
        </w:tc>
        <w:tc>
          <w:tcPr>
            <w:tcW w:w="3100" w:type="dxa"/>
            <w:vAlign w:val="bottom"/>
          </w:tcPr>
          <w:p>
            <w:pPr>
              <w:jc w:val="right"/>
              <w:spacing w:after="0"/>
              <w:rPr>
                <w:sz w:val="20"/>
                <w:szCs w:val="20"/>
                <w:color w:val="auto"/>
              </w:rPr>
            </w:pPr>
            <w:r>
              <w:rPr>
                <w:rFonts w:ascii="Arial" w:cs="Arial" w:eastAsia="Arial" w:hAnsi="Arial"/>
                <w:sz w:val="18"/>
                <w:szCs w:val="18"/>
                <w:color w:val="auto"/>
              </w:rPr>
              <w:t>1,600,000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(6)</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Kowloon, Hong Kong</w:t>
            </w:r>
          </w:p>
        </w:tc>
        <w:tc>
          <w:tcPr>
            <w:tcW w:w="4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Global Sourcing Office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w:t>
            </w:r>
          </w:p>
        </w:tc>
      </w:tr>
    </w:tbl>
    <w:p>
      <w:pPr>
        <w:spacing w:after="0" w:line="69"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2007.</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2015.</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15 year lease entered in 2012.</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2007. Five year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2012. Five year lease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2016. Three year lease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Three year lease entered in 2022.</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all of our stores. Our initial store lease terms are typically 15 to 20 years with various renewal options and lease escalation structures. We believe that all of our leases are entered into at then-prevailing market lease rates. As of January 28, 2023, our total leased store square footage was approximately 18.8 million square feet.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pacing w:after="0" w:line="2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Included in the matters discussed above were nine lawsuits filed against us between December 2017 and November 2019 in Texas state judicial courts located in Bexar County, Texas, by 79 plaintiffs on behalf of certain victims of a November 2017 shooting in Sutherland Springs, Texas. These cases, which presented substantially similar issues of law and fact, related to the April 2016 sale by one of our stores of a firearm and magazine that were alleged to have been used in the Sutherland Springs incident. The plaintiffs sought monetary relief ranging from $1 million to over $150 million and, in some cases, injunctive relief to prohibit us from selling certain firearms in Texas to residents of states where such a sale would violate their home state’s applicable firearm laws. The Supreme Court of Texas heard oral arguments relating to our motions for summary judgment to dismiss certain of the cases in October 2020 (the “Texas Supreme Court Cases”), with the remainder of these cases stayed pending the Supreme Court of Texas’ decision. On June 25, 2021, the Supreme Court of Texas issued an opinion directing the trial court to grant our motion for summary judgment and held that the Texas Supreme Court Cases are statutorily barred and we are protected from continued participation in the Texas Supreme Court cases. Given the Supreme Court of Texas’s opinion, all of the plaintiffs filed motions to voluntarily dismiss their lawsuits on April 11, 2022 and the court granted those motions and dismissed all of the plaintiffs' claims with prejudice on April 13, 2022.</w:t>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980"/>
        <w:spacing w:after="0" w:line="534"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Academy's common stock began trading on the Nasdaq Stock Market LLC, or Nasdaq, under the symbol "ASO" on October 2, 2020. Prior to that date, there was no public market for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commencing October 2, 2020 (the Company’s initial day of trading) through January 27, 2023. All values assume a $100 initial investment at the opening price of the Company’s common stock on the Nasdaq and data for the Nasdaq US Benchmark Retail Index and the Russell 3000 Index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829300" cy="3248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93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Issuer Purchases of Equity Securities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0" w:type="dxa"/>
            <w:vAlign w:val="bottom"/>
            <w:gridSpan w:val="9"/>
          </w:tcPr>
          <w:p>
            <w:pPr>
              <w:ind w:left="260"/>
              <w:spacing w:after="0"/>
              <w:rPr>
                <w:sz w:val="20"/>
                <w:szCs w:val="20"/>
                <w:color w:val="auto"/>
              </w:rPr>
            </w:pPr>
            <w:r>
              <w:rPr>
                <w:rFonts w:ascii="Arial" w:cs="Arial" w:eastAsia="Arial" w:hAnsi="Arial"/>
                <w:sz w:val="18"/>
                <w:szCs w:val="18"/>
                <w:color w:val="auto"/>
                <w:w w:val="96"/>
              </w:rPr>
              <w:t>The following table summarizes the repurchases and cancellations of our common stock during the fourth quarter of 2022:</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7"/>
                <w:szCs w:val="17"/>
                <w:color w:val="auto"/>
              </w:rPr>
            </w:pPr>
          </w:p>
        </w:tc>
        <w:tc>
          <w:tcPr>
            <w:tcW w:w="14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7"/>
              </w:rPr>
              <w:t>Share Purchased as</w:t>
            </w:r>
          </w:p>
        </w:tc>
        <w:tc>
          <w:tcPr>
            <w:tcW w:w="1640" w:type="dxa"/>
            <w:vAlign w:val="bottom"/>
            <w:gridSpan w:val="2"/>
          </w:tcPr>
          <w:p>
            <w:pPr>
              <w:ind w:left="40"/>
              <w:spacing w:after="0" w:line="184" w:lineRule="exact"/>
              <w:rPr>
                <w:sz w:val="20"/>
                <w:szCs w:val="20"/>
                <w:color w:val="auto"/>
              </w:rPr>
            </w:pPr>
            <w:r>
              <w:rPr>
                <w:rFonts w:ascii="Arial" w:cs="Arial" w:eastAsia="Arial" w:hAnsi="Arial"/>
                <w:sz w:val="18"/>
                <w:szCs w:val="18"/>
                <w:b w:val="1"/>
                <w:bCs w:val="1"/>
                <w:color w:val="auto"/>
                <w:w w:val="92"/>
              </w:rPr>
              <w:t>Shares that May Yet</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Total Number of</w:t>
            </w: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Average Price Paid</w:t>
            </w:r>
          </w:p>
        </w:tc>
        <w:tc>
          <w:tcPr>
            <w:tcW w:w="170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Part of Publicly</w:t>
            </w:r>
          </w:p>
        </w:tc>
        <w:tc>
          <w:tcPr>
            <w:tcW w:w="164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90"/>
              </w:rPr>
              <w:t>be Purchased Under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Shares Purchased</w:t>
            </w:r>
          </w:p>
        </w:tc>
        <w:tc>
          <w:tcPr>
            <w:tcW w:w="1720" w:type="dxa"/>
            <w:vAlign w:val="bottom"/>
            <w:gridSpan w:val="3"/>
            <w:vMerge w:val="continue"/>
          </w:tcPr>
          <w:p>
            <w:pPr>
              <w:spacing w:after="0"/>
              <w:rPr>
                <w:sz w:val="15"/>
                <w:szCs w:val="15"/>
                <w:color w:val="auto"/>
              </w:rPr>
            </w:pPr>
          </w:p>
        </w:tc>
        <w:tc>
          <w:tcPr>
            <w:tcW w:w="17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94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w:t>
            </w:r>
          </w:p>
        </w:tc>
        <w:tc>
          <w:tcPr>
            <w:tcW w:w="260" w:type="dxa"/>
            <w:vAlign w:val="bottom"/>
          </w:tcPr>
          <w:p>
            <w:pPr>
              <w:spacing w:after="0"/>
              <w:rPr>
                <w:sz w:val="21"/>
                <w:szCs w:val="21"/>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Programs (b)</w:t>
            </w:r>
          </w:p>
        </w:tc>
        <w:tc>
          <w:tcPr>
            <w:tcW w:w="180" w:type="dxa"/>
            <w:vAlign w:val="bottom"/>
          </w:tcPr>
          <w:p>
            <w:pPr>
              <w:spacing w:after="0"/>
              <w:rPr>
                <w:sz w:val="21"/>
                <w:szCs w:val="21"/>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Programs (b)</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30, 2022 to November 26, 2022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399,411,562</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November 27, 2022 to December 31, 2022</w:t>
            </w:r>
          </w:p>
        </w:tc>
        <w:tc>
          <w:tcPr>
            <w:tcW w:w="1620" w:type="dxa"/>
            <w:vAlign w:val="bottom"/>
          </w:tcPr>
          <w:p>
            <w:pPr>
              <w:jc w:val="right"/>
              <w:spacing w:after="0"/>
              <w:rPr>
                <w:sz w:val="20"/>
                <w:szCs w:val="20"/>
                <w:color w:val="auto"/>
              </w:rPr>
            </w:pPr>
            <w:r>
              <w:rPr>
                <w:rFonts w:ascii="Arial" w:cs="Arial" w:eastAsia="Arial" w:hAnsi="Arial"/>
                <w:sz w:val="18"/>
                <w:szCs w:val="18"/>
                <w:color w:val="auto"/>
              </w:rPr>
              <w:t>1,125,350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1,125,350</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340,489,446</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2023 to January 28,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778,582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299,411,563</w:t>
            </w:r>
          </w:p>
        </w:tc>
        <w:tc>
          <w:tcPr>
            <w:tcW w:w="0" w:type="dxa"/>
            <w:vAlign w:val="bottom"/>
          </w:tcPr>
          <w:p>
            <w:pPr>
              <w:spacing w:after="0"/>
              <w:rPr>
                <w:sz w:val="1"/>
                <w:szCs w:val="1"/>
                <w:color w:val="auto"/>
              </w:rPr>
            </w:pPr>
          </w:p>
        </w:tc>
      </w:tr>
      <w:tr>
        <w:trPr>
          <w:trHeight w:val="223"/>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1,903,932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1,903,932</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299,411,563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line="258" w:lineRule="auto"/>
        <w:tabs>
          <w:tab w:leader="none" w:pos="2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number of shares purchased excludes shares which were net-settled, and therefore not issued, to cover employee tax withholding related to the vesting of certain restricted stock awards.</w:t>
      </w:r>
    </w:p>
    <w:p>
      <w:pPr>
        <w:spacing w:after="0" w:line="1" w:lineRule="exact"/>
        <w:rPr>
          <w:rFonts w:ascii="Arial" w:cs="Arial" w:eastAsia="Arial" w:hAnsi="Arial"/>
          <w:sz w:val="18"/>
          <w:szCs w:val="18"/>
          <w:color w:val="auto"/>
        </w:rPr>
      </w:pPr>
    </w:p>
    <w:p>
      <w:pPr>
        <w:jc w:val="both"/>
        <w:ind w:left="260" w:hanging="252"/>
        <w:spacing w:after="0" w:line="271" w:lineRule="auto"/>
        <w:tabs>
          <w:tab w:leader="none" w:pos="279"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June 2, 2022, the Board of Directors of the Company authorized a share repurchase program (the "2022 Share Repurchase Program") under which the Company may purchase up to $600 million of its outstanding shares during the three-year period ending June 2, 2025. As of January 28, 2023, approximately $299.4 million remained available for share repurchases pursuant the 2022 Share Repurchase Program (see Note 2 to the accompanying financial statements). The 2022 Share Repurchase Program does not obligate the Company to acquire any particular number of common shares, and the program may be suspended, extended, modified or discontinued at any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9, 2023, there were 18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2, 2023, the Company issued a press release announcing that the Board of Directors (the “Board”) declared a quarterly cash dividend with respect to the quarter ended January 28, 2023 of $0.09 per share of common stock, payable on April 13, 2023, to stockholders of record as of the close of business on March 23, 2023. The Company intends to announce quarterly cash dividends, the declaration, timing, amount, and payment of which will be subject to the discretion and approval of the Board, taking into account such considerations as the Board may deem relevant at the time, including, among others, the Company’s results, financial condition and capital allocation plans.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included elsewhere in this Annual Report for the fiscal year ended January 28, 2023 (this "Annual Report").</w:t>
      </w:r>
    </w:p>
    <w:p>
      <w:pPr>
        <w:spacing w:after="0" w:line="38"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18"/>
          <w:szCs w:val="18"/>
          <w:i w:val="1"/>
          <w:iCs w:val="1"/>
          <w:color w:val="auto"/>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80" w:lineRule="exact"/>
        <w:rPr>
          <w:sz w:val="20"/>
          <w:szCs w:val="20"/>
          <w:color w:val="auto"/>
        </w:rPr>
      </w:pPr>
    </w:p>
    <w:p>
      <w:pPr>
        <w:jc w:val="both"/>
        <w:ind w:right="20" w:firstLine="292"/>
        <w:spacing w:after="0" w:line="308" w:lineRule="auto"/>
        <w:rPr>
          <w:sz w:val="20"/>
          <w:szCs w:val="20"/>
          <w:color w:val="auto"/>
        </w:rPr>
      </w:pPr>
      <w:r>
        <w:rPr>
          <w:rFonts w:ascii="Arial" w:cs="Arial" w:eastAsia="Arial" w:hAnsi="Arial"/>
          <w:sz w:val="17"/>
          <w:szCs w:val="17"/>
          <w:i w:val="1"/>
          <w:iCs w:val="1"/>
          <w:color w:val="auto"/>
        </w:rPr>
        <w:t>Any reference in this Annual Report to "year" or any year in particular refers to our fiscal year, which represents the fifty-two or fifty-three week period ending on the Saturday closest to January 31. Unless otherwise specified, all comparisons or changes regarding 2022 are made to 2021.</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references in this discussion and analysis to "2022", "2021" and "2020" or like terms relate to our fiscal years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Fiscal</w:t>
            </w:r>
          </w:p>
        </w:tc>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3"/>
        </w:trPr>
        <w:tc>
          <w:tcPr>
            <w:tcW w:w="1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Year</w:t>
            </w:r>
          </w:p>
        </w:tc>
        <w:tc>
          <w:tcPr>
            <w:tcW w:w="7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Ended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Weeks</w:t>
            </w:r>
          </w:p>
        </w:tc>
      </w:tr>
      <w:tr>
        <w:trPr>
          <w:trHeight w:val="223"/>
        </w:trPr>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Borders>
              <w:top w:val="single" w:sz="8" w:color="CCEEFF"/>
            </w:tcBorders>
            <w:shd w:val="clear" w:color="auto" w:fill="CCEEFF"/>
          </w:tcPr>
          <w:p>
            <w:pPr>
              <w:spacing w:after="0"/>
              <w:rPr>
                <w:sz w:val="19"/>
                <w:szCs w:val="19"/>
                <w:color w:val="auto"/>
              </w:rPr>
            </w:pPr>
          </w:p>
        </w:tc>
        <w:tc>
          <w:tcPr>
            <w:tcW w:w="7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28, 2023</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9"/>
                <w:szCs w:val="19"/>
                <w:color w:val="auto"/>
              </w:rPr>
            </w:pPr>
          </w:p>
        </w:tc>
        <w:tc>
          <w:tcPr>
            <w:tcW w:w="7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January 29, 2022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29"/>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January 30, 2021</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leading full-line sporting goods and outdoor recreation retailers in the United States. Our mission is to provide “Fun for All” and we fulfill this mission with a localized merchandising strategy and value proposition that deeply connect with a broad range of consumers. Our product assortment focuses on key categories of outdoors, apparel, sports &amp; recreation and footwear (representing 31%, 28%, 21% and 20% of our 2022 net sales, respectively) through both leading national brands and a portfolio of 20 private label brands, which go well beyond traditional sporting goods and apparel offerings.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January 28, 2023, we operated 268 stores that range in size from approximately 40,000 to 130,000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introduced in the 2021 second quarter.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08"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91"/>
              </w:rPr>
              <w:t>January 28, 2023</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91"/>
              </w:rPr>
              <w:t>January 29, 2022</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January 30, 2021</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259</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Q1 new stores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new stores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Q3 new stores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new stores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Closed</w:t>
            </w:r>
          </w:p>
        </w:tc>
        <w:tc>
          <w:tcPr>
            <w:tcW w:w="1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stores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268</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Relocated stores</w:t>
            </w:r>
          </w:p>
        </w:tc>
        <w:tc>
          <w:tcPr>
            <w:tcW w:w="2140" w:type="dxa"/>
            <w:vAlign w:val="bottom"/>
            <w:gridSpan w:val="3"/>
            <w:shd w:val="clear" w:color="auto" w:fill="CCEEFF"/>
          </w:tcPr>
          <w:p>
            <w:pPr>
              <w:jc w:val="right"/>
              <w:ind w:right="17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We Assess the Performance of Our Business and Recent Trends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Comparable Sales. </w:t>
      </w:r>
      <w:r>
        <w:rPr>
          <w:rFonts w:ascii="Arial" w:cs="Arial" w:eastAsia="Arial" w:hAnsi="Arial"/>
          <w:sz w:val="16"/>
          <w:szCs w:val="16"/>
          <w:color w:val="auto"/>
        </w:rPr>
        <w:t>We define comparable sales as the percentage of period-over-period net sales increase or decrease, in the aggregate, for stores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 We have seen a significant comparable sales increase in recent years from (0.7%) in 2019 to 16.1% and 18.9% in 2020 and 2021, respectively. However, we experienced a decrease in comparable sales of 6.4% in 2022. See the discussion on Net Sales below for some contributing factors to the recent changes.</w:t>
      </w:r>
    </w:p>
    <w:p>
      <w:pPr>
        <w:spacing w:after="0" w:line="1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b w:val="1"/>
          <w:bCs w:val="1"/>
          <w:i w:val="1"/>
          <w:iCs w:val="1"/>
          <w:color w:val="auto"/>
        </w:rPr>
        <w:t xml:space="preserve">Transactions and average ticket. </w:t>
      </w:r>
      <w:r>
        <w:rPr>
          <w:rFonts w:ascii="Arial" w:cs="Arial" w:eastAsia="Arial" w:hAnsi="Arial"/>
          <w:sz w:val="18"/>
          <w:szCs w:val="18"/>
          <w:color w:val="auto"/>
        </w:rPr>
        <w:t>We define transactions as the number of customer transactions for stores and e-commerce during a given period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Adjusted EBITDA, Adjusted EBIT, Adjusted Net Income, Pro Forma Adjusted Net Income, Pro Forma Adjusted Earnings per Share and Adjusted Free Cash Flow. </w:t>
      </w:r>
      <w:r>
        <w:rPr>
          <w:rFonts w:ascii="Arial" w:cs="Arial" w:eastAsia="Arial" w:hAnsi="Arial"/>
          <w:sz w:val="18"/>
          <w:szCs w:val="18"/>
          <w:color w:val="auto"/>
        </w:rPr>
        <w:t>Management uses Adjusted EBITDA, Adjusted EBIT, Adjusted Net Income, Pro Forma Adjusted Net Income, Pro Forma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Financial Measures" below.</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Components of Our Results of Operations. </w:t>
      </w:r>
      <w:r>
        <w:rPr>
          <w:rFonts w:ascii="Arial" w:cs="Arial" w:eastAsia="Arial" w:hAnsi="Arial"/>
          <w:sz w:val="18"/>
          <w:szCs w:val="18"/>
          <w:color w:val="auto"/>
        </w:rPr>
        <w:t>Our profitability is primarily influenced by fluctuations in net sales, inventory expenses, our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selling, general and administrative expenses, and our ability to limit our interest and income tax expense.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Net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continue to believe that the increased popularity of isolated recreation, outdoor and leisure activity products brought on by customer demand during the COVID-19 pandemic will result in a long-term increase to our customer base. Additionally, we have benefited from shifting of customer spend towards in-home health and wellness and dedicating more time to memory-making experiences. 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In recent years we have experienced higher sales related to the outdoors and sports and recreation merchandise divisions, as our customers turned to us for isolated recreation and outdoor and leisure activities during the pandemic. As our business begins to normalize, we are experiencing a shift in our sales mix from the outdoors and sports and recreation merchandise divisions to the footwear and apparel merchandise divisions, which would generally have a positive impact on our gross margin rate.</w:t>
      </w:r>
    </w:p>
    <w:p>
      <w:pPr>
        <w:spacing w:after="0" w:line="13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expansion and enhancement of our omnichannel capabilities has resulted in increased sales in recent years and we expect that it will continue to be a driver of growth in our net sales and gross margin. We continue to invest in initiatives that will increase traffic to our e-commerce platform, which includes our website and mobile app, and drive increased online sales conversion. During 2022, we improved our omnichannel capabilities by implementing several innovative features to enhance the customer shopping experience, including outfitting, express check-out and enabling biometric security measures.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2020, 2021 and 2022. During 2022, stores facilitated approximately 95% of our total sales, including ship-from-store, BOPIS and in-store retail sales. We expect to continue to invest in expanding and enhancing our omnichannel capabilities, including support of our mobile app, optimizing the web site experience and upgrading our fulfillment capabilities, which will continue to require significant investments by us.</w:t>
      </w: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5" w:name="page46"/>
    <w:bookmarkEnd w:id="45"/>
    <w:p>
      <w:pPr>
        <w:jc w:val="both"/>
        <w:ind w:firstLine="324"/>
        <w:spacing w:after="0" w:line="301" w:lineRule="auto"/>
        <w:rPr>
          <w:sz w:val="20"/>
          <w:szCs w:val="20"/>
          <w:color w:val="auto"/>
        </w:rPr>
      </w:pPr>
      <w:r>
        <w:rPr>
          <w:rFonts w:ascii="Arial" w:cs="Arial" w:eastAsia="Arial" w:hAnsi="Arial"/>
          <w:sz w:val="16"/>
          <w:szCs w:val="16"/>
          <w:color w:val="auto"/>
        </w:rPr>
        <w:t>We expect that new stores will be a key driver of growth in our net sales and gross margin in the future. Our results of operations have been and will continue to be materially affected by the timing and number of new store openings. We are continually assessing the number of locations available that could accommodate our preferred size of stores in markets we would consider, and we expect to open 13 to 15 new stores in fiscal 2023. We expect most of our stores to achieve profitability within the first twelve months of opening. We believe our real estate strategy has positioned us well for further expansion.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which consist primarily of payroll and benefits, distribution center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Over the past couple of years, we have seen increased competition across the industry for resources throughout a constrained supply chain, which has resulted in disruptions to the flow of products from our vendors, labor shortages, reduced shipping container availability, and longer delays at the port. As a result, we have experienced a period of decreased or delayed supply and high inflation. These factors have negatively impacted transportation and inventory costs. Under the last in, first out method ("LIFO"), our cost of sales reflects the costs of the most recently purchased inventories. A prolonged continuation of high inflationary levels of inventory and related transportation costs could result in LIFO charges that have a negative impact on our gross margin.</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("SG&amp;A") expenses include store and corporate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payroll and payroll benefits, store and corporate headquarters occupancy costs, advertising, credit card processing, information technology, pre-opening costs and other store and administrative expenses. These expenses are both variable and fixed in nature. As sales increase at a higher rate than our SG&amp;A, this results in sales leverage and a higher sales flow through to net income, which we have experienced in recent years with SG&amp;A expenses as a percentage of sales declining from 23.1% to 21.3% in 2020 and 2021, respectively. However, SG&amp;A expenses as a percentage of sales remained relatively flat at 21.4% in 2022 when compared to 21.3% in 2021.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includes regular interest payable related to our Term Loan, Notes and ABL Facility (see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accompanying financial statements) and the amortization of our deferred loan costs and original issuance discounts associated with the acquisition of the debt. In November of 2020, we refinanced our debt resulting in an approximate $630 million reduction in our overall debt outstanding. Subsequently, in May of 2021 we entered into an amendment to our Term Loan, which reduced the applicable margin on our LIBOR rate by 1.25%, and paid down $99 million (see Note 4 to the accompanying financial statements). In December of 2022, we utilized cash on hand to voluntarily prepay $100 million of outstanding borrowings on our Term Loan (see Note 4 to the accompanying financial statements). These actions have resulted in interest expense reductions in 2021 and 2022 and are expected to continue into 2023.</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Prior to October 1, 2020, New Academy Holding Company, LLC, our prior ultimate parent company, was treated as a 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accompanying financial statements) completed on October 1, 2020,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discussion regarding Results of Operations and Analysis of Financial Condition for the fiscal year ended January 29, 2022, as compared to the fiscal year ended January 30, 2021, is included in “Part II – Item 7. Management’s Discussion and Analysis of Financial Condition and Results of Operations” to our Annual Report on Form 10-K for the fiscal year ended January 29, 2022.</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2022 (52 weeks) Compared to 2021 (52 weeks)</w:t>
      </w:r>
    </w:p>
    <w:p>
      <w:pPr>
        <w:spacing w:after="0" w:line="252"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Fiscal Year Ended</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0"/>
              </w:rPr>
              <w:t>Change</w:t>
            </w:r>
          </w:p>
        </w:tc>
        <w:tc>
          <w:tcPr>
            <w:tcW w:w="920" w:type="dxa"/>
            <w:vAlign w:val="bottom"/>
            <w:tcBorders>
              <w:bottom w:val="single" w:sz="8" w:color="auto"/>
            </w:tcBorders>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4"/>
          </w:tcPr>
          <w:p>
            <w:pPr>
              <w:ind w:left="360"/>
              <w:spacing w:after="0"/>
              <w:rPr>
                <w:sz w:val="20"/>
                <w:szCs w:val="20"/>
                <w:color w:val="auto"/>
              </w:rPr>
            </w:pPr>
            <w:r>
              <w:rPr>
                <w:rFonts w:ascii="Arial" w:cs="Arial" w:eastAsia="Arial" w:hAnsi="Arial"/>
                <w:sz w:val="18"/>
                <w:szCs w:val="18"/>
                <w:b w:val="1"/>
                <w:bCs w:val="1"/>
                <w:color w:val="auto"/>
              </w:rPr>
              <w:t>January 28, 2023</w:t>
            </w:r>
          </w:p>
        </w:tc>
        <w:tc>
          <w:tcPr>
            <w:tcW w:w="280" w:type="dxa"/>
            <w:vAlign w:val="bottom"/>
          </w:tcPr>
          <w:p>
            <w:pPr>
              <w:spacing w:after="0"/>
              <w:rPr>
                <w:sz w:val="19"/>
                <w:szCs w:val="19"/>
                <w:color w:val="auto"/>
              </w:rPr>
            </w:pPr>
          </w:p>
        </w:tc>
        <w:tc>
          <w:tcPr>
            <w:tcW w:w="22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Dollars</w:t>
            </w: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Percent</w:t>
            </w: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6,395,073</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6,773,128</w:t>
            </w: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(378,055)</w:t>
            </w: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4,182,571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4,422,033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(239,462)</w:t>
            </w: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2,212,502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1,365,953</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1,443,148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(77,195)</w:t>
            </w: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846,549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907,947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46,441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48,989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615.2 %</w:t>
            </w:r>
          </w:p>
        </w:tc>
      </w:tr>
      <w:tr>
        <w:trPr>
          <w:trHeight w:val="22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818,320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859,540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190,319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188,159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1.1 %</w:t>
            </w:r>
          </w:p>
        </w:tc>
      </w:tr>
      <w:tr>
        <w:trPr>
          <w:trHeight w:val="248"/>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628,001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Percentages in table may not sum properly due to rounding.</w:t>
      </w:r>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decreased $378.1 million, or 5.6%, in 2022 over the prior year as a result of decreased comparable sales of 6.4%,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$50.7 million in additional net sales generated by new locations. As of the end of 2022, we operated nine additional stores as compared to the end of 2021.</w:t>
      </w:r>
    </w:p>
    <w:p>
      <w:pPr>
        <w:spacing w:after="0" w:line="12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decrease of 6.4% in comparable sales was driven by lower sales across all merchandise divisions as a result of fewer transactions of 8.2%, partially offset by an increase in average ticket of 2.0%. The higher comparable sales in the prior year were partially due to stimulus payments and child tax credits issued by the U.S. government during 2021. The majority of the decrease in comparable sales was due to lower sales in the outdoors merchandise division caused by a decrease in the hunting category. To a lesser extent, within the outdoors merchandise division, fishing also contributed to the decrease in sales. The sports and recreation merchandise division sales also declined, largely driven by recreation and fitness as these categories were particularly impacted by increased prior year isolated recreation demands brought on by the COVID-19 pandemic, especially in categories such as fitness equipment, outdoor games, bikes and outdoor cooking. These decreases were partially offset by increased sales in team sports, including football, basketball, baseball and golf. The apparel division experienced declining sales largely due to athletic apparel and youth apparel, which were partially offset by increased sales in licensed apparel, and the footwear division was relatively flat compared to the prior year.</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E-commerce sales increased $56.8 million, or 9.1%, in 2022 when compared to the prior year and represented 10.7% and 9.3% of merchandise sales for 2022 and 2021, respectively.</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2022 decreased $138.6 million, or 5.9%, when compared to 2021. Our gross margin, as a percentage of net sales,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34.6% in 2022 compared to 34.7% in 2021, a decrease of 10 basis points. This decrease is primarily due to:</w:t>
      </w:r>
    </w:p>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17 basis points of unfavorability in e-commerce shipping costs due to increased e-commerce sales during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 basis points of unfavorability on inventory valuation adjustments;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 basis points of favorability on domestic inbound freight due to lower freight costs per unit.</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decreased $77.2 million, or 5.3%, to $1,366.0 million in 2022 from $1,443.1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2021 primarily due to higher prior year compensation costs associated with the 2021 Vesting Event (see Note 1 to the accompanying financial statements) of $24.9 million of equity compensation and $15.4 million in related payroll tax expense. Additionally, $54.7 million of higher performance-based compensation in 2021 contributed to the decrease. As a percentage of net sales, SG&amp;A expenses increased 0.1% to 21.4% in 2022 compared to 21.3% in 2021 primarily attributable to deleverage from decreased sales.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7" w:name="page48"/>
    <w:bookmarkEnd w:id="47"/>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Loss on early retirement of debt. </w:t>
      </w:r>
      <w:r>
        <w:rPr>
          <w:rFonts w:ascii="Arial" w:cs="Arial" w:eastAsia="Arial" w:hAnsi="Arial"/>
          <w:sz w:val="18"/>
          <w:szCs w:val="18"/>
          <w:color w:val="auto"/>
        </w:rPr>
        <w:t>Loss on early retirement of debt decreased $0.3 million to a loss of $2.0 million from $2.2 million in 2021.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2022 fourth quarter, we utilized cash on hand to voluntarily prepay $100.0 million of outstanding borrowings under the Term Loan, which resulted in a loss on early retirement of debt of $2.0 million. During the 2021 second quarter, we refinanced our Term Loan, including a prepayment of $99.0 million, which resulted in a loss on early retirement of debt of $2.2 million.</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$2.5 million, or 5.2%, to $46.4 million in 2022 from $49.0 million in 2021 resulting primarily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lower outstanding balance on our long-term debt as a result of the Refinancing Transactions (see Note 4 to the accompanying financial statements) and the voluntary Term Loan prepayments of $99.0 million and $100.0 million, which occurred in the second quarter of 2021 and the fourth quarter of 2022, respectively, partially offset by an increase in interest rates in recent months on our Term Loan.</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Other income increased $17.4 million in 2022 when compared with 2021, primarily driven by $7.2 million in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interruption proceeds received related to a winter storm which occurred in February of 2021 (see Note 2 to the accompanying financial statements) and higher interest income driven by favorable interest rate movement on money market investments in the current year.</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Income tax expense increased $2.2 million to $190.3 million in 2022 as compared to $188.2 million in 2021 resulting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 increased effective tax rate. ASO, Inc.'s effective tax rate for 2022 was 23.3% compared to 21.9% in 2021. The change in effective tax rate was primarily driven by a prior year benefit from tax deductions related to the vesting or exercise of several equity compensation awards.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Adjusted EBITDA, Adjusted EBIT, Adjusted Net Income, Pro Forma Adjusted Net Income, Pro Forma Adjusted Earnings per Share and Adjusted Free Cash Flow, as shown below, have been presented in this Annual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by reconciling net income (loss) to Adjusted Net Income, Pro Forma Adjusted Net Income and Pro Forma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48" w:name="page49"/>
    <w:bookmarkEnd w:id="48"/>
    <w:p>
      <w:pPr>
        <w:jc w:val="both"/>
        <w:ind w:firstLine="324"/>
        <w:spacing w:after="0" w:line="288" w:lineRule="auto"/>
        <w:rPr>
          <w:sz w:val="20"/>
          <w:szCs w:val="20"/>
          <w:color w:val="auto"/>
        </w:rPr>
      </w:pPr>
      <w:r>
        <w:rPr>
          <w:rFonts w:ascii="Arial" w:cs="Arial" w:eastAsia="Arial" w:hAnsi="Arial"/>
          <w:sz w:val="16"/>
          <w:szCs w:val="16"/>
          <w:color w:val="auto"/>
        </w:rPr>
        <w:t>We believe Adjusted EBITDA, Adjusted EBIT,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EBIT,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and Pro Forma Adjusted Earnings per Share should not be construed to imply that our future results will be unaffected by unusual or non-recurring items. In evaluating Adjusted EBITDA, Adjusted EBIT,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EBIT, Adjusted Net Income, Pro Forma Adjusted Net Income, Pro Forma Adjusted Earnings per Share and Adjusted Free Cash Flow should not be construed to imply that our future results will be unaffected by any such adjustments.</w:t>
      </w:r>
    </w:p>
    <w:p>
      <w:pPr>
        <w:spacing w:after="0" w:line="20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Adjusted EBITDA, Adjusted EBIT,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and Adjusted EBIT do not reflect period to period changes in taxes, income tax expense or the cash necessary to pay income taxes;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Pro Forma Adjusted Net Income and Pro Forma Adjusted Earnings per Share do not reflect the impact of earnings or charges resulting from matters we consider not to be indicative of our ongoing operations;</w:t>
      </w:r>
    </w:p>
    <w:p>
      <w:pPr>
        <w:ind w:left="660" w:hanging="328"/>
        <w:spacing w:after="0" w:line="29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these limitations, Adjusted EBITDA, Adjusted EBIT, Adjusted Net Income, Pro Forma Adjusted Net Income, Pro Forma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Pro Forma Adjusted Earnings per Share and Adjusted Free Cash Flow supplementally.</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71" w:lineRule="exact"/>
        <w:rPr>
          <w:sz w:val="20"/>
          <w:szCs w:val="20"/>
          <w:color w:val="auto"/>
        </w:rPr>
      </w:pPr>
    </w:p>
    <w:p>
      <w:pPr>
        <w:ind w:right="300" w:firstLine="324"/>
        <w:spacing w:after="0" w:line="271" w:lineRule="auto"/>
        <w:rPr>
          <w:sz w:val="20"/>
          <w:szCs w:val="20"/>
          <w:color w:val="auto"/>
        </w:rPr>
      </w:pPr>
      <w:r>
        <w:rPr>
          <w:rFonts w:ascii="Arial" w:cs="Arial" w:eastAsia="Arial" w:hAnsi="Arial"/>
          <w:sz w:val="18"/>
          <w:szCs w:val="18"/>
          <w:color w:val="auto"/>
        </w:rPr>
        <w:t>The following table provides reconciliations of net income (loss) to Adjusted EBITDA and to Adjusted EBIT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628,001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46,441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48,989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86,514</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190,319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106,762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105,274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105,481</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14,793</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31,617</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(Gain) loss on early retirement of debt,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1,963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(3,582)</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taxes associated with the 2021 Vesting Event (f)</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(g)</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8,592</w:t>
            </w:r>
          </w:p>
        </w:tc>
      </w:tr>
      <w:tr>
        <w:trPr>
          <w:trHeight w:val="223"/>
        </w:trPr>
        <w:tc>
          <w:tcPr>
            <w:tcW w:w="58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 (h)</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994,661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1,073,842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607,023</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Depreciation and amortization</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(105,481)</w:t>
            </w: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 (h)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887,899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hanging="374"/>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63" w:lineRule="exact"/>
        <w:rPr>
          <w:rFonts w:ascii="Arial" w:cs="Arial" w:eastAsia="Arial" w:hAnsi="Arial"/>
          <w:sz w:val="18"/>
          <w:szCs w:val="18"/>
          <w:color w:val="auto"/>
        </w:rPr>
      </w:pPr>
    </w:p>
    <w:p>
      <w:pPr>
        <w:ind w:left="400" w:hanging="374"/>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our contractual payments under the Monitoring Agreement (see Note 13 to the accompanying financial statements).</w:t>
      </w:r>
    </w:p>
    <w:p>
      <w:pPr>
        <w:spacing w:after="0" w:line="63" w:lineRule="exact"/>
        <w:rPr>
          <w:rFonts w:ascii="Arial" w:cs="Arial" w:eastAsia="Arial" w:hAnsi="Arial"/>
          <w:sz w:val="18"/>
          <w:szCs w:val="18"/>
          <w:color w:val="auto"/>
        </w:rPr>
      </w:pPr>
    </w:p>
    <w:p>
      <w:pPr>
        <w:jc w:val="both"/>
        <w:ind w:left="400" w:right="20" w:hanging="374"/>
        <w:spacing w:after="0" w:line="263"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the 2021 Vesting Event (see Note 1 to the accompanying financial statements), timing and valuation of awards, achievement of performance targets and equity award forfeitures.</w:t>
      </w:r>
    </w:p>
    <w:p>
      <w:pPr>
        <w:spacing w:after="0" w:line="21" w:lineRule="exact"/>
        <w:rPr>
          <w:rFonts w:ascii="Arial" w:cs="Arial" w:eastAsia="Arial" w:hAnsi="Arial"/>
          <w:sz w:val="18"/>
          <w:szCs w:val="18"/>
          <w:color w:val="auto"/>
        </w:rPr>
      </w:pPr>
    </w:p>
    <w:p>
      <w:pPr>
        <w:ind w:left="400" w:hanging="374"/>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63" w:lineRule="exact"/>
        <w:rPr>
          <w:rFonts w:ascii="Arial" w:cs="Arial" w:eastAsia="Arial" w:hAnsi="Arial"/>
          <w:sz w:val="18"/>
          <w:szCs w:val="18"/>
          <w:color w:val="auto"/>
        </w:rPr>
      </w:pPr>
    </w:p>
    <w:p>
      <w:pPr>
        <w:jc w:val="both"/>
        <w:ind w:left="400" w:right="20" w:hanging="374"/>
        <w:spacing w:after="0" w:line="277"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purchases earlier in the year to maintain stock, and legal fees associated with consulting in local jurisdictions. These costs were no longer added back beginning in the third quarter of 2020.</w:t>
      </w:r>
    </w:p>
    <w:p>
      <w:pPr>
        <w:spacing w:after="0" w:line="15" w:lineRule="exact"/>
        <w:rPr>
          <w:rFonts w:ascii="Arial" w:cs="Arial" w:eastAsia="Arial" w:hAnsi="Arial"/>
          <w:sz w:val="17"/>
          <w:szCs w:val="17"/>
          <w:color w:val="auto"/>
        </w:rPr>
      </w:pPr>
    </w:p>
    <w:p>
      <w:pPr>
        <w:ind w:left="400" w:hanging="374"/>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cash expenses related to taxes on equity-based compensation resulting from the 2021 Vesting Event.</w:t>
      </w:r>
    </w:p>
    <w:p>
      <w:pPr>
        <w:spacing w:after="0" w:line="63" w:lineRule="exact"/>
        <w:rPr>
          <w:rFonts w:ascii="Arial" w:cs="Arial" w:eastAsia="Arial" w:hAnsi="Arial"/>
          <w:sz w:val="18"/>
          <w:szCs w:val="18"/>
          <w:color w:val="auto"/>
        </w:rPr>
      </w:pPr>
    </w:p>
    <w:p>
      <w:pPr>
        <w:jc w:val="both"/>
        <w:ind w:left="400" w:right="20" w:hanging="374"/>
        <w:spacing w:after="0" w:line="259"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EBIT) amounts that management believes are not representative of our operating performance, including installation costs for energy savings associated with our profitability initiatives, legal fees associated with a distribution to NAHC's (see Note 1 to the accompanying financial statements) members and our omnibus incentive plan, and other costs associated with strategic cost savings and business optimization initiatives.</w:t>
      </w:r>
    </w:p>
    <w:p>
      <w:pPr>
        <w:spacing w:after="0" w:line="24" w:lineRule="exact"/>
        <w:rPr>
          <w:rFonts w:ascii="Arial" w:cs="Arial" w:eastAsia="Arial" w:hAnsi="Arial"/>
          <w:sz w:val="18"/>
          <w:szCs w:val="18"/>
          <w:color w:val="auto"/>
        </w:rPr>
      </w:pPr>
    </w:p>
    <w:p>
      <w:pPr>
        <w:ind w:left="400" w:right="20" w:hanging="374"/>
        <w:spacing w:after="0" w:line="277"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January 28, 2023, we no longer exclude pre-opening expenses from our computation of Adjusted EBITDA and Adjusted EBIT (see "Pre-Opening Expenses" in Note 2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Fiscal Year Ended</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28, 2023</w:t>
            </w:r>
          </w:p>
        </w:tc>
        <w:tc>
          <w:tcPr>
            <w:tcW w:w="1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January 29, 2022</w:t>
            </w:r>
          </w:p>
        </w:tc>
        <w:tc>
          <w:tcPr>
            <w:tcW w:w="20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January 30, 2021</w:t>
            </w:r>
          </w:p>
        </w:tc>
      </w:tr>
      <w:tr>
        <w:trPr>
          <w:trHeight w:val="212"/>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628,001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671,381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308,764</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2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21,175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39,264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31,617</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2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6,571</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2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w:t>
            </w:r>
          </w:p>
        </w:tc>
      </w:tr>
      <w:tr>
        <w:trPr>
          <w:trHeight w:val="21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(h)</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12"/>
        </w:trPr>
        <w:tc>
          <w:tcPr>
            <w:tcW w:w="5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 (i)</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645,757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384,536</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Estimated tax effect of change to C-Corporation status (j)</w:t>
            </w:r>
          </w:p>
        </w:tc>
        <w:tc>
          <w:tcPr>
            <w:tcW w:w="2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(72,844)</w:t>
            </w:r>
          </w:p>
        </w:tc>
      </w:tr>
      <w:tr>
        <w:trPr>
          <w:trHeight w:val="237"/>
        </w:trPr>
        <w:tc>
          <w:tcPr>
            <w:tcW w:w="5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 Forma Adjusted Net Income (i)</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645,757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716,536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311,692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58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7.38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9"/>
        </w:trPr>
        <w:tc>
          <w:tcPr>
            <w:tcW w:w="5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Pro Forma Adjusted Earnings per Share:</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5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58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7.60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8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81,590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90,956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77,994</w:t>
            </w:r>
          </w:p>
        </w:tc>
      </w:tr>
      <w:tr>
        <w:trPr>
          <w:trHeight w:val="219"/>
        </w:trPr>
        <w:tc>
          <w:tcPr>
            <w:tcW w:w="5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83,895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81,431</w:t>
            </w:r>
          </w:p>
        </w:tc>
      </w:tr>
    </w:tbl>
    <w:p>
      <w:pPr>
        <w:spacing w:after="0" w:line="274" w:lineRule="exact"/>
        <w:rPr>
          <w:sz w:val="20"/>
          <w:szCs w:val="20"/>
          <w:color w:val="auto"/>
        </w:rPr>
      </w:pPr>
    </w:p>
    <w:p>
      <w:pPr>
        <w:ind w:left="400" w:hanging="374"/>
        <w:spacing w:after="0"/>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45" w:lineRule="exact"/>
        <w:rPr>
          <w:rFonts w:ascii="Arial" w:cs="Arial" w:eastAsia="Arial" w:hAnsi="Arial"/>
          <w:sz w:val="16"/>
          <w:szCs w:val="16"/>
          <w:color w:val="auto"/>
        </w:rPr>
      </w:pPr>
    </w:p>
    <w:p>
      <w:pPr>
        <w:ind w:left="400" w:hanging="374"/>
        <w:spacing w:after="0"/>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w:t>
      </w:r>
    </w:p>
    <w:p>
      <w:pPr>
        <w:spacing w:after="0" w:line="59" w:lineRule="exact"/>
        <w:rPr>
          <w:rFonts w:ascii="Arial" w:cs="Arial" w:eastAsia="Arial" w:hAnsi="Arial"/>
          <w:sz w:val="16"/>
          <w:szCs w:val="16"/>
          <w:color w:val="auto"/>
        </w:rPr>
      </w:pPr>
    </w:p>
    <w:p>
      <w:pPr>
        <w:ind w:left="400" w:right="20" w:hanging="374"/>
        <w:spacing w:after="0" w:line="275" w:lineRule="auto"/>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10" w:lineRule="exact"/>
        <w:rPr>
          <w:rFonts w:ascii="Arial" w:cs="Arial" w:eastAsia="Arial" w:hAnsi="Arial"/>
          <w:sz w:val="16"/>
          <w:szCs w:val="16"/>
          <w:color w:val="auto"/>
        </w:rPr>
      </w:pPr>
    </w:p>
    <w:p>
      <w:pPr>
        <w:ind w:left="400" w:hanging="374"/>
        <w:spacing w:after="0"/>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45" w:lineRule="exact"/>
        <w:rPr>
          <w:rFonts w:ascii="Arial" w:cs="Arial" w:eastAsia="Arial" w:hAnsi="Arial"/>
          <w:sz w:val="16"/>
          <w:szCs w:val="16"/>
          <w:color w:val="auto"/>
        </w:rPr>
      </w:pPr>
    </w:p>
    <w:p>
      <w:pPr>
        <w:jc w:val="both"/>
        <w:ind w:left="400" w:right="20" w:hanging="374"/>
        <w:spacing w:after="0" w:line="262" w:lineRule="auto"/>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purchases earlier in the year to maintain stock, and legal fees associated with consulting in local jurisdictions. These costs were no longer added back beginning in the third quarter of 2020.</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cash expenses related to taxes on equity-based compensation resulting from the 2021 Vesting Event.</w:t>
      </w:r>
    </w:p>
    <w:p>
      <w:pPr>
        <w:spacing w:after="0" w:line="59" w:lineRule="exact"/>
        <w:rPr>
          <w:rFonts w:ascii="Arial" w:cs="Arial" w:eastAsia="Arial" w:hAnsi="Arial"/>
          <w:sz w:val="16"/>
          <w:szCs w:val="16"/>
          <w:color w:val="auto"/>
        </w:rPr>
      </w:pPr>
    </w:p>
    <w:p>
      <w:pPr>
        <w:jc w:val="both"/>
        <w:ind w:left="400" w:right="20" w:hanging="374"/>
        <w:spacing w:after="0" w:line="288" w:lineRule="auto"/>
        <w:tabs>
          <w:tab w:leader="none" w:pos="4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adjustments include (representing deductions or additions to Adjusted Net Income) amounts that management believes are not representative of our operating performance, including installation costs for energy savings associated with our profitability initiatives, legal fees associated with a distribution to NAHC's members and our omnibus incentive plan, and other costs associated with strategic cost savings and business optimization initiatives.</w:t>
      </w:r>
    </w:p>
    <w:p>
      <w:pPr>
        <w:spacing w:after="0" w:line="13" w:lineRule="exact"/>
        <w:rPr>
          <w:rFonts w:ascii="Arial" w:cs="Arial" w:eastAsia="Arial" w:hAnsi="Arial"/>
          <w:sz w:val="15"/>
          <w:szCs w:val="15"/>
          <w:color w:val="auto"/>
        </w:rPr>
      </w:pPr>
    </w:p>
    <w:p>
      <w:pPr>
        <w:ind w:left="400" w:hanging="374"/>
        <w:spacing w:after="0"/>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made to arrive at Adjusted Net Income and Pro Forma Adjusted Net Income at our historical tax rate.</w:t>
      </w:r>
    </w:p>
    <w:p>
      <w:pPr>
        <w:spacing w:after="0" w:line="59" w:lineRule="exact"/>
        <w:rPr>
          <w:rFonts w:ascii="Arial" w:cs="Arial" w:eastAsia="Arial" w:hAnsi="Arial"/>
          <w:sz w:val="16"/>
          <w:szCs w:val="16"/>
          <w:color w:val="auto"/>
        </w:rPr>
      </w:pPr>
    </w:p>
    <w:p>
      <w:pPr>
        <w:ind w:left="400" w:right="20" w:hanging="374"/>
        <w:spacing w:after="0" w:line="275" w:lineRule="auto"/>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Effective January 28, 2023, we no longer exclude pre-opening expenses from our computation of Adjusted Net Income and Pro Forma Adjusted Net Income (see "Pre-Opening Expenses" in Note 2 to the accompanying financial statements).</w:t>
      </w:r>
    </w:p>
    <w:p>
      <w:pPr>
        <w:spacing w:after="0" w:line="23" w:lineRule="exact"/>
        <w:rPr>
          <w:rFonts w:ascii="Arial" w:cs="Arial" w:eastAsia="Arial" w:hAnsi="Arial"/>
          <w:sz w:val="16"/>
          <w:szCs w:val="16"/>
          <w:color w:val="auto"/>
        </w:rPr>
      </w:pPr>
    </w:p>
    <w:p>
      <w:pPr>
        <w:ind w:left="400" w:right="20" w:hanging="374"/>
        <w:spacing w:after="0" w:line="275" w:lineRule="auto"/>
        <w:tabs>
          <w:tab w:leader="none" w:pos="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b w:val="1"/>
                <w:bCs w:val="1"/>
                <w:color w:val="auto"/>
                <w:w w:val="89"/>
              </w:rPr>
              <w:t>552,005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8"/>
              </w:rPr>
              <w:t>673,265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1,011,597</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b w:val="1"/>
                <w:bCs w:val="1"/>
                <w:color w:val="auto"/>
                <w:w w:val="90"/>
              </w:rPr>
              <w:t>(108,806)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2"/>
              </w:rPr>
              <w:t>(76,017)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b w:val="1"/>
                <w:bCs w:val="1"/>
                <w:color w:val="auto"/>
                <w:w w:val="89"/>
              </w:rPr>
              <w:t>443,199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8"/>
              </w:rPr>
              <w:t>597,248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978,453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January 28, 2023, our cash and cash equivalents totaled $337.1 million. We believe our cash and cash equivalents, as well as our availability under the ABL Facility, will be sufficient to fund our cash requirements for at least the next 12 months.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January 28, 2023, the Company's long-term debt and interest rates consists of (see Note 4 to the accompanying financial statements):</w:t>
      </w:r>
    </w:p>
    <w:p>
      <w:pPr>
        <w:spacing w:after="0" w:line="12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Notes - 6.00% fixed rate senior secured notes with $400 million in principal outstanding and full principal maturing November 15, 2027;</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 Loan - 8.12% variable rate term-loan with $194.8 million in principal outstanding maturing November 6, 2027 and quarterly principal payments of $750 thousand;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ABL Facility - $1.0 billion commitment on a variable rate secured asset-based revolving credit facility with no principal outstanding maturing November 6, 2025.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current debt obligations by fiscal year (amounts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Term Loan and related interest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192,860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260,657</w:t>
            </w:r>
          </w:p>
        </w:tc>
      </w:tr>
      <w:tr>
        <w:trPr>
          <w:trHeight w:val="230"/>
        </w:trPr>
        <w:tc>
          <w:tcPr>
            <w:tcW w:w="4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Notes and related interest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26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424,000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520,000</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ABL Facility and related interest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r>
    </w:tbl>
    <w:p>
      <w:pPr>
        <w:spacing w:after="0" w:line="67" w:lineRule="exact"/>
        <w:rPr>
          <w:sz w:val="20"/>
          <w:szCs w:val="20"/>
          <w:color w:val="auto"/>
        </w:rPr>
      </w:pPr>
    </w:p>
    <w:p>
      <w:pPr>
        <w:ind w:right="20" w:firstLine="8"/>
        <w:spacing w:after="0" w:line="273" w:lineRule="auto"/>
        <w:tabs>
          <w:tab w:leader="none" w:pos="165"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Interest payments do not include amortization of discount and debt issuance costs and are approximated based on projected interest rates and assume no unscheduled principal payments.</w:t>
      </w:r>
    </w:p>
    <w:p>
      <w:pPr>
        <w:spacing w:after="0" w:line="1" w:lineRule="exact"/>
        <w:rPr>
          <w:rFonts w:ascii="Arial" w:cs="Arial" w:eastAsia="Arial" w:hAnsi="Arial"/>
          <w:sz w:val="19"/>
          <w:szCs w:val="19"/>
          <w:color w:val="auto"/>
          <w:vertAlign w:val="superscript"/>
        </w:rPr>
      </w:pPr>
    </w:p>
    <w:p>
      <w:pPr>
        <w:ind w:left="180" w:hanging="172"/>
        <w:spacing w:after="0" w:line="214"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Interest payments do not include amortization of debt issuance costs and assumes Notes are paid in full at maturity date.</w:t>
      </w:r>
    </w:p>
    <w:p>
      <w:pPr>
        <w:spacing w:after="0" w:line="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Assumes a minimum revolving credit commitment of $1.0 billion and no balances drawn on our ABL Facility.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9460" w:type="dxa"/>
            <w:vAlign w:val="bottom"/>
            <w:gridSpan w:val="9"/>
          </w:tcPr>
          <w:p>
            <w:pPr>
              <w:ind w:left="340"/>
              <w:spacing w:after="0"/>
              <w:rPr>
                <w:sz w:val="20"/>
                <w:szCs w:val="20"/>
                <w:color w:val="auto"/>
              </w:rPr>
            </w:pPr>
            <w:r>
              <w:rPr>
                <w:rFonts w:ascii="Arial" w:cs="Arial" w:eastAsia="Arial" w:hAnsi="Arial"/>
                <w:sz w:val="18"/>
                <w:szCs w:val="18"/>
                <w:color w:val="auto"/>
              </w:rPr>
              <w:t>Liquidity information related to the ABL Facility is as follows for the periods shown (dollar amounts in thousands):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7"/>
        </w:trPr>
        <w:tc>
          <w:tcPr>
            <w:tcW w:w="5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Fiscal Year Ended</w:t>
            </w: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740" w:type="dxa"/>
            <w:vAlign w:val="bottom"/>
          </w:tcPr>
          <w:p>
            <w:pPr>
              <w:spacing w:after="0"/>
              <w:rPr>
                <w:sz w:val="19"/>
                <w:szCs w:val="19"/>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January 28, 2023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29, 2022</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funds drawn</w:t>
            </w: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126,648</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Number of days with outstanding balance</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daily amount outstanding</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4"/>
        </w:trPr>
        <w:tc>
          <w:tcPr>
            <w:tcW w:w="5740" w:type="dxa"/>
            <w:vAlign w:val="bottom"/>
          </w:tcPr>
          <w:p>
            <w:pPr>
              <w:ind w:left="20"/>
              <w:spacing w:after="0"/>
              <w:rPr>
                <w:sz w:val="20"/>
                <w:szCs w:val="20"/>
                <w:color w:val="auto"/>
              </w:rPr>
            </w:pPr>
            <w:r>
              <w:rPr>
                <w:rFonts w:ascii="Arial" w:cs="Arial" w:eastAsia="Arial" w:hAnsi="Arial"/>
                <w:sz w:val="18"/>
                <w:szCs w:val="18"/>
                <w:color w:val="auto"/>
              </w:rPr>
              <w:t>Minimum available borrowing capacity</w:t>
            </w:r>
          </w:p>
        </w:tc>
        <w:tc>
          <w:tcPr>
            <w:tcW w:w="720" w:type="dxa"/>
            <w:vAlign w:val="bottom"/>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935,550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780,945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161,089</w:t>
            </w:r>
          </w:p>
        </w:tc>
      </w:tr>
      <w:tr>
        <w:trPr>
          <w:trHeight w:val="549"/>
        </w:trPr>
        <w:tc>
          <w:tcPr>
            <w:tcW w:w="6460" w:type="dxa"/>
            <w:vAlign w:val="bottom"/>
            <w:gridSpan w:val="2"/>
          </w:tcPr>
          <w:p>
            <w:pPr>
              <w:ind w:left="340"/>
              <w:spacing w:after="0"/>
              <w:rPr>
                <w:sz w:val="20"/>
                <w:szCs w:val="20"/>
                <w:color w:val="auto"/>
              </w:rPr>
            </w:pPr>
            <w:r>
              <w:rPr>
                <w:rFonts w:ascii="Arial" w:cs="Arial" w:eastAsia="Arial" w:hAnsi="Arial"/>
                <w:sz w:val="18"/>
                <w:szCs w:val="18"/>
                <w:color w:val="auto"/>
                <w:w w:val="99"/>
              </w:rPr>
              <w:t>Liquidity information related to the ABL Facility (amounts in thousands) as of:</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5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22"/>
                <w:szCs w:val="22"/>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29, 2022</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7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Outstanding letters of credit</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13,878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17,828</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 capacity</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947,764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874,831</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store locations, distribution centers, office space and certain equipment under operating leases expiring between fiscal years 2023 and 2043. Operating lease obligations include future minimum lease payments under all of our non-cancelable operating leases at January 28, 2023. The following table summarizes our operating lease obligations by fiscal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After 2027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payments </w:t>
            </w:r>
            <w:r>
              <w:rPr>
                <w:rFonts w:ascii="Arial" w:cs="Arial" w:eastAsia="Arial" w:hAnsi="Arial"/>
                <w:sz w:val="23"/>
                <w:szCs w:val="23"/>
                <w:color w:val="auto"/>
                <w:vertAlign w:val="superscript"/>
              </w:rPr>
              <w:t>(1) (2)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908,455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1,898,570</w:t>
            </w:r>
          </w:p>
        </w:tc>
      </w:tr>
    </w:tbl>
    <w:p>
      <w:pPr>
        <w:spacing w:after="0" w:line="6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Minimum lease payments have not been reduced by sublease rentals of $0.5 million due in the future under non-cancelable subleases.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These balances include stores where we have an executed contract but have not taken possession of the location as of January 28, 2023.</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fiscal year ended January 28, 2023, we opened nine new locations. We expect to open 13 to 15 stores in fiscal 2023.</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June 2, 2022, the Board of Directors of the Company authorized a share repurchase program (the "2022 Share Repurchase Program") under which the Company may purchase up to $600 million of its outstanding shares during the three-year period ending June 2, 2025. As of January 28, 2023, the Company had $299.4 million remaining for share repurchases under the 2022 Share Repurchase Program.</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2022 Share Repurchase Program does not obligate the Company to acquire any particular number of common shares, and the program may be suspended, extended, modified or discontinued at any time. In 2022 and 2021, we repurchased and concurrently retired 11,903,636 and 10,566,796 shares of ASO, Inc. common stock for an aggregate amount of $489.5 million and $411.4 million, respectively, which include purchases that were pursuant to the Share Repurchase Programs (see Note 2 to the accompanying financial statements) and those that were made prior to the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The following table summarizes our share repurchases for the fiscal year ended January 28,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 Number of</w:t>
            </w: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Average Price Paid per</w:t>
            </w:r>
          </w:p>
        </w:tc>
        <w:tc>
          <w:tcPr>
            <w:tcW w:w="240" w:type="dxa"/>
            <w:vAlign w:val="bottom"/>
          </w:tcPr>
          <w:p>
            <w:pPr>
              <w:spacing w:after="0"/>
              <w:rPr>
                <w:sz w:val="17"/>
                <w:szCs w:val="17"/>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Total Amount</w:t>
            </w:r>
          </w:p>
        </w:tc>
      </w:tr>
      <w:tr>
        <w:trPr>
          <w:trHeight w:val="239"/>
        </w:trPr>
        <w:tc>
          <w:tcPr>
            <w:tcW w:w="566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 Purchased</w:t>
            </w:r>
          </w:p>
        </w:tc>
        <w:tc>
          <w:tcPr>
            <w:tcW w:w="400" w:type="dxa"/>
            <w:vAlign w:val="bottom"/>
          </w:tcPr>
          <w:p>
            <w:pPr>
              <w:spacing w:after="0"/>
              <w:rPr>
                <w:sz w:val="20"/>
                <w:szCs w:val="20"/>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w:t>
            </w:r>
          </w:p>
        </w:tc>
        <w:tc>
          <w:tcPr>
            <w:tcW w:w="24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Repurchased</w:t>
            </w:r>
          </w:p>
        </w:tc>
      </w:tr>
      <w:tr>
        <w:trPr>
          <w:trHeight w:val="227"/>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 (January 30, 2022 to April 30, 2022)</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2,272,349</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88,500,881</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Second Quarter (May 1, 2022 to July 30, 2022)</w:t>
            </w:r>
          </w:p>
        </w:tc>
        <w:tc>
          <w:tcPr>
            <w:tcW w:w="1800" w:type="dxa"/>
            <w:vAlign w:val="bottom"/>
          </w:tcPr>
          <w:p>
            <w:pPr>
              <w:jc w:val="right"/>
              <w:spacing w:after="0"/>
              <w:rPr>
                <w:sz w:val="20"/>
                <w:szCs w:val="20"/>
                <w:color w:val="auto"/>
              </w:rPr>
            </w:pPr>
            <w:r>
              <w:rPr>
                <w:rFonts w:ascii="Arial" w:cs="Arial" w:eastAsia="Arial" w:hAnsi="Arial"/>
                <w:sz w:val="18"/>
                <w:szCs w:val="18"/>
                <w:color w:val="auto"/>
              </w:rPr>
              <w:t>5,550,892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200,110,996</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(July 31, 2022 to October 29, 2022)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2,176,463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100,824,712</w:t>
            </w:r>
          </w:p>
        </w:tc>
      </w:tr>
      <w:tr>
        <w:trPr>
          <w:trHeight w:val="230"/>
        </w:trPr>
        <w:tc>
          <w:tcPr>
            <w:tcW w:w="5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Fourth Quarter (October 30, 2022 to January 28, 2023) </w:t>
            </w:r>
            <w:r>
              <w:rPr>
                <w:rFonts w:ascii="Arial" w:cs="Arial" w:eastAsia="Arial" w:hAnsi="Arial"/>
                <w:sz w:val="23"/>
                <w:szCs w:val="23"/>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1,903,932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100,038,078</w:t>
            </w: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Shares Repurchased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11,903,636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489,474,667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8"/>
        <w:spacing w:after="0" w:line="317" w:lineRule="auto"/>
        <w:tabs>
          <w:tab w:leader="none" w:pos="165"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See Part II, Item 5 - Market for Registrant's Common Equity, Related Stockholder Matters and Issuer Purchases of Equity Securities for further detail on the 2022 fourth quarter share repurchases.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our quarterly dividend payments for the fiscal year ended January 28, 2023 (amounts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Dividends Paid per</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Stockholder Date of</w:t>
            </w:r>
          </w:p>
        </w:tc>
      </w:tr>
      <w:tr>
        <w:trPr>
          <w:trHeight w:val="24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Total Dividends Paid</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Record</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 (January 30, 2022 to April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17, 2022</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Second Quarter (May 1, 2022 to July 30,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0.075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6,271</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June 16, 2022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(July 31, 2022 to October 29,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15, 2022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 (October 30, 2022 to January 28, 2023)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0.075</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December 20, 2022</w:t>
            </w: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our capital expenditures for the fiscal years ended January 28, 2023 and January 29, 2022 (amounts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28, 2023</w:t>
            </w:r>
          </w:p>
        </w:tc>
        <w:tc>
          <w:tcPr>
            <w:tcW w:w="280" w:type="dxa"/>
            <w:vAlign w:val="bottom"/>
          </w:tcPr>
          <w:p>
            <w:pPr>
              <w:spacing w:after="0"/>
              <w:rPr>
                <w:sz w:val="19"/>
                <w:szCs w:val="19"/>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29, 2022</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e-commerce and information technology programs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New stores and relocations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42,735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1,955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Updates for existing stores and distribution centers</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28,880</w:t>
            </w: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108,304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75,802</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capital expenditures for fiscal year 2023 to be between $200 million and $250 million. The following table summarizes our forecasted allocation of capital expenditures for fiscal year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e-commerce and information technology programs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New stores</w:t>
            </w:r>
          </w:p>
        </w:tc>
        <w:tc>
          <w:tcPr>
            <w:tcW w:w="230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review forecasted capital expenditures throughout the year and will adjust or our capital expenditures based on business conditions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7560" w:type="dxa"/>
            <w:vAlign w:val="bottom"/>
            <w:gridSpan w:val="4"/>
          </w:tcPr>
          <w:p>
            <w:pPr>
              <w:ind w:left="340"/>
              <w:spacing w:after="0"/>
              <w:rPr>
                <w:sz w:val="20"/>
                <w:szCs w:val="20"/>
                <w:color w:val="auto"/>
              </w:rPr>
            </w:pPr>
            <w:r>
              <w:rPr>
                <w:rFonts w:ascii="Arial" w:cs="Arial" w:eastAsia="Arial" w:hAnsi="Arial"/>
                <w:sz w:val="18"/>
                <w:szCs w:val="18"/>
                <w:color w:val="auto"/>
              </w:rPr>
              <w:t>Our consolidated statements of cash flows are summarized as follows (in thousands):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5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b w:val="1"/>
                <w:bCs w:val="1"/>
                <w:color w:val="auto"/>
                <w:w w:val="89"/>
              </w:rPr>
              <w:t>552,005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1,011,597</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60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(108,806)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(33,144)</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3"/>
              </w:rPr>
              <w:t>(592,052)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(750,234)</w:t>
            </w: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b w:val="1"/>
                <w:bCs w:val="1"/>
                <w:color w:val="auto"/>
                <w:w w:val="93"/>
              </w:rPr>
              <w:t>(148,853)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228,219</w:t>
            </w:r>
          </w:p>
        </w:tc>
      </w:tr>
      <w:tr>
        <w:trPr>
          <w:trHeight w:val="21"/>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are seasonal in our business. Typically, cash flows from operations are used to build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in advance of peak selling seasons, with the fourth quarter pre-holiday inventory increase being the most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provided by operating activities in 2022 decreased $121.3 million compared to 2021. This decrease is attributable to:</w:t>
      </w:r>
    </w:p>
    <w:p>
      <w:pPr>
        <w:spacing w:after="0" w:line="25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$51.5 million net decrease in non-cash charges;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$43.4 million decrease in net income;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$26.4 million net decrease in cash flows provided by operating assets and liabilities.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from non-cash charges was primarily caused by:</w:t>
      </w:r>
    </w:p>
    <w:p>
      <w:pPr>
        <w:spacing w:after="0" w:line="25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$37.7 million decrease in deferred income taxes;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$18.1 million decrease in equity compensation expense as a result of the 2021 Vesting Event.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from operating assets and liabilities was primarily attributable to:</w:t>
      </w:r>
    </w:p>
    <w:p>
      <w:pPr>
        <w:spacing w:after="0" w:line="252" w:lineRule="exact"/>
        <w:rPr>
          <w:sz w:val="20"/>
          <w:szCs w:val="20"/>
          <w:color w:val="auto"/>
        </w:rPr>
      </w:pPr>
    </w:p>
    <w:p>
      <w:pPr>
        <w:ind w:left="660" w:right="20" w:hanging="328"/>
        <w:spacing w:after="0" w:line="258" w:lineRule="auto"/>
        <w:tabs>
          <w:tab w:leader="none" w:pos="655"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color w:val="auto"/>
        </w:rPr>
        <w:t>$90.3 million decrease in cash flows from accrued expenses and other current liabilities which was largely driven by performance compensation payments made and lower related accrual rates in 2022; partially offset by</w:t>
      </w:r>
    </w:p>
    <w:p>
      <w:pPr>
        <w:spacing w:after="0" w:line="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$70.1 million increase in cash flows from merchandise inventories, net related to higher prior year outflows to replace lower inventory.</w:t>
      </w:r>
    </w:p>
    <w:p>
      <w:pPr>
        <w:spacing w:after="0" w:line="24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increased $32.8 million in 2022 compared to 2021. The increase in cash used in investing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is primarily related to:</w:t>
      </w:r>
    </w:p>
    <w:p>
      <w:pPr>
        <w:spacing w:after="0" w:line="19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$32.5 million higher capital expenditures driven by investments in new stores and store updates in 2022.</w:t>
      </w:r>
    </w:p>
    <w:p>
      <w:pPr>
        <w:spacing w:after="0" w:line="248"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financing activities increased $103.2 million in the 2022, compared to 2021. The primary drivers of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w:t>
      </w:r>
    </w:p>
    <w:p>
      <w:pPr>
        <w:spacing w:after="0" w:line="19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$78.1 million increase in cash outflows related to Company's repurchase and simultaneous retirement of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$27.3 million decrease in net proceeds from the exercise of stock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$24.6 million increase in cash outflows related to dividend payments made in 2022;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$14.2 million decrease in taxes paid related to net share settlement of equity awards;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$11.2 million decrease in Share-Based Award Payments (see Note 9 to the accompanying financial statements) which were made in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Liquidity</w:t>
      </w:r>
    </w:p>
    <w:p>
      <w:pPr>
        <w:spacing w:after="0" w:line="252"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We expect to use existing cash balances, internally generated cash flows and borrowings under our ABL Facility to fulfill anticipated obligations such as capital expenditures, dividends, stock repurchases, working capital needs and scheduled debt maturities over at least the next twelve months. As of January 28, 2023, we had $947.8 million of available capacity under our ABL Facility and $337.1 million of cash and cash equivalents.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consolidated financial statements, which have been prepared in accordance with U.S. generally accepted accounting principles (U.S. GAAP). The preparation of these financial statements requires the Company to make estimates, judgments, and assumptions that can have a meaningful effect on the reporting of consolidated financial statements. See Note 2 to the consolidated financial statements for additional information.</w:t>
      </w:r>
    </w:p>
    <w:p>
      <w:pPr>
        <w:spacing w:after="0" w:line="21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Critical accounting estimates are defined as those reflective of significant judgments, estimates and uncertainties, which may result in materially different results under different assumptions and conditions. The Company believes the following are its 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Merchandise inventories are valued at the lower of weighted average cost or net realizable value using the last-in first-out ("LIFO")</w:t>
      </w:r>
      <w:r>
        <w:rPr>
          <w:rFonts w:ascii="Arial" w:cs="Arial" w:eastAsia="Arial" w:hAnsi="Arial"/>
          <w:sz w:val="18"/>
          <w:szCs w:val="18"/>
          <w:i w:val="1"/>
          <w:iCs w:val="1"/>
          <w:color w:val="auto"/>
        </w:rPr>
        <w:t xml:space="preserve"> </w:t>
      </w:r>
      <w:r>
        <w:rPr>
          <w:rFonts w:ascii="Arial" w:cs="Arial" w:eastAsia="Arial" w:hAnsi="Arial"/>
          <w:sz w:val="18"/>
          <w:szCs w:val="18"/>
          <w:color w:val="auto"/>
        </w:rPr>
        <w:t>method. Merchandise inventories include the direct cost of merchandise and capitalized costs related to procurement, warehousing and distribution and are reflected net of shrinkage, vendor allowances and other valuation accounts.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We record an inventory reserve for the estimated shrinkage between physical inventories on a by location basis.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perform a full physical inventory count for each store at least once a year, throughout the year, after which our shrinkage accrual rate to sales for each store is updated based on historical results. For vendor allowances based on contractual provisions, we develop accrual rates for receivables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pacing w:after="0" w:line="21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Impact of Assumptions: </w:t>
      </w:r>
      <w:r>
        <w:rPr>
          <w:rFonts w:ascii="Arial" w:cs="Arial" w:eastAsia="Arial" w:hAnsi="Arial"/>
          <w:sz w:val="17"/>
          <w:szCs w:val="17"/>
          <w:color w:val="auto"/>
        </w:rPr>
        <w:t>For inventory shrinkage, our reserves may be inaccurate if our historical physical inventory shrinkage rates, used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differ significantly from actual rates due to consistent misses to our accrual. However, due to the frequency with which we perform full physical inventory counts, our assumptions are regularly updated, and we constantly analyze the physical inventory results to our accruals and, where necessary, adjust our store accruals to compensate for consistent patterns identified. We have not had a history of significant differences to our reserves for vendor allowances, and the assumptions generally do not have a significant impact on reserves since they are typically short-term and contractual in nature. We book a reserve for inventory permanently marked down below the inventory’s historical cost. Additionally, for slow moving or obsolete inventory, we book reserves based on historical margins received for marked down inventory with similarly slow historical sell-through rates. A twenty percent decrease in assumed margins would not have a material impact to our financial statements. We believe our long history of operations has given us sufficient data to enable us to accurately predict these reserves.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We review the carrying value of long-lived assets, including property and equipment at our stores, for indicators of impairment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and whenever events and circumstances indicate that the carrying value of an asset may not be recoverable.</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We test stores operating over a long enough time span, based on our previous store history for similar locations, to allow</w:t>
      </w:r>
      <w:r>
        <w:rPr>
          <w:rFonts w:ascii="Arial" w:cs="Arial" w:eastAsia="Arial" w:hAnsi="Arial"/>
          <w:sz w:val="18"/>
          <w:szCs w:val="18"/>
          <w:i w:val="1"/>
          <w:iCs w:val="1"/>
          <w:color w:val="auto"/>
        </w:rPr>
        <w:t xml:space="preserve"> </w:t>
      </w:r>
      <w:r>
        <w:rPr>
          <w:rFonts w:ascii="Arial" w:cs="Arial" w:eastAsia="Arial" w:hAnsi="Arial"/>
          <w:sz w:val="18"/>
          <w:szCs w:val="18"/>
          <w:color w:val="auto"/>
        </w:rPr>
        <w:t>for meaningful analysis of future operating results.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Impact of Assumptions: </w:t>
      </w:r>
      <w:r>
        <w:rPr>
          <w:rFonts w:ascii="Arial" w:cs="Arial" w:eastAsia="Arial" w:hAnsi="Arial"/>
          <w:sz w:val="17"/>
          <w:szCs w:val="17"/>
          <w:color w:val="auto"/>
        </w:rPr>
        <w:t>The assumptions used to project store impairment loss is based on projected future store income and considers variables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historical and current trends, macroeconomic conditions, store location and local economy and supply chain factors. Additionally, the long-term store income projections also contain a projection of future store specific costs such as store wages and advertising. Actual long-term income results could vary significantly from our projections due to a variety of reasons such as changes in the local retail environment or macroeconomic factors not used in our assumptions. In addition to variables considered in developing projected long-term store income, assumptions are made to develop the assumed discount rate based on company specific factors. There is significant judgment used in determining these assumptions used in the assessment of store impairment and variability in the assumptions could cause us to reach a materially different conclusion on impairment, however, we do not believe the net book value of any individual store assets are material to the Company’s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Goodwill represents the excess of the purchase price of an acquired business over the amounts assigned to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annual goodwill impairment test provides for the option of first performing a qualitative assessment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These approaches use key input assumptions such as our projected future operating results, the discount rate, the weighting for each valuation approach and the comparable set of companies.</w:t>
      </w:r>
    </w:p>
    <w:p>
      <w:pPr>
        <w:spacing w:after="0" w:line="21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Impact of Assumptions: </w:t>
      </w:r>
      <w:r>
        <w:rPr>
          <w:rFonts w:ascii="Arial" w:cs="Arial" w:eastAsia="Arial" w:hAnsi="Arial"/>
          <w:sz w:val="16"/>
          <w:szCs w:val="16"/>
          <w:color w:val="auto"/>
        </w:rPr>
        <w:t>The assumptions used to project long-term company income consider variables such as historical and current trends,</w:t>
      </w:r>
      <w:r>
        <w:rPr>
          <w:rFonts w:ascii="Arial" w:cs="Arial" w:eastAsia="Arial" w:hAnsi="Arial"/>
          <w:sz w:val="16"/>
          <w:szCs w:val="16"/>
          <w:i w:val="1"/>
          <w:iCs w:val="1"/>
          <w:color w:val="auto"/>
        </w:rPr>
        <w:t xml:space="preserve"> </w:t>
      </w:r>
      <w:r>
        <w:rPr>
          <w:rFonts w:ascii="Arial" w:cs="Arial" w:eastAsia="Arial" w:hAnsi="Arial"/>
          <w:sz w:val="16"/>
          <w:szCs w:val="16"/>
          <w:color w:val="auto"/>
        </w:rPr>
        <w:t>macroeconomic conditions, supply chain factors, projections consistent with the Company’s operating strategy, such as the future development of e-commerce and our assumptions used on future store openings, and other variables expected to impact future sales. Additionally, the long-term company income projections also contain a projection of future company costs such as wages, freight and transportation, and advertising. Actual long-term company income results could vary significantly from our projections due to a variety of reasons such as changes in the retail environment or macroeconomic factors not used in our assumptions. In addition to variables considered in developing projected long-term company income, assumptions are made to develop the discount rate, which is based on an assumed risk-free rate, and an equity risk premium developed from general historical market data and comparable companies. The earnings multiples used in the market approach can vary dependent on which companies are selected in our comparable set. A history of declining trends in our operating results such as comparable sales, gross margin, net income and cash flow from operations could impact these assumptions and serve as indicators of future impairment. There is significant judgment used in determining these assumptions used in the assessment of goodwill impairment and variability in the assumptions could cause us to reach a different conclusion on impairment. In 2022, we performed a qualitative impairment assessment and determined a quantitative assessment was not necessary.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Intangible assets primarily consists of the trade name "Academy Sports + Outdoors" (the "Trade Name"). The Trade Name is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cash flows indefinitely and, therefore, is accounted for as an indefinite-lived asset not subject to amortization. The Trade Name is tested for impairment annually or whenever events or circumstances indicate that the carrying amount of the Trade Name may not be recoverable.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7" w:name="page58"/>
    <w:bookmarkEnd w:id="57"/>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annual Trade Name impairment test provides for the option of first performing a qualitative assessment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for the Trade Name. However, if the qualitative assessment leads to a determination that it is more likely than not that the fair value of a reporting unit is greater than its carrying amount, then no further assessments are required.</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Impact of Assumptions: </w:t>
      </w:r>
      <w:r>
        <w:rPr>
          <w:rFonts w:ascii="Arial" w:cs="Arial" w:eastAsia="Arial" w:hAnsi="Arial"/>
          <w:sz w:val="17"/>
          <w:szCs w:val="17"/>
          <w:color w:val="auto"/>
        </w:rPr>
        <w:t>The assumptions used to project long-term company sales consider variables such as historical and current trends,</w:t>
      </w:r>
      <w:r>
        <w:rPr>
          <w:rFonts w:ascii="Arial" w:cs="Arial" w:eastAsia="Arial" w:hAnsi="Arial"/>
          <w:sz w:val="17"/>
          <w:szCs w:val="17"/>
          <w:i w:val="1"/>
          <w:iCs w:val="1"/>
          <w:color w:val="auto"/>
        </w:rPr>
        <w:t xml:space="preserve"> </w:t>
      </w:r>
      <w:r>
        <w:rPr>
          <w:rFonts w:ascii="Arial" w:cs="Arial" w:eastAsia="Arial" w:hAnsi="Arial"/>
          <w:sz w:val="17"/>
          <w:szCs w:val="17"/>
          <w:color w:val="auto"/>
        </w:rPr>
        <w:t>macroeconomic conditions, supply chain factors, projections consistent with the Company’s operating strategy, such as the future development of e-commerce and our assumptions used on future store openings, and other variables expected to impact future sales. Actual long-term income results could vary significantly from our projections due to a variety of reasons such as changes in the retail environment or macroeconomic factors not used in our assumptions. In addition to variables considered in developing projected long-term sales, assumptions are made to develop the royalty rates and discount rates. The royalty rates are based on market data where royalty rates are applicable and the discount rates are based on an assumed risk-free rate, and an equity risk premium based on general historical market data and comparable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on intangible asset impairment and variability in the assumptions could cause us to reach a different conclusion on impairment. In 2022, we performed a qualitative impairment assessment and determined a quantitative assessment was not necessary.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recent accounting pronouncements, see Note 2 to the accompanying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related party transactions, see Note 13 to the accompanying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exposure to changes in interest rates primarily results from our Term Loan and ABL Facility, as these borrowings have variable interest rates. When appropriate, we also enter into fixed interest rate debt, such as the Notes, to limit the floating interest rate exposure on our long term debt or historically we have used derivative financial instruments to mitigate the risk from such exposure. A discussion of our accounting policies for derivative financial instruments is included in Note 5. “Derivative Financial Instruments” and Note 6 “Fair Value Measurements” to our accompanying financial statements included in Part IV. Item 15 of this Annual Report. The detrimental effect of a hypothetical 100 basis point increase in interest rates on current borrowings under the Term Loan and ABL Facility would increase our interest expense by approximately $2.0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Results and Seasonality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financial statements required to be filed hereunder are set forth on pages 64 through 101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accounting principles generally accepted in the United States of America. The Company's internal control over financial reporting includes:</w:t>
      </w:r>
    </w:p>
    <w:p>
      <w:pPr>
        <w:spacing w:after="0" w:line="7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maintaining records that in reasonable detail accurately and fairly reflect our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reasonable assurance that transactions are recorded as necessary for preparation of our financial statements;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providing reasonable assurance that receipts and expenditures of Company assets are made in accordance with management authorization; and</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reasonable assurance that unauthorized acquisition, use or disposition of Company assets that could have a material effect on our financial statements would be prevented or detected on a timely basis.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risk that controls may become inadequate because of change in conditions, or that the degree of compliance with the policies or procedures may deteriorate.</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Company’s management conducted an evaluation of the effectiveness of our internal control over financial reporting based on the framework and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concluded that the Company’s internal control over financial reporting was effective as of the end of the period covered by this Annual Report.</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Company’s internal control over financial reporting which is set forth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Academy Sports and Outdoors, Inc. and subsidiaries (the “Company”) as of January 28,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28,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28, 2023, of the Company and our report dated March 16,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concerning our executive officers is set forth under the heading “Information about our Executive Officers” in Part I of this report. Further information required by this item will be included in our definitive proxy statement for the 2023 Annual Meeting of Stockholders and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gives information about the Company's common stock that may be issued upon the exercise of options, warrants and rights under all of the Company's equity compensation plans as of January 28, 2023. The table includes the 2011 Unit Incentive Plan, the 2020 Omnibus Incentive Plan and the 2020 Employee Stock Purchase Plan.</w:t>
      </w: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6"/>
                <w:szCs w:val="16"/>
                <w:color w:val="auto"/>
              </w:rPr>
            </w:pPr>
          </w:p>
        </w:tc>
        <w:tc>
          <w:tcPr>
            <w:tcW w:w="164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5"/>
              </w:rPr>
              <w:t>(b)</w:t>
            </w:r>
          </w:p>
        </w:tc>
        <w:tc>
          <w:tcPr>
            <w:tcW w:w="3240" w:type="dxa"/>
            <w:vAlign w:val="bottom"/>
            <w:vMerge w:val="restart"/>
          </w:tcPr>
          <w:p>
            <w:pPr>
              <w:jc w:val="right"/>
              <w:ind w:right="133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Weighted average</w:t>
            </w: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Number of securities to</w:t>
            </w:r>
          </w:p>
        </w:tc>
        <w:tc>
          <w:tcPr>
            <w:tcW w:w="180" w:type="dxa"/>
            <w:vAlign w:val="bottom"/>
          </w:tcPr>
          <w:p>
            <w:pPr>
              <w:spacing w:after="0"/>
              <w:rPr>
                <w:sz w:val="16"/>
                <w:szCs w:val="16"/>
                <w:color w:val="auto"/>
              </w:rPr>
            </w:pPr>
          </w:p>
        </w:tc>
        <w:tc>
          <w:tcPr>
            <w:tcW w:w="164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87"/>
              </w:rPr>
              <w:t>exercise price of</w:t>
            </w:r>
          </w:p>
        </w:tc>
        <w:tc>
          <w:tcPr>
            <w:tcW w:w="3240" w:type="dxa"/>
            <w:vAlign w:val="bottom"/>
          </w:tcPr>
          <w:p>
            <w:pPr>
              <w:jc w:val="center"/>
              <w:ind w:left="170"/>
              <w:spacing w:after="0" w:line="189" w:lineRule="exact"/>
              <w:rPr>
                <w:sz w:val="20"/>
                <w:szCs w:val="20"/>
                <w:color w:val="auto"/>
              </w:rPr>
            </w:pPr>
            <w:r>
              <w:rPr>
                <w:rFonts w:ascii="Arial" w:cs="Arial" w:eastAsia="Arial" w:hAnsi="Arial"/>
                <w:sz w:val="18"/>
                <w:szCs w:val="18"/>
                <w:b w:val="1"/>
                <w:bCs w:val="1"/>
                <w:color w:val="auto"/>
                <w:w w:val="89"/>
              </w:rPr>
              <w:t>Number of securities remaining</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be issued upon exercise</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outstanding</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9"/>
              </w:rPr>
              <w:t>available for future issuance under</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outstanding options,</w:t>
            </w: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options, warrants and</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8"/>
              </w:rPr>
              <w:t>equity compensation plans (excluding</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rights</w:t>
            </w:r>
          </w:p>
        </w:tc>
        <w:tc>
          <w:tcPr>
            <w:tcW w:w="3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8"/>
              </w:rPr>
              <w:t>securities reflected in column (a))</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Service-Based Stock Options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Performance-Based Stock Options</w:t>
            </w:r>
          </w:p>
        </w:tc>
        <w:tc>
          <w:tcPr>
            <w:tcW w:w="1980" w:type="dxa"/>
            <w:vAlign w:val="bottom"/>
          </w:tcPr>
          <w:p>
            <w:pPr>
              <w:jc w:val="right"/>
              <w:spacing w:after="0"/>
              <w:rPr>
                <w:sz w:val="20"/>
                <w:szCs w:val="20"/>
                <w:color w:val="auto"/>
              </w:rPr>
            </w:pPr>
            <w:r>
              <w:rPr>
                <w:rFonts w:ascii="Arial" w:cs="Arial" w:eastAsia="Arial" w:hAnsi="Arial"/>
                <w:sz w:val="18"/>
                <w:szCs w:val="18"/>
                <w:color w:val="auto"/>
              </w:rPr>
              <w:t>218,477</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16.59</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Service-Based Restricted Stock Units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437,108</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Performance-Based Restricted Stock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298,929</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N/A</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 Employee Stock Purchase Plan</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4,525,208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240" w:type="dxa"/>
            <w:vAlign w:val="bottom"/>
          </w:tcPr>
          <w:p>
            <w:pPr>
              <w:jc w:val="right"/>
              <w:ind w:right="293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8"/>
        <w:spacing w:after="0"/>
        <w:tabs>
          <w:tab w:leader="none" w:pos="197"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Of the plans listed above, only 2020 Omnibus Incentive Plan and the 2020 Employee Stock Purchase Plan allows for future grants of securities. The maximum number of shares that may be granted under the 2020 Omnibus Incentive Plan (inclusive of unissued shares that were carried over from the 2011 Unit Incentive Plan) is approximately 4,456,456. Stock options and restricted stock units are counted on a one-for-one basis. Total shares available for future issuance under the 2020 Omnibus Incentive Plan is 2,430,900. The total shares available for issuance under the 2020 Employee Stock Purchase Plan is 1,717,411.</w:t>
      </w:r>
    </w:p>
    <w:p>
      <w:pPr>
        <w:spacing w:after="0" w:line="1" w:lineRule="exact"/>
        <w:rPr>
          <w:rFonts w:ascii="Arial" w:cs="Arial" w:eastAsia="Arial" w:hAnsi="Arial"/>
          <w:sz w:val="23"/>
          <w:szCs w:val="23"/>
          <w:color w:val="auto"/>
          <w:vertAlign w:val="superscript"/>
        </w:rPr>
      </w:pPr>
    </w:p>
    <w:p>
      <w:pPr>
        <w:ind w:left="180" w:hanging="172"/>
        <w:spacing w:after="0" w:line="214" w:lineRule="auto"/>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Weighted average exercise price of outstanding options only.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4" w:lineRule="exact"/>
        <w:rPr>
          <w:sz w:val="20"/>
          <w:szCs w:val="20"/>
          <w:color w:val="auto"/>
        </w:rPr>
      </w:pPr>
    </w:p>
    <w:p>
      <w:pPr>
        <w:ind w:left="400" w:hanging="374"/>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3" w:lineRule="exact"/>
        <w:rPr>
          <w:rFonts w:ascii="Arial" w:cs="Arial" w:eastAsia="Arial" w:hAnsi="Arial"/>
          <w:sz w:val="18"/>
          <w:szCs w:val="18"/>
          <w:color w:val="auto"/>
        </w:rPr>
      </w:pPr>
    </w:p>
    <w:p>
      <w:pPr>
        <w:ind w:left="940" w:right="220" w:hanging="550"/>
        <w:spacing w:after="0" w:line="234" w:lineRule="auto"/>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required to be filed hereunder are listed in the Index to Consolidated Financial Statements on page 65 of this Annual Report on Form 10-K.</w:t>
      </w:r>
    </w:p>
    <w:p>
      <w:pPr>
        <w:spacing w:after="0" w:line="230" w:lineRule="exact"/>
        <w:rPr>
          <w:rFonts w:ascii="Arial" w:cs="Arial" w:eastAsia="Arial" w:hAnsi="Arial"/>
          <w:sz w:val="18"/>
          <w:szCs w:val="18"/>
          <w:color w:val="auto"/>
        </w:rPr>
      </w:pPr>
    </w:p>
    <w:p>
      <w:pPr>
        <w:jc w:val="both"/>
        <w:ind w:left="940" w:hanging="550"/>
        <w:spacing w:after="0" w:line="182" w:lineRule="auto"/>
        <w:tabs>
          <w:tab w:leader="none" w:pos="940" w:val="left"/>
        </w:tabs>
        <w:numPr>
          <w:ilvl w:val="1"/>
          <w:numId w:val="46"/>
        </w:numPr>
        <w:rPr>
          <w:rFonts w:ascii="Arial" w:cs="Arial" w:eastAsia="Arial" w:hAnsi="Arial"/>
          <w:sz w:val="34"/>
          <w:szCs w:val="34"/>
          <w:color w:val="auto"/>
          <w:vertAlign w:val="superscript"/>
        </w:rPr>
      </w:pPr>
      <w:r>
        <w:rPr>
          <w:rFonts w:ascii="Arial" w:cs="Arial" w:eastAsia="Arial" w:hAnsi="Arial"/>
          <w:sz w:val="17"/>
          <w:szCs w:val="17"/>
          <w:color w:val="auto"/>
        </w:rPr>
        <w:t>Financial Statement Schedule. The consolidated financial statement schedule to be filed hereunder is included on page 108 of this Annual Report on Form 10-K. Other schedules have not been included because they are not applicable or because the information is included elsewhere in this report.</w:t>
      </w:r>
    </w:p>
    <w:p>
      <w:pPr>
        <w:spacing w:after="0" w:line="95" w:lineRule="exact"/>
        <w:rPr>
          <w:rFonts w:ascii="Arial" w:cs="Arial" w:eastAsia="Arial" w:hAnsi="Arial"/>
          <w:sz w:val="34"/>
          <w:szCs w:val="34"/>
          <w:color w:val="auto"/>
          <w:vertAlign w:val="superscript"/>
        </w:rPr>
      </w:pPr>
    </w:p>
    <w:p>
      <w:pPr>
        <w:ind w:left="940" w:right="140" w:hanging="550"/>
        <w:spacing w:after="0" w:line="245" w:lineRule="auto"/>
        <w:tabs>
          <w:tab w:leader="none" w:pos="9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Exhibits. The Exhibits listed in the Index to Exhibits, which appears on pages 102 to 106 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83"/>
        </w:trPr>
        <w:tc>
          <w:tcPr>
            <w:tcW w:w="9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6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660"/>
              <w:spacing w:after="0" w:line="182" w:lineRule="exact"/>
              <w:rPr>
                <w:sz w:val="20"/>
                <w:szCs w:val="20"/>
                <w:color w:val="auto"/>
              </w:rPr>
            </w:pPr>
            <w:r>
              <w:rPr>
                <w:rFonts w:ascii="Arial" w:cs="Arial" w:eastAsia="Arial" w:hAnsi="Arial"/>
                <w:sz w:val="18"/>
                <w:szCs w:val="18"/>
                <w:color w:val="0000FF"/>
                <w:w w:val="89"/>
              </w:rPr>
              <w:t>66</w:t>
            </w: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Consolidated Balance Sheets as of January 28, 2023 and January 29, 2022</w:t>
            </w:r>
          </w:p>
        </w:tc>
        <w:tc>
          <w:tcPr>
            <w:tcW w:w="640" w:type="dxa"/>
            <w:vAlign w:val="bottom"/>
          </w:tcPr>
          <w:p>
            <w:pPr>
              <w:spacing w:after="0"/>
              <w:rPr>
                <w:sz w:val="16"/>
                <w:szCs w:val="16"/>
                <w:color w:val="auto"/>
              </w:rPr>
            </w:pPr>
          </w:p>
        </w:tc>
        <w:tc>
          <w:tcPr>
            <w:tcW w:w="840" w:type="dxa"/>
            <w:vAlign w:val="bottom"/>
            <w:gridSpan w:val="2"/>
          </w:tcPr>
          <w:p>
            <w:pPr>
              <w:jc w:val="center"/>
              <w:ind w:right="660"/>
              <w:spacing w:after="0" w:line="189" w:lineRule="exact"/>
              <w:rPr>
                <w:sz w:val="20"/>
                <w:szCs w:val="20"/>
                <w:color w:val="auto"/>
              </w:rPr>
            </w:pPr>
            <w:r>
              <w:rPr>
                <w:rFonts w:ascii="Arial" w:cs="Arial" w:eastAsia="Arial" w:hAnsi="Arial"/>
                <w:sz w:val="18"/>
                <w:szCs w:val="18"/>
                <w:color w:val="0000FF"/>
                <w:w w:val="89"/>
              </w:rPr>
              <w:t>68</w:t>
            </w: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Income for the fiscal years ended January 28, 2023, January 29, 2022 and January 30, 2021</w:t>
            </w:r>
          </w:p>
        </w:tc>
        <w:tc>
          <w:tcPr>
            <w:tcW w:w="1480" w:type="dxa"/>
            <w:vAlign w:val="bottom"/>
            <w:gridSpan w:val="3"/>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69</w:t>
            </w:r>
          </w:p>
        </w:tc>
      </w:tr>
      <w:tr>
        <w:trPr>
          <w:trHeight w:val="176"/>
        </w:trPr>
        <w:tc>
          <w:tcPr>
            <w:tcW w:w="976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w w:val="92"/>
              </w:rPr>
              <w:t>Consolidated Statements of Comprehensive Income for the fiscal years ended January 28, 2023, January 29, 2022 and January 30,</w:t>
            </w:r>
          </w:p>
        </w:tc>
        <w:tc>
          <w:tcPr>
            <w:tcW w:w="64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3"/>
        </w:trPr>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2021</w:t>
            </w:r>
          </w:p>
        </w:tc>
        <w:tc>
          <w:tcPr>
            <w:tcW w:w="148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0000FF"/>
                <w:w w:val="89"/>
              </w:rPr>
              <w:t>70</w:t>
            </w:r>
          </w:p>
        </w:tc>
      </w:tr>
      <w:tr>
        <w:trPr>
          <w:trHeight w:val="20"/>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9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Consolidated Statements of Stockholders'/Partners' Equity for the fiscal years ended January 28, 2023, January 29, 2022 and January</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9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30, 2021</w:t>
            </w:r>
          </w:p>
        </w:tc>
        <w:tc>
          <w:tcPr>
            <w:tcW w:w="6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660"/>
              <w:spacing w:after="0" w:line="202" w:lineRule="exact"/>
              <w:rPr>
                <w:sz w:val="20"/>
                <w:szCs w:val="20"/>
                <w:color w:val="auto"/>
              </w:rPr>
            </w:pPr>
            <w:r>
              <w:rPr>
                <w:rFonts w:ascii="Arial" w:cs="Arial" w:eastAsia="Arial" w:hAnsi="Arial"/>
                <w:sz w:val="18"/>
                <w:szCs w:val="18"/>
                <w:color w:val="0000FF"/>
                <w:w w:val="89"/>
              </w:rPr>
              <w:t>71</w:t>
            </w: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w w:val="97"/>
              </w:rPr>
              <w:t>Consolidated Statements of Cash Flows for the fiscal years ended January 28, 2023, January 29, 2022 and January 30, 2021</w:t>
            </w:r>
          </w:p>
        </w:tc>
        <w:tc>
          <w:tcPr>
            <w:tcW w:w="640" w:type="dxa"/>
            <w:vAlign w:val="bottom"/>
          </w:tcPr>
          <w:p>
            <w:pPr>
              <w:spacing w:after="0"/>
              <w:rPr>
                <w:sz w:val="16"/>
                <w:szCs w:val="16"/>
                <w:color w:val="auto"/>
              </w:rPr>
            </w:pPr>
          </w:p>
        </w:tc>
        <w:tc>
          <w:tcPr>
            <w:tcW w:w="840" w:type="dxa"/>
            <w:vAlign w:val="bottom"/>
            <w:gridSpan w:val="2"/>
          </w:tcPr>
          <w:p>
            <w:pPr>
              <w:jc w:val="center"/>
              <w:ind w:right="660"/>
              <w:spacing w:after="0" w:line="189" w:lineRule="exact"/>
              <w:rPr>
                <w:sz w:val="20"/>
                <w:szCs w:val="20"/>
                <w:color w:val="auto"/>
              </w:rPr>
            </w:pPr>
            <w:r>
              <w:rPr>
                <w:rFonts w:ascii="Arial" w:cs="Arial" w:eastAsia="Arial" w:hAnsi="Arial"/>
                <w:sz w:val="18"/>
                <w:szCs w:val="18"/>
                <w:color w:val="0000FF"/>
                <w:w w:val="89"/>
              </w:rPr>
              <w:t>72</w:t>
            </w: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the Consolidated Financial Statements</w:t>
            </w:r>
          </w:p>
        </w:tc>
        <w:tc>
          <w:tcPr>
            <w:tcW w:w="1480" w:type="dxa"/>
            <w:vAlign w:val="bottom"/>
            <w:gridSpan w:val="3"/>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73</w:t>
            </w: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Academy Sports and Outdoors, Inc. and subsidiaries (the "Company") as of January 28, 2023 and January 29, 2022, the related consolidated statements of income, comprehensive income, stockholders'/partners’ equity, and cash flows, for each of the three years in the period ended January 28, 2023, and the related notes and schedule listed in the Index at Item 15 (collectively referred to as the "financial statements"). In our opinion, the financial statements present fairly, in all material respects, the financial position of the Company as of January 28, 2023 and January 29, 2022, and the results of its operations and its cash flows for each of the three years in the period ended January 28, 2023,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28,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16, 2023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January 28, 2023, the Company’s merchandise inventories balance was $1.3 billion. Merchandise inventories are valued at the lower of weighted average cost or last-in first-out ("LIFO") method. Merchandise inventories include the direct cost of merchandise and capitalized costs related to procurement, warehousing and distribution and are reflected net of shrinkage, vendor allowances and other valuation accounts.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merchandise inventories as a critical audit matter because of the high volume of transactions and because the Company has multiple systems to process and record inventory movements which are highly automated. This required an increased extent of effort, including the need for us to involve professionals with expertise in information technology (IT), to identify, test and evaluate the Company’s systems, software applications and automated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systems to process merchandise inventory transactions included the following, among others:</w:t>
      </w:r>
    </w:p>
    <w:p>
      <w:pPr>
        <w:spacing w:after="0" w:line="252" w:lineRule="exact"/>
        <w:rPr>
          <w:sz w:val="20"/>
          <w:szCs w:val="20"/>
          <w:color w:val="auto"/>
        </w:rPr>
      </w:pPr>
    </w:p>
    <w:p>
      <w:pPr>
        <w:ind w:left="660" w:right="20" w:hanging="328"/>
        <w:spacing w:after="0" w:line="25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Identified the significant systems used to process inventory transactions and tested the general IT controls over each of these systems, including testing of user access controls, change management controls, and IT operations controls.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Performed testing of system interface controls and automated controls, as well as the controls designed to ensure the accuracy and completeness of inventory.</w:t>
      </w:r>
    </w:p>
    <w:p>
      <w:pPr>
        <w:ind w:left="66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Obtained an understanding, completed risk assessment procedures and evaluated the design and tested the operating effectiveness of business process controls over the Company’s significant inventory processes.</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Agreed weighted average cost calculations to source information including third party vendor invoices.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Performed store and distribution center physical inventory counts.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tested whether the underlying data used as key inputs in the Company’s LIFO calculation were consistent with gross inventory. This included reconciling the inventory used for the LIFO calculation to the inventory subledger.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29, 2022</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485,998</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 $2,004 and $732, respectively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1,171,808</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47,747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36,460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3"/>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1,686,675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1,715,747</w:t>
            </w:r>
          </w:p>
        </w:tc>
        <w:tc>
          <w:tcPr>
            <w:tcW w:w="0" w:type="dxa"/>
            <w:vAlign w:val="bottom"/>
          </w:tcPr>
          <w:p>
            <w:pPr>
              <w:spacing w:after="0"/>
              <w:rPr>
                <w:sz w:val="1"/>
                <w:szCs w:val="1"/>
                <w:color w:val="auto"/>
              </w:rPr>
            </w:pPr>
          </w:p>
        </w:tc>
      </w:tr>
      <w:tr>
        <w:trPr>
          <w:trHeight w:val="148"/>
        </w:trPr>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351,424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345,836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1,100,085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577,716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577,215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4,595,439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4,584,940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STOCKHOLDERS' / PARTNERS'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737,826</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240,169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303,207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1,038,716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1,127,110</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584,456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683,585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1,072,192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1,077,667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2,967,133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3,117,994</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 PARTNERS'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w w:val="96"/>
              </w:rPr>
              <w:t>Preferred stock, $0.01 par value, authorized 50,000,000 shares; none issued and outstanding</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6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0"/>
              </w:rPr>
              <w:t>Common stock, $0.01 par value, authorized 300,000,000 shares; 76,711,720 and 87,079,394 issued</w:t>
            </w:r>
          </w:p>
        </w:tc>
        <w:tc>
          <w:tcPr>
            <w:tcW w:w="16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January 28, 2023 and January 29, 2022, respectively</w:t>
            </w:r>
          </w:p>
        </w:tc>
        <w:tc>
          <w:tcPr>
            <w:tcW w:w="160" w:type="dxa"/>
            <w:vAlign w:val="bottom"/>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216,209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198,016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1,411,330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1,268,060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Stockholders' / partners' equity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1,628,306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1,466,946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and stockholders' / partners'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4,595,439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4,584,940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6,395,073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6,773,128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5,689,233</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4,182,571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4,422,033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3,955,188</w:t>
            </w: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2,212,502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1,734,045</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1,365,953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1,313,647</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846,549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907,947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420,398</w:t>
            </w:r>
          </w:p>
        </w:tc>
      </w:tr>
      <w:tr>
        <w:trPr>
          <w:trHeight w:val="256"/>
        </w:trPr>
        <w:tc>
          <w:tcPr>
            <w:tcW w:w="5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46,441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48,989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86,514</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EARLY RETIREMENT OF DEBT,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339,120</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190,319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30,356</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628,001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308,764</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81,590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90,956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77,994</w:t>
            </w:r>
          </w:p>
        </w:tc>
      </w:tr>
      <w:tr>
        <w:trPr>
          <w:trHeight w:val="230"/>
        </w:trPr>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81,431</w:t>
            </w:r>
          </w:p>
        </w:tc>
      </w:tr>
    </w:tbl>
    <w:p>
      <w:pPr>
        <w:spacing w:after="0" w:line="51"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30, 2021</w:t>
            </w: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628,001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671,381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308,764</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Recognized interest expense on interest rate swaps</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11,045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swaps from debt refinancing</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Tax benefit (expense)</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313,506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Balances as of February 1, 2020</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Equity compensation</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Adjustment to Redeemable Membership</w:t>
      </w:r>
    </w:p>
    <w:p>
      <w:pPr>
        <w:spacing w:after="0" w:line="11" w:lineRule="exact"/>
        <w:rPr>
          <w:sz w:val="20"/>
          <w:szCs w:val="20"/>
          <w:color w:val="auto"/>
        </w:rPr>
      </w:pPr>
    </w:p>
    <w:p>
      <w:pPr>
        <w:ind w:left="260"/>
        <w:spacing w:after="0" w:line="227" w:lineRule="auto"/>
        <w:rPr>
          <w:sz w:val="20"/>
          <w:szCs w:val="20"/>
          <w:color w:val="auto"/>
        </w:rPr>
      </w:pPr>
      <w:r>
        <w:rPr>
          <w:rFonts w:ascii="Arial" w:cs="Arial" w:eastAsia="Arial" w:hAnsi="Arial"/>
          <w:sz w:val="14"/>
          <w:szCs w:val="14"/>
          <w:color w:val="auto"/>
        </w:rPr>
        <w:t>Units for settlement of vested Restricted Units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Adjustment to Redeemable Membership</w:t>
      </w:r>
    </w:p>
    <w:p>
      <w:pPr>
        <w:spacing w:after="0" w:line="11" w:lineRule="exact"/>
        <w:rPr>
          <w:sz w:val="20"/>
          <w:szCs w:val="20"/>
          <w:color w:val="auto"/>
        </w:rPr>
      </w:pPr>
    </w:p>
    <w:p>
      <w:pPr>
        <w:ind w:left="260" w:right="360"/>
        <w:spacing w:after="0" w:line="227" w:lineRule="auto"/>
        <w:rPr>
          <w:sz w:val="20"/>
          <w:szCs w:val="20"/>
          <w:color w:val="auto"/>
        </w:rPr>
      </w:pPr>
      <w:r>
        <w:rPr>
          <w:rFonts w:ascii="Arial" w:cs="Arial" w:eastAsia="Arial" w:hAnsi="Arial"/>
          <w:sz w:val="14"/>
          <w:szCs w:val="14"/>
          <w:color w:val="auto"/>
        </w:rPr>
        <w:t>Units for repurchase of units from Managers</w:t>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6"/>
          <w:szCs w:val="16"/>
          <w:b w:val="1"/>
          <w:bCs w:val="1"/>
          <w:color w:val="auto"/>
        </w:rPr>
        <w:t>ACADEMY SPORTS AND OUTDOORS, INC.</w:t>
      </w:r>
    </w:p>
    <w:p>
      <w:pPr>
        <w:spacing w:after="0" w:line="23" w:lineRule="exact"/>
        <w:rPr>
          <w:sz w:val="20"/>
          <w:szCs w:val="20"/>
          <w:color w:val="auto"/>
        </w:rPr>
      </w:pPr>
    </w:p>
    <w:p>
      <w:pPr>
        <w:jc w:val="center"/>
        <w:ind w:right="2700"/>
        <w:spacing w:after="0"/>
        <w:rPr>
          <w:sz w:val="20"/>
          <w:szCs w:val="20"/>
          <w:color w:val="auto"/>
        </w:rPr>
      </w:pPr>
      <w:r>
        <w:rPr>
          <w:rFonts w:ascii="Arial" w:cs="Arial" w:eastAsia="Arial" w:hAnsi="Arial"/>
          <w:sz w:val="16"/>
          <w:szCs w:val="16"/>
          <w:b w:val="1"/>
          <w:bCs w:val="1"/>
          <w:color w:val="auto"/>
        </w:rPr>
        <w:t>CONSOLIDATED STATEMENTS OF STOCKHOLDERS' / PARTNERS’ EQUITY</w:t>
      </w:r>
    </w:p>
    <w:p>
      <w:pPr>
        <w:spacing w:after="0" w:line="8"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auto"/>
        </w:rPr>
        <w:t>(Amounts in thousands)</w:t>
      </w:r>
    </w:p>
    <w:p>
      <w:pPr>
        <w:spacing w:after="0" w:line="1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1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Redeemable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Membership</w:t>
            </w:r>
          </w:p>
        </w:tc>
        <w:tc>
          <w:tcPr>
            <w:tcW w:w="0" w:type="dxa"/>
            <w:vAlign w:val="bottom"/>
          </w:tcPr>
          <w:p>
            <w:pPr>
              <w:spacing w:after="0"/>
              <w:rPr>
                <w:sz w:val="1"/>
                <w:szCs w:val="1"/>
                <w:color w:val="auto"/>
              </w:rPr>
            </w:pPr>
          </w:p>
        </w:tc>
      </w:tr>
      <w:tr>
        <w:trPr>
          <w:trHeight w:val="139"/>
        </w:trPr>
        <w:tc>
          <w:tcPr>
            <w:tcW w:w="11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44"/>
        </w:trPr>
        <w:tc>
          <w:tcPr>
            <w:tcW w:w="1160" w:type="dxa"/>
            <w:vAlign w:val="bottom"/>
            <w:gridSpan w:val="4"/>
          </w:tcPr>
          <w:p>
            <w:pPr>
              <w:ind w:left="160"/>
              <w:spacing w:after="0" w:line="145" w:lineRule="exact"/>
              <w:rPr>
                <w:sz w:val="20"/>
                <w:szCs w:val="20"/>
                <w:color w:val="auto"/>
              </w:rPr>
            </w:pPr>
            <w:r>
              <w:rPr>
                <w:rFonts w:ascii="Arial" w:cs="Arial" w:eastAsia="Arial" w:hAnsi="Arial"/>
                <w:sz w:val="14"/>
                <w:szCs w:val="14"/>
                <w:b w:val="1"/>
                <w:bCs w:val="1"/>
                <w:color w:val="auto"/>
              </w:rPr>
              <w:t>Membership</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w w:val="99"/>
              </w:rPr>
              <w:t>Stockholders' / Partners' 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96"/>
        </w:trPr>
        <w:tc>
          <w:tcPr>
            <w:tcW w:w="1160" w:type="dxa"/>
            <w:vAlign w:val="bottom"/>
            <w:gridSpan w:val="4"/>
          </w:tcPr>
          <w:p>
            <w:pPr>
              <w:ind w:left="380"/>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8"/>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39"/>
        </w:trPr>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vMerge w:val="restart"/>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28"/>
              <w:spacing w:after="0" w:line="13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Partners' Equity</w:t>
            </w:r>
          </w:p>
        </w:tc>
        <w:tc>
          <w:tcPr>
            <w:tcW w:w="80" w:type="dxa"/>
            <w:vAlign w:val="bottom"/>
            <w:vMerge w:val="restart"/>
          </w:tcPr>
          <w:p>
            <w:pPr>
              <w:spacing w:after="0"/>
              <w:rPr>
                <w:sz w:val="12"/>
                <w:szCs w:val="12"/>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8"/>
              <w:spacing w:after="0" w:line="149" w:lineRule="exact"/>
              <w:rPr>
                <w:sz w:val="20"/>
                <w:szCs w:val="20"/>
                <w:color w:val="auto"/>
              </w:rPr>
            </w:pPr>
            <w:r>
              <w:rPr>
                <w:rFonts w:ascii="Arial" w:cs="Arial" w:eastAsia="Arial" w:hAnsi="Arial"/>
                <w:sz w:val="14"/>
                <w:szCs w:val="14"/>
                <w:b w:val="1"/>
                <w:bCs w:val="1"/>
                <w:color w:val="auto"/>
                <w:w w:val="98"/>
              </w:rPr>
              <w:t>Paid-In</w:t>
            </w:r>
          </w:p>
        </w:tc>
        <w:tc>
          <w:tcPr>
            <w:tcW w:w="74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 Partners'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Income (Loss)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Units</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0" w:type="dxa"/>
            <w:vAlign w:val="bottom"/>
            <w:gridSpan w:val="3"/>
            <w:vMerge w:val="restart"/>
          </w:tcPr>
          <w:p>
            <w:pPr>
              <w:jc w:val="center"/>
              <w:ind w:right="188"/>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Units / Shares</w:t>
            </w:r>
          </w:p>
        </w:tc>
        <w:tc>
          <w:tcPr>
            <w:tcW w:w="0" w:type="dxa"/>
            <w:vAlign w:val="bottom"/>
          </w:tcPr>
          <w:p>
            <w:pPr>
              <w:spacing w:after="0"/>
              <w:rPr>
                <w:sz w:val="1"/>
                <w:szCs w:val="1"/>
                <w:color w:val="auto"/>
              </w:rPr>
            </w:pPr>
          </w:p>
        </w:tc>
      </w:tr>
      <w:tr>
        <w:trPr>
          <w:trHeight w:val="162"/>
        </w:trPr>
        <w:tc>
          <w:tcPr>
            <w:tcW w:w="460" w:type="dxa"/>
            <w:vAlign w:val="bottom"/>
          </w:tcPr>
          <w:p>
            <w:pPr>
              <w:ind w:left="180"/>
              <w:spacing w:after="0"/>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ind w:left="220"/>
              <w:spacing w:after="0"/>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190"/>
        </w:trPr>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$ 2,818</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72,306</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$ 996,285</w:t>
            </w: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988,219</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72,468</w:t>
            </w:r>
          </w:p>
        </w:tc>
        <w:tc>
          <w:tcPr>
            <w:tcW w:w="0" w:type="dxa"/>
            <w:vAlign w:val="bottom"/>
          </w:tcPr>
          <w:p>
            <w:pPr>
              <w:spacing w:after="0"/>
              <w:rPr>
                <w:sz w:val="1"/>
                <w:szCs w:val="1"/>
                <w:color w:val="auto"/>
              </w:rPr>
            </w:pPr>
          </w:p>
        </w:tc>
      </w:tr>
      <w:tr>
        <w:trPr>
          <w:trHeight w:val="182"/>
        </w:trPr>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157,656</w:t>
            </w:r>
          </w:p>
        </w:tc>
        <w:tc>
          <w:tcPr>
            <w:tcW w:w="8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151,108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308,764</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3,690</w:t>
            </w:r>
          </w:p>
        </w:tc>
        <w:tc>
          <w:tcPr>
            <w:tcW w:w="8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27,927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31,617</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8"/>
        </w:trPr>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486"/>
        </w:trPr>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-909320</wp:posOffset>
            </wp:positionV>
            <wp:extent cx="709803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-634365</wp:posOffset>
            </wp:positionV>
            <wp:extent cx="709803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-197485</wp:posOffset>
            </wp:positionV>
            <wp:extent cx="709803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2600" w:space="100"/>
            <w:col w:w="8540"/>
          </w:cols>
          <w:pgMar w:left="320" w:top="517" w:right="339" w:bottom="1440" w:gutter="0" w:footer="0" w:header="0"/>
        </w:sectPr>
      </w:pPr>
    </w:p>
    <w:p>
      <w:pPr>
        <w:ind w:left="260"/>
        <w:spacing w:after="0" w:line="251" w:lineRule="auto"/>
        <w:rPr>
          <w:sz w:val="20"/>
          <w:szCs w:val="20"/>
          <w:color w:val="auto"/>
        </w:rPr>
      </w:pPr>
      <w:r>
        <w:rPr>
          <w:rFonts w:ascii="Arial" w:cs="Arial" w:eastAsia="Arial" w:hAnsi="Arial"/>
          <w:sz w:val="14"/>
          <w:szCs w:val="14"/>
          <w:color w:val="auto"/>
        </w:rPr>
        <w:t>Repurchase of Redeemable Membership Units</w:t>
      </w:r>
    </w:p>
    <w:p>
      <w:pPr>
        <w:spacing w:after="0" w:line="1" w:lineRule="exact"/>
        <w:rPr>
          <w:sz w:val="20"/>
          <w:szCs w:val="20"/>
          <w:color w:val="auto"/>
        </w:rPr>
      </w:pPr>
    </w:p>
    <w:p>
      <w:pPr>
        <w:ind w:left="260" w:right="60"/>
        <w:spacing w:after="0" w:line="251" w:lineRule="auto"/>
        <w:rPr>
          <w:sz w:val="20"/>
          <w:szCs w:val="20"/>
          <w:color w:val="auto"/>
        </w:rPr>
      </w:pPr>
      <w:r>
        <w:rPr>
          <w:rFonts w:ascii="Arial" w:cs="Arial" w:eastAsia="Arial" w:hAnsi="Arial"/>
          <w:sz w:val="14"/>
          <w:szCs w:val="14"/>
          <w:color w:val="auto"/>
        </w:rPr>
        <w:t>Distributions to holders of Membership Units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(37)</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720" w:type="dxa"/>
            <w:vAlign w:val="bottom"/>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ind w:left="320"/>
              <w:spacing w:after="0"/>
              <w:rPr>
                <w:sz w:val="20"/>
                <w:szCs w:val="20"/>
                <w:color w:val="auto"/>
              </w:rPr>
            </w:pPr>
            <w:r>
              <w:rPr>
                <w:rFonts w:ascii="Arial" w:cs="Arial" w:eastAsia="Arial" w:hAnsi="Arial"/>
                <w:sz w:val="14"/>
                <w:szCs w:val="14"/>
                <w:color w:val="auto"/>
              </w:rPr>
              <w:t>—</w:t>
            </w:r>
          </w:p>
        </w:tc>
        <w:tc>
          <w:tcPr>
            <w:tcW w:w="960" w:type="dxa"/>
            <w:vAlign w:val="bottom"/>
          </w:tcPr>
          <w:p>
            <w:pPr>
              <w:ind w:left="360"/>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(37)</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338"/>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(257,000)</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720" w:type="dxa"/>
            <w:vAlign w:val="bottom"/>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ind w:left="320"/>
              <w:spacing w:after="0"/>
              <w:rPr>
                <w:sz w:val="20"/>
                <w:szCs w:val="20"/>
                <w:color w:val="auto"/>
              </w:rPr>
            </w:pPr>
            <w:r>
              <w:rPr>
                <w:rFonts w:ascii="Arial" w:cs="Arial" w:eastAsia="Arial" w:hAnsi="Arial"/>
                <w:sz w:val="14"/>
                <w:szCs w:val="14"/>
                <w:color w:val="auto"/>
              </w:rPr>
              <w:t>—</w:t>
            </w:r>
          </w:p>
        </w:tc>
        <w:tc>
          <w:tcPr>
            <w:tcW w:w="960" w:type="dxa"/>
            <w:vAlign w:val="bottom"/>
          </w:tcPr>
          <w:p>
            <w:pPr>
              <w:ind w:left="360"/>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(257,000)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-154305</wp:posOffset>
            </wp:positionV>
            <wp:extent cx="709803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600" w:space="500"/>
            <w:col w:w="8140"/>
          </w:cols>
          <w:pgMar w:left="320" w:top="517" w:right="339" w:bottom="1440" w:gutter="0" w:footer="0" w:header="0"/>
          <w:type w:val="continuous"/>
        </w:sectPr>
      </w:pPr>
    </w:p>
    <w:p>
      <w:pPr>
        <w:ind w:left="260"/>
        <w:spacing w:after="0"/>
        <w:rPr>
          <w:sz w:val="20"/>
          <w:szCs w:val="20"/>
          <w:color w:val="auto"/>
        </w:rPr>
      </w:pPr>
      <w:r>
        <w:rPr>
          <w:rFonts w:ascii="Arial" w:cs="Arial" w:eastAsia="Arial" w:hAnsi="Arial"/>
          <w:sz w:val="13"/>
          <w:szCs w:val="13"/>
          <w:color w:val="auto"/>
        </w:rPr>
        <w:t>Effect of the Reorganization Transactions</w:t>
      </w:r>
    </w:p>
    <w:p>
      <w:pPr>
        <w:spacing w:after="0" w:line="53" w:lineRule="exact"/>
        <w:rPr>
          <w:sz w:val="20"/>
          <w:szCs w:val="20"/>
          <w:color w:val="auto"/>
        </w:rPr>
      </w:pPr>
    </w:p>
    <w:p>
      <w:pPr>
        <w:ind w:left="260" w:right="180"/>
        <w:spacing w:after="0" w:line="270" w:lineRule="auto"/>
        <w:rPr>
          <w:sz w:val="20"/>
          <w:szCs w:val="20"/>
          <w:color w:val="auto"/>
        </w:rPr>
      </w:pPr>
      <w:r>
        <w:rPr>
          <w:rFonts w:ascii="Arial" w:cs="Arial" w:eastAsia="Arial" w:hAnsi="Arial"/>
          <w:sz w:val="13"/>
          <w:szCs w:val="13"/>
          <w:color w:val="auto"/>
        </w:rPr>
        <w:t>Issuance of common stock in IPO and Over-Allotment, net of Offering Costs</w:t>
      </w:r>
    </w:p>
    <w:p>
      <w:pPr>
        <w:spacing w:after="0" w:line="1" w:lineRule="exact"/>
        <w:rPr>
          <w:sz w:val="20"/>
          <w:szCs w:val="20"/>
          <w:color w:val="auto"/>
        </w:rPr>
      </w:pPr>
    </w:p>
    <w:p>
      <w:pPr>
        <w:ind w:left="260" w:right="300"/>
        <w:spacing w:after="0" w:line="281" w:lineRule="auto"/>
        <w:rPr>
          <w:sz w:val="20"/>
          <w:szCs w:val="20"/>
          <w:color w:val="auto"/>
        </w:rPr>
      </w:pPr>
      <w:r>
        <w:rPr>
          <w:rFonts w:ascii="Arial" w:cs="Arial" w:eastAsia="Arial" w:hAnsi="Arial"/>
          <w:sz w:val="13"/>
          <w:szCs w:val="13"/>
          <w:color w:val="auto"/>
        </w:rPr>
        <w:t>Cumulative tax effect resulting from Reorganization Transactions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right"/>
              <w:ind w:right="28"/>
              <w:spacing w:after="0"/>
              <w:rPr>
                <w:sz w:val="20"/>
                <w:szCs w:val="20"/>
                <w:color w:val="auto"/>
              </w:rPr>
            </w:pPr>
            <w:r>
              <w:rPr>
                <w:rFonts w:ascii="Arial" w:cs="Arial" w:eastAsia="Arial" w:hAnsi="Arial"/>
                <w:sz w:val="14"/>
                <w:szCs w:val="14"/>
                <w:color w:val="auto"/>
                <w:w w:val="91"/>
              </w:rPr>
              <w:t>(172)</w:t>
            </w:r>
          </w:p>
        </w:tc>
        <w:tc>
          <w:tcPr>
            <w:tcW w:w="580" w:type="dxa"/>
            <w:vAlign w:val="bottom"/>
          </w:tcPr>
          <w:p>
            <w:pPr>
              <w:jc w:val="right"/>
              <w:spacing w:after="0"/>
              <w:rPr>
                <w:sz w:val="20"/>
                <w:szCs w:val="20"/>
                <w:color w:val="auto"/>
              </w:rPr>
            </w:pPr>
            <w:r>
              <w:rPr>
                <w:rFonts w:ascii="Arial" w:cs="Arial" w:eastAsia="Arial" w:hAnsi="Arial"/>
                <w:sz w:val="14"/>
                <w:szCs w:val="14"/>
                <w:color w:val="auto"/>
              </w:rPr>
              <w:t>(2,977)</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(72,306)</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(900,435)</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72,478</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66,627</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836,060</w:t>
            </w:r>
          </w:p>
        </w:tc>
        <w:tc>
          <w:tcPr>
            <w:tcW w:w="84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2,977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20" w:type="dxa"/>
            <w:vAlign w:val="bottom"/>
          </w:tcPr>
          <w:p>
            <w:pPr>
              <w:ind w:left="140"/>
              <w:spacing w:after="0"/>
              <w:rPr>
                <w:sz w:val="20"/>
                <w:szCs w:val="20"/>
                <w:color w:val="auto"/>
              </w:rPr>
            </w:pPr>
            <w:r>
              <w:rPr>
                <w:rFonts w:ascii="Arial" w:cs="Arial" w:eastAsia="Arial" w:hAnsi="Arial"/>
                <w:sz w:val="14"/>
                <w:szCs w:val="14"/>
                <w:color w:val="auto"/>
              </w:rPr>
              <w:t>—</w:t>
            </w:r>
          </w:p>
        </w:tc>
        <w:tc>
          <w:tcPr>
            <w:tcW w:w="580" w:type="dxa"/>
            <w:vAlign w:val="bottom"/>
          </w:tcPr>
          <w:p>
            <w:pPr>
              <w:ind w:left="3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17,432</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174</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206,796</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206,970</w:t>
            </w:r>
          </w:p>
        </w:tc>
        <w:tc>
          <w:tcPr>
            <w:tcW w:w="700" w:type="dxa"/>
            <w:vAlign w:val="bottom"/>
          </w:tcPr>
          <w:p>
            <w:pPr>
              <w:jc w:val="right"/>
              <w:spacing w:after="0"/>
              <w:rPr>
                <w:sz w:val="20"/>
                <w:szCs w:val="20"/>
                <w:color w:val="auto"/>
              </w:rPr>
            </w:pPr>
            <w:r>
              <w:rPr>
                <w:rFonts w:ascii="Arial" w:cs="Arial" w:eastAsia="Arial" w:hAnsi="Arial"/>
                <w:sz w:val="14"/>
                <w:szCs w:val="14"/>
                <w:color w:val="auto"/>
              </w:rPr>
              <w:t>17,432</w:t>
            </w:r>
          </w:p>
        </w:tc>
      </w:tr>
      <w:tr>
        <w:trPr>
          <w:trHeight w:val="338"/>
        </w:trPr>
        <w:tc>
          <w:tcPr>
            <w:tcW w:w="420" w:type="dxa"/>
            <w:vAlign w:val="bottom"/>
          </w:tcPr>
          <w:p>
            <w:pPr>
              <w:ind w:left="140"/>
              <w:spacing w:after="0"/>
              <w:rPr>
                <w:sz w:val="20"/>
                <w:szCs w:val="20"/>
                <w:color w:val="auto"/>
              </w:rPr>
            </w:pPr>
            <w:r>
              <w:rPr>
                <w:rFonts w:ascii="Arial" w:cs="Arial" w:eastAsia="Arial" w:hAnsi="Arial"/>
                <w:sz w:val="14"/>
                <w:szCs w:val="14"/>
                <w:color w:val="auto"/>
              </w:rPr>
              <w:t>—</w:t>
            </w:r>
          </w:p>
        </w:tc>
        <w:tc>
          <w:tcPr>
            <w:tcW w:w="580" w:type="dxa"/>
            <w:vAlign w:val="bottom"/>
          </w:tcPr>
          <w:p>
            <w:pPr>
              <w:ind w:left="3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(141,909)</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(141,909)</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-368935</wp:posOffset>
            </wp:positionV>
            <wp:extent cx="709803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60" w:space="300"/>
            <w:col w:w="8280"/>
          </w:cols>
          <w:pgMar w:left="320" w:top="517" w:right="3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Award Payments</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(32,819)</w:t>
            </w:r>
          </w:p>
        </w:tc>
        <w:tc>
          <w:tcPr>
            <w:tcW w:w="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(32,819)</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w w:val="98"/>
              </w:rPr>
              <w:t>Share-Based Award Payments adjustment</w:t>
            </w:r>
          </w:p>
        </w:tc>
        <w:tc>
          <w:tcPr>
            <w:tcW w:w="600" w:type="dxa"/>
            <w:vAlign w:val="bottom"/>
            <w:vMerge w:val="restart"/>
          </w:tcPr>
          <w:p>
            <w:pPr>
              <w:ind w:left="2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596</w:t>
            </w:r>
          </w:p>
        </w:tc>
        <w:tc>
          <w:tcPr>
            <w:tcW w:w="9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color w:val="auto"/>
              </w:rPr>
              <w:t>596</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2840" w:type="dxa"/>
            <w:vAlign w:val="bottom"/>
            <w:vMerge w:val="restart"/>
          </w:tcPr>
          <w:p>
            <w:pPr>
              <w:ind w:left="220"/>
              <w:spacing w:after="0"/>
              <w:rPr>
                <w:sz w:val="20"/>
                <w:szCs w:val="20"/>
                <w:color w:val="auto"/>
              </w:rPr>
            </w:pPr>
            <w:r>
              <w:rPr>
                <w:rFonts w:ascii="Arial" w:cs="Arial" w:eastAsia="Arial" w:hAnsi="Arial"/>
                <w:sz w:val="14"/>
                <w:szCs w:val="14"/>
                <w:color w:val="auto"/>
              </w:rPr>
              <w:t>for forfeitures</w:t>
            </w:r>
          </w:p>
        </w:tc>
        <w:tc>
          <w:tcPr>
            <w:tcW w:w="6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8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517" w:right="339" w:bottom="1440" w:gutter="0" w:footer="0" w:header="0"/>
          <w:type w:val="continuous"/>
        </w:sectPr>
      </w:pPr>
    </w:p>
    <w:p>
      <w:pPr>
        <w:ind w:left="260" w:right="40"/>
        <w:spacing w:after="0" w:line="301" w:lineRule="auto"/>
        <w:rPr>
          <w:sz w:val="20"/>
          <w:szCs w:val="20"/>
          <w:color w:val="auto"/>
        </w:rPr>
      </w:pPr>
      <w:r>
        <w:rPr>
          <w:rFonts w:ascii="Arial" w:cs="Arial" w:eastAsia="Arial" w:hAnsi="Arial"/>
          <w:sz w:val="14"/>
          <w:szCs w:val="14"/>
          <w:color w:val="auto"/>
        </w:rPr>
        <w:t>Settlement of vested Restricted Stock Units Stock option exercises</w:t>
      </w:r>
    </w:p>
    <w:p>
      <w:pPr>
        <w:spacing w:after="0" w:line="1" w:lineRule="exact"/>
        <w:rPr>
          <w:sz w:val="20"/>
          <w:szCs w:val="20"/>
          <w:color w:val="auto"/>
        </w:rPr>
      </w:pPr>
    </w:p>
    <w:p>
      <w:pPr>
        <w:ind w:left="260" w:right="120"/>
        <w:spacing w:after="0" w:line="251" w:lineRule="auto"/>
        <w:rPr>
          <w:sz w:val="20"/>
          <w:szCs w:val="20"/>
          <w:color w:val="auto"/>
        </w:rPr>
      </w:pPr>
      <w:r>
        <w:rPr>
          <w:rFonts w:ascii="Arial" w:cs="Arial" w:eastAsia="Arial" w:hAnsi="Arial"/>
          <w:sz w:val="14"/>
          <w:szCs w:val="14"/>
          <w:color w:val="auto"/>
        </w:rPr>
        <w:t>Unrealized loss on interest rate swaps (net of tax impact of $350)</w:t>
      </w:r>
    </w:p>
    <w:p>
      <w:pPr>
        <w:spacing w:after="0" w:line="1" w:lineRule="exact"/>
        <w:rPr>
          <w:sz w:val="20"/>
          <w:szCs w:val="20"/>
          <w:color w:val="auto"/>
        </w:rPr>
      </w:pPr>
    </w:p>
    <w:p>
      <w:pPr>
        <w:ind w:left="260"/>
        <w:spacing w:after="0" w:line="251" w:lineRule="auto"/>
        <w:rPr>
          <w:sz w:val="20"/>
          <w:szCs w:val="20"/>
          <w:color w:val="auto"/>
        </w:rPr>
      </w:pPr>
      <w:r>
        <w:rPr>
          <w:rFonts w:ascii="Arial" w:cs="Arial" w:eastAsia="Arial" w:hAnsi="Arial"/>
          <w:sz w:val="14"/>
          <w:szCs w:val="14"/>
          <w:color w:val="auto"/>
        </w:rPr>
        <w:t>Loss on swaps from debt refinancing (net of tax impact of $330)</w:t>
      </w:r>
    </w:p>
    <w:p>
      <w:pPr>
        <w:spacing w:after="0" w:line="1" w:lineRule="exact"/>
        <w:rPr>
          <w:sz w:val="20"/>
          <w:szCs w:val="20"/>
          <w:color w:val="auto"/>
        </w:rPr>
      </w:pPr>
    </w:p>
    <w:p>
      <w:pPr>
        <w:ind w:left="260" w:right="20"/>
        <w:spacing w:after="0" w:line="281" w:lineRule="auto"/>
        <w:rPr>
          <w:sz w:val="20"/>
          <w:szCs w:val="20"/>
          <w:color w:val="auto"/>
        </w:rPr>
      </w:pPr>
      <w:r>
        <w:rPr>
          <w:rFonts w:ascii="Arial" w:cs="Arial" w:eastAsia="Arial" w:hAnsi="Arial"/>
          <w:sz w:val="13"/>
          <w:szCs w:val="13"/>
          <w:color w:val="auto"/>
        </w:rPr>
        <w:t>Recognized interest expense on interest rate swaps (net of tax expense of $1,000)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802</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(8)</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802</w:t>
            </w:r>
          </w:p>
        </w:tc>
      </w:tr>
      <w:tr>
        <w:trPr>
          <w:trHeight w:val="203"/>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402</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18</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22</w:t>
            </w:r>
          </w:p>
        </w:tc>
        <w:tc>
          <w:tcPr>
            <w:tcW w:w="60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70"/>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(6,303)</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(6,303)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8"/>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1,000</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1,000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8"/>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10,045</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10,045</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-840105</wp:posOffset>
            </wp:positionV>
            <wp:extent cx="709803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-582930</wp:posOffset>
            </wp:positionV>
            <wp:extent cx="7098030" cy="213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21399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-154940</wp:posOffset>
            </wp:positionV>
            <wp:extent cx="709803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820" w:space="280"/>
            <w:col w:w="8140"/>
          </w:cols>
          <w:pgMar w:left="320" w:top="517" w:right="339" w:bottom="1440" w:gutter="0" w:footer="0" w:header="0"/>
          <w:type w:val="continuous"/>
        </w:sectPr>
      </w:pPr>
    </w:p>
    <w:tbl>
      <w:tblPr>
        <w:tblLayout w:type="fixed"/>
        <w:tblInd w:w="40" w:type="dxa"/>
        <w:tblCellMar>
          <w:top w:w="0" w:type="dxa"/>
          <w:left w:w="0" w:type="dxa"/>
          <w:bottom w:w="0" w:type="dxa"/>
          <w:right w:w="0" w:type="dxa"/>
        </w:tblCellMar>
      </w:tblPr>
      <w:tr>
        <w:trPr>
          <w:trHeight w:val="188"/>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Balances as of January 30, 2021</w:t>
            </w:r>
          </w:p>
        </w:tc>
        <w:tc>
          <w:tcPr>
            <w:tcW w:w="4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91,114</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911</w:t>
            </w:r>
          </w:p>
        </w:tc>
        <w:tc>
          <w:tcPr>
            <w:tcW w:w="8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$ 127,228</w:t>
            </w:r>
          </w:p>
        </w:tc>
        <w:tc>
          <w:tcPr>
            <w:tcW w:w="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987,168</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(3,324)</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1,111,983</w:t>
            </w:r>
          </w:p>
        </w:tc>
        <w:tc>
          <w:tcPr>
            <w:tcW w:w="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91,114</w:t>
            </w:r>
          </w:p>
        </w:tc>
      </w:tr>
      <w:tr>
        <w:trPr>
          <w:trHeight w:val="177"/>
        </w:trPr>
        <w:tc>
          <w:tcPr>
            <w:tcW w:w="2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671,381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671,381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8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17" w:right="339" w:bottom="1440" w:gutter="0" w:footer="0" w:header="0"/>
          <w:type w:val="continuous"/>
        </w:sectPr>
      </w:pPr>
    </w:p>
    <w:p>
      <w:pPr>
        <w:ind w:left="260"/>
        <w:spacing w:after="0"/>
        <w:rPr>
          <w:sz w:val="20"/>
          <w:szCs w:val="20"/>
          <w:color w:val="auto"/>
        </w:rPr>
      </w:pPr>
      <w:r>
        <w:rPr>
          <w:rFonts w:ascii="Arial" w:cs="Arial" w:eastAsia="Arial" w:hAnsi="Arial"/>
          <w:sz w:val="14"/>
          <w:szCs w:val="14"/>
          <w:color w:val="auto"/>
        </w:rPr>
        <w:t>Equity compensation</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Repurchase of common stock for retirement</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Settlement of vested Restricted Stock Units</w:t>
      </w:r>
    </w:p>
    <w:p>
      <w:pPr>
        <w:spacing w:after="0" w:line="53" w:lineRule="exact"/>
        <w:rPr>
          <w:sz w:val="20"/>
          <w:szCs w:val="20"/>
          <w:color w:val="auto"/>
        </w:rPr>
      </w:pPr>
    </w:p>
    <w:p>
      <w:pPr>
        <w:ind w:left="260" w:right="120"/>
        <w:spacing w:after="0" w:line="251" w:lineRule="auto"/>
        <w:rPr>
          <w:sz w:val="20"/>
          <w:szCs w:val="20"/>
          <w:color w:val="auto"/>
        </w:rPr>
      </w:pPr>
      <w:r>
        <w:rPr>
          <w:rFonts w:ascii="Arial" w:cs="Arial" w:eastAsia="Arial" w:hAnsi="Arial"/>
          <w:sz w:val="14"/>
          <w:szCs w:val="14"/>
          <w:color w:val="auto"/>
        </w:rPr>
        <w:t>Share-Based Award Payments adjustment for forfeitures</w:t>
      </w:r>
    </w:p>
    <w:p>
      <w:pPr>
        <w:spacing w:after="0" w:line="1" w:lineRule="exact"/>
        <w:rPr>
          <w:sz w:val="20"/>
          <w:szCs w:val="20"/>
          <w:color w:val="auto"/>
        </w:rPr>
      </w:pPr>
    </w:p>
    <w:p>
      <w:pPr>
        <w:ind w:left="260" w:right="40"/>
        <w:spacing w:after="0" w:line="253" w:lineRule="auto"/>
        <w:rPr>
          <w:sz w:val="20"/>
          <w:szCs w:val="20"/>
          <w:color w:val="auto"/>
        </w:rPr>
      </w:pPr>
      <w:r>
        <w:rPr>
          <w:rFonts w:ascii="Arial" w:cs="Arial" w:eastAsia="Arial" w:hAnsi="Arial"/>
          <w:sz w:val="14"/>
          <w:szCs w:val="14"/>
          <w:color w:val="auto"/>
        </w:rPr>
        <w:t>Issuance of common stock under employee stock purchase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39,264</w:t>
            </w:r>
          </w:p>
        </w:tc>
        <w:tc>
          <w:tcPr>
            <w:tcW w:w="11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39,264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(10,567)</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(20,814)</w:t>
            </w:r>
          </w:p>
        </w:tc>
        <w:tc>
          <w:tcPr>
            <w:tcW w:w="1140" w:type="dxa"/>
            <w:vAlign w:val="bottom"/>
          </w:tcPr>
          <w:p>
            <w:pPr>
              <w:ind w:left="140"/>
              <w:spacing w:after="0"/>
              <w:rPr>
                <w:sz w:val="20"/>
                <w:szCs w:val="20"/>
                <w:color w:val="auto"/>
              </w:rPr>
            </w:pPr>
            <w:r>
              <w:rPr>
                <w:rFonts w:ascii="Arial" w:cs="Arial" w:eastAsia="Arial" w:hAnsi="Arial"/>
                <w:sz w:val="14"/>
                <w:szCs w:val="14"/>
                <w:color w:val="auto"/>
              </w:rPr>
              <w:t>(390,489)</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(411,409)</w:t>
            </w:r>
          </w:p>
        </w:tc>
        <w:tc>
          <w:tcPr>
            <w:tcW w:w="740" w:type="dxa"/>
            <w:vAlign w:val="bottom"/>
          </w:tcPr>
          <w:p>
            <w:pPr>
              <w:jc w:val="right"/>
              <w:spacing w:after="0"/>
              <w:rPr>
                <w:sz w:val="20"/>
                <w:szCs w:val="20"/>
                <w:color w:val="auto"/>
              </w:rPr>
            </w:pPr>
            <w:r>
              <w:rPr>
                <w:rFonts w:ascii="Arial" w:cs="Arial" w:eastAsia="Arial" w:hAnsi="Arial"/>
                <w:sz w:val="14"/>
                <w:szCs w:val="14"/>
                <w:color w:val="auto"/>
              </w:rPr>
              <w:t>(10,567)</w:t>
            </w:r>
          </w:p>
        </w:tc>
      </w:tr>
      <w:tr>
        <w:trPr>
          <w:trHeight w:val="203"/>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923</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1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923</w:t>
            </w:r>
          </w:p>
        </w:tc>
      </w:tr>
      <w:tr>
        <w:trPr>
          <w:trHeight w:val="270"/>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11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39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8"/>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ind w:left="22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114</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3,776</w:t>
            </w:r>
          </w:p>
        </w:tc>
        <w:tc>
          <w:tcPr>
            <w:tcW w:w="11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3,777</w:t>
            </w: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-626110</wp:posOffset>
            </wp:positionV>
            <wp:extent cx="709803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-368935</wp:posOffset>
            </wp:positionV>
            <wp:extent cx="709803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2800" w:space="300"/>
            <w:col w:w="814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option exercises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48,532</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48,587</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ind w:left="60"/>
              <w:spacing w:after="0" w:line="143" w:lineRule="exact"/>
              <w:rPr>
                <w:sz w:val="20"/>
                <w:szCs w:val="20"/>
                <w:color w:val="auto"/>
              </w:rPr>
            </w:pPr>
            <w:r>
              <w:rPr>
                <w:rFonts w:ascii="Arial" w:cs="Arial" w:eastAsia="Arial" w:hAnsi="Arial"/>
                <w:sz w:val="14"/>
                <w:szCs w:val="14"/>
                <w:color w:val="auto"/>
                <w:w w:val="92"/>
              </w:rPr>
              <w:t>Recognized interest expense on interest rate</w:t>
            </w: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3,324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3,324</w:t>
            </w:r>
          </w:p>
        </w:tc>
        <w:tc>
          <w:tcPr>
            <w:tcW w:w="8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swaps (net of tax benefit of $980)</w:t>
            </w:r>
          </w:p>
        </w:tc>
        <w:tc>
          <w:tcPr>
            <w:tcW w:w="5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2640" w:type="dxa"/>
            <w:vAlign w:val="bottom"/>
            <w:tcBorders>
              <w:bottom w:val="single" w:sz="8" w:color="CCEEFF"/>
            </w:tcBorders>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29, 2022</w:t>
            </w: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87,079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198,016</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$ 1,268,060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1,466,946</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87,079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4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54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628,001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628,001</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Equity compensation</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21,175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21,175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w w:val="93"/>
              </w:rPr>
              <w:t>Repurchase of common stock for retirement</w:t>
            </w:r>
          </w:p>
        </w:tc>
        <w:tc>
          <w:tcPr>
            <w:tcW w:w="54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9"/>
              </w:rPr>
              <w:t>(11,904)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(29,258)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(460,098)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(489,475)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(11,904)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Settlement of vested Restricted Stock Units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ind w:left="60"/>
              <w:spacing w:after="0" w:line="143" w:lineRule="exact"/>
              <w:rPr>
                <w:sz w:val="20"/>
                <w:szCs w:val="20"/>
                <w:color w:val="auto"/>
              </w:rPr>
            </w:pPr>
            <w:r>
              <w:rPr>
                <w:rFonts w:ascii="Arial" w:cs="Arial" w:eastAsia="Arial" w:hAnsi="Arial"/>
                <w:sz w:val="14"/>
                <w:szCs w:val="14"/>
                <w:color w:val="auto"/>
                <w:w w:val="94"/>
              </w:rPr>
              <w:t>Issuance of common stock under employee</w:t>
            </w: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5,041</w:t>
            </w:r>
          </w:p>
        </w:tc>
        <w:tc>
          <w:tcPr>
            <w:tcW w:w="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5,043</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stock purchase plan</w:t>
            </w: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option exercises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21,236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w w:val="95"/>
              </w:rPr>
              <w:t>Cash dividends declared, $0.075 per share</w:t>
            </w:r>
          </w:p>
        </w:tc>
        <w:tc>
          <w:tcPr>
            <w:tcW w:w="54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(24,633)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(24,633)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28, 2023</w:t>
            </w:r>
          </w:p>
        </w:tc>
        <w:tc>
          <w:tcPr>
            <w:tcW w:w="4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216,209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$ 1,411,330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1,628,306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3800" w:type="dxa"/>
            <w:vAlign w:val="bottom"/>
            <w:gridSpan w:val="6"/>
            <w:vMerge w:val="restart"/>
          </w:tcPr>
          <w:p>
            <w:pPr>
              <w:ind w:left="20"/>
              <w:spacing w:after="0"/>
              <w:rPr>
                <w:sz w:val="20"/>
                <w:szCs w:val="20"/>
                <w:color w:val="auto"/>
              </w:rPr>
            </w:pPr>
            <w:r>
              <w:rPr>
                <w:rFonts w:ascii="Arial" w:cs="Arial" w:eastAsia="Arial" w:hAnsi="Arial"/>
                <w:sz w:val="13"/>
                <w:szCs w:val="13"/>
                <w:color w:val="auto"/>
                <w:w w:val="97"/>
              </w:rPr>
              <w:t>See Retrospective Presentation of Ownership Exchange in Note 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7"/>
              <w:spacing w:after="0" w:line="163" w:lineRule="exact"/>
              <w:rPr>
                <w:sz w:val="20"/>
                <w:szCs w:val="20"/>
                <w:color w:val="auto"/>
              </w:rPr>
            </w:pPr>
            <w:r>
              <w:rPr>
                <w:rFonts w:ascii="Arial" w:cs="Arial" w:eastAsia="Arial" w:hAnsi="Arial"/>
                <w:sz w:val="18"/>
                <w:szCs w:val="18"/>
                <w:color w:val="auto"/>
              </w:rPr>
              <w:t>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gridSpan w:val="6"/>
            <w:vMerge w:val="continue"/>
          </w:tcPr>
          <w:p>
            <w:pPr>
              <w:spacing w:after="0"/>
              <w:rPr>
                <w:sz w:val="17"/>
                <w:szCs w:val="17"/>
                <w:color w:val="auto"/>
              </w:rPr>
            </w:pPr>
          </w:p>
        </w:tc>
        <w:tc>
          <w:tcPr>
            <w:tcW w:w="3400" w:type="dxa"/>
            <w:vAlign w:val="bottom"/>
            <w:gridSpan w:val="13"/>
          </w:tcPr>
          <w:p>
            <w:pPr>
              <w:ind w:left="240"/>
              <w:spacing w:after="0"/>
              <w:rPr>
                <w:sz w:val="20"/>
                <w:szCs w:val="20"/>
                <w:color w:val="auto"/>
              </w:rPr>
            </w:pPr>
            <w:r>
              <w:rPr>
                <w:rFonts w:ascii="Arial" w:cs="Arial" w:eastAsia="Arial" w:hAnsi="Arial"/>
                <w:sz w:val="16"/>
                <w:szCs w:val="16"/>
                <w:color w:val="auto"/>
                <w:w w:val="91"/>
              </w:rPr>
              <w:t>See Notes to Consolidated Financial Statements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64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Fiscal Year Ended</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 2023</w:t>
            </w:r>
          </w:p>
        </w:tc>
        <w:tc>
          <w:tcPr>
            <w:tcW w:w="16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29, 2022</w:t>
            </w:r>
          </w:p>
        </w:tc>
        <w:tc>
          <w:tcPr>
            <w:tcW w:w="180" w:type="dxa"/>
            <w:vAlign w:val="bottom"/>
          </w:tcPr>
          <w:p>
            <w:pPr>
              <w:spacing w:after="0"/>
              <w:rPr>
                <w:sz w:val="16"/>
                <w:szCs w:val="16"/>
                <w:color w:val="auto"/>
              </w:rPr>
            </w:pP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January 30, 2021</w:t>
            </w:r>
          </w:p>
        </w:tc>
      </w:tr>
      <w:tr>
        <w:trPr>
          <w:trHeight w:val="169"/>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628,001</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671,381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308,764</w:t>
            </w:r>
          </w:p>
        </w:tc>
      </w:tr>
      <w:tr>
        <w:trPr>
          <w:trHeight w:val="191"/>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194"/>
        </w:trPr>
        <w:tc>
          <w:tcPr>
            <w:tcW w:w="60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106,762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105,274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105,481</w:t>
            </w:r>
          </w:p>
        </w:tc>
      </w:tr>
      <w:tr>
        <w:trPr>
          <w:trHeight w:val="211"/>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expense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13,880</w:t>
            </w:r>
          </w:p>
        </w:tc>
      </w:tr>
      <w:tr>
        <w:trPr>
          <w:trHeight w:val="194"/>
        </w:trPr>
        <w:tc>
          <w:tcPr>
            <w:tcW w:w="6060" w:type="dxa"/>
            <w:vAlign w:val="bottom"/>
          </w:tcPr>
          <w:p>
            <w:pPr>
              <w:ind w:left="460"/>
              <w:spacing w:after="0"/>
              <w:rPr>
                <w:sz w:val="20"/>
                <w:szCs w:val="20"/>
                <w:color w:val="auto"/>
              </w:rPr>
            </w:pPr>
            <w:r>
              <w:rPr>
                <w:rFonts w:ascii="Arial" w:cs="Arial" w:eastAsia="Arial" w:hAnsi="Arial"/>
                <w:sz w:val="14"/>
                <w:szCs w:val="14"/>
                <w:color w:val="auto"/>
              </w:rPr>
              <w:t>Equity compensation</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21,175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39,264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31,617</w:t>
            </w:r>
          </w:p>
        </w:tc>
      </w:tr>
      <w:tr>
        <w:trPr>
          <w:trHeight w:val="211"/>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 of deferred loan, terminated interest rate swaps and other costs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w:t>
            </w:r>
          </w:p>
        </w:tc>
      </w:tr>
      <w:tr>
        <w:trPr>
          <w:trHeight w:val="194"/>
        </w:trPr>
        <w:tc>
          <w:tcPr>
            <w:tcW w:w="6060" w:type="dxa"/>
            <w:vAlign w:val="bottom"/>
          </w:tcPr>
          <w:p>
            <w:pPr>
              <w:ind w:left="460"/>
              <w:spacing w:after="0"/>
              <w:rPr>
                <w:sz w:val="20"/>
                <w:szCs w:val="20"/>
                <w:color w:val="auto"/>
              </w:rPr>
            </w:pPr>
            <w:r>
              <w:rPr>
                <w:rFonts w:ascii="Arial" w:cs="Arial" w:eastAsia="Arial" w:hAnsi="Arial"/>
                <w:sz w:val="14"/>
                <w:szCs w:val="14"/>
                <w:color w:val="auto"/>
              </w:rPr>
              <w:t>Loss on swaps from debt refinancing</w:t>
            </w:r>
          </w:p>
        </w:tc>
        <w:tc>
          <w:tcPr>
            <w:tcW w:w="22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1,330</w:t>
            </w:r>
          </w:p>
        </w:tc>
      </w:tr>
      <w:tr>
        <w:trPr>
          <w:trHeight w:val="211"/>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94"/>
        </w:trPr>
        <w:tc>
          <w:tcPr>
            <w:tcW w:w="6060" w:type="dxa"/>
            <w:vAlign w:val="bottom"/>
          </w:tcPr>
          <w:p>
            <w:pPr>
              <w:ind w:left="460"/>
              <w:spacing w:after="0"/>
              <w:rPr>
                <w:sz w:val="20"/>
                <w:szCs w:val="20"/>
                <w:color w:val="auto"/>
              </w:rPr>
            </w:pPr>
            <w:r>
              <w:rPr>
                <w:rFonts w:ascii="Arial" w:cs="Arial" w:eastAsia="Arial" w:hAnsi="Arial"/>
                <w:sz w:val="14"/>
                <w:szCs w:val="14"/>
                <w:color w:val="auto"/>
              </w:rPr>
              <w:t>Non-cash (gain) loss on early retirement of debt, net</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1,963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2,239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(3,582)</w:t>
            </w:r>
          </w:p>
        </w:tc>
      </w:tr>
      <w:tr>
        <w:trPr>
          <w:trHeight w:val="211"/>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Casualty loss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2"/>
        </w:trPr>
        <w:tc>
          <w:tcPr>
            <w:tcW w:w="6060" w:type="dxa"/>
            <w:vAlign w:val="bottom"/>
          </w:tcPr>
          <w:p>
            <w:pPr>
              <w:ind w:left="46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r>
      <w:tr>
        <w:trPr>
          <w:trHeight w:val="194"/>
        </w:trPr>
        <w:tc>
          <w:tcPr>
            <w:tcW w:w="6060" w:type="dxa"/>
            <w:vAlign w:val="bottom"/>
          </w:tcPr>
          <w:p>
            <w:pPr>
              <w:ind w:left="680"/>
              <w:spacing w:after="0"/>
              <w:rPr>
                <w:sz w:val="20"/>
                <w:szCs w:val="20"/>
                <w:color w:val="auto"/>
              </w:rPr>
            </w:pPr>
            <w:r>
              <w:rPr>
                <w:rFonts w:ascii="Arial" w:cs="Arial" w:eastAsia="Arial" w:hAnsi="Arial"/>
                <w:sz w:val="14"/>
                <w:szCs w:val="14"/>
                <w:color w:val="auto"/>
              </w:rPr>
              <w:t>Merchandise inventories, net</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(111,709)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(181,774)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109,520</w:t>
            </w:r>
          </w:p>
        </w:tc>
      </w:tr>
      <w:tr>
        <w:trPr>
          <w:trHeight w:val="211"/>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w:t>
            </w:r>
          </w:p>
        </w:tc>
      </w:tr>
      <w:tr>
        <w:trPr>
          <w:trHeight w:val="194"/>
        </w:trPr>
        <w:tc>
          <w:tcPr>
            <w:tcW w:w="6060" w:type="dxa"/>
            <w:vAlign w:val="bottom"/>
          </w:tcPr>
          <w:p>
            <w:pPr>
              <w:ind w:left="680"/>
              <w:spacing w:after="0"/>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(14,088)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2,759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(2,496)</w:t>
            </w:r>
          </w:p>
        </w:tc>
      </w:tr>
      <w:tr>
        <w:trPr>
          <w:trHeight w:val="211"/>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361,518</w:t>
            </w:r>
          </w:p>
        </w:tc>
      </w:tr>
      <w:tr>
        <w:trPr>
          <w:trHeight w:val="194"/>
        </w:trPr>
        <w:tc>
          <w:tcPr>
            <w:tcW w:w="6060" w:type="dxa"/>
            <w:vAlign w:val="bottom"/>
          </w:tcPr>
          <w:p>
            <w:pPr>
              <w:ind w:left="68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(58,395)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31,935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57,376</w:t>
            </w:r>
          </w:p>
        </w:tc>
      </w:tr>
      <w:tr>
        <w:trPr>
          <w:trHeight w:val="211"/>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14,124</w:t>
            </w:r>
          </w:p>
        </w:tc>
      </w:tr>
      <w:tr>
        <w:trPr>
          <w:trHeight w:val="196"/>
        </w:trPr>
        <w:tc>
          <w:tcPr>
            <w:tcW w:w="60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14,400</w:t>
            </w:r>
          </w:p>
        </w:tc>
      </w:tr>
      <w:tr>
        <w:trPr>
          <w:trHeight w:val="196"/>
        </w:trPr>
        <w:tc>
          <w:tcPr>
            <w:tcW w:w="60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552,005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673,265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1,011,597</w:t>
            </w:r>
          </w:p>
        </w:tc>
      </w:tr>
      <w:tr>
        <w:trPr>
          <w:trHeight w:val="81"/>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(108,304)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(75,802)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(41,269)</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intangible 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060" w:type="dxa"/>
            <w:vAlign w:val="bottom"/>
          </w:tcPr>
          <w:p>
            <w:pPr>
              <w:ind w:left="240"/>
              <w:spacing w:after="0"/>
              <w:rPr>
                <w:sz w:val="20"/>
                <w:szCs w:val="20"/>
                <w:color w:val="auto"/>
              </w:rPr>
            </w:pPr>
            <w:r>
              <w:rPr>
                <w:rFonts w:ascii="Arial" w:cs="Arial" w:eastAsia="Arial" w:hAnsi="Arial"/>
                <w:sz w:val="14"/>
                <w:szCs w:val="14"/>
                <w:color w:val="auto"/>
              </w:rPr>
              <w:t>Note receivable from member</w:t>
            </w:r>
          </w:p>
        </w:tc>
        <w:tc>
          <w:tcPr>
            <w:tcW w:w="2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8,125</w:t>
            </w:r>
          </w:p>
        </w:tc>
      </w:tr>
      <w:tr>
        <w:trPr>
          <w:trHeight w:val="196"/>
        </w:trPr>
        <w:tc>
          <w:tcPr>
            <w:tcW w:w="60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(108,806)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(76,017)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(33,144)</w:t>
            </w:r>
          </w:p>
        </w:tc>
      </w:tr>
      <w:tr>
        <w:trPr>
          <w:trHeight w:val="81"/>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ABL Facility</w:t>
            </w:r>
          </w:p>
        </w:tc>
        <w:tc>
          <w:tcPr>
            <w:tcW w:w="22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ABL Facility</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Term Loan, net of discount</w:t>
            </w:r>
          </w:p>
        </w:tc>
        <w:tc>
          <w:tcPr>
            <w:tcW w:w="22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396,000</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Term Loan</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(1,461,072)</w:t>
            </w: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Notes</w:t>
            </w:r>
          </w:p>
        </w:tc>
        <w:tc>
          <w:tcPr>
            <w:tcW w:w="22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issuance fees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(14,147)</w:t>
            </w: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Share-Based Award Payments</w:t>
            </w:r>
          </w:p>
        </w:tc>
        <w:tc>
          <w:tcPr>
            <w:tcW w:w="22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(11,214)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(20,970)</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(257,000)</w:t>
            </w: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21,249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48,587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net of Offering Costs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206,970</w:t>
            </w: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under employee stock purchase program</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5,043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3,777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Repurchase of common stock for retirement</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(489,475)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(411,409)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Redeemable Membership Units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6060" w:type="dxa"/>
            <w:vAlign w:val="bottom"/>
          </w:tcPr>
          <w:p>
            <w:pPr>
              <w:ind w:left="24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(24,633)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0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(592,052)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(488,854)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(750,234)</w:t>
            </w:r>
          </w:p>
        </w:tc>
      </w:tr>
      <w:tr>
        <w:trPr>
          <w:trHeight w:val="81"/>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(148,853)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108,394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228,219</w:t>
            </w:r>
          </w:p>
        </w:tc>
      </w:tr>
      <w:tr>
        <w:trPr>
          <w:trHeight w:val="19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485,998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377,604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149,385</w:t>
            </w: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337,145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485,998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377,604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43,250</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44,710</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87,163</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168,180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15,527</w:t>
            </w:r>
          </w:p>
        </w:tc>
      </w:tr>
      <w:tr>
        <w:trPr>
          <w:trHeight w:val="95"/>
        </w:trPr>
        <w:tc>
          <w:tcPr>
            <w:tcW w:w="6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1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4"/>
        </w:trPr>
        <w:tc>
          <w:tcPr>
            <w:tcW w:w="6060" w:type="dxa"/>
            <w:vAlign w:val="bottom"/>
          </w:tcPr>
          <w:p>
            <w:pPr>
              <w:ind w:left="240"/>
              <w:spacing w:after="0"/>
              <w:rPr>
                <w:sz w:val="20"/>
                <w:szCs w:val="20"/>
                <w:color w:val="auto"/>
              </w:rPr>
            </w:pPr>
            <w:r>
              <w:rPr>
                <w:rFonts w:ascii="Arial" w:cs="Arial" w:eastAsia="Arial" w:hAnsi="Arial"/>
                <w:sz w:val="14"/>
                <w:szCs w:val="14"/>
                <w:color w:val="auto"/>
              </w:rPr>
              <w:t>Non-cash issuance of common stock</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2,646</w:t>
            </w: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capital expenditures in accounts payable and accrued liabilities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jc w:val="center"/>
        <w:ind w:right="-1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On August 3, 2011, an investment entity owned by investment funds and other entities affiliated with Kohlberg Kravis Roberts &amp; Co. L.P. (collectively, "KKR"), acquired a majority interest in the Company. Upon completion of the September 2021 Secondary Offering (as defined below), KKR no longer holds an ownership interest in the Company.</w:t>
      </w:r>
    </w:p>
    <w:p>
      <w:pPr>
        <w:spacing w:after="0" w:line="12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 xml:space="preserve">The Company is a leading full-line sporting goods and outdoor recreational products retailers in the United States in terms of net sales. As of January 28, 2023, we operated 268 "Academy Sports + Outdoors" retail locations in 18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252"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The Company’s fiscal year represents the 52 or 53 weeks ending on the Saturday closest to January 31 each year. References herein to 2022, 2021 and 2020 relate to the 52-week fiscal years ended January 28, 2023, January 29, 2022, and January 30, 2021, respectively.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On October 6, 2020, ASO, Inc. completed an initial public offering (the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1300" w:hanging="320"/>
        <w:spacing w:after="0" w:line="277" w:lineRule="auto"/>
        <w:tabs>
          <w:tab w:leader="none" w:pos="1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3, 2020, ASO, Inc.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"IPO Over-Allotment Exercise"). The option expired with respect to the remaining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approximately $20.69 per share. The Company did not receive any proceeds from the Secondary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2021 Secondary Offering and Stock Repurchase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May 2021 Underwriters, which was at a discount to the prevailing market price at the time of repurchase (see "Share Repurchases" in Note 2). The May 2021 Secondary Offering was completed on May 10, 2021. The Company did not receive any proceeds from the May 2021 Secondary Offering.</w:t>
      </w:r>
    </w:p>
    <w:p>
      <w:pPr>
        <w:spacing w:after="0" w:line="12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65" w:right="339" w:bottom="1440" w:gutter="0" w:footer="0" w:header="0"/>
        </w:sectPr>
      </w:pPr>
    </w:p>
    <w:bookmarkStart w:id="74" w:name="page75"/>
    <w:bookmarkEnd w:id="74"/>
    <w:p>
      <w:pPr>
        <w:ind w:left="332"/>
        <w:spacing w:after="0"/>
        <w:rPr>
          <w:sz w:val="20"/>
          <w:szCs w:val="20"/>
          <w:color w:val="auto"/>
        </w:rPr>
      </w:pPr>
      <w:r>
        <w:rPr>
          <w:rFonts w:ascii="Arial" w:cs="Arial" w:eastAsia="Arial" w:hAnsi="Arial"/>
          <w:sz w:val="18"/>
          <w:szCs w:val="18"/>
          <w:b w:val="1"/>
          <w:bCs w:val="1"/>
          <w:i w:val="1"/>
          <w:iCs w:val="1"/>
          <w:color w:val="auto"/>
        </w:rPr>
        <w:t>September 2021 Secondary Offering and Stock Repurchase</w:t>
      </w:r>
    </w:p>
    <w:p>
      <w:pPr>
        <w:spacing w:after="0" w:line="171" w:lineRule="exact"/>
        <w:rPr>
          <w:sz w:val="20"/>
          <w:szCs w:val="20"/>
          <w:color w:val="auto"/>
        </w:rPr>
      </w:pPr>
    </w:p>
    <w:p>
      <w:pPr>
        <w:jc w:val="both"/>
        <w:ind w:left="332" w:firstLine="324"/>
        <w:spacing w:after="0" w:line="270" w:lineRule="auto"/>
        <w:rPr>
          <w:sz w:val="20"/>
          <w:szCs w:val="20"/>
          <w:color w:val="auto"/>
        </w:rPr>
      </w:pPr>
      <w:r>
        <w:rPr>
          <w:rFonts w:ascii="Arial" w:cs="Arial" w:eastAsia="Arial" w:hAnsi="Arial"/>
          <w:sz w:val="17"/>
          <w:szCs w:val="17"/>
          <w:color w:val="auto"/>
        </w:rPr>
        <w:t>On September 14, 2021, ASO, Inc. entered into an underwriting agreement (the “September 2021 Underwriting Agreement”), by and among ASO, Inc., Allstar LLC, Allstar Co-Invest Blocker L.P. and KKR 2006 Allstar Blocker L.P. (collectively, the “September 2021 Selling Stockholders”), and Credit Suisse Securities (USA) LLC, as representative of the several underwriters named therein (the “September 2021 Underwriters”), relating to an underwritten offering (the “September 2021 Secondary Offering”) of 18,645,602 shares of common stock at approximately $43.52 per share, pursuant to the Company’s Registration Statement on Form S-1 (File No. 333-259477), filed on September 13, 2021. The September 2021 Secondary Offering also included the Company’s repurchase and simultaneous retirement of 4,500,000 shares out of the 18,645,602 shares of common stock at approximately $43.52, the same price granted to the September 2021 Underwriters, which was at a discount to the prevailing market price at the time of repurchase (see "Share Repurchases" in Note 2). The September 2021 Secondary Offering was completed on September 17, 2021. The Company did not receive any proceeds from the September 2021 Secondary Offering.</w:t>
      </w:r>
    </w:p>
    <w:p>
      <w:pPr>
        <w:spacing w:after="0" w:line="366" w:lineRule="exact"/>
        <w:rPr>
          <w:sz w:val="20"/>
          <w:szCs w:val="20"/>
          <w:color w:val="auto"/>
        </w:rPr>
      </w:pPr>
    </w:p>
    <w:p>
      <w:pPr>
        <w:ind w:left="332" w:hanging="332"/>
        <w:spacing w:after="0"/>
        <w:tabs>
          <w:tab w:leader="none" w:pos="3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jc w:val="both"/>
        <w:ind w:left="332" w:firstLine="324"/>
        <w:spacing w:after="0" w:line="279" w:lineRule="auto"/>
        <w:rPr>
          <w:sz w:val="20"/>
          <w:szCs w:val="20"/>
          <w:color w:val="auto"/>
        </w:rPr>
      </w:pPr>
      <w:r>
        <w:rPr>
          <w:rFonts w:ascii="Arial" w:cs="Arial" w:eastAsia="Arial" w:hAnsi="Arial"/>
          <w:sz w:val="17"/>
          <w:szCs w:val="17"/>
          <w:color w:val="auto"/>
        </w:rPr>
        <w:t>These consolidated financial statements include the accounts of ASO, Inc. and its subsidiaries,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spacing w:after="0" w:line="198"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52" w:lineRule="exact"/>
        <w:rPr>
          <w:sz w:val="20"/>
          <w:szCs w:val="20"/>
          <w:color w:val="auto"/>
        </w:rPr>
      </w:pPr>
    </w:p>
    <w:p>
      <w:pPr>
        <w:jc w:val="both"/>
        <w:ind w:left="332"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4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left="332" w:firstLine="324"/>
        <w:spacing w:after="0" w:line="270" w:lineRule="auto"/>
        <w:rPr>
          <w:sz w:val="20"/>
          <w:szCs w:val="20"/>
          <w:color w:val="auto"/>
        </w:rPr>
      </w:pPr>
      <w:r>
        <w:rPr>
          <w:rFonts w:ascii="Arial" w:cs="Arial" w:eastAsia="Arial" w:hAnsi="Arial"/>
          <w:sz w:val="17"/>
          <w:szCs w:val="17"/>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Statements of Income, Statements of Stockholders’ / Partners’ Equity, Note 9. Share-Based Compensation, and Note 10. Earnings per Common Share.</w:t>
      </w:r>
    </w:p>
    <w:p>
      <w:pPr>
        <w:spacing w:after="0" w:line="200" w:lineRule="exact"/>
        <w:rPr>
          <w:sz w:val="20"/>
          <w:szCs w:val="20"/>
          <w:color w:val="auto"/>
        </w:rPr>
      </w:pPr>
    </w:p>
    <w:p>
      <w:pPr>
        <w:spacing w:after="0" w:line="31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5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was dissolved and its assets were distributed to its members on December 23, 2020. Managers was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9). Each outstanding Redeemable Membership Unit in Managers corresponded to an outstanding NAHC Membership Unit, on a unit-for-unit basis.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equaled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was the sole managing member of Managers with a controlling voting interest, but no economic interest, in Managers. As the sole managing member of Managers, NAHC operated and controlled all business affairs of Managers.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instruments are comprised of cash and cash equivalents, accounts receivable, accounts payable, certain accrued liabilities and debt. The carrying amounts of cash and cash equivalents, accounts receivable, accounts payable and accrued liabilities approximate their fair values due to the short-term nature of those instruments. We have also historically entered into derivative interest rate swaps to reduce the risk that our earnings and cash flows will be affected by changes in interest rates on our debt. The fair value of debt is influenced by fluctuations in market conditions for interest rates (see Note 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which subject us to potential credit risk consist of cash and cash equivalents.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believe that the financial risks associated with these financial instruments are minimal.</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purchase merchandise inventories from approximately 1,400 vendors. In 2022, 2021 and 2020, purchases from our largest vendor represented approximately 11%, 11% and 12% of our total inventory purchases, respectively. No other vendor in any of the aforementioned years exceeded 10% of our purchases. We typically do not enter into long-term inventory purchase commitments, and we did not have any such commitments as of January 28, 2023 or January 29, 2022.</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76" w:name="page77"/>
    <w:bookmarkEnd w:id="76"/>
    <w:p>
      <w:pPr>
        <w:jc w:val="both"/>
        <w:ind w:firstLine="324"/>
        <w:spacing w:after="0" w:line="311" w:lineRule="auto"/>
        <w:rPr>
          <w:sz w:val="20"/>
          <w:szCs w:val="20"/>
          <w:color w:val="auto"/>
        </w:rPr>
      </w:pPr>
      <w:r>
        <w:rPr>
          <w:rFonts w:ascii="Arial" w:cs="Arial" w:eastAsia="Arial" w:hAnsi="Arial"/>
          <w:sz w:val="16"/>
          <w:szCs w:val="16"/>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geographic concentration in the southeastern United States subjects us to certain regional risks, such as the state of local economies, including downturns in the housing market, increased unemployment and gas prices. Other regional risks include severe weather conditions or man-made disasters (such as an oil spill closing large areas of hunting or fishing), fires, heat waves, freezes, hurricanes, tornadoes, large storms and floods and other natural disasters specific to the states in which the Company operates.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Merchandise inventories are valued at the lower of weighted average cost or last-in first-out ("LIFO") method. Merchandise inventories include the direct cost of merchandise and capitalized costs related to procurement, warehousing and distribution and are reflected net of shrinkage, vendor allowances and other valuation accounts. We record an inventory reserve for the estimated shrinkage between physical inventories on a by location basis. We generally perform a full physical inventory count for each store at least once a year, throughout the year, after which our shrinkage accrual rate for each store is updated based on historical results. For vendor allowances based on contractual provisions, we develop accrual rates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 The application of the LIFO inventory method did not result in any LIFO charges or credits affecting cost of sales in 2022, 2021 or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ectPr>
          <w:pgSz w:w="11900" w:h="16838" w:orient="portrait"/>
          <w:cols w:equalWidth="0" w:num="1">
            <w:col w:w="10900"/>
          </w:cols>
          <w:pgMar w:left="660" w:top="895" w:right="339" w:bottom="1440" w:gutter="0" w:footer="0" w:header="0"/>
        </w:sect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Lesser of asset useful life or lease term</w:t>
      </w:r>
    </w:p>
    <w:p>
      <w:pPr>
        <w:spacing w:after="0" w:line="86" w:lineRule="exact"/>
        <w:rPr>
          <w:sz w:val="20"/>
          <w:szCs w:val="20"/>
          <w:color w:val="auto"/>
        </w:rPr>
      </w:pPr>
    </w:p>
    <w:p>
      <w:pPr>
        <w:sectPr>
          <w:pgSz w:w="11900" w:h="16838" w:orient="portrait"/>
          <w:cols w:equalWidth="0" w:num="2">
            <w:col w:w="2700" w:space="720"/>
            <w:col w:w="7480"/>
          </w:cols>
          <w:pgMar w:left="660" w:top="89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Software and 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2–5 years</w:t>
      </w:r>
    </w:p>
    <w:p>
      <w:pPr>
        <w:spacing w:after="0" w:line="97" w:lineRule="exact"/>
        <w:rPr>
          <w:sz w:val="20"/>
          <w:szCs w:val="20"/>
          <w:color w:val="auto"/>
        </w:rPr>
      </w:pPr>
    </w:p>
    <w:p>
      <w:pPr>
        <w:sectPr>
          <w:pgSz w:w="11900" w:h="16838" w:orient="portrait"/>
          <w:cols w:equalWidth="0" w:num="2">
            <w:col w:w="2820" w:space="600"/>
            <w:col w:w="7480"/>
          </w:cols>
          <w:pgMar w:left="660" w:top="89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Other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5–10 years</w:t>
      </w:r>
    </w:p>
    <w:p>
      <w:pPr>
        <w:spacing w:after="0" w:line="97" w:lineRule="exact"/>
        <w:rPr>
          <w:sz w:val="20"/>
          <w:szCs w:val="20"/>
          <w:color w:val="auto"/>
        </w:rPr>
      </w:pPr>
    </w:p>
    <w:p>
      <w:pPr>
        <w:sectPr>
          <w:pgSz w:w="11900" w:h="16838" w:orient="portrait"/>
          <w:cols w:equalWidth="0" w:num="2">
            <w:col w:w="2700" w:space="720"/>
            <w:col w:w="7480"/>
          </w:cols>
          <w:pgMar w:left="660" w:top="89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7–10 years</w:t>
      </w:r>
    </w:p>
    <w:p>
      <w:pPr>
        <w:spacing w:after="0" w:line="211" w:lineRule="exact"/>
        <w:rPr>
          <w:sz w:val="20"/>
          <w:szCs w:val="20"/>
          <w:color w:val="auto"/>
        </w:rPr>
      </w:pPr>
    </w:p>
    <w:p>
      <w:pPr>
        <w:sectPr>
          <w:pgSz w:w="11900" w:h="16838" w:orient="portrait"/>
          <w:cols w:equalWidth="0" w:num="2">
            <w:col w:w="2700" w:space="720"/>
            <w:col w:w="7480"/>
          </w:cols>
          <w:pgMar w:left="660" w:top="895" w:right="339" w:bottom="1440" w:gutter="0" w:footer="0" w:header="0"/>
          <w:type w:val="continuous"/>
        </w:sectPr>
      </w:pP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Computer Software Costs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$33.3 million, $36.7 million and $14.5 million in 2022, 2021 and 2020, respectively.</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Implementation costs for cloud-based information technology systems are capitalized in other non-current assets. Amortization of cloud-based software implementation costs is recognized in selling, general and administrative expenses and amortized over the contract terms. The amounts capitalized were $12.3 million, $3.7 million and $1.8 million in 2022, 2021 and 2020, respectively.</w:t>
      </w: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capitalized interest primarily related to construction of new stores, store renovations, distribution centers and IT projects in the amount of $0.6 million, $0.4 million and $0.6 million in 2022, 2021 and 2020, respectively. Interest expense, net on the consolidated statement of income is shown net of capitalized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review the carrying value of long-lived assets, including store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 As a result of our assessment, we did not record an impairment of long-lived assets in 2022, 2021 and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 In 2022, 2021 and 2020, we performed a qualitative assessment and determined a quantitative assessment was not necessary.</w:t>
      </w:r>
    </w:p>
    <w:p>
      <w:pPr>
        <w:spacing w:after="0" w:line="2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impairment of goodwill existed for 2022, 2021 or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primarily consists of the trade name "Academy Sports + Outdoors" (the "Trade Name"). The Trade Name is expected to generate cash flows indefinitely and, therefore, is accounted for as an indefinite-lived asset not subject to amortization.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Trade Name is tested for impairment annually or whenever events or circumstances indicate that the carrying amount of the Trade Name may not be recoverable. The annual Trade Name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for the Trade Name. However, if the qualitative assessment leads to a determination that it is more likely than not that the fair value of a reporting unit is greater than its carrying amount, then no further assessments are required. In 2022, 2021 and 2020, we performed a qualitative assessment and determined a quantitative assessment was not necessary.</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78" w:name="page79"/>
    <w:bookmarkEnd w:id="78"/>
    <w:p>
      <w:pPr>
        <w:jc w:val="both"/>
        <w:ind w:firstLine="324"/>
        <w:spacing w:after="0" w:line="296" w:lineRule="auto"/>
        <w:rPr>
          <w:sz w:val="20"/>
          <w:szCs w:val="20"/>
          <w:color w:val="auto"/>
        </w:rPr>
      </w:pPr>
      <w:r>
        <w:rPr>
          <w:rFonts w:ascii="Arial" w:cs="Arial" w:eastAsia="Arial" w:hAnsi="Arial"/>
          <w:sz w:val="16"/>
          <w:szCs w:val="16"/>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impairment of intangible assets existed for 2022, 2021 or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252" w:lineRule="exact"/>
        <w:rPr>
          <w:sz w:val="20"/>
          <w:szCs w:val="20"/>
          <w:color w:val="auto"/>
        </w:rPr>
      </w:pPr>
    </w:p>
    <w:p>
      <w:pPr>
        <w:jc w:val="both"/>
        <w:ind w:firstLine="373"/>
        <w:spacing w:after="0" w:line="257" w:lineRule="auto"/>
        <w:rPr>
          <w:sz w:val="20"/>
          <w:szCs w:val="20"/>
          <w:color w:val="auto"/>
        </w:rPr>
      </w:pPr>
      <w:r>
        <w:rPr>
          <w:rFonts w:ascii="Arial" w:cs="Arial" w:eastAsia="Arial" w:hAnsi="Arial"/>
          <w:sz w:val="18"/>
          <w:szCs w:val="18"/>
          <w:color w:val="auto"/>
        </w:rPr>
        <w:t>Costs incurred to issue debt are deferred and recorded in the consolidated balance sheets. Those costs related to the issuance of our term loan and senior notes are recorded in long-term debt, net of current maturities and amortized as a component of interest expense over the terms of the related debt agreement using the effective interest method. The costs related to the issuance of our revolving credit facility is recorded in other noncurrent assets on the consolidated balance sheets and amortized as a component of interest expense over the terms of the related debt agreements using the straight-line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exposed to interest rate risk, primarily related to changes in interest rates on our Term Loan (see Note 4) and have historically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financial instruments are recognized at fair value in the consolidated balance sheets (see Note 5). The changes in the fair value of derivative instruments designated as cash flow hedges are recorded in accumulated other comprehensive income ("AOCI"), net of tax effects, and are subsequently reclassified to earnings when the hedged transaction affects earnings. On January 19, 2021, we settled our three remaining outstanding interest rate swaps, which were scheduled to expire on various dates during 2021, for $4.1 million. As of January 28, 2023, we do not have any derivative financial instruments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account for our leases in accordance with Accounting Standards Codification ("ASC") 842 which requires that lessees recognize assets and liabilities arising from operating leases on the balance sheet and disclose key information about leasing arrangements.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Cash received from a landlord for tenant improvement allowances in store lease transactions not considered a sale-leaseback transaction are a reduction to the right-of-use assets on the balance sheet, which are amortized ratably over the remaining terms of the corresponding leases.</w:t>
      </w: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79" w:name="page80"/>
    <w:bookmarkEnd w:id="79"/>
    <w:p>
      <w:pPr>
        <w:jc w:val="both"/>
        <w:ind w:firstLine="324"/>
        <w:spacing w:after="0" w:line="259" w:lineRule="auto"/>
        <w:rPr>
          <w:sz w:val="20"/>
          <w:szCs w:val="20"/>
          <w:color w:val="auto"/>
        </w:rPr>
      </w:pPr>
      <w:r>
        <w:rPr>
          <w:rFonts w:ascii="Arial" w:cs="Arial" w:eastAsia="Arial" w:hAnsi="Arial"/>
          <w:sz w:val="18"/>
          <w:szCs w:val="18"/>
          <w:color w:val="auto"/>
        </w:rPr>
        <w:t>We account for each lease and non-lease components for our building leases as a single lease component which allows certain costs such as common area maintenance associated with these leases to be included as rent expense. We exclude leases with contract terms of 12 months or less from ASC 842 accounting treatment, which results in straight-line recognition of the cost over the lease term with no associated balance sheet lease liability or right-of-use asset.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goods sold includes the direct cost of merchandise and costs related to procurement, warehousing and distribution. These costs consist primarily of payroll and benefits, occupancy costs and freight.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such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include store and corporate administrative payroll and payroll benefits, store and corporate headquarters occupancy costs, depreciation, advertising, credit card processing, information technology, pre-opening costs and other store and administrative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net of specific vendor allowances, were $144.5 million, $151.2 million and $122.8 million in 2022, 2021 and 2020, respectively.</w:t>
      </w: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Non-capital expenditures associated with opening new stores and distribution centers prior to sales generation or start of operations, which consist primarily of occupancy costs, marketing, payroll and recruiting costs, are expensed as incurred. Pre-opening expenses for our new stores were $5.5 million and $0.2 million in 2022 and 2021, respectively. There were no pre-opening expenses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equity compensation in accordance with ASC 718,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recognize forfeitures as they occur.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jc w:val="both"/>
        <w:ind w:firstLine="401"/>
        <w:spacing w:after="0" w:line="296" w:lineRule="auto"/>
        <w:rPr>
          <w:sz w:val="20"/>
          <w:szCs w:val="20"/>
          <w:color w:val="auto"/>
        </w:rPr>
      </w:pPr>
      <w:r>
        <w:rPr>
          <w:rFonts w:ascii="Arial" w:cs="Arial" w:eastAsia="Arial" w:hAnsi="Arial"/>
          <w:sz w:val="16"/>
          <w:szCs w:val="16"/>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spacing w:after="0" w:line="10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138"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In 2022 and 2021, we repurchased and concurrently retired 11,903,636 and 10,566,796 shares of ASO, Inc. common stock for an aggregate amount of $489.5 million and $411.4 million, respectively, which includes purchases that were made pursuant to the Share Repurchase Programs and those that were made prior to our Share Repurchase Programs. As of January 28, 2023, we no longer had availability under the 2021 Share Repurchase Program, and we had $299.4 million available for share repurchases pursuant to the 2022 Share Repurchase Program. 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1" w:name="page82"/>
    <w:bookmarkEnd w:id="81"/>
    <w:p>
      <w:pPr>
        <w:jc w:val="both"/>
        <w:ind w:firstLine="324"/>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Proceeds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fiscal year ended January 28, 2023, the Company received and recognized approximately $7.2 million in business interruption proceeds due to the suspension of normal operations at some of our Texas store locations, as well as our e-commerce platform, for several days in February of 2021 as a result of a winter storm which had a significant impact on the energy infrastructure in the state of Texas. These proceeds are included in Other (income), net on the Consolidated Statements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Comprehensive income represents the net income for the period plus the results of certain changes to stockholders' equity (other comprehensive income) that are not reflected in the consolidated statements of income. Other comprehensive income consists of adjustments, net of tax, related to the Company’s historical ownership of interest rate swaps.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 we report our financial results as one reportable segment. Substantially all of the Company’s identifiable assets are located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March 2020, the FASB issued ASU 2020-04: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In December 2022, the FASB issued ASU 2022-06 which extended the effectiveness of this guidance to December 31, 2024. The Company intends to utilize certain expedients provided by this amendment upon our transition from LIBOR.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Finance Programs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September 2022, the FASB issued ASU 2022-04: Liabilities - Supplier Finance Programs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adoption of these amendments is effective for fiscal years beginning after December 15, 2022, including interim periods within those fiscal years, except the amendment on roll-forward information, which is effective for fiscal years beginning after December 15, 2023. Early adoption is permitted. The Company is currently evaluating the impact that the adoption of this accounting standard will have on its financial disclosures.</w:t>
      </w:r>
    </w:p>
    <w:p>
      <w:pPr>
        <w:spacing w:after="0" w:line="200" w:lineRule="exact"/>
        <w:rPr>
          <w:sz w:val="20"/>
          <w:szCs w:val="20"/>
          <w:color w:val="auto"/>
        </w:rPr>
      </w:pPr>
    </w:p>
    <w:p>
      <w:pPr>
        <w:spacing w:after="0" w:line="3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82" w:name="page83"/>
    <w:bookmarkEnd w:id="82"/>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left="340" w:right="540" w:firstLine="324"/>
        <w:spacing w:after="0" w:line="271" w:lineRule="auto"/>
        <w:rPr>
          <w:sz w:val="20"/>
          <w:szCs w:val="20"/>
          <w:color w:val="auto"/>
        </w:rPr>
      </w:pPr>
      <w:r>
        <w:rPr>
          <w:rFonts w:ascii="Arial" w:cs="Arial" w:eastAsia="Arial" w:hAnsi="Arial"/>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29, 2022</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division sales</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Outdoors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1,940,811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2,174,650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1,968,514</w:t>
            </w:r>
          </w:p>
        </w:tc>
      </w:tr>
      <w:tr>
        <w:trPr>
          <w:trHeight w:val="229"/>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Sports and recreation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1,366,785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1,256,357</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Apparel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1,759,005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1,810,345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1,390,519</w:t>
            </w:r>
          </w:p>
        </w:tc>
      </w:tr>
      <w:tr>
        <w:trPr>
          <w:trHeight w:val="230"/>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Footwear</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1,291,224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1,290,197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1,044,502</w:t>
            </w:r>
          </w:p>
        </w:tc>
      </w:tr>
      <w:tr>
        <w:trPr>
          <w:trHeight w:val="223"/>
        </w:trPr>
        <w:tc>
          <w:tcPr>
            <w:tcW w:w="4980" w:type="dxa"/>
            <w:vAlign w:val="bottom"/>
          </w:tcPr>
          <w:p>
            <w:pPr>
              <w:ind w:left="36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6,357,825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6,738,364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5,659,892</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6,395,073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6,773,128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5,689,233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E-commerce sales consisted of 10.7%, 9.3% and 10.4% of merchandise sales for 2022, 2021 and 2020, respectively.</w:t>
      </w:r>
    </w:p>
    <w:p>
      <w:pPr>
        <w:spacing w:after="0" w:line="1" w:lineRule="exact"/>
        <w:rPr>
          <w:rFonts w:ascii="Arial" w:cs="Arial" w:eastAsia="Arial" w:hAnsi="Arial"/>
          <w:sz w:val="23"/>
          <w:szCs w:val="23"/>
          <w:color w:val="auto"/>
          <w:vertAlign w:val="superscript"/>
        </w:rPr>
      </w:pPr>
    </w:p>
    <w:p>
      <w:pPr>
        <w:ind w:left="660" w:hanging="328"/>
        <w:spacing w:after="0" w:line="219" w:lineRule="auto"/>
        <w:tabs>
          <w:tab w:leader="none" w:pos="648"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Other sales consists primarily of the gift card breakage income, credit card bounties and royalties, shipping income, net hunting and fishing license income, sales return allowance and other items.</w:t>
      </w:r>
    </w:p>
    <w:p>
      <w:pPr>
        <w:spacing w:after="0" w:line="148"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sell gift cards in stores, online and in third-party retail locations. The gift cards we sell have no expiration dates. A liability for gift cards, which is recorded in accrued expenses and other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rPr>
              <w:t>The following is a reconciliation of the gift card liability (amounts in thousands):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2"/>
              </w:rPr>
              <w:t>Fiscal Year Ended</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January 28, 2023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7"/>
              </w:rPr>
              <w:t>January 29, 2022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5"/>
              </w:rPr>
              <w:t>January 30, 2021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beginning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Issued</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134,091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136,553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Redeemed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(100,678)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as breakage income</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90,650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86,568</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w w:val="96"/>
              </w:rPr>
              <w:t>Our debt consisted of the following (amounts in thousands) as of:</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January 28, 2023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January 29, 2022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 due November 2025</w:t>
            </w:r>
          </w:p>
        </w:tc>
        <w:tc>
          <w:tcPr>
            <w:tcW w:w="1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Term Loan, due November 2027</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194,750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297,750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November 2027</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594,750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697,750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Less unamortized discount on Term Loan</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584,456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20" w:hanging="188"/>
        <w:spacing w:after="0"/>
        <w:tabs>
          <w:tab w:leader="none" w:pos="520"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Deferred loan costs are related to the Term Loan and Notes.</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3" w:name="page84"/>
    <w:bookmarkEnd w:id="83"/>
    <w:p>
      <w:pPr>
        <w:jc w:val="both"/>
        <w:ind w:firstLine="324"/>
        <w:spacing w:after="0" w:line="279" w:lineRule="auto"/>
        <w:rPr>
          <w:sz w:val="20"/>
          <w:szCs w:val="20"/>
          <w:color w:val="auto"/>
        </w:rPr>
      </w:pPr>
      <w:r>
        <w:rPr>
          <w:rFonts w:ascii="Arial" w:cs="Arial" w:eastAsia="Arial" w:hAnsi="Arial"/>
          <w:sz w:val="17"/>
          <w:szCs w:val="17"/>
          <w:color w:val="auto"/>
        </w:rPr>
        <w:t>As of January 28, 2023 and January 29, 2022, the balance in deferred loan costs related to the ABL Facility (as defined below) was approximately $3.2 million and $4.3 million, respectively, and was included in other noncurrent assets on our consolidated balance sheets. Total amortization of deferred loan costs was $2.6 million, $2.7 million and $2.6 million in 2022, 2021 and 2020, respectively. Total expenses related to accretion of original issuance discount were $0.4 million, $0.5 million and $1.0 million in 2022, 2021 and 2020, respectively.</w:t>
      </w:r>
    </w:p>
    <w:p>
      <w:pPr>
        <w:spacing w:after="0" w:line="11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May 25, 2021, the Company refinanced its 2020 Term Loan and paid down approximately $99.0 million of the 2020 Term Loan. On December 15, 2022, the Company utilized cash on hand to voluntarily prepay $100.0 million of outstanding borrowings of the Term Loan.</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refer to the 2015 Term Loan, the 2020 Term Loan and the Amendment collectively as the "Term Loan".</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2, 2015, Academy, Ltd. entered into a seven-year $1.8 billion senior secured term loan (the "2015 Term Loan") with Morgan Stanley Senior Funding, Inc., as the administrative and collateral agent, and other lenders, and a five-year $650 million secured asset-based revolving credit facility (the "2015 ABL Facility") with JPMorgan Chase Bank, N.A., as administrative agent, and other lenders. Academy, Ltd. received proceeds from the 2015 Term Loan of $1.8 billion, which was net of discount of $9.1 million. The 2015 Term Loan bore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were required through June 30, 2022, with the balance due in full on the maturity date of July 2, 2022.</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Refinancing Transactions, we repurchased $23.9 million of principal on our Term Loan for $16.0 million, resulting in a net gain of $7.8 million. In connection to the Refinancing Transactions, the Company also recognized an offsetting non-cash loss on early retirement of debt of $4.2 million from the write-off of deferred loan costs associated with the early retirement of the 2015 Term Loan. The net result of these transactions resulted in a $3.6 million gain on early retirement of debt in 2020.</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November 6, 2020, as a part of the Refinancing Transactions,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January 28, 2023, the weighted average interest rate was 8.12%, with interest payable monthly. The terms and conditions of the Amendment also require that the outstanding balance under the Term Loan is prepaid under certain circumstances. In connection with the 2020 Term Loan and the Amendment, the Company capitalized related professional fees of $5.8 million as deferred loan costs.</w:t>
      </w: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4" w:name="page85"/>
    <w:bookmarkEnd w:id="84"/>
    <w:p>
      <w:pPr>
        <w:jc w:val="both"/>
        <w:ind w:right="20" w:firstLine="324"/>
        <w:spacing w:after="0" w:line="342" w:lineRule="auto"/>
        <w:rPr>
          <w:sz w:val="20"/>
          <w:szCs w:val="20"/>
          <w:color w:val="auto"/>
        </w:rPr>
      </w:pPr>
      <w:r>
        <w:rPr>
          <w:rFonts w:ascii="Arial" w:cs="Arial" w:eastAsia="Arial" w:hAnsi="Arial"/>
          <w:sz w:val="16"/>
          <w:szCs w:val="16"/>
          <w:color w:val="auto"/>
        </w:rPr>
        <w:t>In connection with the principal payment in the Amendment, the Company recognized a non-cash loss on early retirement of debt of $2.2 million in 2021 from the write-off of deferred loan costs and expense related to the original issuance discount associated with our 2020 Term Loan.</w:t>
      </w:r>
    </w:p>
    <w:p>
      <w:pPr>
        <w:spacing w:after="0" w:line="15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December 15, 2022, the Company utilized cash on hand to voluntarily prepay $100.0 million of outstanding borrowings under the Term Loan. In connection with this principal payment, the Company recognized a non-cash loss on early retirement of debt of $2.0 million from the write-off of deferred loan costs related to the original issuance discount associated with the Term Loan.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Amended Credit Agreement contains customary events of default such as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January 28, 2023, no prepayment was due under the terms and conditions of the Term Loan.</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Notes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6, 2020, as a part of the Refinancing Transactions, Academy, Ltd. issued $400.0 million of 6.00% senior secured notes which are due November 15, 2027 (the "Notes"), pursuant to an indenture, dated as of November 6, 2020 (the "Indenture"), with Academy, Ltd. the Guarantors (as defined below) and The Bank of New York Mellon Trust Company, N.A., as trustee and collateral agent (in such capacity, the "Notes Collateral Agent"). The Notes pay interest semi-annually in arrears in cash on May 15 and November 15 of each year at a rate of 6.00% per year, commencing on May 15, 2021. In connection with issuance of the Notes, the Company capitalized related professional fees of $5.2 million as deferred loan costs.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85" w:name="page86"/>
    <w:bookmarkEnd w:id="85"/>
    <w:p>
      <w:pPr>
        <w:ind w:left="320"/>
        <w:spacing w:after="0"/>
        <w:rPr>
          <w:sz w:val="20"/>
          <w:szCs w:val="20"/>
          <w:color w:val="auto"/>
        </w:rPr>
      </w:pPr>
      <w:r>
        <w:rPr>
          <w:rFonts w:ascii="Arial" w:cs="Arial" w:eastAsia="Arial" w:hAnsi="Arial"/>
          <w:sz w:val="18"/>
          <w:szCs w:val="18"/>
          <w:b w:val="1"/>
          <w:bCs w:val="1"/>
          <w:i w:val="1"/>
          <w:iCs w:val="1"/>
          <w:u w:val="single" w:color="auto"/>
          <w:color w:val="auto"/>
        </w:rPr>
        <w:t>ABL Facility</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refer to the 2015 ABL Facility and the 2020 ABL Facility collectively as the "ABL Facility".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 2015, Academy, Ltd. entered into a five-year $650 million secured asset-based revolving credit facility (the "2015 ABL Facility"). On May 22, 2018, the Company amended the agreement governing the 2015 ABL Facility, to increase the commitment on the facility from $650 million to $1 billion. In connection with the amendment to the 2015 ABL Facility, the Company capitalized related professional fees of $2.8 million as deferred loan costs and wrote off $0.1 million in previously capitalized deferred loan costs. The 2015 ABL Facility was scheduled to mature on May 22, 2023.</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6, 2020, as a part of the Refinancing Transactions, Academy, Ltd., as borrower, and the Guarantors, as guarantors, amended the 2015 ABL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(the "2020 ABL Facility"), among other things, extended the maturity of Academy, Ltd.’s asset-based revolving credit facility thereunder to November 6, 2025. In connection with the 2020 ABL Facility, the Company capitalized related professional fees of $3.1 million as deferred loan costs.</w:t>
      </w:r>
    </w:p>
    <w:p>
      <w:pPr>
        <w:spacing w:after="0" w:line="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January 28, 2023, we had outstanding letters of credit of approximately $13.9 million, all of which were issued under the ABL Facility, and we had no borrowings outstanding under the ABL Facility, leaving the available borrowing capacity under the ABL Facility of $947.8 million.</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January 28, 2023, no future prepayments of outstanding loans have been triggered under the terms and conditions of the ABL Facility.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u w:val="single" w:color="auto"/>
          <w:color w:val="auto"/>
        </w:rPr>
        <w:t>Liens and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ABL Facility has a first priority lien on all Academy, Ltd.'s cash, accounts receivable, inventory, deposit and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and proceeds therefrom (the "ABL Collateral"). Additionally, the ABL Facility has a second priority lien on all other collateral of the Term Loan. All obligations under the Term Loan and the guarantees of those obligations are secured by:</w:t>
      </w:r>
    </w:p>
    <w:p>
      <w:pPr>
        <w:spacing w:after="0" w:line="130" w:lineRule="exact"/>
        <w:rPr>
          <w:sz w:val="20"/>
          <w:szCs w:val="20"/>
          <w:color w:val="auto"/>
        </w:rPr>
      </w:pPr>
    </w:p>
    <w:p>
      <w:pPr>
        <w:ind w:left="720" w:hanging="323"/>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23" w:lineRule="exact"/>
        <w:rPr>
          <w:rFonts w:ascii="Arial" w:cs="Arial" w:eastAsia="Arial" w:hAnsi="Arial"/>
          <w:sz w:val="18"/>
          <w:szCs w:val="18"/>
          <w:color w:val="auto"/>
        </w:rPr>
      </w:pPr>
    </w:p>
    <w:p>
      <w:pPr>
        <w:ind w:left="720" w:right="20" w:hanging="323"/>
        <w:spacing w:after="0" w:line="250"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 the Guarantors; and</w:t>
      </w:r>
    </w:p>
    <w:p>
      <w:pPr>
        <w:ind w:left="720" w:right="20" w:hanging="323"/>
        <w:spacing w:after="0" w:line="290" w:lineRule="auto"/>
        <w:tabs>
          <w:tab w:leader="none" w:pos="7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2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6" w:name="page87"/>
    <w:bookmarkEnd w:id="86"/>
    <w:p>
      <w:pPr>
        <w:ind w:left="332" w:firstLine="324"/>
        <w:spacing w:after="0" w:line="277" w:lineRule="auto"/>
        <w:rPr>
          <w:sz w:val="20"/>
          <w:szCs w:val="20"/>
          <w:color w:val="auto"/>
        </w:rPr>
      </w:pPr>
      <w:r>
        <w:rPr>
          <w:rFonts w:ascii="Arial" w:cs="Arial" w:eastAsia="Arial" w:hAnsi="Arial"/>
          <w:sz w:val="18"/>
          <w:szCs w:val="18"/>
          <w:color w:val="auto"/>
        </w:rPr>
        <w:t>The Term Loan is guaranteed by the Guarantors on a senior secured basis. All obligations under the Term Loan and the guarantees of those obligations will be secured by:</w:t>
      </w:r>
    </w:p>
    <w:p>
      <w:pPr>
        <w:spacing w:after="0" w:line="116" w:lineRule="exact"/>
        <w:rPr>
          <w:sz w:val="20"/>
          <w:szCs w:val="20"/>
          <w:color w:val="auto"/>
        </w:rPr>
      </w:pPr>
    </w:p>
    <w:p>
      <w:pPr>
        <w:ind w:left="1052" w:hanging="323"/>
        <w:spacing w:after="0"/>
        <w:tabs>
          <w:tab w:leader="none" w:pos="10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second-priority security interest in the ABL Priority Collateral;</w:t>
      </w:r>
    </w:p>
    <w:p>
      <w:pPr>
        <w:spacing w:after="0" w:line="23" w:lineRule="exact"/>
        <w:rPr>
          <w:rFonts w:ascii="Arial" w:cs="Arial" w:eastAsia="Arial" w:hAnsi="Arial"/>
          <w:sz w:val="18"/>
          <w:szCs w:val="18"/>
          <w:color w:val="auto"/>
        </w:rPr>
      </w:pPr>
    </w:p>
    <w:p>
      <w:pPr>
        <w:ind w:left="1052" w:hanging="323"/>
        <w:spacing w:after="0" w:line="250" w:lineRule="auto"/>
        <w:tabs>
          <w:tab w:leader="none" w:pos="10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and the Guarantors; and</w:t>
      </w:r>
    </w:p>
    <w:p>
      <w:pPr>
        <w:ind w:left="1052" w:hanging="323"/>
        <w:spacing w:after="0" w:line="260" w:lineRule="auto"/>
        <w:tabs>
          <w:tab w:leader="none" w:pos="10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131"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spacing w:after="0" w:line="130" w:lineRule="exact"/>
        <w:rPr>
          <w:sz w:val="20"/>
          <w:szCs w:val="20"/>
          <w:color w:val="auto"/>
        </w:rPr>
      </w:pPr>
    </w:p>
    <w:p>
      <w:pPr>
        <w:ind w:left="1052" w:hanging="323"/>
        <w:spacing w:after="0"/>
        <w:tabs>
          <w:tab w:leader="none" w:pos="10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first-priority lien on all of Academy, Ltd.’s and the Guarantors’ personal property that secure the Term Loan on a first-priority basis; and</w:t>
      </w:r>
    </w:p>
    <w:p>
      <w:pPr>
        <w:spacing w:after="0" w:line="46" w:lineRule="exact"/>
        <w:rPr>
          <w:rFonts w:ascii="Arial" w:cs="Arial" w:eastAsia="Arial" w:hAnsi="Arial"/>
          <w:sz w:val="16"/>
          <w:szCs w:val="16"/>
          <w:color w:val="auto"/>
        </w:rPr>
      </w:pPr>
    </w:p>
    <w:p>
      <w:pPr>
        <w:jc w:val="both"/>
        <w:ind w:left="1052" w:hanging="323"/>
        <w:spacing w:after="0" w:line="277" w:lineRule="auto"/>
        <w:tabs>
          <w:tab w:leader="none" w:pos="1047"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spacing w:after="0" w:line="200"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b w:val="1"/>
          <w:bCs w:val="1"/>
          <w:i w:val="1"/>
          <w:iCs w:val="1"/>
          <w:u w:val="single" w:color="auto"/>
          <w:color w:val="auto"/>
        </w:rPr>
        <w:t>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ABL Facility, Term Loan and Notes agreements contain covenants, including, among other things, covenants that may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January 28, 2023.</w:t>
      </w:r>
    </w:p>
    <w:p>
      <w:pPr>
        <w:spacing w:after="0" w:line="215"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8980" w:type="dxa"/>
            <w:vAlign w:val="bottom"/>
            <w:gridSpan w:val="4"/>
          </w:tcPr>
          <w:p>
            <w:pPr>
              <w:spacing w:after="0"/>
              <w:rPr>
                <w:sz w:val="20"/>
                <w:szCs w:val="20"/>
                <w:color w:val="auto"/>
              </w:rPr>
            </w:pPr>
            <w:r>
              <w:rPr>
                <w:rFonts w:ascii="Arial" w:cs="Arial" w:eastAsia="Arial" w:hAnsi="Arial"/>
                <w:sz w:val="18"/>
                <w:szCs w:val="18"/>
                <w:color w:val="auto"/>
              </w:rPr>
              <w:t>As of January 28, 2023, scheduled principal payments on our debt are as follows (amounts in thousands):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582,750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594,750</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2" w:hanging="332"/>
        <w:spacing w:after="0"/>
        <w:tabs>
          <w:tab w:leader="none" w:pos="3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We have historically used interest rate swap agreements to hedge market risk relating to possible adverse changes in interest rates.</w:t>
      </w:r>
    </w:p>
    <w:p>
      <w:pPr>
        <w:spacing w:after="0" w:line="171"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All interest rate swaps had been designated as cash flow hedges of variable rate interest payments on borrowings under the Term Loan. On October 28, 2020, we determined that a portion of the underlying cash flows related to $100.0 million of swap notional principal amount was no longer probable of occurring over the remaining term of the interest rate swaps as a result of the Company's Refinancing Transactions. As a result, we reclassified approximately $1.3 million of losses from accumulated other comprehensive loss ("AOCI") to other (income) expense, net in the third quarter of 2020 related to the portion of the forecasted transaction no longer considered probable of occurring. On January 19, 2021, we settled our three remaining outstanding interest rate swaps in full, which were scheduled to expire on various dates during 2021, for $4.1 million. As of January 28, 2023, we do not have any derivative financial instruments outstanding.</w:t>
      </w:r>
    </w:p>
    <w:p>
      <w:pPr>
        <w:spacing w:after="0" w:line="204" w:lineRule="exact"/>
        <w:rPr>
          <w:sz w:val="20"/>
          <w:szCs w:val="20"/>
          <w:color w:val="auto"/>
        </w:rPr>
      </w:pPr>
    </w:p>
    <w:p>
      <w:pPr>
        <w:jc w:val="both"/>
        <w:ind w:left="332" w:firstLine="324"/>
        <w:spacing w:after="0" w:line="308" w:lineRule="auto"/>
        <w:rPr>
          <w:sz w:val="20"/>
          <w:szCs w:val="20"/>
          <w:color w:val="auto"/>
        </w:rPr>
      </w:pPr>
      <w:r>
        <w:rPr>
          <w:rFonts w:ascii="Arial" w:cs="Arial" w:eastAsia="Arial" w:hAnsi="Arial"/>
          <w:sz w:val="17"/>
          <w:szCs w:val="17"/>
          <w:color w:val="auto"/>
        </w:rPr>
        <w:t>For derivatives previously designated as hedging instruments, amounts included in AOCI were reclassified to interest expense in the same period during which the hedged transaction affected earnings, which is as interest expense was recorded on the underlying Term Loan.</w:t>
      </w:r>
    </w:p>
    <w:p>
      <w:pPr>
        <w:spacing w:after="0" w:line="200" w:lineRule="exact"/>
        <w:rPr>
          <w:sz w:val="20"/>
          <w:szCs w:val="20"/>
          <w:color w:val="auto"/>
        </w:rPr>
      </w:pPr>
    </w:p>
    <w:p>
      <w:pPr>
        <w:spacing w:after="0" w:line="28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57" w:right="339" w:bottom="1440" w:gutter="0" w:footer="0" w:header="0"/>
        </w:sectPr>
      </w:pPr>
    </w:p>
    <w:bookmarkStart w:id="87" w:name="page88"/>
    <w:bookmarkEnd w:id="87"/>
    <w:p>
      <w:pPr>
        <w:ind w:left="332" w:right="20" w:firstLine="324"/>
        <w:spacing w:after="0" w:line="271" w:lineRule="auto"/>
        <w:rPr>
          <w:sz w:val="20"/>
          <w:szCs w:val="20"/>
          <w:color w:val="auto"/>
        </w:rPr>
      </w:pPr>
      <w:r>
        <w:rPr>
          <w:rFonts w:ascii="Arial" w:cs="Arial" w:eastAsia="Arial" w:hAnsi="Arial"/>
          <w:sz w:val="18"/>
          <w:szCs w:val="18"/>
          <w:color w:val="auto"/>
        </w:rPr>
        <w:t>The impact of gains and losses related to interest rate swaps that were deferred into AOCI and subsequently reclassified into expense is as follows (amounts in thousands):</w:t>
      </w:r>
    </w:p>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Accumulated Other Comprehensive Income (Loss), beginning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176"/>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rPr>
              <w:t>Loss deferred into AOCI (net of tax impact of $0, $0, and</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60" w:type="dxa"/>
            <w:vAlign w:val="bottom"/>
          </w:tcPr>
          <w:p>
            <w:pPr>
              <w:ind w:left="220"/>
              <w:spacing w:after="0" w:line="189" w:lineRule="exact"/>
              <w:rPr>
                <w:sz w:val="20"/>
                <w:szCs w:val="20"/>
                <w:color w:val="auto"/>
              </w:rPr>
            </w:pPr>
            <w:r>
              <w:rPr>
                <w:rFonts w:ascii="Arial" w:cs="Arial" w:eastAsia="Arial" w:hAnsi="Arial"/>
                <w:sz w:val="18"/>
                <w:szCs w:val="18"/>
                <w:color w:val="auto"/>
                <w:w w:val="92"/>
              </w:rPr>
              <w:t>$350 for the years ended January 28, 2023, January 29, 2022,</w:t>
            </w:r>
          </w:p>
        </w:tc>
        <w:tc>
          <w:tcPr>
            <w:tcW w:w="180" w:type="dxa"/>
            <w:vAlign w:val="bottom"/>
          </w:tcPr>
          <w:p>
            <w:pPr>
              <w:spacing w:after="0"/>
              <w:rPr>
                <w:sz w:val="16"/>
                <w:szCs w:val="16"/>
                <w:color w:val="auto"/>
              </w:rPr>
            </w:pPr>
          </w:p>
        </w:tc>
        <w:tc>
          <w:tcPr>
            <w:tcW w:w="1720" w:type="dxa"/>
            <w:vAlign w:val="bottom"/>
            <w:gridSpan w:val="2"/>
            <w:vMerge w:val="restart"/>
          </w:tcPr>
          <w:p>
            <w:pPr>
              <w:ind w:left="13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and January 30, 2021, respectively)</w:t>
            </w:r>
          </w:p>
        </w:tc>
        <w:tc>
          <w:tcPr>
            <w:tcW w:w="18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Increase to interest expense (net of tax benefit (expense) of</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4"/>
              </w:rPr>
              <w:t>$0, $980 and $(1,000) for the years ended January 28, 2023,</w:t>
            </w:r>
          </w:p>
        </w:tc>
        <w:tc>
          <w:tcPr>
            <w:tcW w:w="180" w:type="dxa"/>
            <w:vAlign w:val="bottom"/>
            <w:shd w:val="clear" w:color="auto" w:fill="CCEEFF"/>
          </w:tcPr>
          <w:p>
            <w:pPr>
              <w:spacing w:after="0"/>
              <w:rPr>
                <w:sz w:val="16"/>
                <w:szCs w:val="16"/>
                <w:color w:val="auto"/>
              </w:rPr>
            </w:pPr>
          </w:p>
        </w:tc>
        <w:tc>
          <w:tcPr>
            <w:tcW w:w="1720" w:type="dxa"/>
            <w:vAlign w:val="bottom"/>
            <w:gridSpan w:val="2"/>
            <w:vMerge w:val="restart"/>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29, 2022, and January 30, 2021, respectively)</w:t>
            </w:r>
          </w:p>
        </w:tc>
        <w:tc>
          <w:tcPr>
            <w:tcW w:w="180" w:type="dxa"/>
            <w:vAlign w:val="bottom"/>
            <w:shd w:val="clear" w:color="auto" w:fill="CCEEFF"/>
          </w:tcPr>
          <w:p>
            <w:pPr>
              <w:spacing w:after="0"/>
              <w:rPr>
                <w:sz w:val="20"/>
                <w:szCs w:val="20"/>
                <w:color w:val="auto"/>
              </w:rPr>
            </w:pPr>
          </w:p>
        </w:tc>
        <w:tc>
          <w:tcPr>
            <w:tcW w:w="17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175"/>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rPr>
              <w:t>Loss on swaps from debt refinancing in other (income)</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60" w:type="dxa"/>
            <w:vAlign w:val="bottom"/>
          </w:tcPr>
          <w:p>
            <w:pPr>
              <w:ind w:left="220"/>
              <w:spacing w:after="0" w:line="189" w:lineRule="exact"/>
              <w:rPr>
                <w:sz w:val="20"/>
                <w:szCs w:val="20"/>
                <w:color w:val="auto"/>
              </w:rPr>
            </w:pPr>
            <w:r>
              <w:rPr>
                <w:rFonts w:ascii="Arial" w:cs="Arial" w:eastAsia="Arial" w:hAnsi="Arial"/>
                <w:sz w:val="18"/>
                <w:szCs w:val="18"/>
                <w:color w:val="auto"/>
                <w:w w:val="99"/>
              </w:rPr>
              <w:t>expense, net (net of tax benefit of $0, $0, and $330 for the</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w w:val="92"/>
              </w:rPr>
              <w:t>years ended January 28, 2023, January 29, 2022, and January</w:t>
            </w:r>
          </w:p>
        </w:tc>
        <w:tc>
          <w:tcPr>
            <w:tcW w:w="180" w:type="dxa"/>
            <w:vAlign w:val="bottom"/>
          </w:tcPr>
          <w:p>
            <w:pPr>
              <w:spacing w:after="0"/>
              <w:rPr>
                <w:sz w:val="15"/>
                <w:szCs w:val="15"/>
                <w:color w:val="auto"/>
              </w:rPr>
            </w:pPr>
          </w:p>
        </w:tc>
        <w:tc>
          <w:tcPr>
            <w:tcW w:w="1720" w:type="dxa"/>
            <w:vAlign w:val="bottom"/>
            <w:gridSpan w:val="2"/>
            <w:vMerge w:val="restart"/>
          </w:tcPr>
          <w:p>
            <w:pPr>
              <w:ind w:left="13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30, 2021, respectively)</w:t>
            </w:r>
          </w:p>
        </w:tc>
        <w:tc>
          <w:tcPr>
            <w:tcW w:w="1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ending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332" w:hanging="332"/>
        <w:spacing w:after="0"/>
        <w:tabs>
          <w:tab w:leader="none" w:pos="3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left="332" w:firstLine="324"/>
        <w:spacing w:after="0" w:line="254"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fair value measurements are classified as either:</w:t>
      </w:r>
    </w:p>
    <w:p>
      <w:pPr>
        <w:spacing w:after="0" w:line="238" w:lineRule="exact"/>
        <w:rPr>
          <w:sz w:val="20"/>
          <w:szCs w:val="20"/>
          <w:color w:val="auto"/>
        </w:rPr>
      </w:pPr>
    </w:p>
    <w:p>
      <w:pPr>
        <w:ind w:left="892" w:right="580" w:hanging="244"/>
        <w:spacing w:after="0" w:line="258" w:lineRule="auto"/>
        <w:tabs>
          <w:tab w:leader="none" w:pos="8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Arial" w:cs="Arial" w:eastAsia="Arial" w:hAnsi="Arial"/>
          <w:sz w:val="18"/>
          <w:szCs w:val="18"/>
          <w:color w:val="auto"/>
        </w:rPr>
      </w:pPr>
    </w:p>
    <w:p>
      <w:pPr>
        <w:jc w:val="both"/>
        <w:ind w:left="892" w:hanging="244"/>
        <w:spacing w:after="0" w:line="250" w:lineRule="auto"/>
        <w:tabs>
          <w:tab w:leader="none" w:pos="8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 w:lineRule="exact"/>
        <w:rPr>
          <w:rFonts w:ascii="Arial" w:cs="Arial" w:eastAsia="Arial" w:hAnsi="Arial"/>
          <w:sz w:val="18"/>
          <w:szCs w:val="18"/>
          <w:color w:val="auto"/>
        </w:rPr>
      </w:pPr>
    </w:p>
    <w:p>
      <w:pPr>
        <w:ind w:left="892" w:hanging="244"/>
        <w:spacing w:after="0" w:line="260" w:lineRule="auto"/>
        <w:tabs>
          <w:tab w:leader="none" w:pos="8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212"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215"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52"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We held investments in money market funds of $95.6 million and $401.0 million as of January 28, 2023 and January 29, 2022, respectively.</w:t>
      </w:r>
    </w:p>
    <w:p>
      <w:pPr>
        <w:spacing w:after="0" w:line="130" w:lineRule="exact"/>
        <w:rPr>
          <w:sz w:val="20"/>
          <w:szCs w:val="20"/>
          <w:color w:val="auto"/>
        </w:rPr>
      </w:pPr>
    </w:p>
    <w:p>
      <w:pPr>
        <w:jc w:val="both"/>
        <w:ind w:left="332" w:firstLine="324"/>
        <w:spacing w:after="0" w:line="259" w:lineRule="auto"/>
        <w:rPr>
          <w:sz w:val="20"/>
          <w:szCs w:val="20"/>
          <w:color w:val="auto"/>
        </w:rPr>
      </w:pPr>
      <w:r>
        <w:rPr>
          <w:rFonts w:ascii="Arial" w:cs="Arial" w:eastAsia="Arial" w:hAnsi="Arial"/>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January 28, 2023 and January 29, 2022, the estimated fair value of the Term Loan and Notes was $0.6 billion and $0.7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324"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Property and equipment consists of the following (amounts in thousands) as of:</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2023</w:t>
            </w:r>
          </w:p>
        </w:tc>
        <w:tc>
          <w:tcPr>
            <w:tcW w:w="180" w:type="dxa"/>
            <w:vAlign w:val="bottom"/>
          </w:tcPr>
          <w:p>
            <w:pPr>
              <w:spacing w:after="0"/>
              <w:rPr>
                <w:sz w:val="22"/>
                <w:szCs w:val="22"/>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29, 2022</w:t>
            </w:r>
          </w:p>
        </w:tc>
      </w:tr>
      <w:tr>
        <w:trPr>
          <w:trHeight w:val="223"/>
        </w:trPr>
        <w:tc>
          <w:tcPr>
            <w:tcW w:w="340" w:type="dxa"/>
            <w:vAlign w:val="bottom"/>
          </w:tcPr>
          <w:p>
            <w:pPr>
              <w:spacing w:after="0"/>
              <w:rPr>
                <w:sz w:val="19"/>
                <w:szCs w:val="19"/>
                <w:color w:val="auto"/>
              </w:rPr>
            </w:pPr>
          </w:p>
        </w:tc>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484,930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456,918</w:t>
            </w:r>
          </w:p>
        </w:tc>
      </w:tr>
      <w:tr>
        <w:trPr>
          <w:trHeight w:val="229"/>
        </w:trPr>
        <w:tc>
          <w:tcPr>
            <w:tcW w:w="3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641,387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602,289</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336,679</w:t>
            </w:r>
          </w:p>
        </w:tc>
      </w:tr>
      <w:tr>
        <w:trPr>
          <w:trHeight w:val="229"/>
        </w:trPr>
        <w:tc>
          <w:tcPr>
            <w:tcW w:w="3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23,159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11,147</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34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1,513,273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1,410,731</w:t>
            </w:r>
          </w:p>
        </w:tc>
      </w:tr>
      <w:tr>
        <w:trPr>
          <w:trHeight w:val="229"/>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(1,161,849)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(1,064,895)</w:t>
            </w:r>
          </w:p>
        </w:tc>
      </w:tr>
      <w:tr>
        <w:trPr>
          <w:trHeight w:val="223"/>
        </w:trPr>
        <w:tc>
          <w:tcPr>
            <w:tcW w:w="34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351,424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345,836</w:t>
            </w:r>
          </w:p>
        </w:tc>
      </w:tr>
      <w:tr>
        <w:trPr>
          <w:trHeight w:val="21"/>
        </w:trPr>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$106.8 million, $105.3 million and $105.5 million in 2022, 2021 and 2020, respectively.</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2023</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29, 2022</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Accrued personnel costs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57,504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115,073</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Accrued sales and use tax</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13,054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15,824</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Deferred revenue - gift cards and other</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92,603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88,713</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15,921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17,747</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25,877</w:t>
            </w:r>
          </w:p>
        </w:tc>
      </w:tr>
      <w:tr>
        <w:trPr>
          <w:trHeight w:val="248"/>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303,207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January 28, 2023, there were 2,430,900 shares that were authorized and available for grant under the 2020 Omnibus Incentive Plan.</w:t>
      </w:r>
    </w:p>
    <w:p>
      <w:pPr>
        <w:spacing w:after="0" w:line="134"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 September 29, 2020, the ASO, Inc. Board of Directors adopted the 2020 Employee Stock Purchase Plan (the "ESPP"), which became effective on October 1, 2020. We have reserved a total of 2,000,000 shares and as of January 28, 2023, there were 1,717,411 shares authorized and available for future issuance under the ESPP.</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9" w:name="page90"/>
    <w:bookmarkEnd w:id="89"/>
    <w:p>
      <w:pPr>
        <w:ind w:left="328"/>
        <w:spacing w:after="0"/>
        <w:rPr>
          <w:sz w:val="20"/>
          <w:szCs w:val="20"/>
          <w:color w:val="auto"/>
        </w:rPr>
      </w:pPr>
      <w:r>
        <w:rPr>
          <w:rFonts w:ascii="Arial" w:cs="Arial" w:eastAsia="Arial" w:hAnsi="Arial"/>
          <w:sz w:val="17"/>
          <w:szCs w:val="17"/>
          <w:color w:val="auto"/>
        </w:rPr>
        <w:t>The following table provides total stock-based compensation recognized in the consolidated statements of income (amounts in thousands):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Fiscal Year Ended</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28, 2023</w:t>
            </w:r>
          </w:p>
        </w:tc>
        <w:tc>
          <w:tcPr>
            <w:tcW w:w="240" w:type="dxa"/>
            <w:vAlign w:val="bottom"/>
          </w:tcPr>
          <w:p>
            <w:pPr>
              <w:spacing w:after="0"/>
              <w:rPr>
                <w:sz w:val="19"/>
                <w:szCs w:val="19"/>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January 29, 2022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January 30, 2021</w:t>
            </w:r>
          </w:p>
        </w:tc>
        <w:tc>
          <w:tcPr>
            <w:tcW w:w="320" w:type="dxa"/>
            <w:vAlign w:val="bottom"/>
          </w:tcPr>
          <w:p>
            <w:pPr>
              <w:spacing w:after="0"/>
              <w:rPr>
                <w:sz w:val="19"/>
                <w:szCs w:val="19"/>
                <w:color w:val="auto"/>
              </w:rPr>
            </w:pPr>
          </w:p>
        </w:tc>
      </w:tr>
      <w:tr>
        <w:trPr>
          <w:trHeight w:val="223"/>
        </w:trPr>
        <w:tc>
          <w:tcPr>
            <w:tcW w:w="34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compensation expense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21,175</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39,264</w:t>
            </w:r>
          </w:p>
        </w:tc>
        <w:tc>
          <w:tcPr>
            <w:tcW w:w="320" w:type="dxa"/>
            <w:vAlign w:val="bottom"/>
            <w:tcBorders>
              <w:top w:val="single" w:sz="8" w:color="CCEEFF"/>
            </w:tcBorders>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w w:val="81"/>
              </w:rPr>
              <w:t>(2)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320" w:type="dxa"/>
            <w:vAlign w:val="bottom"/>
            <w:tcBorders>
              <w:top w:val="single" w:sz="8" w:color="CCEEFF"/>
            </w:tcBorders>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w w:val="95"/>
              </w:rPr>
              <w:t>(3)</w:t>
            </w:r>
          </w:p>
        </w:tc>
      </w:tr>
      <w:tr>
        <w:trPr>
          <w:trHeight w:val="234"/>
        </w:trPr>
        <w:tc>
          <w:tcPr>
            <w:tcW w:w="3480" w:type="dxa"/>
            <w:vAlign w:val="bottom"/>
          </w:tcPr>
          <w:p>
            <w:pPr>
              <w:ind w:left="20"/>
              <w:spacing w:after="0"/>
              <w:rPr>
                <w:sz w:val="20"/>
                <w:szCs w:val="20"/>
                <w:color w:val="auto"/>
              </w:rPr>
            </w:pPr>
            <w:r>
              <w:rPr>
                <w:rFonts w:ascii="Arial" w:cs="Arial" w:eastAsia="Arial" w:hAnsi="Arial"/>
                <w:sz w:val="18"/>
                <w:szCs w:val="18"/>
                <w:color w:val="auto"/>
              </w:rPr>
              <w:t>Total related tax benefit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4,494</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9,075</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7,738</w:t>
            </w:r>
          </w:p>
        </w:tc>
        <w:tc>
          <w:tcPr>
            <w:tcW w:w="320" w:type="dxa"/>
            <w:vAlign w:val="bottom"/>
          </w:tcPr>
          <w:p>
            <w:pPr>
              <w:spacing w:after="0"/>
              <w:rPr>
                <w:sz w:val="20"/>
                <w:szCs w:val="20"/>
                <w:color w:val="auto"/>
              </w:rPr>
            </w:pPr>
          </w:p>
        </w:tc>
      </w:tr>
    </w:tbl>
    <w:p>
      <w:pPr>
        <w:spacing w:after="0" w:line="15" w:lineRule="exact"/>
        <w:rPr>
          <w:sz w:val="20"/>
          <w:szCs w:val="20"/>
          <w:color w:val="auto"/>
        </w:rPr>
      </w:pPr>
    </w:p>
    <w:p>
      <w:pPr>
        <w:ind w:left="168" w:hanging="168"/>
        <w:spacing w:after="0"/>
        <w:tabs>
          <w:tab w:leader="none" w:pos="168"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These costs are included within selling, general and administrative expenses in the consolidated statements of income.</w:t>
      </w:r>
    </w:p>
    <w:p>
      <w:pPr>
        <w:ind w:left="168" w:hanging="168"/>
        <w:spacing w:after="0" w:line="186" w:lineRule="auto"/>
        <w:tabs>
          <w:tab w:leader="none" w:pos="168"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These costs include approximately $24.9 million in non-cash expenses related to the 2021 Vesting Event, which occurred during the 2021 second quarter.</w:t>
      </w:r>
    </w:p>
    <w:p>
      <w:pPr>
        <w:spacing w:after="0" w:line="6" w:lineRule="exact"/>
        <w:rPr>
          <w:rFonts w:ascii="Arial" w:cs="Arial" w:eastAsia="Arial" w:hAnsi="Arial"/>
          <w:sz w:val="19"/>
          <w:szCs w:val="19"/>
          <w:color w:val="auto"/>
          <w:vertAlign w:val="superscript"/>
        </w:rPr>
      </w:pPr>
    </w:p>
    <w:p>
      <w:pPr>
        <w:ind w:left="168" w:hanging="168"/>
        <w:spacing w:after="0" w:line="195" w:lineRule="auto"/>
        <w:tabs>
          <w:tab w:leader="none" w:pos="188"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These costs include approximately $19.9 million of equity compensation expense associated with the expensing of certain outstanding restricted stock units as a result of the liquidity condition being achieved upon completion of our IPO.</w:t>
      </w:r>
    </w:p>
    <w:p>
      <w:pPr>
        <w:spacing w:after="0" w:line="241"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8"/>
          <w:szCs w:val="18"/>
          <w:color w:val="auto"/>
        </w:rPr>
        <w:t>As of January 28, 2023, unrecognized compensation cost related to Unit Options and Restricted Units of $28.6 million is expected to be recognized over a weighted average life of 2.4 years. The grant date fair value of Restricted Units vested was $3.9 million, $24.4 million and $14.4 million for 2022, 2021 and 2020, respectively.</w:t>
      </w:r>
    </w:p>
    <w:p>
      <w:pPr>
        <w:spacing w:after="0" w:line="130"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8"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8"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0"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34" w:lineRule="exact"/>
        <w:rPr>
          <w:sz w:val="20"/>
          <w:szCs w:val="20"/>
          <w:color w:val="auto"/>
        </w:rPr>
      </w:pPr>
    </w:p>
    <w:p>
      <w:pPr>
        <w:jc w:val="both"/>
        <w:ind w:left="8"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16"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left="8"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16"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8"/>
          <w:szCs w:val="18"/>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and/or market-based requirements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34"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left="8" w:firstLine="324"/>
        <w:spacing w:after="0" w:line="342" w:lineRule="auto"/>
        <w:rPr>
          <w:sz w:val="20"/>
          <w:szCs w:val="20"/>
          <w:color w:val="auto"/>
        </w:rPr>
      </w:pPr>
      <w:r>
        <w:rPr>
          <w:rFonts w:ascii="Arial" w:cs="Arial" w:eastAsia="Arial" w:hAnsi="Arial"/>
          <w:sz w:val="16"/>
          <w:szCs w:val="16"/>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218"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57" w:right="339" w:bottom="1440" w:gutter="0" w:footer="0" w:header="0"/>
        </w:sectPr>
      </w:pPr>
    </w:p>
    <w:bookmarkStart w:id="90" w:name="page91"/>
    <w:bookmarkEnd w:id="90"/>
    <w:p>
      <w:pPr>
        <w:jc w:val="both"/>
        <w:ind w:left="8" w:firstLine="324"/>
        <w:spacing w:after="0" w:line="259" w:lineRule="auto"/>
        <w:rPr>
          <w:sz w:val="20"/>
          <w:szCs w:val="20"/>
          <w:color w:val="auto"/>
        </w:rPr>
      </w:pPr>
      <w:r>
        <w:rPr>
          <w:rFonts w:ascii="Arial" w:cs="Arial" w:eastAsia="Arial" w:hAnsi="Arial"/>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133"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left="8" w:firstLine="324"/>
        <w:spacing w:after="0" w:line="271" w:lineRule="auto"/>
        <w:rPr>
          <w:sz w:val="20"/>
          <w:szCs w:val="20"/>
          <w:color w:val="auto"/>
        </w:rPr>
      </w:pPr>
      <w:r>
        <w:rPr>
          <w:rFonts w:ascii="Arial" w:cs="Arial" w:eastAsia="Arial" w:hAnsi="Arial"/>
          <w:sz w:val="17"/>
          <w:szCs w:val="17"/>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were entitled to receive value equal to $1.1257 per Award (or $3.5460 as converted using the Contribution Ratio), which was made in the form of cash payments, additional Restricted Unit grants or Unit Option exercise price adjustments. Cash payments due for unvested Awards were paid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24" w:lineRule="exact"/>
        <w:rPr>
          <w:sz w:val="20"/>
          <w:szCs w:val="20"/>
          <w:color w:val="auto"/>
        </w:rPr>
      </w:pPr>
    </w:p>
    <w:p>
      <w:pPr>
        <w:ind w:left="968" w:hanging="320"/>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8" w:hanging="320"/>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8" w:hanging="320"/>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ind w:left="968" w:hanging="320"/>
        <w:spacing w:after="0" w:line="308" w:lineRule="auto"/>
        <w:tabs>
          <w:tab w:leader="none" w:pos="963" w:val="left"/>
        </w:tabs>
        <w:numPr>
          <w:ilvl w:val="0"/>
          <w:numId w:val="64"/>
        </w:numPr>
        <w:rPr>
          <w:rFonts w:ascii="Arial" w:cs="Arial" w:eastAsia="Arial" w:hAnsi="Arial"/>
          <w:sz w:val="17"/>
          <w:szCs w:val="17"/>
          <w:color w:val="auto"/>
        </w:rPr>
      </w:pPr>
      <w:r>
        <w:rPr>
          <w:rFonts w:ascii="Arial" w:cs="Arial" w:eastAsia="Arial" w:hAnsi="Arial"/>
          <w:sz w:val="17"/>
          <w:szCs w:val="17"/>
          <w:color w:val="auto"/>
        </w:rPr>
        <w:t>Cash payments for vested Unit Options and vested Restricted Units ("Share-Based Award Payments") of $32.2 million were paid in-full as of July 31, 2021. No further Share-Based Award Payments relative to the distribution are payable as of January 29, 2022.</w:t>
      </w:r>
    </w:p>
    <w:p>
      <w:pPr>
        <w:spacing w:after="0" w:line="92" w:lineRule="exact"/>
        <w:rPr>
          <w:sz w:val="20"/>
          <w:szCs w:val="20"/>
          <w:color w:val="auto"/>
        </w:rPr>
      </w:pPr>
    </w:p>
    <w:p>
      <w:pPr>
        <w:jc w:val="both"/>
        <w:ind w:left="8" w:firstLine="324"/>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expense was incurred.</w:t>
      </w:r>
    </w:p>
    <w:p>
      <w:pPr>
        <w:spacing w:after="0" w:line="116"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71" w:lineRule="exact"/>
        <w:rPr>
          <w:sz w:val="20"/>
          <w:szCs w:val="20"/>
          <w:color w:val="auto"/>
        </w:rPr>
      </w:pPr>
    </w:p>
    <w:p>
      <w:pPr>
        <w:jc w:val="both"/>
        <w:ind w:left="8" w:firstLine="324"/>
        <w:spacing w:after="0" w:line="293" w:lineRule="auto"/>
        <w:rPr>
          <w:sz w:val="20"/>
          <w:szCs w:val="20"/>
          <w:color w:val="auto"/>
        </w:rPr>
      </w:pPr>
      <w:r>
        <w:rPr>
          <w:rFonts w:ascii="Arial" w:cs="Arial" w:eastAsia="Arial" w:hAnsi="Arial"/>
          <w:sz w:val="16"/>
          <w:szCs w:val="16"/>
          <w:color w:val="auto"/>
        </w:rPr>
        <w:t>The fair value for Service Options granted was estimated using a Black-Scholes option-pricing model. The expected lives of the Service Options granted were based on the "SEC simplified" method. Expected price volatility was determined based on the implied volatilities of comparable companies over a historical period that matches the expected life of the Unit Options. The risk-free interest rate was based on the expected U.S. Treasury rate over the expected life. In 2022, the dividend yield was based on the most recent annualized quarterly dividend and the valuation date closing stock price. In 2021 and 2020,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1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following table presents the assumptions and grant date fair values for Service Options granted in 2022, 2021 and 2020:</w:t>
      </w: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0"/>
              </w:rPr>
              <w:t>Fiscal Year Ended</w:t>
            </w: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January 28, 2023</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1"/>
              </w:rPr>
              <w:t>January 29, 2022</w:t>
            </w:r>
          </w:p>
        </w:tc>
        <w:tc>
          <w:tcPr>
            <w:tcW w:w="17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January 30, 2021</w:t>
            </w:r>
          </w:p>
        </w:tc>
        <w:tc>
          <w:tcPr>
            <w:tcW w:w="320" w:type="dxa"/>
            <w:vAlign w:val="bottom"/>
          </w:tcPr>
          <w:p>
            <w:pPr>
              <w:jc w:val="right"/>
              <w:ind w:right="102"/>
              <w:spacing w:after="0" w:line="136" w:lineRule="exact"/>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88"/>
        </w:trPr>
        <w:tc>
          <w:tcPr>
            <w:tcW w:w="490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6.2</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6.2</w:t>
            </w:r>
          </w:p>
        </w:tc>
        <w:tc>
          <w:tcPr>
            <w:tcW w:w="7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43% to 45%</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42% to 44%</w:t>
            </w:r>
          </w:p>
        </w:tc>
        <w:tc>
          <w:tcPr>
            <w:tcW w:w="960" w:type="dxa"/>
            <w:vAlign w:val="bottom"/>
          </w:tcPr>
          <w:p>
            <w:pPr>
              <w:jc w:val="right"/>
              <w:spacing w:after="0"/>
              <w:rPr>
                <w:sz w:val="20"/>
                <w:szCs w:val="20"/>
                <w:color w:val="auto"/>
              </w:rPr>
            </w:pPr>
            <w:r>
              <w:rPr>
                <w:rFonts w:ascii="Arial" w:cs="Arial" w:eastAsia="Arial" w:hAnsi="Arial"/>
                <w:sz w:val="18"/>
                <w:szCs w:val="18"/>
                <w:color w:val="auto"/>
              </w:rPr>
              <w:t>53% to</w:t>
            </w:r>
          </w:p>
        </w:tc>
        <w:tc>
          <w:tcPr>
            <w:tcW w:w="740" w:type="dxa"/>
            <w:vAlign w:val="bottom"/>
          </w:tcPr>
          <w:p>
            <w:pPr>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43.0%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43.7%</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53.1%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2.4% to 4.1%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 to 1.3%</w:t>
            </w:r>
          </w:p>
        </w:tc>
        <w:tc>
          <w:tcPr>
            <w:tcW w:w="960" w:type="dxa"/>
            <w:vAlign w:val="bottom"/>
          </w:tcPr>
          <w:p>
            <w:pPr>
              <w:jc w:val="right"/>
              <w:spacing w:after="0"/>
              <w:rPr>
                <w:sz w:val="20"/>
                <w:szCs w:val="20"/>
                <w:color w:val="auto"/>
              </w:rPr>
            </w:pPr>
            <w:r>
              <w:rPr>
                <w:rFonts w:ascii="Arial" w:cs="Arial" w:eastAsia="Arial" w:hAnsi="Arial"/>
                <w:sz w:val="18"/>
                <w:szCs w:val="18"/>
                <w:color w:val="auto"/>
              </w:rPr>
              <w:t>0.4% to</w:t>
            </w:r>
          </w:p>
        </w:tc>
        <w:tc>
          <w:tcPr>
            <w:tcW w:w="740" w:type="dxa"/>
            <w:vAlign w:val="bottom"/>
          </w:tcPr>
          <w:p>
            <w:pPr>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0.8%</w:t>
            </w: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grant date fair value - Service Options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$16.36</w:t>
            </w:r>
          </w:p>
        </w:tc>
        <w:tc>
          <w:tcPr>
            <w:tcW w:w="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$11.92</w:t>
            </w: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$8.49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48" w:hanging="148"/>
        <w:spacing w:after="0"/>
        <w:tabs>
          <w:tab w:leader="none" w:pos="148"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200" w:lineRule="exact"/>
        <w:rPr>
          <w:sz w:val="20"/>
          <w:szCs w:val="20"/>
          <w:color w:val="auto"/>
        </w:rPr>
      </w:pPr>
    </w:p>
    <w:p>
      <w:pPr>
        <w:spacing w:after="0" w:line="338"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57" w:right="339" w:bottom="1440" w:gutter="0" w:footer="0" w:header="0"/>
        </w:sectPr>
      </w:pPr>
    </w:p>
    <w:bookmarkStart w:id="91" w:name="page92"/>
    <w:bookmarkEnd w:id="91"/>
    <w:p>
      <w:pPr>
        <w:ind w:left="328"/>
        <w:spacing w:after="0"/>
        <w:rPr>
          <w:sz w:val="20"/>
          <w:szCs w:val="20"/>
          <w:color w:val="auto"/>
        </w:rPr>
      </w:pPr>
      <w:r>
        <w:rPr>
          <w:rFonts w:ascii="Arial" w:cs="Arial" w:eastAsia="Arial" w:hAnsi="Arial"/>
          <w:sz w:val="18"/>
          <w:szCs w:val="18"/>
          <w:b w:val="1"/>
          <w:bCs w:val="1"/>
          <w:i w:val="1"/>
          <w:iCs w:val="1"/>
          <w:color w:val="auto"/>
        </w:rPr>
        <w:t>Option Activity</w:t>
      </w:r>
    </w:p>
    <w:p>
      <w:pPr>
        <w:spacing w:after="0" w:line="171"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30"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8"/>
          <w:szCs w:val="18"/>
          <w:color w:val="auto"/>
        </w:rPr>
        <w:t>There have been no Performance Options granted under the 2020 Omnibus Incentive Plan to date. Prior to the 2021 Vesting Event, the Company’s outstanding Performance Options typically vested ratably over a four-year period, after the conclusion of each fiscal year and upon our board of managers’ determination that the Company had achieved certain pre-determined annual earnings before interest, taxes, depreciation and amortization ("EBITDA") targets for such fiscal year.</w:t>
      </w: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920" w:type="dxa"/>
            <w:vAlign w:val="bottom"/>
            <w:gridSpan w:val="2"/>
          </w:tcPr>
          <w:p>
            <w:pPr>
              <w:ind w:left="320"/>
              <w:spacing w:after="0"/>
              <w:rPr>
                <w:sz w:val="20"/>
                <w:szCs w:val="20"/>
                <w:color w:val="auto"/>
              </w:rPr>
            </w:pPr>
            <w:r>
              <w:rPr>
                <w:rFonts w:ascii="Arial" w:cs="Arial" w:eastAsia="Arial" w:hAnsi="Arial"/>
                <w:sz w:val="18"/>
                <w:szCs w:val="18"/>
                <w:color w:val="auto"/>
              </w:rPr>
              <w:t>Option activity is as follows: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xml:space="preserve">Service Options </w:t>
            </w:r>
            <w:r>
              <w:rPr>
                <w:rFonts w:ascii="Arial" w:cs="Arial" w:eastAsia="Arial" w:hAnsi="Arial"/>
                <w:sz w:val="23"/>
                <w:szCs w:val="23"/>
                <w:b w:val="1"/>
                <w:bCs w:val="1"/>
                <w:i w:val="1"/>
                <w:iCs w:val="1"/>
                <w:color w:val="auto"/>
                <w:vertAlign w:val="superscript"/>
              </w:rPr>
              <w:t>(1)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220" w:type="dxa"/>
            <w:vAlign w:val="bottom"/>
            <w:tcBorders>
              <w:top w:val="single" w:sz="8" w:color="auto"/>
            </w:tcBorders>
          </w:tcPr>
          <w:p>
            <w:pPr>
              <w:spacing w:after="0"/>
              <w:rPr>
                <w:sz w:val="6"/>
                <w:szCs w:val="6"/>
                <w:color w:val="auto"/>
              </w:rPr>
            </w:pPr>
          </w:p>
        </w:tc>
        <w:tc>
          <w:tcPr>
            <w:tcW w:w="27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94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1"/>
              </w:rPr>
              <w:t>Remaining</w:t>
            </w:r>
          </w:p>
        </w:tc>
        <w:tc>
          <w:tcPr>
            <w:tcW w:w="156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3"/>
                <w:szCs w:val="23"/>
                <w:b w:val="1"/>
                <w:bCs w:val="1"/>
                <w:color w:val="auto"/>
                <w:vertAlign w:val="superscript"/>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940" w:type="dxa"/>
            <w:vAlign w:val="bottom"/>
            <w:gridSpan w:val="2"/>
          </w:tcPr>
          <w:p>
            <w:pPr>
              <w:ind w:left="260"/>
              <w:spacing w:after="0" w:line="176" w:lineRule="exact"/>
              <w:rPr>
                <w:sz w:val="20"/>
                <w:szCs w:val="20"/>
                <w:color w:val="auto"/>
              </w:rPr>
            </w:pPr>
            <w:r>
              <w:rPr>
                <w:rFonts w:ascii="Arial" w:cs="Arial" w:eastAsia="Arial" w:hAnsi="Arial"/>
                <w:sz w:val="18"/>
                <w:szCs w:val="18"/>
                <w:b w:val="1"/>
                <w:bCs w:val="1"/>
                <w:color w:val="auto"/>
              </w:rPr>
              <w:t>Contractual Life</w:t>
            </w:r>
          </w:p>
        </w:tc>
        <w:tc>
          <w:tcPr>
            <w:tcW w:w="240" w:type="dxa"/>
            <w:vAlign w:val="bottom"/>
          </w:tcPr>
          <w:p>
            <w:pPr>
              <w:spacing w:after="0"/>
              <w:rPr>
                <w:sz w:val="15"/>
                <w:szCs w:val="15"/>
                <w:color w:val="auto"/>
              </w:rPr>
            </w:pPr>
          </w:p>
        </w:tc>
        <w:tc>
          <w:tcPr>
            <w:tcW w:w="132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Value (in</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00"/>
              <w:spacing w:after="0" w:line="243" w:lineRule="exact"/>
              <w:rPr>
                <w:sz w:val="20"/>
                <w:szCs w:val="20"/>
                <w:color w:val="auto"/>
              </w:rPr>
            </w:pPr>
            <w:r>
              <w:rPr>
                <w:rFonts w:ascii="Arial" w:cs="Arial" w:eastAsia="Arial" w:hAnsi="Arial"/>
                <w:sz w:val="18"/>
                <w:szCs w:val="18"/>
                <w:b w:val="1"/>
                <w:bCs w:val="1"/>
                <w:color w:val="auto"/>
                <w:w w:val="85"/>
              </w:rPr>
              <w:t xml:space="preserve">Exercise Price </w:t>
            </w:r>
            <w:r>
              <w:rPr>
                <w:rFonts w:ascii="Arial" w:cs="Arial" w:eastAsia="Arial" w:hAnsi="Arial"/>
                <w:sz w:val="23"/>
                <w:szCs w:val="23"/>
                <w:b w:val="1"/>
                <w:bCs w:val="1"/>
                <w:color w:val="auto"/>
                <w:w w:val="85"/>
                <w:vertAlign w:val="superscript"/>
              </w:rPr>
              <w:t>(2)</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1"/>
                <w:szCs w:val="21"/>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thousands)</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February 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5,790,308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tcPr>
          <w:p>
            <w:pPr>
              <w:jc w:val="right"/>
              <w:spacing w:after="0"/>
              <w:rPr>
                <w:sz w:val="20"/>
                <w:szCs w:val="20"/>
                <w:color w:val="auto"/>
              </w:rPr>
            </w:pPr>
            <w:r>
              <w:rPr>
                <w:rFonts w:ascii="Arial" w:cs="Arial" w:eastAsia="Arial" w:hAnsi="Arial"/>
                <w:sz w:val="18"/>
                <w:szCs w:val="18"/>
                <w:color w:val="auto"/>
              </w:rPr>
              <w:t>1,449,900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(327,836)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as of January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6,282,782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50,055</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(3,258,329)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81,782</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January 29,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3,898,214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72,345</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817,618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(51,027)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(1,090,733)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b w:val="1"/>
                <w:bCs w:val="1"/>
                <w:color w:val="auto"/>
              </w:rPr>
              <w:t xml:space="preserve">Outstanding as of January 28, 2023 </w:t>
            </w:r>
            <w:r>
              <w:rPr>
                <w:rFonts w:ascii="Arial" w:cs="Arial" w:eastAsia="Arial" w:hAnsi="Arial"/>
                <w:sz w:val="23"/>
                <w:szCs w:val="23"/>
                <w:b w:val="1"/>
                <w:bCs w:val="1"/>
                <w:color w:val="auto"/>
                <w:vertAlign w:val="superscript"/>
              </w:rPr>
              <w:t>(3)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3,570,694</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112,050</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as of January 28,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2,161,345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79,914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8" w:hanging="128"/>
        <w:spacing w:after="0"/>
        <w:tabs>
          <w:tab w:leader="none" w:pos="128" w:val="left"/>
        </w:tabs>
        <w:numPr>
          <w:ilvl w:val="0"/>
          <w:numId w:val="66"/>
        </w:numPr>
        <w:rPr>
          <w:rFonts w:ascii="Arial" w:cs="Arial" w:eastAsia="Arial" w:hAnsi="Arial"/>
          <w:sz w:val="15"/>
          <w:szCs w:val="15"/>
          <w:color w:val="auto"/>
          <w:vertAlign w:val="superscript"/>
        </w:rPr>
      </w:pPr>
      <w:r>
        <w:rPr>
          <w:rFonts w:ascii="Arial" w:cs="Arial" w:eastAsia="Arial" w:hAnsi="Arial"/>
          <w:sz w:val="11"/>
          <w:szCs w:val="11"/>
          <w:color w:val="auto"/>
        </w:rPr>
        <w:t>The fair value of a membership unit</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share price as of each period end was $17.61, $21.50, $37.66 and $55.65 for the fiscal years 2019, 2020, 2021 and 2022, respectively.</w:t>
      </w:r>
    </w:p>
    <w:p>
      <w:pPr>
        <w:spacing w:after="0" w:line="6" w:lineRule="exact"/>
        <w:rPr>
          <w:rFonts w:ascii="Arial" w:cs="Arial" w:eastAsia="Arial" w:hAnsi="Arial"/>
          <w:sz w:val="15"/>
          <w:szCs w:val="15"/>
          <w:color w:val="auto"/>
          <w:vertAlign w:val="superscript"/>
        </w:rPr>
      </w:pPr>
    </w:p>
    <w:p>
      <w:pPr>
        <w:ind w:left="148" w:hanging="148"/>
        <w:spacing w:after="0"/>
        <w:tabs>
          <w:tab w:leader="none" w:pos="148" w:val="left"/>
        </w:tabs>
        <w:numPr>
          <w:ilvl w:val="0"/>
          <w:numId w:val="66"/>
        </w:numPr>
        <w:rPr>
          <w:rFonts w:ascii="Arial" w:cs="Arial" w:eastAsia="Arial" w:hAnsi="Arial"/>
          <w:sz w:val="9"/>
          <w:szCs w:val="9"/>
          <w:color w:val="auto"/>
        </w:rPr>
      </w:pPr>
      <w:r>
        <w:rPr>
          <w:rFonts w:ascii="Arial" w:cs="Arial" w:eastAsia="Arial" w:hAnsi="Arial"/>
          <w:sz w:val="14"/>
          <w:szCs w:val="14"/>
          <w:color w:val="auto"/>
        </w:rPr>
        <w:t>See Retrospective Presentation of Ownership Exchange in Note 2.</w:t>
      </w:r>
    </w:p>
    <w:p>
      <w:pPr>
        <w:spacing w:after="0" w:line="9" w:lineRule="exact"/>
        <w:rPr>
          <w:rFonts w:ascii="Arial" w:cs="Arial" w:eastAsia="Arial" w:hAnsi="Arial"/>
          <w:sz w:val="9"/>
          <w:szCs w:val="9"/>
          <w:color w:val="auto"/>
        </w:rPr>
      </w:pPr>
    </w:p>
    <w:p>
      <w:pPr>
        <w:ind w:left="148" w:hanging="148"/>
        <w:spacing w:after="0"/>
        <w:tabs>
          <w:tab w:leader="none" w:pos="148" w:val="left"/>
        </w:tabs>
        <w:numPr>
          <w:ilvl w:val="0"/>
          <w:numId w:val="66"/>
        </w:numPr>
        <w:rPr>
          <w:rFonts w:ascii="Arial" w:cs="Arial" w:eastAsia="Arial" w:hAnsi="Arial"/>
          <w:sz w:val="9"/>
          <w:szCs w:val="9"/>
          <w:color w:val="auto"/>
        </w:rPr>
      </w:pPr>
      <w:r>
        <w:rPr>
          <w:rFonts w:ascii="Arial" w:cs="Arial" w:eastAsia="Arial" w:hAnsi="Arial"/>
          <w:sz w:val="14"/>
          <w:szCs w:val="14"/>
          <w:color w:val="auto"/>
        </w:rPr>
        <w:t>The Company has elected to recognize forfeitures as they occur. Therefore, the number of awards vested and expected to vest is equal to the awards outstanding.</w:t>
      </w:r>
    </w:p>
    <w:p>
      <w:pPr>
        <w:spacing w:after="0" w:line="323"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57" w:right="339" w:bottom="1440" w:gutter="0" w:footer="0" w:header="0"/>
        </w:sectPr>
      </w:pPr>
    </w:p>
    <w:bookmarkStart w:id="92" w:name="page93"/>
    <w:bookmarkEnd w:id="92"/>
    <w:tbl>
      <w:tblPr>
        <w:tblLayout w:type="fixed"/>
        <w:tblInd w:w="8" w:type="dxa"/>
        <w:tblCellMar>
          <w:top w:w="0" w:type="dxa"/>
          <w:left w:w="0" w:type="dxa"/>
          <w:bottom w:w="0" w:type="dxa"/>
          <w:right w:w="0" w:type="dxa"/>
        </w:tblCellMar>
      </w:tblPr>
      <w:tr>
        <w:trPr>
          <w:trHeight w:val="264"/>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xml:space="preserve">Performance Unit Options </w:t>
            </w:r>
            <w:r>
              <w:rPr>
                <w:rFonts w:ascii="Arial" w:cs="Arial" w:eastAsia="Arial" w:hAnsi="Arial"/>
                <w:sz w:val="23"/>
                <w:szCs w:val="23"/>
                <w:b w:val="1"/>
                <w:bCs w:val="1"/>
                <w:i w:val="1"/>
                <w:iCs w:val="1"/>
                <w:color w:val="auto"/>
                <w:vertAlign w:val="superscript"/>
              </w:rPr>
              <w:t>(1)</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20" w:type="dxa"/>
            <w:vAlign w:val="bottom"/>
          </w:tcPr>
          <w:p>
            <w:pPr>
              <w:jc w:val="right"/>
              <w:ind w:right="450"/>
              <w:spacing w:after="0" w:line="189" w:lineRule="exact"/>
              <w:rPr>
                <w:sz w:val="20"/>
                <w:szCs w:val="20"/>
                <w:color w:val="auto"/>
              </w:rPr>
            </w:pPr>
            <w:r>
              <w:rPr>
                <w:rFonts w:ascii="Arial" w:cs="Arial" w:eastAsia="Arial" w:hAnsi="Arial"/>
                <w:sz w:val="18"/>
                <w:szCs w:val="18"/>
                <w:b w:val="1"/>
                <w:bCs w:val="1"/>
                <w:color w:val="auto"/>
              </w:rPr>
              <w:t>Unit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Weighted Average</w:t>
            </w:r>
          </w:p>
        </w:tc>
        <w:tc>
          <w:tcPr>
            <w:tcW w:w="188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4"/>
              </w:rPr>
              <w:t>Contractual Life</w:t>
            </w:r>
          </w:p>
        </w:tc>
        <w:tc>
          <w:tcPr>
            <w:tcW w:w="15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Intrinsic Value (in</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20" w:type="dxa"/>
            <w:vAlign w:val="bottom"/>
          </w:tcPr>
          <w:p>
            <w:pPr>
              <w:jc w:val="right"/>
              <w:ind w:right="230"/>
              <w:spacing w:after="0" w:line="230"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3"/>
                <w:szCs w:val="23"/>
                <w:b w:val="1"/>
                <w:bCs w:val="1"/>
                <w:color w:val="auto"/>
                <w:vertAlign w:val="superscript"/>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5"/>
              </w:rPr>
              <w:t xml:space="preserve">Exercise Price </w:t>
            </w:r>
            <w:r>
              <w:rPr>
                <w:rFonts w:ascii="Arial" w:cs="Arial" w:eastAsia="Arial" w:hAnsi="Arial"/>
                <w:sz w:val="23"/>
                <w:szCs w:val="23"/>
                <w:b w:val="1"/>
                <w:bCs w:val="1"/>
                <w:color w:val="auto"/>
                <w:w w:val="85"/>
                <w:vertAlign w:val="superscript"/>
              </w:rPr>
              <w:t>(2)</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February 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3,246,849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(85,564)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as of January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2,948,621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37,422</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(2,255,780)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55,865</w:t>
            </w:r>
          </w:p>
        </w:tc>
        <w:tc>
          <w:tcPr>
            <w:tcW w:w="0" w:type="dxa"/>
            <w:vAlign w:val="bottom"/>
          </w:tcPr>
          <w:p>
            <w:pPr>
              <w:spacing w:after="0"/>
              <w:rPr>
                <w:sz w:val="1"/>
                <w:szCs w:val="1"/>
                <w:color w:val="auto"/>
              </w:rPr>
            </w:pPr>
          </w:p>
        </w:tc>
      </w:tr>
      <w:tr>
        <w:trPr>
          <w:trHeight w:val="22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January 29,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b w:val="1"/>
                <w:bCs w:val="1"/>
                <w:color w:val="auto"/>
              </w:rPr>
              <w:t xml:space="preserve">Outstanding as of January 28, 2023 </w:t>
            </w:r>
            <w:r>
              <w:rPr>
                <w:rFonts w:ascii="Arial" w:cs="Arial" w:eastAsia="Arial" w:hAnsi="Arial"/>
                <w:sz w:val="23"/>
                <w:szCs w:val="23"/>
                <w:b w:val="1"/>
                <w:bCs w:val="1"/>
                <w:color w:val="auto"/>
                <w:vertAlign w:val="superscript"/>
              </w:rPr>
              <w:t>(3)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218,477</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as of January 28,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218,477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8" w:hanging="128"/>
        <w:spacing w:after="0"/>
        <w:tabs>
          <w:tab w:leader="none" w:pos="128" w:val="left"/>
        </w:tabs>
        <w:numPr>
          <w:ilvl w:val="0"/>
          <w:numId w:val="67"/>
        </w:numPr>
        <w:rPr>
          <w:rFonts w:ascii="Arial" w:cs="Arial" w:eastAsia="Arial" w:hAnsi="Arial"/>
          <w:sz w:val="15"/>
          <w:szCs w:val="15"/>
          <w:color w:val="auto"/>
          <w:vertAlign w:val="superscript"/>
        </w:rPr>
      </w:pPr>
      <w:r>
        <w:rPr>
          <w:rFonts w:ascii="Arial" w:cs="Arial" w:eastAsia="Arial" w:hAnsi="Arial"/>
          <w:sz w:val="11"/>
          <w:szCs w:val="11"/>
          <w:color w:val="auto"/>
        </w:rPr>
        <w:t>The fair value of a membership unit</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share price as of each period end was $17.61, $21.50, $37.66 and $55.65 for the fiscal years 2019, 2020, 2021 and 2022, respectively.</w:t>
      </w:r>
    </w:p>
    <w:p>
      <w:pPr>
        <w:spacing w:after="0" w:line="6" w:lineRule="exact"/>
        <w:rPr>
          <w:rFonts w:ascii="Arial" w:cs="Arial" w:eastAsia="Arial" w:hAnsi="Arial"/>
          <w:sz w:val="15"/>
          <w:szCs w:val="15"/>
          <w:color w:val="auto"/>
          <w:vertAlign w:val="superscript"/>
        </w:rPr>
      </w:pPr>
    </w:p>
    <w:p>
      <w:pPr>
        <w:ind w:left="148" w:hanging="148"/>
        <w:spacing w:after="0"/>
        <w:tabs>
          <w:tab w:leader="none" w:pos="148" w:val="left"/>
        </w:tabs>
        <w:numPr>
          <w:ilvl w:val="0"/>
          <w:numId w:val="67"/>
        </w:numPr>
        <w:rPr>
          <w:rFonts w:ascii="Arial" w:cs="Arial" w:eastAsia="Arial" w:hAnsi="Arial"/>
          <w:sz w:val="9"/>
          <w:szCs w:val="9"/>
          <w:color w:val="auto"/>
        </w:rPr>
      </w:pPr>
      <w:r>
        <w:rPr>
          <w:rFonts w:ascii="Arial" w:cs="Arial" w:eastAsia="Arial" w:hAnsi="Arial"/>
          <w:sz w:val="14"/>
          <w:szCs w:val="14"/>
          <w:color w:val="auto"/>
        </w:rPr>
        <w:t>See Retrospective Presentation of Ownership Exchange in Note 2.</w:t>
      </w:r>
    </w:p>
    <w:p>
      <w:pPr>
        <w:spacing w:after="0" w:line="9" w:lineRule="exact"/>
        <w:rPr>
          <w:rFonts w:ascii="Arial" w:cs="Arial" w:eastAsia="Arial" w:hAnsi="Arial"/>
          <w:sz w:val="9"/>
          <w:szCs w:val="9"/>
          <w:color w:val="auto"/>
        </w:rPr>
      </w:pPr>
    </w:p>
    <w:p>
      <w:pPr>
        <w:ind w:left="148" w:hanging="148"/>
        <w:spacing w:after="0"/>
        <w:tabs>
          <w:tab w:leader="none" w:pos="148" w:val="left"/>
        </w:tabs>
        <w:numPr>
          <w:ilvl w:val="0"/>
          <w:numId w:val="67"/>
        </w:numPr>
        <w:rPr>
          <w:rFonts w:ascii="Arial" w:cs="Arial" w:eastAsia="Arial" w:hAnsi="Arial"/>
          <w:sz w:val="9"/>
          <w:szCs w:val="9"/>
          <w:color w:val="auto"/>
        </w:rPr>
      </w:pPr>
      <w:r>
        <w:rPr>
          <w:rFonts w:ascii="Arial" w:cs="Arial" w:eastAsia="Arial" w:hAnsi="Arial"/>
          <w:sz w:val="14"/>
          <w:szCs w:val="14"/>
          <w:color w:val="auto"/>
        </w:rPr>
        <w:t>The Company has elected to recognize forfeitures as they occur. Therefore, the number of awards vested and expected to vest is equal to the awards outstanding.</w:t>
      </w:r>
    </w:p>
    <w:p>
      <w:pPr>
        <w:spacing w:after="0" w:line="174" w:lineRule="exact"/>
        <w:rPr>
          <w:sz w:val="20"/>
          <w:szCs w:val="20"/>
          <w:color w:val="auto"/>
        </w:rPr>
      </w:pPr>
    </w:p>
    <w:p>
      <w:pPr>
        <w:ind w:left="8" w:firstLine="324"/>
        <w:spacing w:after="0" w:line="277" w:lineRule="auto"/>
        <w:rPr>
          <w:sz w:val="20"/>
          <w:szCs w:val="20"/>
          <w:color w:val="auto"/>
        </w:rPr>
      </w:pPr>
      <w:r>
        <w:rPr>
          <w:rFonts w:ascii="Arial" w:cs="Arial" w:eastAsia="Arial" w:hAnsi="Arial"/>
          <w:sz w:val="18"/>
          <w:szCs w:val="18"/>
          <w:color w:val="auto"/>
        </w:rPr>
        <w:t>The total income tax benefit recognized from the exercise of stock options was $4.2 million, $18.5 million and $0.5 million for the fiscal years ended January 28, 2023, January 29, 2022 and January 30, 2021, respectively.</w:t>
      </w:r>
    </w:p>
    <w:p>
      <w:pPr>
        <w:spacing w:after="0" w:line="359"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Restricted Unit Activity</w:t>
      </w:r>
    </w:p>
    <w:p>
      <w:pPr>
        <w:spacing w:after="0" w:line="25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Restricted Unit activity is as follows:</w:t>
      </w: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Liquidity Event Restricted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b w:val="1"/>
                <w:bCs w:val="1"/>
                <w:color w:val="auto"/>
              </w:rPr>
              <w:t>Service Restricted Units</w:t>
            </w:r>
          </w:p>
        </w:tc>
        <w:tc>
          <w:tcPr>
            <w:tcW w:w="14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Units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Performance Restricted Units</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12"/>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92"/>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32"/>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80"/>
              <w:spacing w:after="0" w:line="184" w:lineRule="exact"/>
              <w:rPr>
                <w:sz w:val="20"/>
                <w:szCs w:val="20"/>
                <w:color w:val="auto"/>
              </w:rPr>
            </w:pPr>
            <w:r>
              <w:rPr>
                <w:rFonts w:ascii="Arial" w:cs="Arial" w:eastAsia="Arial" w:hAnsi="Arial"/>
                <w:sz w:val="18"/>
                <w:szCs w:val="18"/>
                <w:b w:val="1"/>
                <w:bCs w:val="1"/>
                <w:color w:val="auto"/>
                <w:w w:val="91"/>
              </w:rPr>
              <w:t>Average Grant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20"/>
              <w:spacing w:after="0" w:line="184" w:lineRule="exact"/>
              <w:rPr>
                <w:sz w:val="20"/>
                <w:szCs w:val="20"/>
                <w:color w:val="auto"/>
              </w:rPr>
            </w:pPr>
            <w:r>
              <w:rPr>
                <w:rFonts w:ascii="Arial" w:cs="Arial" w:eastAsia="Arial" w:hAnsi="Arial"/>
                <w:sz w:val="18"/>
                <w:szCs w:val="18"/>
                <w:b w:val="1"/>
                <w:bCs w:val="1"/>
                <w:color w:val="auto"/>
                <w:w w:val="91"/>
              </w:rPr>
              <w:t>Average Grant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9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23"/>
                <w:szCs w:val="23"/>
                <w:b w:val="1"/>
                <w:bCs w:val="1"/>
                <w:color w:val="auto"/>
                <w:vertAlign w:val="superscript"/>
              </w:rPr>
              <w:t>(1)</w:t>
            </w:r>
          </w:p>
        </w:tc>
        <w:tc>
          <w:tcPr>
            <w:tcW w:w="80" w:type="dxa"/>
            <w:vAlign w:val="bottom"/>
          </w:tcPr>
          <w:p>
            <w:pPr>
              <w:spacing w:after="0"/>
              <w:rPr>
                <w:sz w:val="15"/>
                <w:szCs w:val="15"/>
                <w:color w:val="auto"/>
              </w:rPr>
            </w:pPr>
          </w:p>
        </w:tc>
        <w:tc>
          <w:tcPr>
            <w:tcW w:w="142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93"/>
              </w:rPr>
              <w:t>Date Fair Value</w:t>
            </w: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23"/>
                <w:szCs w:val="23"/>
                <w:b w:val="1"/>
                <w:bCs w:val="1"/>
                <w:color w:val="auto"/>
                <w:vertAlign w:val="superscript"/>
              </w:rPr>
              <w:t>(1)</w:t>
            </w:r>
          </w:p>
        </w:tc>
        <w:tc>
          <w:tcPr>
            <w:tcW w:w="100" w:type="dxa"/>
            <w:vAlign w:val="bottom"/>
          </w:tcPr>
          <w:p>
            <w:pPr>
              <w:spacing w:after="0"/>
              <w:rPr>
                <w:sz w:val="15"/>
                <w:szCs w:val="15"/>
                <w:color w:val="auto"/>
              </w:rPr>
            </w:pPr>
          </w:p>
        </w:tc>
        <w:tc>
          <w:tcPr>
            <w:tcW w:w="1420" w:type="dxa"/>
            <w:vAlign w:val="bottom"/>
            <w:gridSpan w:val="3"/>
          </w:tcPr>
          <w:p>
            <w:pPr>
              <w:jc w:val="center"/>
              <w:ind w:right="100"/>
              <w:spacing w:after="0" w:line="181" w:lineRule="exact"/>
              <w:rPr>
                <w:sz w:val="20"/>
                <w:szCs w:val="20"/>
                <w:color w:val="auto"/>
              </w:rPr>
            </w:pPr>
            <w:r>
              <w:rPr>
                <w:rFonts w:ascii="Arial" w:cs="Arial" w:eastAsia="Arial" w:hAnsi="Arial"/>
                <w:sz w:val="18"/>
                <w:szCs w:val="18"/>
                <w:b w:val="1"/>
                <w:bCs w:val="1"/>
                <w:color w:val="auto"/>
                <w:w w:val="92"/>
              </w:rPr>
              <w:t>Date Fair Value</w:t>
            </w: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23"/>
                <w:szCs w:val="23"/>
                <w:b w:val="1"/>
                <w:bCs w:val="1"/>
                <w:color w:val="auto"/>
                <w:vertAlign w:val="superscript"/>
              </w:rPr>
              <w:t>(1)</w:t>
            </w:r>
          </w:p>
        </w:tc>
        <w:tc>
          <w:tcPr>
            <w:tcW w:w="80" w:type="dxa"/>
            <w:vAlign w:val="bottom"/>
          </w:tcPr>
          <w:p>
            <w:pPr>
              <w:spacing w:after="0"/>
              <w:rPr>
                <w:sz w:val="15"/>
                <w:szCs w:val="15"/>
                <w:color w:val="auto"/>
              </w:rPr>
            </w:pP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175"/>
        </w:trPr>
        <w:tc>
          <w:tcPr>
            <w:tcW w:w="3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February 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32,049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January 30,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1,339,330</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358,960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196,056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January 29,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203,918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198,346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170,250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(33,137)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January 28,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437,108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298,929</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28" w:hanging="128"/>
        <w:spacing w:after="0"/>
        <w:tabs>
          <w:tab w:leader="none" w:pos="128" w:val="left"/>
        </w:tabs>
        <w:numPr>
          <w:ilvl w:val="0"/>
          <w:numId w:val="68"/>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318"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61" w:right="339" w:bottom="1440" w:gutter="0" w:footer="0" w:header="0"/>
        </w:sectPr>
      </w:pPr>
    </w:p>
    <w:bookmarkStart w:id="93" w:name="page94"/>
    <w:bookmarkEnd w:id="93"/>
    <w:p>
      <w:pPr>
        <w:jc w:val="both"/>
        <w:ind w:left="340" w:firstLine="324"/>
        <w:spacing w:after="0" w:line="259" w:lineRule="auto"/>
        <w:rPr>
          <w:sz w:val="20"/>
          <w:szCs w:val="20"/>
          <w:color w:val="auto"/>
        </w:rPr>
      </w:pPr>
      <w:r>
        <w:rPr>
          <w:rFonts w:ascii="Arial" w:cs="Arial" w:eastAsia="Arial" w:hAnsi="Arial"/>
          <w:sz w:val="18"/>
          <w:szCs w:val="18"/>
          <w:color w:val="auto"/>
        </w:rPr>
        <w:t>The Company’s outstanding and unvested Service Restricted Units typically vest either (i) 100% on the first anniversary of the grant date, or, if earlier, the business day immediately preceding the following annual meeting of stockholders, or (ii) over a four-year period at rates of 25%, 25%, 25% and 25% on the anniversary of their grant date. In the event of certain Company change of control transactions, the Company’s then-outstanding and unvested Service Restricted Units will become fully vested.</w:t>
      </w:r>
    </w:p>
    <w:p>
      <w:pPr>
        <w:spacing w:after="0" w:line="13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Company’s outstanding and unvested Liquidity Event Restricted Units began being expensed on October 6, 2020, concurrent with the completion of the IPO and the performance objective was met in accordance with ASC 718. Additionally, in connection with the completion of the IPO, the Company issued performance restricted units to key team members which will vest 25% on the first anniversary of the grant date and 75% on the second anniversary of the grant date.</w:t>
      </w:r>
    </w:p>
    <w:p>
      <w:pPr>
        <w:spacing w:after="0" w:line="133"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Company’s outstanding and unvested Performance Restricted Units typically vest either (i) over a four-year period at rates of 25%, 25%, 25% and 25% per anniversary of the Performance Restricted Unit holder’s vesting commencement date, so long as the Company achieves (a) the performance metric for the grant year, (b) achieves a stated target share price, or (c) a change of control occurring during the grant year, or (ii) immediately at a rate of 100%, upon the completion of certain Company change of control transactions, so long as during the twenty-four month period following such change of control the unit holder's service is terminated without cause or they submit their resignation for good reason, as defined in the award agreement.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8" w:lineRule="exact"/>
        <w:rPr>
          <w:sz w:val="20"/>
          <w:szCs w:val="20"/>
          <w:color w:val="auto"/>
        </w:rPr>
      </w:pPr>
    </w:p>
    <w:p>
      <w:pPr>
        <w:ind w:left="340" w:right="500" w:firstLine="324"/>
        <w:spacing w:after="0" w:line="271" w:lineRule="auto"/>
        <w:rPr>
          <w:sz w:val="20"/>
          <w:szCs w:val="20"/>
          <w:color w:val="auto"/>
        </w:rPr>
      </w:pPr>
      <w:r>
        <w:rPr>
          <w:rFonts w:ascii="Arial" w:cs="Arial" w:eastAsia="Arial" w:hAnsi="Arial"/>
          <w:sz w:val="18"/>
          <w:szCs w:val="18"/>
          <w:color w:val="auto"/>
        </w:rPr>
        <w:t>Basic and dilutive weighted average common shares outstanding and basic and diluted earnings per common share are calculated as follows (amounts in thousands except per share amounts):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28, 2023</w:t>
            </w:r>
          </w:p>
        </w:tc>
        <w:tc>
          <w:tcPr>
            <w:tcW w:w="24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29, 2022</w:t>
            </w:r>
          </w:p>
        </w:tc>
        <w:tc>
          <w:tcPr>
            <w:tcW w:w="240" w:type="dxa"/>
            <w:vAlign w:val="bottom"/>
          </w:tcPr>
          <w:p>
            <w:pPr>
              <w:spacing w:after="0"/>
              <w:rPr>
                <w:sz w:val="19"/>
                <w:szCs w:val="19"/>
                <w:color w:val="auto"/>
              </w:rPr>
            </w:pP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January 30, 2021</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628,001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308,764</w:t>
            </w: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Weighted average common shares outstanding - basic</w:t>
      </w:r>
    </w:p>
    <w:p>
      <w:pPr>
        <w:ind w:left="360"/>
        <w:spacing w:after="0"/>
        <w:rPr>
          <w:sz w:val="20"/>
          <w:szCs w:val="20"/>
          <w:color w:val="auto"/>
        </w:rPr>
      </w:pPr>
      <w:r>
        <w:rPr>
          <w:rFonts w:ascii="Arial" w:cs="Arial" w:eastAsia="Arial" w:hAnsi="Arial"/>
          <w:sz w:val="12"/>
          <w:szCs w:val="12"/>
          <w:color w:val="auto"/>
        </w:rPr>
        <w:t>(1)</w:t>
      </w:r>
    </w:p>
    <w:p>
      <w:pPr>
        <w:spacing w:after="0" w:line="73" w:lineRule="exact"/>
        <w:rPr>
          <w:sz w:val="20"/>
          <w:szCs w:val="20"/>
          <w:color w:val="auto"/>
        </w:rPr>
      </w:pPr>
    </w:p>
    <w:p>
      <w:pPr>
        <w:ind w:left="560" w:right="340"/>
        <w:spacing w:after="0" w:line="221" w:lineRule="auto"/>
        <w:rPr>
          <w:sz w:val="20"/>
          <w:szCs w:val="20"/>
          <w:color w:val="auto"/>
        </w:rPr>
      </w:pPr>
      <w:r>
        <w:rPr>
          <w:rFonts w:ascii="Arial" w:cs="Arial" w:eastAsia="Arial" w:hAnsi="Arial"/>
          <w:sz w:val="18"/>
          <w:szCs w:val="18"/>
          <w:color w:val="auto"/>
        </w:rPr>
        <w:t xml:space="preserve">Dilutive effect of Service Restricted Units and Service Restricted Stock Units </w:t>
      </w:r>
      <w:r>
        <w:rPr>
          <w:rFonts w:ascii="Arial" w:cs="Arial" w:eastAsia="Arial" w:hAnsi="Arial"/>
          <w:sz w:val="23"/>
          <w:szCs w:val="23"/>
          <w:color w:val="auto"/>
          <w:vertAlign w:val="superscript"/>
        </w:rPr>
        <w:t>(1)</w:t>
      </w:r>
    </w:p>
    <w:p>
      <w:pPr>
        <w:ind w:left="560" w:right="240"/>
        <w:spacing w:after="0" w:line="236" w:lineRule="auto"/>
        <w:rPr>
          <w:sz w:val="20"/>
          <w:szCs w:val="20"/>
          <w:color w:val="auto"/>
        </w:rPr>
      </w:pPr>
      <w:r>
        <w:rPr>
          <w:rFonts w:ascii="Arial" w:cs="Arial" w:eastAsia="Arial" w:hAnsi="Arial"/>
          <w:sz w:val="16"/>
          <w:szCs w:val="16"/>
          <w:color w:val="auto"/>
        </w:rPr>
        <w:t xml:space="preserve">Dilutive effect of Performance Restricted Stock Units and Liquidity Event Restricted Units </w:t>
      </w:r>
      <w:r>
        <w:rPr>
          <w:rFonts w:ascii="Arial" w:cs="Arial" w:eastAsia="Arial" w:hAnsi="Arial"/>
          <w:sz w:val="20"/>
          <w:szCs w:val="20"/>
          <w:color w:val="auto"/>
          <w:vertAlign w:val="superscript"/>
        </w:rPr>
        <w:t>(1)</w:t>
      </w:r>
    </w:p>
    <w:p>
      <w:pPr>
        <w:ind w:left="560"/>
        <w:spacing w:after="0" w:line="208" w:lineRule="auto"/>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23"/>
          <w:szCs w:val="23"/>
          <w:color w:val="auto"/>
          <w:vertAlign w:val="superscript"/>
        </w:rPr>
        <w:t>(1)</w:t>
      </w:r>
    </w:p>
    <w:p>
      <w:pPr>
        <w:ind w:left="560"/>
        <w:spacing w:after="0" w:line="218" w:lineRule="auto"/>
        <w:rPr>
          <w:sz w:val="20"/>
          <w:szCs w:val="20"/>
          <w:color w:val="auto"/>
        </w:rPr>
      </w:pPr>
      <w:r>
        <w:rPr>
          <w:rFonts w:ascii="Arial" w:cs="Arial" w:eastAsia="Arial" w:hAnsi="Arial"/>
          <w:sz w:val="18"/>
          <w:szCs w:val="18"/>
          <w:color w:val="auto"/>
        </w:rPr>
        <w:t xml:space="preserve">Dilutive effect of Performance Unit Options </w:t>
      </w:r>
      <w:r>
        <w:rPr>
          <w:rFonts w:ascii="Arial" w:cs="Arial" w:eastAsia="Arial" w:hAnsi="Arial"/>
          <w:sz w:val="23"/>
          <w:szCs w:val="23"/>
          <w:color w:val="auto"/>
          <w:vertAlign w:val="superscript"/>
        </w:rPr>
        <w:t>(1)</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Dilutive effect of ESPP Shares</w:t>
      </w:r>
    </w:p>
    <w:p>
      <w:pPr>
        <w:spacing w:after="0" w:line="7" w:lineRule="exact"/>
        <w:rPr>
          <w:sz w:val="20"/>
          <w:szCs w:val="20"/>
          <w:color w:val="auto"/>
        </w:rPr>
      </w:pPr>
    </w:p>
    <w:p>
      <w:pPr>
        <w:ind w:left="360" w:right="440"/>
        <w:spacing w:after="0" w:line="254" w:lineRule="auto"/>
        <w:rPr>
          <w:sz w:val="20"/>
          <w:szCs w:val="20"/>
          <w:color w:val="auto"/>
        </w:rPr>
      </w:pPr>
      <w:r>
        <w:rPr>
          <w:rFonts w:ascii="Arial" w:cs="Arial" w:eastAsia="Arial" w:hAnsi="Arial"/>
          <w:sz w:val="18"/>
          <w:szCs w:val="18"/>
          <w:color w:val="auto"/>
        </w:rPr>
        <w:t xml:space="preserve">Weighted average common shares outstanding - diluted </w:t>
      </w:r>
      <w:r>
        <w:rPr>
          <w:rFonts w:ascii="Arial" w:cs="Arial" w:eastAsia="Arial" w:hAnsi="Arial"/>
          <w:sz w:val="23"/>
          <w:szCs w:val="23"/>
          <w:color w:val="auto"/>
          <w:vertAlign w:val="superscript"/>
        </w:rPr>
        <w:t>(1)</w:t>
      </w:r>
    </w:p>
    <w:p>
      <w:pPr>
        <w:spacing w:after="0" w:line="81" w:lineRule="exact"/>
        <w:rPr>
          <w:sz w:val="20"/>
          <w:szCs w:val="20"/>
          <w:color w:val="auto"/>
        </w:rPr>
      </w:pPr>
    </w:p>
    <w:p>
      <w:pPr>
        <w:ind w:left="360" w:right="1220"/>
        <w:spacing w:after="0" w:line="359" w:lineRule="auto"/>
        <w:rPr>
          <w:sz w:val="20"/>
          <w:szCs w:val="20"/>
          <w:color w:val="auto"/>
        </w:rPr>
      </w:pPr>
      <w:r>
        <w:rPr>
          <w:rFonts w:ascii="Arial" w:cs="Arial" w:eastAsia="Arial" w:hAnsi="Arial"/>
          <w:sz w:val="16"/>
          <w:szCs w:val="16"/>
          <w:color w:val="auto"/>
        </w:rPr>
        <w:t>Earnings per common share - basic Earnings per common share - diluted</w:t>
      </w:r>
    </w:p>
    <w:p>
      <w:pPr>
        <w:spacing w:after="0" w:line="71" w:lineRule="exact"/>
        <w:rPr>
          <w:sz w:val="20"/>
          <w:szCs w:val="20"/>
          <w:color w:val="auto"/>
        </w:rPr>
      </w:pPr>
    </w:p>
    <w:p>
      <w:pPr>
        <w:ind w:left="360" w:right="420"/>
        <w:spacing w:after="0" w:line="255" w:lineRule="auto"/>
        <w:rPr>
          <w:sz w:val="20"/>
          <w:szCs w:val="20"/>
          <w:color w:val="auto"/>
        </w:rPr>
      </w:pPr>
      <w:r>
        <w:rPr>
          <w:rFonts w:ascii="Arial" w:cs="Arial" w:eastAsia="Arial" w:hAnsi="Arial"/>
          <w:sz w:val="18"/>
          <w:szCs w:val="18"/>
          <w:color w:val="auto"/>
        </w:rPr>
        <w:t xml:space="preserve">Anti-dilutive stock-based awards excluded from diluted calculation </w:t>
      </w:r>
      <w:r>
        <w:rPr>
          <w:rFonts w:ascii="Arial" w:cs="Arial" w:eastAsia="Arial" w:hAnsi="Arial"/>
          <w:sz w:val="23"/>
          <w:szCs w:val="23"/>
          <w:color w:val="auto"/>
          <w:vertAlign w:val="superscript"/>
        </w:rPr>
        <w:t>(1)</w:t>
      </w:r>
    </w:p>
    <w:p>
      <w:pPr>
        <w:spacing w:after="0" w:line="48" w:lineRule="exact"/>
        <w:rPr>
          <w:sz w:val="20"/>
          <w:szCs w:val="20"/>
          <w:color w:val="auto"/>
        </w:rPr>
      </w:pPr>
    </w:p>
    <w:p>
      <w:pPr>
        <w:ind w:left="460" w:hanging="128"/>
        <w:spacing w:after="0"/>
        <w:tabs>
          <w:tab w:leader="none" w:pos="460" w:val="left"/>
        </w:tabs>
        <w:numPr>
          <w:ilvl w:val="0"/>
          <w:numId w:val="69"/>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81,590</w:t>
            </w:r>
          </w:p>
        </w:tc>
        <w:tc>
          <w:tcPr>
            <w:tcW w:w="8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90,956</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77,994</w:t>
            </w:r>
          </w:p>
        </w:tc>
        <w:tc>
          <w:tcPr>
            <w:tcW w:w="0" w:type="dxa"/>
            <w:vAlign w:val="bottom"/>
          </w:tcPr>
          <w:p>
            <w:pPr>
              <w:spacing w:after="0"/>
              <w:rPr>
                <w:sz w:val="1"/>
                <w:szCs w:val="1"/>
                <w:color w:val="auto"/>
              </w:rPr>
            </w:pPr>
          </w:p>
        </w:tc>
      </w:tr>
      <w:tr>
        <w:trPr>
          <w:trHeight w:val="418"/>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165</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4"/>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207</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1,678</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202</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4"/>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53</w:t>
            </w: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83,895</w:t>
            </w: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94,284</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81,431</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7.70</w:t>
            </w: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660" w:type="dxa"/>
            <w:vAlign w:val="bottom"/>
            <w:vMerge w:val="continue"/>
          </w:tcPr>
          <w:p>
            <w:pPr>
              <w:spacing w:after="0"/>
              <w:rPr>
                <w:sz w:val="24"/>
                <w:szCs w:val="24"/>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4"/>
                <w:szCs w:val="24"/>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4"/>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7.49</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58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24</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-2219325</wp:posOffset>
            </wp:positionV>
            <wp:extent cx="668655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-1731010</wp:posOffset>
            </wp:positionV>
            <wp:extent cx="668655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86550" cy="26543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-1319530</wp:posOffset>
            </wp:positionV>
            <wp:extent cx="668655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86550" cy="14541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-659765</wp:posOffset>
            </wp:positionV>
            <wp:extent cx="668655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86550" cy="14605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-367665</wp:posOffset>
            </wp:positionV>
            <wp:extent cx="668655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86550" cy="10287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-1028065</wp:posOffset>
            </wp:positionV>
            <wp:extent cx="6686550" cy="282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86550" cy="28257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3">
            <w:col w:w="4240" w:space="220"/>
            <w:col w:w="760" w:space="720"/>
            <w:col w:w="5300"/>
          </w:cols>
          <w:pgMar w:left="320" w:top="1057" w:right="339" w:bottom="1440" w:gutter="0" w:footer="0" w:header="0"/>
          <w:type w:val="continuous"/>
        </w:sectPr>
      </w:pP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138"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As a result of the Reorganization Transactions, the Company recorded a net deferred tax liability position of $137.3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Transactions. The combined entry was recorded as a cumulative adjustment to additional paid-in capital for 2020 equal to $141.9 million, as reflected in the statement of stockholders' equity.</w:t>
      </w:r>
    </w:p>
    <w:p>
      <w:pPr>
        <w:spacing w:after="0" w:line="94"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Effective January 31, 2021, NAHC discontinued partnership treatment for tax purposes. As a result, our deferred tax liability was no longer measured by reference to membership units in NAHC and instead was measured by reference to the underlying assets and liabilities of our operations. No change in the total reported deferred tax liability occurred as a result of the change in tax structure.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consists of the following (amounts in thousands) as of:</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2022</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127,823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93,373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23,403</w:t>
            </w: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r>
      <w:tr>
        <w:trPr>
          <w:trHeight w:val="230"/>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expense</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29,655</w:t>
            </w:r>
          </w:p>
        </w:tc>
      </w:tr>
      <w:tr>
        <w:trPr>
          <w:trHeight w:val="129"/>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37,971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69,353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30"/>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expense</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190,319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30,356</w:t>
            </w: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Fiscal Year Ended</w:t>
            </w:r>
          </w:p>
        </w:tc>
        <w:tc>
          <w:tcPr>
            <w:tcW w:w="18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rPr>
              <w:t>January 28, 2023</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January 29, 2022</w:t>
            </w: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January 30, 2021</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 at the statutory rate</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r>
      <w:tr>
        <w:trPr>
          <w:trHeight w:val="175"/>
        </w:trPr>
        <w:tc>
          <w:tcPr>
            <w:tcW w:w="340" w:type="dxa"/>
            <w:vAlign w:val="bottom"/>
          </w:tcPr>
          <w:p>
            <w:pPr>
              <w:spacing w:after="0"/>
              <w:rPr>
                <w:sz w:val="15"/>
                <w:szCs w:val="15"/>
                <w:color w:val="auto"/>
              </w:rPr>
            </w:pPr>
          </w:p>
        </w:tc>
        <w:tc>
          <w:tcPr>
            <w:tcW w:w="4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pre-IPO pass-through income allocated to our</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340" w:type="dxa"/>
            <w:vAlign w:val="bottom"/>
          </w:tcPr>
          <w:p>
            <w:pPr>
              <w:spacing w:after="0"/>
              <w:rPr>
                <w:sz w:val="21"/>
                <w:szCs w:val="21"/>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w:t>
            </w:r>
          </w:p>
        </w:tc>
        <w:tc>
          <w:tcPr>
            <w:tcW w:w="2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21"/>
                <w:szCs w:val="21"/>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Nondeductible excess compensation</w:t>
            </w: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 for share-based compensation</w:t>
            </w:r>
          </w:p>
        </w:tc>
        <w:tc>
          <w:tcPr>
            <w:tcW w:w="1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other permanent items</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Effective income tax rate</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20" w:type="dxa"/>
            <w:vAlign w:val="bottom"/>
          </w:tcPr>
          <w:p>
            <w:pPr>
              <w:jc w:val="right"/>
              <w:ind w:right="10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95" w:name="page96"/>
    <w:bookmarkEnd w:id="95"/>
    <w:p>
      <w:pPr>
        <w:jc w:val="both"/>
        <w:ind w:left="340" w:firstLine="324"/>
        <w:spacing w:after="0" w:line="257" w:lineRule="auto"/>
        <w:rPr>
          <w:sz w:val="20"/>
          <w:szCs w:val="20"/>
          <w:color w:val="auto"/>
        </w:rPr>
      </w:pPr>
      <w:r>
        <w:rPr>
          <w:rFonts w:ascii="Arial" w:cs="Arial" w:eastAsia="Arial" w:hAnsi="Arial"/>
          <w:sz w:val="18"/>
          <w:szCs w:val="18"/>
          <w:color w:val="auto"/>
        </w:rPr>
        <w:t>The effective tax rate for the period ending January 30, 2021, is less than the U.S. federal tax rate on corporations primarily as a result of the Company’s status as a flow-through entity prior to October 1, 2020. The fiscal year ended January 30, 2021 includes four months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NAHC continued to operate as a tax partnership through January 30,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deferred tax assets and liabilities consist of the following (amounts in thousands) as of:</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6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29, 2022</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 and reserves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24,227</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compensation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r>
      <w:tr>
        <w:trPr>
          <w:trHeight w:val="223"/>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33,349</w:t>
            </w:r>
          </w:p>
        </w:tc>
      </w:tr>
      <w:tr>
        <w:trPr>
          <w:trHeight w:val="250"/>
        </w:trPr>
        <w:tc>
          <w:tcPr>
            <w:tcW w:w="6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(49,995)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(36,108)</w:t>
            </w: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items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30"/>
        </w:trPr>
        <w:tc>
          <w:tcPr>
            <w:tcW w:w="676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(15,496)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(25,720)</w:t>
            </w:r>
          </w:p>
        </w:tc>
      </w:tr>
      <w:tr>
        <w:trPr>
          <w:trHeight w:val="229"/>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(180,891)</w:t>
            </w:r>
          </w:p>
        </w:tc>
      </w:tr>
      <w:tr>
        <w:trPr>
          <w:trHeight w:val="230"/>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(285,465)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(250,561)</w:t>
            </w: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(259,043)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(217,212)</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Management evaluates the realizability of the deferred tax assets and the need for additional valuation allowances annually. As of January 28, 2023, based on current facts and circumstances, management believes that it is more likely than not that the Company will realize benefit for its gross deferred tax assets.</w:t>
      </w:r>
    </w:p>
    <w:p>
      <w:pPr>
        <w:spacing w:after="0" w:line="21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As of January 28, 2023,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2020 through 2022, and 2019 through 2022,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56"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life of leasehold improvement assets are limited by the expected lease term. Additionally, we have certain agreements for equipment rentals, which are typically 12 months or less in duration. As of January 28, 2023, all of our leases are classified as operating leases.</w:t>
      </w:r>
    </w:p>
    <w:p>
      <w:pPr>
        <w:spacing w:after="0" w:line="215"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addition, in certain situations, we may sublease real estate to third parties. Our sublease portfolio consists mainly of former store locations for which we are still under lease and existing store leases in which we have excess or unused space.</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jc w:val="both"/>
        <w:ind w:firstLine="324"/>
        <w:spacing w:after="0" w:line="270" w:lineRule="auto"/>
        <w:rPr>
          <w:sz w:val="20"/>
          <w:szCs w:val="20"/>
          <w:color w:val="auto"/>
        </w:rPr>
      </w:pPr>
      <w:r>
        <w:rPr>
          <w:rFonts w:ascii="Arial" w:cs="Arial" w:eastAsia="Arial" w:hAnsi="Arial"/>
          <w:sz w:val="17"/>
          <w:szCs w:val="17"/>
          <w:color w:val="auto"/>
        </w:rPr>
        <w:t xml:space="preserve">In April 2020, the Financial Accounting Standards Board issued </w:t>
      </w:r>
      <w:r>
        <w:rPr>
          <w:rFonts w:ascii="Arial" w:cs="Arial" w:eastAsia="Arial" w:hAnsi="Arial"/>
          <w:sz w:val="17"/>
          <w:szCs w:val="17"/>
          <w:i w:val="1"/>
          <w:iCs w:val="1"/>
          <w:color w:val="auto"/>
        </w:rPr>
        <w:t>Staff Q&amp;A - Topic 842 and Topic 840: Accounting For Lease Concessions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Effects of the COVID-19 Pandemic</w:t>
      </w:r>
      <w:r>
        <w:rPr>
          <w:rFonts w:ascii="Arial" w:cs="Arial" w:eastAsia="Arial" w:hAnsi="Arial"/>
          <w:sz w:val="17"/>
          <w:szCs w:val="17"/>
          <w:color w:val="auto"/>
        </w:rPr>
        <w:t>. This guidance provides entities with the option to elect to account for certain lease concessions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to those contracts. During the year ended January 30, 2021, the Company received $2.5 million in lease expense credit related to landlord abated rent as a result of the elections made under this guidance. Additionally, during the year ended January 30, 2021, the Company signed 46 lease extensions requiring lease modification accounting treatment. There were no lease expense credits or extensions requiring lease modification accounting treatment related to COVID-19 during the fiscal years ended January 28, 2023 and January 29, 2022, respectively.</w:t>
      </w:r>
    </w:p>
    <w:p>
      <w:pPr>
        <w:spacing w:after="0" w:line="208" w:lineRule="exact"/>
        <w:rPr>
          <w:sz w:val="20"/>
          <w:szCs w:val="20"/>
          <w:color w:val="auto"/>
        </w:rPr>
      </w:pPr>
    </w:p>
    <w:p>
      <w:pPr>
        <w:ind w:right="320" w:firstLine="324"/>
        <w:spacing w:after="0" w:line="271"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("SG&amp;A") expenses on our statement of income is as follows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196,794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lease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2023</w:t>
            </w:r>
          </w:p>
        </w:tc>
        <w:tc>
          <w:tcPr>
            <w:tcW w:w="20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29, 2022</w:t>
            </w:r>
          </w:p>
        </w:tc>
        <w:tc>
          <w:tcPr>
            <w:tcW w:w="18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30, 2021</w:t>
            </w:r>
          </w:p>
        </w:tc>
      </w:tr>
      <w:tr>
        <w:trPr>
          <w:trHeight w:val="156"/>
        </w:trPr>
        <w:tc>
          <w:tcPr>
            <w:tcW w:w="48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Right-of-use assets obtained in exchange for new operating</w:t>
            </w:r>
          </w:p>
        </w:tc>
        <w:tc>
          <w:tcPr>
            <w:tcW w:w="1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116,652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86,782</w:t>
            </w:r>
          </w:p>
        </w:tc>
      </w:tr>
      <w:tr>
        <w:trPr>
          <w:trHeight w:val="175"/>
        </w:trPr>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2"/>
              </w:rPr>
              <w:t>Cash paid for amounts included in the measurement of operating</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204,159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203,554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179,723</w:t>
            </w:r>
          </w:p>
        </w:tc>
      </w:tr>
      <w:tr>
        <w:trPr>
          <w:trHeight w:val="499"/>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2023</w:t>
            </w:r>
          </w:p>
        </w:tc>
        <w:tc>
          <w:tcPr>
            <w:tcW w:w="180" w:type="dxa"/>
            <w:vAlign w:val="bottom"/>
          </w:tcPr>
          <w:p>
            <w:pPr>
              <w:spacing w:after="0"/>
              <w:rPr>
                <w:sz w:val="24"/>
                <w:szCs w:val="24"/>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29, 2022</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4"/>
        </w:trPr>
        <w:tc>
          <w:tcPr>
            <w:tcW w:w="4820" w:type="dxa"/>
            <w:vAlign w:val="bottom"/>
          </w:tcPr>
          <w:p>
            <w:pPr>
              <w:ind w:left="20"/>
              <w:spacing w:after="0"/>
              <w:rPr>
                <w:sz w:val="20"/>
                <w:szCs w:val="20"/>
                <w:color w:val="auto"/>
              </w:rPr>
            </w:pPr>
            <w:r>
              <w:rPr>
                <w:rFonts w:ascii="Arial" w:cs="Arial" w:eastAsia="Arial" w:hAnsi="Arial"/>
                <w:sz w:val="18"/>
                <w:szCs w:val="18"/>
                <w:color w:val="auto"/>
              </w:rPr>
              <w:t>Weighted-average incremental borrowing rate</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9.0 %</w:t>
            </w:r>
          </w:p>
        </w:tc>
      </w:tr>
    </w:tbl>
    <w:p>
      <w:pPr>
        <w:spacing w:after="0" w:line="30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ind w:left="320"/>
              <w:spacing w:after="0"/>
              <w:rPr>
                <w:sz w:val="20"/>
                <w:szCs w:val="20"/>
                <w:color w:val="auto"/>
              </w:rPr>
            </w:pPr>
            <w:r>
              <w:rPr>
                <w:rFonts w:ascii="Arial" w:cs="Arial" w:eastAsia="Arial" w:hAnsi="Arial"/>
                <w:sz w:val="18"/>
                <w:szCs w:val="18"/>
                <w:color w:val="auto"/>
                <w:w w:val="94"/>
              </w:rPr>
              <w:t>The remaining maturities of lease liabilities by fiscal year as of January 28, 2023 are as follows (amounts in thousands):</w:t>
            </w:r>
          </w:p>
        </w:tc>
        <w:tc>
          <w:tcPr>
            <w:tcW w:w="1200" w:type="dxa"/>
            <w:vAlign w:val="bottom"/>
          </w:tcPr>
          <w:p>
            <w:pPr>
              <w:spacing w:after="0"/>
              <w:rPr>
                <w:sz w:val="20"/>
                <w:szCs w:val="20"/>
                <w:color w:val="auto"/>
              </w:rPr>
            </w:pPr>
          </w:p>
        </w:tc>
      </w:tr>
      <w:tr>
        <w:trPr>
          <w:trHeight w:val="27"/>
        </w:trPr>
        <w:tc>
          <w:tcPr>
            <w:tcW w:w="8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209,776</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203,187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196,427</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2026</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188,495</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2027</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859,669</w:t>
            </w:r>
          </w:p>
        </w:tc>
      </w:tr>
      <w:tr>
        <w:trPr>
          <w:trHeight w:val="223"/>
        </w:trPr>
        <w:tc>
          <w:tcPr>
            <w:tcW w:w="8600" w:type="dxa"/>
            <w:vAlign w:val="bottom"/>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1,832,250</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(650,983)</w:t>
            </w:r>
          </w:p>
        </w:tc>
      </w:tr>
      <w:tr>
        <w:trPr>
          <w:trHeight w:val="248"/>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1,181,267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280" w:right="1020" w:hanging="5207"/>
        <w:spacing w:after="0" w:line="917" w:lineRule="auto"/>
        <w:tabs>
          <w:tab w:leader="none" w:pos="259" w:val="left"/>
        </w:tabs>
        <w:numPr>
          <w:ilvl w:val="0"/>
          <w:numId w:val="70"/>
        </w:numPr>
        <w:rPr>
          <w:rFonts w:ascii="Arial" w:cs="Arial" w:eastAsia="Arial" w:hAnsi="Arial"/>
          <w:sz w:val="22"/>
          <w:szCs w:val="22"/>
          <w:color w:val="auto"/>
          <w:vertAlign w:val="superscript"/>
        </w:rPr>
      </w:pPr>
      <w:r>
        <w:rPr>
          <w:rFonts w:ascii="Arial" w:cs="Arial" w:eastAsia="Arial" w:hAnsi="Arial"/>
          <w:sz w:val="17"/>
          <w:szCs w:val="17"/>
          <w:color w:val="auto"/>
        </w:rPr>
        <w:t>Minimum lease payments have not been reduced by sublease rentals of $0.5 million due in the future under non-cancelable subleases.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-242570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40" w:hanging="8"/>
        <w:spacing w:after="0" w:line="271" w:lineRule="auto"/>
        <w:tabs>
          <w:tab w:leader="none" w:pos="5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provided advisory, consulting and financial services to us. In accordance with the terms of the Monitoring Agreement, we paid an aggregate annual advisory fee which increased by 5.0% annually on each anniversary of the Effective Date. The Adviser also charged us a customary fee for services rendered in connection with securing, structuring and negotiating equity and debt financings by us. Additionally, we were required to reimburse the Adviser for any out-of-pocket expenses in connection with these services. The Monitoring Agreement continued in effect from year-to-year, unless amended or terminated by the Adviser and us.</w:t>
      </w:r>
    </w:p>
    <w:p>
      <w:pPr>
        <w:spacing w:after="0" w:line="124"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Upon the completion of the IPO, in the third quarter of 2020 the Monitoring Agreement terminated, and we recognized the final termination fee of $12.3 million. The termination fee was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of approximately $14.8 million in 2020. These expenses are included in selling, general and administrative expenses in the consolidated statements of income.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and Other Fee Arrangements</w:t>
      </w:r>
    </w:p>
    <w:p>
      <w:pPr>
        <w:spacing w:after="0" w:line="17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On October 6, 2020, ASO, Inc. completed the IPO. The Company paid $2.7 million in fees to KKR Capital Markets LLC ("KCM"), an affiliate of KKR, for underwriting services in connection with the IPO.</w:t>
      </w:r>
    </w:p>
    <w:p>
      <w:pPr>
        <w:spacing w:after="0" w:line="19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On November 3, 2020, ASO, Inc. completed the IPO Over-Allotment Exercise. The Company paid $0.3 million in fees to KCM for underwriting services in connection with the IPO Over-Allotment Exercise.</w:t>
      </w:r>
    </w:p>
    <w:p>
      <w:pPr>
        <w:spacing w:after="0" w:line="19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 November 6, 2020, the Company issued the Notes, entered into the 2020 Term Loan, and entered into the 2020 ABL Facility. The Company paid $2.5 million in fees to KCM in connection with the Refinancing Transactions. These fees are recorded as deferred loan costs, net of amortization, within the long-term debt on the consolidated balance sheets.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52"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On January 27, 2021, May 5, 2021, and September 14, 2021, in connection with the Secondary Offering, the May 2021 Secondary Offering, and the September 2021 Secondary Offering, respectively, the Company entered into Underwriting Agreements with affiliates of KKR (as selling stockholders), the several other selling stockholders named therein, and the several underwriters named therein, including KCM (as underwriter). The Secondary Offering, May 2021 Secondary Offering, and September 2021 Secondary Offering were completed on February 1, 2021, May 10, 2021, and September 17, 2021, respectively. The Company did not pay KCM any fees in connection with these secondary offerings.</w:t>
      </w:r>
    </w:p>
    <w:p>
      <w:pPr>
        <w:spacing w:after="0" w:line="122"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In connection with the May 2021 Secondary Offering, we repurchased from the underwriters 3,229,974 shares of ASO, Inc. common stock at $30.96 per share for approximately $100.0 million. In connection with the September 2021 Secondary Offering, we repurchased from the underwriters 4,500,000 shares of ASO, Inc. common stock at approximately $43.52 for approximately $195.8 million. The shares repurchased in both the May 2021 Secondary Offering and the September 2021 Secondary Offering were immediately retired by the Company (see Note 1 and Note 2).</w:t>
      </w:r>
    </w:p>
    <w:p>
      <w:pPr>
        <w:spacing w:after="0" w:line="103"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Additionally, KKR has ownership interest in a broad range of portfolio companies and we may have entered into commercial transactions for goods or services in the ordinary course of business with these companies. We do not believe such transactions are material to our business. Upon completion of the September 2021 Secondary Offering, KKR no longer holds an ownership interest in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71"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During the year ended January 30, 2021, Managers repurchased at fair market value approximately $37.0 thousand of Redeemable Membership Units from a director of the Company for cash. NAHC concurrently repurchased from Managers for cash, at fair market value, a number of NAHC membership units equal to the number of Redeemable Membership Units repurchased from the director.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Managers was dissolved and its assets were distributed to its members on December 23, 2020.</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8" w:name="page99"/>
    <w:bookmarkEnd w:id="98"/>
    <w:p>
      <w:pPr>
        <w:ind w:left="332"/>
        <w:spacing w:after="0"/>
        <w:rPr>
          <w:sz w:val="20"/>
          <w:szCs w:val="20"/>
          <w:color w:val="auto"/>
        </w:rPr>
      </w:pPr>
      <w:r>
        <w:rPr>
          <w:rFonts w:ascii="Arial" w:cs="Arial" w:eastAsia="Arial" w:hAnsi="Arial"/>
          <w:sz w:val="18"/>
          <w:szCs w:val="18"/>
          <w:b w:val="1"/>
          <w:bCs w:val="1"/>
          <w:i w:val="1"/>
          <w:iCs w:val="1"/>
          <w:color w:val="auto"/>
        </w:rPr>
        <w:t>Note Receivable from Member and Distribution</w:t>
      </w:r>
    </w:p>
    <w:p>
      <w:pPr>
        <w:spacing w:after="0" w:line="171" w:lineRule="exact"/>
        <w:rPr>
          <w:sz w:val="20"/>
          <w:szCs w:val="20"/>
          <w:color w:val="auto"/>
        </w:rPr>
      </w:pPr>
    </w:p>
    <w:p>
      <w:pPr>
        <w:jc w:val="both"/>
        <w:ind w:left="332" w:firstLine="324"/>
        <w:spacing w:after="0" w:line="259" w:lineRule="auto"/>
        <w:rPr>
          <w:sz w:val="20"/>
          <w:szCs w:val="20"/>
          <w:color w:val="auto"/>
        </w:rPr>
      </w:pPr>
      <w:r>
        <w:rPr>
          <w:rFonts w:ascii="Arial" w:cs="Arial" w:eastAsia="Arial" w:hAnsi="Arial"/>
          <w:sz w:val="18"/>
          <w:szCs w:val="18"/>
          <w:color w:val="auto"/>
        </w:rPr>
        <w:t>Prior to October 1, 2020, under NAHC's LLC agreement, certain members could require the Company to provide a tax loan on their behalf under certain circumstances. On April 10, 2019, the Company loaned $4.0 million with a note receivable issued to a member of NAHC. The note receivable bore semi-annual compounding interest at 2.5%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of NAHC. The note receivable bore semi-annual compounding interest at 2.1%, with outstanding principal and interest due on April 5, 2021, and was recorded in prepaid expenses and other non-current assets on the balance sheet.</w:t>
      </w:r>
    </w:p>
    <w:p>
      <w:pPr>
        <w:spacing w:after="0" w:line="130"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9). Of the $257.0 million, $8.5 million was used to offset and satisfy the remaining balances of the notes receivable and related interest receivable from a member of NAHC.</w:t>
      </w:r>
    </w:p>
    <w:p>
      <w:pPr>
        <w:spacing w:after="0" w:line="200" w:lineRule="exact"/>
        <w:rPr>
          <w:sz w:val="20"/>
          <w:szCs w:val="20"/>
          <w:color w:val="auto"/>
        </w:rPr>
      </w:pPr>
    </w:p>
    <w:p>
      <w:pPr>
        <w:spacing w:after="0" w:line="250" w:lineRule="exact"/>
        <w:rPr>
          <w:sz w:val="20"/>
          <w:szCs w:val="20"/>
          <w:color w:val="auto"/>
        </w:rPr>
      </w:pPr>
    </w:p>
    <w:p>
      <w:pPr>
        <w:ind w:left="312" w:hanging="312"/>
        <w:spacing w:after="0"/>
        <w:tabs>
          <w:tab w:leader="none" w:pos="31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Freight, Technology Related Commitments and Other</w:t>
      </w:r>
    </w:p>
    <w:p>
      <w:pPr>
        <w:spacing w:after="0" w:line="252"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As of January 28, 2023, we have obligations under freight, technology-related, construction and other contractual commitments in the amount of $117.4 million. Of such commitments, approximately $78.3 million is payable in the next 12 months.</w:t>
      </w:r>
    </w:p>
    <w:p>
      <w:pPr>
        <w:spacing w:after="0" w:line="197"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252"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04"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252" w:lineRule="exact"/>
        <w:rPr>
          <w:sz w:val="20"/>
          <w:szCs w:val="20"/>
          <w:color w:val="auto"/>
        </w:rPr>
      </w:pPr>
    </w:p>
    <w:p>
      <w:pPr>
        <w:jc w:val="both"/>
        <w:ind w:left="332"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January 28, 2023, we have $17.9 million in related commitments through 2027, of which $5.5 million is payable in next 12 months.</w:t>
      </w:r>
    </w:p>
    <w:p>
      <w:pPr>
        <w:spacing w:after="0" w:line="200" w:lineRule="exact"/>
        <w:rPr>
          <w:sz w:val="20"/>
          <w:szCs w:val="20"/>
          <w:color w:val="auto"/>
        </w:rPr>
      </w:pPr>
    </w:p>
    <w:p>
      <w:pPr>
        <w:spacing w:after="0" w:line="31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8" w:right="339" w:bottom="1440" w:gutter="0" w:footer="0" w:header="0"/>
        </w:sectPr>
      </w:pPr>
    </w:p>
    <w:bookmarkStart w:id="99" w:name="page100"/>
    <w:bookmarkEnd w:id="99"/>
    <w:p>
      <w:pPr>
        <w:ind w:left="340" w:right="9100" w:hanging="332"/>
        <w:spacing w:after="0" w:line="534" w:lineRule="auto"/>
        <w:tabs>
          <w:tab w:leader="none" w:pos="33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401(k) Plan</w:t>
      </w:r>
    </w:p>
    <w:p>
      <w:pPr>
        <w:spacing w:after="0" w:line="1"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We sponsor a safe harbor defined contribution 401(k) profit sharing plan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the money contributed by a plan participant to the 401(k) Plan each pay period, on a dollar-for-dollar basis, up to 6% of a plan participant’s eligible compensation during such pay period. Annual Company profit sharing contributions are made at the discretion of our board of directors, subject to certain limitations. The 401(k) Plan may be amended or terminated at our discretion. Employer contributions related to the 401(k) Plan totaled $15.5 million, $15.6 million and $13.2 million in 2022, 2021 and 2020, respectively.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56" w:lineRule="exact"/>
        <w:rPr>
          <w:sz w:val="20"/>
          <w:szCs w:val="20"/>
          <w:color w:val="auto"/>
        </w:rPr>
      </w:pPr>
    </w:p>
    <w:p>
      <w:pPr>
        <w:ind w:left="340" w:right="320" w:firstLine="324"/>
        <w:spacing w:after="0" w:line="271" w:lineRule="auto"/>
        <w:rPr>
          <w:sz w:val="20"/>
          <w:szCs w:val="20"/>
          <w:color w:val="auto"/>
        </w:rPr>
      </w:pPr>
      <w:r>
        <w:rPr>
          <w:rFonts w:ascii="Arial" w:cs="Arial" w:eastAsia="Arial" w:hAnsi="Arial"/>
          <w:sz w:val="18"/>
          <w:szCs w:val="18"/>
          <w:color w:val="auto"/>
        </w:rPr>
        <w:t>The summarized quarterly financial information for the fiscal years ended 2022 and 2021 are reflected in the table below (in thousands, except earnings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1st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2nd</w:t>
            </w:r>
          </w:p>
        </w:tc>
        <w:tc>
          <w:tcPr>
            <w:tcW w:w="32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3rd</w:t>
            </w:r>
          </w:p>
        </w:tc>
        <w:tc>
          <w:tcPr>
            <w:tcW w:w="320" w:type="dxa"/>
            <w:vAlign w:val="bottom"/>
          </w:tcPr>
          <w:p>
            <w:pPr>
              <w:spacing w:after="0"/>
              <w:rPr>
                <w:sz w:val="19"/>
                <w:szCs w:val="19"/>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4th</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6"/>
                <w:szCs w:val="16"/>
                <w:i w:val="1"/>
                <w:iCs w:val="1"/>
                <w:color w:val="auto"/>
              </w:rPr>
              <w:t>(amounts in thousands)</w:t>
            </w:r>
          </w:p>
        </w:tc>
        <w:tc>
          <w:tcPr>
            <w:tcW w:w="3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Quarter</w:t>
            </w: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20" w:type="dxa"/>
            <w:vAlign w:val="bottom"/>
          </w:tcPr>
          <w:p>
            <w:pPr>
              <w:spacing w:after="0"/>
              <w:rPr>
                <w:sz w:val="20"/>
                <w:szCs w:val="20"/>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1,467,730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1,686,915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1,493,925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1,746,503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521,424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572,544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205,493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256,734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179,522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204,800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149,806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Weighted average common shares outstanding: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86,658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82,960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79,085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77,657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 w:type="dxa"/>
            <w:vAlign w:val="bottom"/>
            <w:vMerge w:val="restart"/>
          </w:tcPr>
          <w:p>
            <w:pPr>
              <w:spacing w:after="0"/>
              <w:rPr>
                <w:sz w:val="22"/>
                <w:szCs w:val="22"/>
                <w:color w:val="auto"/>
              </w:rPr>
            </w:pPr>
          </w:p>
        </w:tc>
        <w:tc>
          <w:tcPr>
            <w:tcW w:w="3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0" w:type="dxa"/>
            <w:vAlign w:val="bottom"/>
            <w:vMerge w:val="continue"/>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1,580,333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1,791,530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1,592,795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1,808,470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584,060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198,202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177,796</w:t>
            </w:r>
          </w:p>
        </w:tc>
        <w:tc>
          <w:tcPr>
            <w:tcW w:w="5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190,510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161,305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141,770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1.84</w:t>
            </w:r>
          </w:p>
        </w:tc>
        <w:tc>
          <w:tcPr>
            <w:tcW w:w="5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w w:val="88"/>
              </w:rPr>
              <w:t>Weighted average common shares outstanding:</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96,472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95,891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93,844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90,475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Our management evaluated events or transactions that occurred after January 28, 2023 through March 16, 2023, the issuance date of the consolidated financial statements, and identified the following matter to report:</w:t>
      </w:r>
    </w:p>
    <w:p>
      <w:pPr>
        <w:spacing w:after="0" w:line="19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On March 2, 2023, the Company's Board of Directors declared a quarterly cash dividend in the amount of $0.09 per share on the Company's common stock, payable on April 13, 2023 to stockholders of record as of the close of business on March 23,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882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Amended and Restated Certificate of Incorporation of the Registrant (incorporated by reference to Exhibit 3.1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Registrant’s Current Report on Form 8-K filed on October 6, 2020).</w:t>
            </w: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rPr>
            </w:pPr>
            <w:hyperlink r:id="rId133">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Amended and Restated Bylaws of the Registrant (incorporated by reference to Exhibit 3.2 to the Registrant’s Quarterly</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Report on Form 10-Q filed on December 6, 2022).</w:t>
            </w: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3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Indenture, dated as of November 6, 2020, by and among Academy, Ltd., as issuer, the guarantors named therein and The</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Bank of New York Mellon Trust Company, N.A., as trustee and notes collateral agent (incorporated by reference to</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 4.1 to the Registrant’s Current Report on Form 8-K filed on November 6, 2020).</w:t>
            </w:r>
          </w:p>
        </w:tc>
      </w:tr>
      <w:tr>
        <w:trPr>
          <w:trHeight w:val="189"/>
        </w:trPr>
        <w:tc>
          <w:tcPr>
            <w:tcW w:w="232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2*</w:t>
            </w: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Description of Securities Registered Under Section 12 of the Exchange Act.</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Second Amended and Restated Credit Agreement, dated as of November 6, 2020, among Academy, Ltd., as Borrower,</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New Academy Holding Company, LLC, as Holdings, Associated Investors L.L.C. and Academy Managing Co., L.L.C.,</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as Texas Intermediate Holdcos, the several lenders from time to time party thereto, Credit Suisse AG, Cayman Islands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Branch, as the administrative agent and collateral agent and the several other parties named therein (incorporated by</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to Exhibit 10.1 to the Registrant’s Current Report on Form 8-K filed on November 6,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Amendment No. 4, dated May 25, 2021, to the Second Amended and Restated Credit Agreement among Academy, Ltd.,</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w w:val="99"/>
              </w:rPr>
              <w:t>as Borrower, Credit Suisse AG, Cayman Islands Branch, as the administrative agent and collateral agent, the several</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7"/>
              </w:rPr>
              <w:t>lenders party thereto and the several other parties named therein (incorporated by reference to Exhibit 10.1 to the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Current Report on Form 8-K filed on May 25, 2021).</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Amended and Restated Term Loan Security Agreement, dated as of July 2, 2015, among Academy, Ltd., as Borrower,</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5"/>
              </w:rPr>
              <w:t>each of the subsidiaries listed on the signature pages thereto, and Morgan Stanley Senior Funding, Inc., as collateral agent</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for the benefit of the secured parties (incorporated by reference to Exhibit 10.2 to the Registrant’s Registration Statement</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Form S-1 filed on September 23,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8"/>
              </w:rPr>
              <w:t>Amended and Restated Term Loan Pledge Agreement, dated as of July 2, 2015, among New Academy Holding</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rPr>
              <w:t>Company, LLC, as Holdings, Associated Investors L.L.C. and Academy Managing Co., L.L.C, as Texas Intermediate</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1"/>
              </w:rPr>
              <w:t>Holdcos, Academy, Ltd., as Borrower, each of the subsidiaries listed on the signature pages thereto and Morgan Stanley</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0"/>
              </w:rPr>
              <w:t>Senior Funding, Inc., as collateral agent for the benefit of the secured parties (incorporated by reference to Exhibit 10.3 to</w:t>
            </w: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the Registrant’s Registration Statement on Form S-1 filed on September 23, 2020).</w:t>
            </w:r>
          </w:p>
        </w:tc>
      </w:tr>
      <w:tr>
        <w:trPr>
          <w:trHeight w:val="195"/>
        </w:trPr>
        <w:tc>
          <w:tcPr>
            <w:tcW w:w="2320" w:type="dxa"/>
            <w:vAlign w:val="bottom"/>
            <w:gridSpan w:val="4"/>
            <w:shd w:val="clear" w:color="auto" w:fill="CCEEFF"/>
          </w:tcPr>
          <w:p>
            <w:pPr>
              <w:ind w:left="20"/>
              <w:spacing w:after="0" w:line="195" w:lineRule="exact"/>
              <w:rPr>
                <w:rFonts w:ascii="Arial" w:cs="Arial" w:eastAsia="Arial" w:hAnsi="Arial"/>
                <w:sz w:val="18"/>
                <w:szCs w:val="18"/>
                <w:color w:val="0000FF"/>
              </w:rPr>
            </w:pPr>
            <w:hyperlink r:id="rId13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ABL Intercreditor Agreement, dated July 2, 2015, among JPMorgan Chase Bank, N.A., as agent for the ABL Secured</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6"/>
              </w:rPr>
              <w:t>Parties referred to therein, Morgan Stanley Senior Funding, Inc., as administrative agent and collateral agent for the Term</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Loan Secured Parties referred to therein, New Academy Holding Company, LLC, as Holdings, Associated Investors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L.L.C. and Academy Managing Co., L.L.C, as Texas Intermediate Holdcos, Academy, Ltd., as Borrower, and each of the</w:t>
            </w:r>
          </w:p>
        </w:tc>
      </w:tr>
      <w:tr>
        <w:trPr>
          <w:trHeight w:val="188"/>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subsidiaries of the Borrower listed on the signature pages thereto (incorporated by reference to Exhibit 10.4 to the</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Joinder to ABL Intercreditor Agreement, dated November 6, 2020, among JPMorgan Chase Bank, N.A., as agent for the</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w w:val="96"/>
              </w:rPr>
              <w:t>ABL Secured Parties referred to therein, Credit Suisse AG, Cayman Islands Branch, as agent for the Term Loan Secured</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rPr>
              <w:t>Parties referred to therein, and The Bank of New York Mellon Trust Company, N.A., as collateral agent for the</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8"/>
              </w:rPr>
              <w:t>Additional Debt Secured Parties referred to therein (incorporated by reference to Exhibit 10.5 to the Registrant’s</w:t>
            </w: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95"/>
        </w:trPr>
        <w:tc>
          <w:tcPr>
            <w:tcW w:w="2320" w:type="dxa"/>
            <w:vAlign w:val="bottom"/>
            <w:gridSpan w:val="4"/>
            <w:shd w:val="clear" w:color="auto" w:fill="CCEEFF"/>
          </w:tcPr>
          <w:p>
            <w:pPr>
              <w:ind w:left="20"/>
              <w:spacing w:after="0" w:line="195" w:lineRule="exact"/>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Joinder to ABL Intercreditor Agreement, dated November 6, 2020, among JPMorgan Chase Bank, N.A., as agent for the</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ABL Secured Parties referred to therein, and Credit Suisse AG, Cayman Islands Branch, as agent for the Term Loan</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Secured Parties referred to therein (incorporated by reference to Exhibit 10.6 to the Registrant’s Registration Statement</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Form S-1 filed on January 25, 2021).</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First Lien Intercreditor Agreement, dated November 6, 2020, among Credit Suisse AG, Cayman Islands Branch, as First</w:t>
            </w: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Pr>
          <w:p>
            <w:pPr>
              <w:ind w:left="20"/>
              <w:spacing w:after="0" w:line="170" w:lineRule="exact"/>
              <w:rPr>
                <w:sz w:val="20"/>
                <w:szCs w:val="20"/>
                <w:color w:val="auto"/>
              </w:rPr>
            </w:pPr>
            <w:r>
              <w:rPr>
                <w:rFonts w:ascii="Arial" w:cs="Arial" w:eastAsia="Arial" w:hAnsi="Arial"/>
                <w:sz w:val="18"/>
                <w:szCs w:val="18"/>
                <w:color w:val="auto"/>
                <w:w w:val="93"/>
              </w:rPr>
              <w:t>Lien Collateral Agent and Authorized Representative for the Credit Agreement Secured Parties referred to therein, The</w:t>
            </w:r>
          </w:p>
        </w:tc>
      </w:tr>
    </w:tbl>
    <w:p>
      <w:pPr>
        <w:ind w:left="2440" w:right="20"/>
        <w:spacing w:after="0" w:line="226" w:lineRule="auto"/>
        <w:rPr>
          <w:sz w:val="20"/>
          <w:szCs w:val="20"/>
          <w:color w:val="auto"/>
        </w:rPr>
      </w:pPr>
      <w:r>
        <w:rPr>
          <w:rFonts w:ascii="Arial" w:cs="Arial" w:eastAsia="Arial" w:hAnsi="Arial"/>
          <w:sz w:val="18"/>
          <w:szCs w:val="18"/>
          <w:color w:val="auto"/>
        </w:rPr>
        <w:t>Bank of New York Mellon Trust (incorporated by reference to Exhibit 10.7 to the Registrant’s Registration Statement on Form S-1 filed on January 25, 2021).</w:t>
      </w: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6"/>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420" w:type="dxa"/>
            <w:vAlign w:val="bottom"/>
            <w:tcBorders>
              <w:top w:val="single" w:sz="8" w:color="auto"/>
            </w:tcBorders>
            <w:gridSpan w:val="3"/>
            <w:shd w:val="clear" w:color="auto" w:fill="CCEEFF"/>
          </w:tcPr>
          <w:p>
            <w:pPr>
              <w:ind w:left="20"/>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First Amended and Restated ABL Credit Agreement, dated July 2, 2015, among Academy, Ltd., as Borrower, New</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Academy Holding Company, LLC, as Holdings, Associated Investors L.L.C. and Academy Managing Co., L.L.C, as</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Texas Intermediate Holdcos, the lending institutions from time to time party thereto and JPMorgan Chase Bank, N.A., as</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the Administrative Agent, the Collateral Agent, the Letter of Credit Issuer and the Swingline Lender (incorporated by</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reference to Exhibit 10.5 to the Registrant’s Registration Statement on Form S-1 filed on September 23,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Amendment No. 1 to First Amended and Restated ABL Credit Agreement, dated as of May 22, 2018, among Academy,</w:t>
            </w: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rPr>
              <w:t>Ltd., as Borrower, New Academy Holding Company, LLC, as Holdings, Associated Investors L.L.C. and Academy</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Managing Co., L.L.C, as Texas Intermediate Holdcos, each of the Guarantors party thereto, each of the lenders party</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3"/>
              </w:rPr>
              <w:t>thereto and JPMorgan Chase Bank, N.A., as the Administrative Agent, the Collateral Agent, the Letter of Credit Issuer</w:t>
            </w: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and the Swingline Lender (incorporated by reference to Exhibit 10.6 to the Registrant’s Registration Statement on Form</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S-1 filed on September 23, 2020).</w:t>
            </w:r>
          </w:p>
        </w:tc>
      </w:tr>
      <w:tr>
        <w:trPr>
          <w:trHeight w:val="189"/>
        </w:trPr>
        <w:tc>
          <w:tcPr>
            <w:tcW w:w="440" w:type="dxa"/>
            <w:vAlign w:val="bottom"/>
            <w:gridSpan w:val="4"/>
            <w:shd w:val="clear" w:color="auto" w:fill="CCEEFF"/>
          </w:tcPr>
          <w:p>
            <w:pPr>
              <w:ind w:left="20"/>
              <w:spacing w:after="0" w:line="189"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Amendment No. 2 to First Amended and Restated ABL Credit Agreement, dated as of November 6, 2020, among</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Academy, Ltd., as Borrower, New Academy Holding Company, LLC, as Holdings, Associated Investors, L.L.C. and</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Academy Managing Co., L.L.C., as Texas Intermediate Holdcos, the several lenders from time to time party thereto,</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JPMorgan Chase Bank, N.A., as the letter of credit issuer, administrative agent and collateral agent (incorporated by</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to Exhibit 10.2 to the Registrant’s Current Report on Form 8-K filed on November 6,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Amended and Restated ABL Security Agreement, dated as of July 2, 2015, among Academy, Ltd., as Borrower, each of</w:t>
            </w: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w w:val="96"/>
              </w:rPr>
              <w:t>the subsidiaries listed on the signature pages thereto, and JPMorgan Chase Bank, N.A., as collateral agent for the benefit</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of the secured parties (incorporated by reference to Exhibit 10.7 to the Registrant’s Registration Statement on Form S-1</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filed on September 23, 2020).</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Amended and Restated ABL Pledge Agreement, dated July 2, 2015, among New Academy Holding Company, LLC, as</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Holdings, Associated Investors L.L.C. and Academy Managing Co., L.L.C, as Texas Intermediate Holdcos, Academy,</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Ltd., as Borrower, each of the subsidiaries listed on the signature pages thereto and JPMorgan Chase Bank, N.A., as</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collateral agent for the benefit of the secured parties (incorporated by reference to Exhibit 10.8 to the Registrant’s</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Statement on Form S-1 filed on September 23,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Notes Security Agreement, dated as of November 6, 2020, among Academy, Ltd., as Issuer, each of the guarantors listed</w:t>
            </w: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rPr>
              <w:t>on the signature pages thereto, and The Bank of New York Mellon Trust Company, N.A., as collateral agent for the</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9"/>
              </w:rPr>
              <w:t>benefit of the Secured Parties referred to therein (incorporated by reference to Exhibit 10.13 to the Registrant’s</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Notes Pledge Agreement, dated as of November 6, 2020, among Academy, Ltd., as Issuer, each of the guarantors listed</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on the signature pages thereto, and The Bank of New York Mellon Trust Company, N.A., as collateral agent for the</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benefit of the Secured Parties referred to therein (incorporated by reference to Exhibit 10.14 to the Registrant’s</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Amendment to the Registration Rights Agreement, dated as of October 6, 2020, by and among the Registrant, Allstar</w:t>
            </w: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rPr>
              <w:t>LLC and New Academy Holding Company, LLC (incorporated by reference to Exhibit 4.1 to the Registrant’s Current</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Report on Form 8-K filed on October 6,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Form of 2022 Non-Employee Director Time-Based Restricted Stock Unit Agreement (incorporated by reference to</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Exhibit 10.2 to the Registrant’s Quarterly Report on Form 10-Q filed on September 7, 2022).</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2022 CEO Performance-Based Restricted Stock Unit Agreement (incorporated by reference to Exhibit 10.1 to</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the Registrant’s 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Form of 2022 CEO Time-Based Option Agreement (incorporated by reference to Exhibit 10.2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Report on Form 10-Q filed on June 7, 2022).</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Form of 2022 Executive Performance-Based Restricted Stock Unit Agreement (incorporated by reference to Exhibit 10.3</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to the Registrant’s 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2022 Executive Time-Based Restricted Stock Unit Agreement (incorporated by reference to Exhibit 10.4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Registrant’s Quarterly Report on Form 10-Q filed on June 7, 2022).</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Form of 2022 Executive Time-Based Option Agreement (incorporated by reference to Exhibit 10.5 to the Registrant’s</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Form of 2021 RSU Executive Retention Award Agreement (incorporated by reference to Exhibit 10.01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Report on From 10-Q filed on December 10, 2021).</w:t>
            </w:r>
          </w:p>
        </w:tc>
      </w:tr>
      <w:tr>
        <w:trPr>
          <w:trHeight w:val="62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103</w:t>
            </w: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6"/>
              </w:rPr>
              <w:t>2021 Form of Performance-Based Restricted Stock Unit Agreement under the 2020 Omnibus Incentive Plan. Plan</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10.19 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2020 Omnibus Incentive Plan (incorporated by reference to Exhibit 10.2 to the Registrant’s Quarterly Report on Form</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10-Q filed on December 10,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Time-Based Option Agreement under 2020 Omnibus Incentive Plan (incorporated by reference to Exhibit 10.10</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to Amendment No. 1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Non-Employee Director Restricted Stock Unit Agreement under 2020 Omnibus Incentive Plan (incorporated by</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reference to Exhibit 10.11 to Amendment No. 1 to the Registrant’s Registration Statement on Form S-1 filed on</w:t>
            </w:r>
          </w:p>
        </w:tc>
      </w:tr>
      <w:tr>
        <w:trPr>
          <w:trHeight w:val="230"/>
        </w:trPr>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2020 Form of Performance-Based Restricted Stock Unit Agreement under 2020 Omnibus Incentive Plan (incorporated by</w:t>
            </w:r>
          </w:p>
        </w:tc>
      </w:tr>
      <w:tr>
        <w:trPr>
          <w:trHeight w:val="155"/>
        </w:trPr>
        <w:tc>
          <w:tcPr>
            <w:tcW w:w="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4" w:lineRule="exact"/>
              <w:rPr>
                <w:sz w:val="20"/>
                <w:szCs w:val="20"/>
                <w:color w:val="auto"/>
              </w:rPr>
            </w:pPr>
            <w:r>
              <w:rPr>
                <w:rFonts w:ascii="Arial" w:cs="Arial" w:eastAsia="Arial" w:hAnsi="Arial"/>
                <w:sz w:val="17"/>
                <w:szCs w:val="17"/>
                <w:color w:val="auto"/>
              </w:rPr>
              <w:t>reference to Exhibit 10.12 to Amendment No. 1 to the Registrant’s Registration Statement on Form S-1 filed 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2011 Unit Incentive Plan (incorporated by reference to Exhibit 10.13 to the Registrant’s Registration Statement on Form</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2020 CEO Option Agreement under 2011 Unit Incentive Plan (incorporated by reference to Exhibit 10.14 to the</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2020 Executive Option Agreement under 2011 Unit Incentive Plan (incorporated by reference to Exhibit 10.15</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2019 CEO Option Agreement under 2011 Unit Incentive Plan (incorporated by reference to Exhibit 10.16 to the</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2019 Executive Option Agreement under 2011 Unit Incentive Plan (incorporated by reference to Exhibit 10.17</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2018 CEO Option Agreement under 2011 Unit Incentive Plan (incorporated by reference to Exhibit 10.18 to the</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2018 Executive Option Agreement under 2011 Unit Incentive Plan (incorporated by reference to Exhibit 10.19</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Form of 2018 Non Executive Option Agreement under 2011 Unit Incentive Plan (incorporated by reference to Exhibit</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10.27 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2017 Executive Option Agreement under 2011 Unit Incentive Plan (incorporated by reference to Exhibit 10.20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2016 Executive Option Agreement under 2011 Unit Incentive Plan (incorporated by reference to Exhibit 10.21</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Form of August 2020 Restricted Unit Agreement under 2011 Unit Incentive Plan (incorporated by reference to Exhibit</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10.22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6"/>
              </w:rPr>
              <w:t>Form of 2020 CEO Restricted Unit Agreement under 2011 Unit Incentive Plan (incorporated by reference to Exhibit</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10.23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2020 Executive Restricted Unit Agreement under 2011 Unit Incentive Plan (incorporated by reference to Exhibit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10.24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2019 Executive Restricted Unit Agreement under 2011 Unit Incentive Plan (incorporated by reference to Exhibit</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10.25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2018 CEO Restricted Unit Agreement under 2011 Unit Incentive Plan (as amended) (incorporated by reference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 Exhibit 10.26 to the Registrant’s Registration Statement on Form S-1 filed on September 23, 2020).</w:t>
            </w:r>
          </w:p>
        </w:tc>
      </w:tr>
      <w:tr>
        <w:trPr>
          <w:trHeight w:val="6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104</w:t>
            </w:r>
          </w:p>
        </w:tc>
      </w:tr>
      <w:tr>
        <w:trPr>
          <w:trHeight w:val="358"/>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3"/>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44†</w:t>
              </w:r>
            </w:hyperlink>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3"/>
              </w:rPr>
              <w:t>Form of Independent Non-Employee Director Restricted Unit Agreement under 2011 Unit Incentive Plan (incorporated</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w w:val="96"/>
              </w:rPr>
              <w:t>by reference to Exhibit 10.27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45†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2018 Executive Restricted Unit Agreement under 2011 Unit Incentive Plan (incorporated by reference to Exhibit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10.28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46†</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9"/>
              </w:rPr>
              <w:t>Ken C. Hicks Employment Agreement, dated August 2, 2018 (incorporated by reference to Exhibit 10.29 to the</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47†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Michael P. Mullican Employment Agreement, dated January 6, 2017 and amended on December 21, 2017 (incorporated</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by reference to Exhibit 10.30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48†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Steven (Steve) P. Lawrence Employment Agreement, dated January 29, 2019 (incorporated by reference to Exhibit 10.31</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88">
              <w:r>
                <w:rPr>
                  <w:rFonts w:ascii="Arial" w:cs="Arial" w:eastAsia="Arial" w:hAnsi="Arial"/>
                  <w:sz w:val="18"/>
                  <w:szCs w:val="18"/>
                  <w:color w:val="0000FF"/>
                </w:rPr>
                <w:t>10.</w:t>
              </w:r>
              <w:r>
                <w:rPr>
                  <w:rFonts w:ascii="Arial" w:cs="Arial" w:eastAsia="Arial" w:hAnsi="Arial"/>
                  <w:sz w:val="18"/>
                  <w:szCs w:val="18"/>
                  <w:u w:val="single" w:color="auto"/>
                  <w:color w:val="0000FF"/>
                </w:rPr>
                <w:t>49†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Samuel (Sam) J. Johnson Employment Agreement, dated April 17, 2017 (incorporated by reference to Exhibit 10.32 to</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Arial" w:cs="Arial" w:eastAsia="Arial" w:hAnsi="Arial"/>
                <w:sz w:val="18"/>
                <w:szCs w:val="18"/>
                <w:color w:val="0000FF"/>
              </w:rPr>
            </w:pPr>
            <w:hyperlink r:id="rId189">
              <w:r>
                <w:rPr>
                  <w:rFonts w:ascii="Arial" w:cs="Arial" w:eastAsia="Arial" w:hAnsi="Arial"/>
                  <w:sz w:val="18"/>
                  <w:szCs w:val="18"/>
                  <w:color w:val="0000FF"/>
                </w:rPr>
                <w:t>10.</w:t>
              </w:r>
              <w:r>
                <w:rPr>
                  <w:rFonts w:ascii="Arial" w:cs="Arial" w:eastAsia="Arial" w:hAnsi="Arial"/>
                  <w:sz w:val="18"/>
                  <w:szCs w:val="18"/>
                  <w:u w:val="single" w:color="auto"/>
                  <w:color w:val="0000FF"/>
                </w:rPr>
                <w:t>50†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Jamey Traywick Rutherford Employment Agreement, dated October 1, 2018 (incorporated by reference to Exhibit 10.41</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51†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Manish Maini Employment Agreement, dated May 25, 2017 (incorporated by reference to Exhibit 10.3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Registrant’s Quarterly Report on Form 10-Q filed on September 7, 2022).</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Arial" w:cs="Arial" w:eastAsia="Arial" w:hAnsi="Arial"/>
                <w:sz w:val="18"/>
                <w:szCs w:val="18"/>
                <w:color w:val="0000FF"/>
              </w:rPr>
            </w:pPr>
            <w:hyperlink r:id="rId191">
              <w:r>
                <w:rPr>
                  <w:rFonts w:ascii="Arial" w:cs="Arial" w:eastAsia="Arial" w:hAnsi="Arial"/>
                  <w:sz w:val="18"/>
                  <w:szCs w:val="18"/>
                  <w:color w:val="0000FF"/>
                </w:rPr>
                <w:t>10.</w:t>
              </w:r>
              <w:r>
                <w:rPr>
                  <w:rFonts w:ascii="Arial" w:cs="Arial" w:eastAsia="Arial" w:hAnsi="Arial"/>
                  <w:sz w:val="18"/>
                  <w:szCs w:val="18"/>
                  <w:u w:val="single" w:color="auto"/>
                  <w:color w:val="0000FF"/>
                </w:rPr>
                <w:t>52†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Form of 2020 Employee Stock Purchase Plan (incorporated by reference to Exhibit 10.34 to Amendment No. 1 to the</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92">
              <w:r>
                <w:rPr>
                  <w:rFonts w:ascii="Arial" w:cs="Arial" w:eastAsia="Arial" w:hAnsi="Arial"/>
                  <w:sz w:val="18"/>
                  <w:szCs w:val="18"/>
                  <w:color w:val="0000FF"/>
                </w:rPr>
                <w:t>10.</w:t>
              </w:r>
              <w:r>
                <w:rPr>
                  <w:rFonts w:ascii="Arial" w:cs="Arial" w:eastAsia="Arial" w:hAnsi="Arial"/>
                  <w:sz w:val="18"/>
                  <w:szCs w:val="18"/>
                  <w:u w:val="single" w:color="auto"/>
                  <w:color w:val="0000FF"/>
                </w:rPr>
                <w:t>53</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Stockholders Agreement, dated as of October 6, 2020, by and among the Registrant, Allstar LLC, KKR 2006 Allstar</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Blocker L.P. and Allstar Co-Invest Blocker L.P. (incorporated by reference to Exhibit 10.1 to the Registrant’s Current</w:t>
            </w:r>
          </w:p>
        </w:tc>
      </w:tr>
      <w:tr>
        <w:trPr>
          <w:trHeight w:val="230"/>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 on Form 8-K filed on October 6, 2020).</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54†</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Director and Officer Indemnification Agreement (incorporated by reference to Exhibit 10.37 to Amendment No.</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1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94">
              <w:r>
                <w:rPr>
                  <w:rFonts w:ascii="Arial" w:cs="Arial" w:eastAsia="Arial" w:hAnsi="Arial"/>
                  <w:sz w:val="18"/>
                  <w:szCs w:val="18"/>
                  <w:color w:val="0000FF"/>
                </w:rPr>
                <w:t>10.</w:t>
              </w:r>
              <w:r>
                <w:rPr>
                  <w:rFonts w:ascii="Arial" w:cs="Arial" w:eastAsia="Arial" w:hAnsi="Arial"/>
                  <w:sz w:val="18"/>
                  <w:szCs w:val="18"/>
                  <w:u w:val="single" w:color="auto"/>
                  <w:color w:val="0000FF"/>
                </w:rPr>
                <w:t>55†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Non-Employee Director Compensation Policy (incorporated by reference to Exhibit 10.1 to the Registrant’s Quarterly</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 on Form 10-Q filed on September 7, 2022).</w:t>
            </w:r>
          </w:p>
        </w:tc>
      </w:tr>
      <w:tr>
        <w:trPr>
          <w:trHeight w:val="189"/>
        </w:trPr>
        <w:tc>
          <w:tcPr>
            <w:tcW w:w="5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21.</w:t>
            </w:r>
            <w:r>
              <w:rPr>
                <w:rFonts w:ascii="Arial" w:cs="Arial" w:eastAsia="Arial" w:hAnsi="Arial"/>
                <w:sz w:val="18"/>
                <w:szCs w:val="18"/>
                <w:u w:val="single" w:color="auto"/>
                <w:color w:val="0000FF"/>
              </w:rPr>
              <w:t>1*</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Subsidiaries of the Registrant.</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Consent of Deloitte &amp; Touche LLP (with respect to the financial statements of Academy Sports and Outdoors, Inc.).</w:t>
            </w:r>
          </w:p>
        </w:tc>
      </w:tr>
      <w:tr>
        <w:trPr>
          <w:trHeight w:val="189"/>
        </w:trPr>
        <w:tc>
          <w:tcPr>
            <w:tcW w:w="5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8"/>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Certification of Periodic Report by Chief Financial Officer under Section 302 of the Sarbanes-Oxley Act of 2002.</w:t>
            </w:r>
          </w:p>
        </w:tc>
      </w:tr>
      <w:tr>
        <w:trPr>
          <w:trHeight w:val="189"/>
        </w:trPr>
        <w:tc>
          <w:tcPr>
            <w:tcW w:w="232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r>
      <w:tr>
        <w:trPr>
          <w:trHeight w:val="189"/>
        </w:trPr>
        <w:tc>
          <w:tcPr>
            <w:tcW w:w="23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Sarbanes-Oxley Act of 2002.</w:t>
            </w:r>
          </w:p>
        </w:tc>
      </w:tr>
      <w:tr>
        <w:trPr>
          <w:trHeight w:val="175"/>
        </w:trPr>
        <w:tc>
          <w:tcPr>
            <w:tcW w:w="20" w:type="dxa"/>
            <w:vAlign w:val="bottom"/>
          </w:tcPr>
          <w:p>
            <w:pPr>
              <w:spacing w:after="0"/>
              <w:rPr>
                <w:sz w:val="15"/>
                <w:szCs w:val="15"/>
                <w:color w:val="auto"/>
              </w:rPr>
            </w:pPr>
          </w:p>
        </w:tc>
        <w:tc>
          <w:tcPr>
            <w:tcW w:w="240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are embedded within the Inline XBRL document.</w:t>
            </w:r>
          </w:p>
        </w:tc>
      </w:tr>
      <w:tr>
        <w:trPr>
          <w:trHeight w:val="236"/>
        </w:trPr>
        <w:tc>
          <w:tcPr>
            <w:tcW w:w="20" w:type="dxa"/>
            <w:vAlign w:val="bottom"/>
            <w:shd w:val="clear" w:color="auto" w:fill="CCEEFF"/>
          </w:tcPr>
          <w:p>
            <w:pPr>
              <w:spacing w:after="0"/>
              <w:rPr>
                <w:sz w:val="20"/>
                <w:szCs w:val="20"/>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820" w:type="dxa"/>
            <w:vAlign w:val="bottom"/>
          </w:tcPr>
          <w:p>
            <w:pPr>
              <w:ind w:left="20"/>
              <w:spacing w:after="0"/>
              <w:rPr>
                <w:sz w:val="20"/>
                <w:szCs w:val="20"/>
                <w:color w:val="auto"/>
              </w:rPr>
            </w:pPr>
            <w:r>
              <w:rPr>
                <w:rFonts w:ascii="Arial" w:cs="Arial" w:eastAsia="Arial" w:hAnsi="Arial"/>
                <w:sz w:val="18"/>
                <w:szCs w:val="18"/>
                <w:color w:val="auto"/>
              </w:rPr>
              <w:t>Inline 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Definition Linkbase Document</w:t>
            </w: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820" w:type="dxa"/>
            <w:vAlign w:val="bottom"/>
          </w:tcPr>
          <w:p>
            <w:pPr>
              <w:ind w:left="20"/>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Presentation Linkbase Document</w:t>
            </w:r>
          </w:p>
        </w:tc>
      </w:tr>
      <w:tr>
        <w:trPr>
          <w:trHeight w:val="175"/>
        </w:trPr>
        <w:tc>
          <w:tcPr>
            <w:tcW w:w="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The cover page for the Company’s Annual Report on Form 10-K for the fiscal year ended January 28, 2023 has been</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formatted in Inline XBRL.</w:t>
            </w:r>
          </w:p>
        </w:tc>
      </w:tr>
      <w:tr>
        <w:trPr>
          <w:trHeight w:val="236"/>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Filed herewith</w:t>
            </w:r>
          </w:p>
        </w:tc>
      </w:tr>
      <w:tr>
        <w:trPr>
          <w:trHeight w:val="62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105</w:t>
            </w:r>
          </w:p>
        </w:tc>
      </w:tr>
      <w:tr>
        <w:trPr>
          <w:trHeight w:val="358"/>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23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88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This certification accompanies each report pursuant to Section 906 of the Sarbanes-Oxley Act of 2002 and shall not,</w:t>
            </w:r>
          </w:p>
        </w:tc>
      </w:tr>
      <w:tr>
        <w:trPr>
          <w:trHeight w:val="188"/>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6"/>
              </w:rPr>
              <w:t>except to the extent required by the Sarbanes-Oxley Act of 2002, be deemed filed by the Company for purposes of</w:t>
            </w:r>
          </w:p>
        </w:tc>
      </w:tr>
      <w:tr>
        <w:trPr>
          <w:trHeight w:val="230"/>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Section 18 of the Securities Exchange Act of 1934, as amended.</w:t>
            </w: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contract or compensatory plan or arrangement</w:t>
            </w:r>
          </w:p>
        </w:tc>
      </w:tr>
    </w:tbl>
    <w:p>
      <w:pPr>
        <w:spacing w:after="0" w:line="200" w:lineRule="exact"/>
        <w:rPr>
          <w:sz w:val="20"/>
          <w:szCs w:val="20"/>
          <w:color w:val="auto"/>
        </w:rPr>
      </w:pPr>
    </w:p>
    <w:p>
      <w:pPr>
        <w:spacing w:after="0" w:line="3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March 16, 2023 on its behalf by the undersigned, thereto duly authorized.</w:t>
      </w:r>
    </w:p>
    <w:p>
      <w:pPr>
        <w:spacing w:after="0" w:line="22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ACADEMY SPORTS AND</w:t>
      </w:r>
    </w:p>
    <w:p>
      <w:pPr>
        <w:ind w:left="5460"/>
        <w:spacing w:after="0"/>
        <w:rPr>
          <w:sz w:val="20"/>
          <w:szCs w:val="20"/>
          <w:color w:val="auto"/>
        </w:rPr>
      </w:pPr>
      <w:r>
        <w:rPr>
          <w:rFonts w:ascii="Arial" w:cs="Arial" w:eastAsia="Arial" w:hAnsi="Arial"/>
          <w:sz w:val="18"/>
          <w:szCs w:val="18"/>
          <w:color w:val="auto"/>
        </w:rPr>
        <w:t>OUTDOORS, INC.</w:t>
      </w:r>
    </w:p>
    <w:p>
      <w:pPr>
        <w:spacing w:after="0" w:line="142"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HEATHER A. DAVIS</w:t>
            </w:r>
          </w:p>
        </w:tc>
      </w:tr>
      <w:tr>
        <w:trPr>
          <w:trHeight w:val="222"/>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Heather A. Davis</w:t>
            </w:r>
          </w:p>
        </w:tc>
      </w:tr>
      <w:tr>
        <w:trPr>
          <w:trHeight w:val="229"/>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Senior Vice President of Accounting, Treasury and Tax</w:t>
            </w:r>
          </w:p>
        </w:tc>
      </w:tr>
      <w:tr>
        <w:trPr>
          <w:trHeight w:val="230"/>
        </w:trPr>
        <w:tc>
          <w:tcPr>
            <w:tcW w:w="7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31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840" w:type="dxa"/>
            <w:vAlign w:val="bottom"/>
            <w:gridSpan w:val="3"/>
          </w:tcPr>
          <w:p>
            <w:pPr>
              <w:ind w:left="2480"/>
              <w:spacing w:after="0"/>
              <w:rPr>
                <w:sz w:val="20"/>
                <w:szCs w:val="20"/>
                <w:color w:val="auto"/>
              </w:rPr>
            </w:pPr>
            <w:r>
              <w:rPr>
                <w:rFonts w:ascii="Arial" w:cs="Arial" w:eastAsia="Arial" w:hAnsi="Arial"/>
                <w:sz w:val="18"/>
                <w:szCs w:val="18"/>
                <w:b w:val="1"/>
                <w:bCs w:val="1"/>
                <w:color w:val="auto"/>
              </w:rPr>
              <w:t>Title</w:t>
            </w:r>
          </w:p>
        </w:tc>
        <w:tc>
          <w:tcPr>
            <w:tcW w:w="1940" w:type="dxa"/>
            <w:vAlign w:val="bottom"/>
            <w:gridSpan w:val="3"/>
          </w:tcPr>
          <w:p>
            <w:pPr>
              <w:ind w:left="1040"/>
              <w:spacing w:after="0"/>
              <w:rPr>
                <w:sz w:val="20"/>
                <w:szCs w:val="20"/>
                <w:color w:val="auto"/>
              </w:rPr>
            </w:pPr>
            <w:r>
              <w:rPr>
                <w:rFonts w:ascii="Arial" w:cs="Arial" w:eastAsia="Arial" w:hAnsi="Arial"/>
                <w:sz w:val="18"/>
                <w:szCs w:val="18"/>
                <w:b w:val="1"/>
                <w:bCs w:val="1"/>
                <w:color w:val="auto"/>
              </w:rPr>
              <w:t>Date</w:t>
            </w:r>
          </w:p>
        </w:tc>
      </w:tr>
      <w:tr>
        <w:trPr>
          <w:trHeight w:val="20"/>
        </w:trPr>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14"/>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KEN C. HICKS</w:t>
            </w:r>
          </w:p>
        </w:tc>
        <w:tc>
          <w:tcPr>
            <w:tcW w:w="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Chairman, President and Chief Executive Officer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Ken C. Hicks</w:t>
            </w:r>
          </w:p>
        </w:tc>
        <w:tc>
          <w:tcPr>
            <w:tcW w:w="48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MICHAEL P. MULLICAN</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Michael P. Mullican</w:t>
            </w:r>
          </w:p>
        </w:tc>
        <w:tc>
          <w:tcPr>
            <w:tcW w:w="48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HEATHER A. DAVIS</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of Accounting, Treasury and Tax</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Heather A. Davis</w:t>
            </w:r>
          </w:p>
        </w:tc>
        <w:tc>
          <w:tcPr>
            <w:tcW w:w="48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WENDY A. BECK</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Wendy A. Beck</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BRIAN T. MARLEY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Brian T. Marley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TOM M. NEALON</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Tom M. Nealon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THERESA E. PALERMO</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Theresa E. Palermo</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BERYL B. RAFF</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Beryl B. Raff</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CHRIS L. TURNER</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Chris L. Turner</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SHAREN J. TURNEY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Sharen J. Turney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JEFF C. TWEEDY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16, 2023</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Jeff C. Tweedy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ind w:left="112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center"/>
        <w:ind w:right="-21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7"/>
                <w:szCs w:val="17"/>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5"/>
              </w:rPr>
              <w:t>Charged to costs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3"/>
              </w:rPr>
              <w:t>Balance at end of</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beginning of</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and expenses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Deductions</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28, 2023:</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1,426</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340" w:type="dxa"/>
            <w:vAlign w:val="bottom"/>
          </w:tcPr>
          <w:p>
            <w:pPr>
              <w:jc w:val="right"/>
              <w:ind w:right="146"/>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88"/>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b w:val="1"/>
                <w:bCs w:val="1"/>
                <w:color w:val="auto"/>
                <w:w w:val="88"/>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79,150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(85,886)</w:t>
            </w:r>
          </w:p>
        </w:tc>
        <w:tc>
          <w:tcPr>
            <w:tcW w:w="340" w:type="dxa"/>
            <w:vAlign w:val="bottom"/>
          </w:tcPr>
          <w:p>
            <w:pPr>
              <w:jc w:val="right"/>
              <w:ind w:right="146"/>
              <w:spacing w:after="0"/>
              <w:rPr>
                <w:sz w:val="20"/>
                <w:szCs w:val="20"/>
                <w:color w:val="auto"/>
              </w:rPr>
            </w:pPr>
            <w:r>
              <w:rPr>
                <w:rFonts w:ascii="Arial" w:cs="Arial" w:eastAsia="Arial" w:hAnsi="Arial"/>
                <w:sz w:val="11"/>
                <w:szCs w:val="11"/>
                <w:b w:val="1"/>
                <w:bCs w:val="1"/>
                <w:color w:val="auto"/>
                <w:w w:val="88"/>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4,960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74,292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(68,631)</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b w:val="1"/>
                <w:bCs w:val="1"/>
                <w:color w:val="auto"/>
                <w:w w:val="88"/>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30,170</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29, 2022: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74,441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(71,249)</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(69,869)</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30, 2021: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26"/>
              <w:spacing w:after="0" w:line="230" w:lineRule="exact"/>
              <w:rPr>
                <w:sz w:val="20"/>
                <w:szCs w:val="20"/>
                <w:color w:val="auto"/>
              </w:rPr>
            </w:pPr>
            <w:r>
              <w:rPr>
                <w:rFonts w:ascii="Arial" w:cs="Arial" w:eastAsia="Arial" w:hAnsi="Arial"/>
                <w:sz w:val="18"/>
                <w:szCs w:val="18"/>
                <w:color w:val="auto"/>
              </w:rPr>
              <w:t xml:space="preserve">(205) </w:t>
            </w:r>
            <w:r>
              <w:rPr>
                <w:rFonts w:ascii="Arial" w:cs="Arial" w:eastAsia="Arial" w:hAnsi="Arial"/>
                <w:sz w:val="21"/>
                <w:szCs w:val="21"/>
                <w:color w:val="auto"/>
                <w:vertAlign w:val="superscript"/>
              </w:rPr>
              <w:t>(5)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(1,898)</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76,990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(81,377)</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(62,284)</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Represents write-offs to the reserve.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Represents the monthly increase (decrease) in the required reserve based on the Company's evaluation of anticipated merchandise returns.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Represents the actual inventory shrinkage experienced at the time of physical inventories.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Represents claim payments for self-insured claims.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The reduction represents net collections on previously written-off balances.</w:t>
      </w:r>
    </w:p>
    <w:p>
      <w:pPr>
        <w:spacing w:after="0" w:line="200" w:lineRule="exact"/>
        <w:rPr>
          <w:sz w:val="20"/>
          <w:szCs w:val="20"/>
          <w:color w:val="auto"/>
        </w:rPr>
      </w:pPr>
    </w:p>
    <w:p>
      <w:pPr>
        <w:spacing w:after="0" w:line="3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60"/>
          </w:cols>
          <w:pgMar w:left="320" w:top="891" w:right="7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Academy Sports and Outdoors, Inc. (“Academy,” “we,” “us,” “our,” or the “Company”) has one class of securities registered under Section 12 of the Securities Exchange Act of 1934, as amended: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The following summary description of the material terms of our capital stock is qualified in its entirety by our Amended and Restated Certificate of Incorporation (our “Certificate of Incorporation”) and our Amended and Restated Bylaws (as amended and/or restated from time to time, our “Bylaws”). The summary is not complete, and is qualified in their entirety by reference to our Certificate of Incorporation and our Bylaws, each as in effect as of the date of this Annual Report, copies of which are filed as exhibits to this Annual Report and are incorporated by reference herein. Any person or entity purchasing or otherwise acquiring any interest in shares of capital stock of the Company is deemed to have notice of and consented to the provisions in our Certificate of Incorporation and our Bylaws. We encourage you to read our Certificate of Incorporation and our Bylaws and the applicable provisions of the Delaware General Corporation Law (the “DGCL”)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Our authorized capital stock consists of 300 million shares of common stock, par value $0.01 per share, and 50 million shares of preferred stock, par value $0.01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Certificate of Incorporation and our Bylaws, where a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19"/>
          <w:szCs w:val="19"/>
          <w:color w:val="auto"/>
          <w:vertAlign w:val="subscript"/>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78" w:lineRule="exact"/>
        <w:rPr>
          <w:sz w:val="20"/>
          <w:szCs w:val="20"/>
          <w:color w:val="auto"/>
        </w:rPr>
      </w:pPr>
    </w:p>
    <w:p>
      <w:pPr>
        <w:ind w:right="500" w:firstLine="441"/>
        <w:spacing w:after="0" w:line="259"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ectPr>
          <w:pgSz w:w="11900" w:h="16838" w:orient="portrait"/>
          <w:cols w:equalWidth="0" w:num="1">
            <w:col w:w="11240"/>
          </w:cols>
          <w:pgMar w:left="320" w:top="108" w:right="339" w:bottom="1440" w:gutter="0" w:footer="0" w:header="0"/>
        </w:sectPr>
      </w:pPr>
    </w:p>
    <w:bookmarkStart w:id="109" w:name="page110"/>
    <w:bookmarkEnd w:id="109"/>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17" w:lineRule="exact"/>
        <w:rPr>
          <w:sz w:val="20"/>
          <w:szCs w:val="20"/>
          <w:color w:val="auto"/>
        </w:rPr>
      </w:pPr>
    </w:p>
    <w:p>
      <w:pPr>
        <w:ind w:right="200" w:firstLine="441"/>
        <w:spacing w:after="0" w:line="263"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 Preemptive, Subscription, or Conversion Rights; No Redemption or Sinking Fund Provisions</w:t>
      </w:r>
    </w:p>
    <w:p>
      <w:pPr>
        <w:spacing w:after="0" w:line="117"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do not currently have any preferred stock outstanding. However, our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is able to determine, with respect to any series of preferred stock, the terms and rights of that series, including:</w:t>
      </w:r>
    </w:p>
    <w:p>
      <w:pPr>
        <w:spacing w:after="0" w:line="146" w:lineRule="exact"/>
        <w:rPr>
          <w:sz w:val="20"/>
          <w:szCs w:val="20"/>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60" w:right="40" w:hanging="589"/>
        <w:spacing w:after="0" w:line="307"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69" w:lineRule="exact"/>
        <w:rPr>
          <w:rFonts w:ascii="Arial" w:cs="Arial" w:eastAsia="Arial" w:hAnsi="Arial"/>
          <w:sz w:val="16"/>
          <w:szCs w:val="16"/>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44" w:lineRule="exact"/>
        <w:rPr>
          <w:rFonts w:ascii="Arial" w:cs="Arial" w:eastAsia="Arial" w:hAnsi="Arial"/>
          <w:sz w:val="18"/>
          <w:szCs w:val="18"/>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44" w:lineRule="exact"/>
        <w:rPr>
          <w:rFonts w:ascii="Arial" w:cs="Arial" w:eastAsia="Arial" w:hAnsi="Arial"/>
          <w:sz w:val="18"/>
          <w:szCs w:val="18"/>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44" w:lineRule="exact"/>
        <w:rPr>
          <w:rFonts w:ascii="Arial" w:cs="Arial" w:eastAsia="Arial" w:hAnsi="Arial"/>
          <w:sz w:val="18"/>
          <w:szCs w:val="18"/>
          <w:color w:val="auto"/>
        </w:rPr>
      </w:pPr>
    </w:p>
    <w:p>
      <w:pPr>
        <w:ind w:left="1060" w:right="160" w:hanging="589"/>
        <w:spacing w:after="0" w:line="235"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121" w:lineRule="exact"/>
        <w:rPr>
          <w:rFonts w:ascii="Arial" w:cs="Arial" w:eastAsia="Arial" w:hAnsi="Arial"/>
          <w:sz w:val="18"/>
          <w:szCs w:val="18"/>
          <w:color w:val="auto"/>
        </w:rPr>
      </w:pPr>
    </w:p>
    <w:p>
      <w:pPr>
        <w:ind w:left="1060" w:right="40" w:hanging="589"/>
        <w:spacing w:after="0" w:line="223"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1" w:lineRule="exact"/>
        <w:rPr>
          <w:rFonts w:ascii="Arial" w:cs="Arial" w:eastAsia="Arial" w:hAnsi="Arial"/>
          <w:sz w:val="18"/>
          <w:szCs w:val="18"/>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44" w:lineRule="exact"/>
        <w:rPr>
          <w:rFonts w:ascii="Arial" w:cs="Arial" w:eastAsia="Arial" w:hAnsi="Arial"/>
          <w:sz w:val="18"/>
          <w:szCs w:val="18"/>
          <w:color w:val="auto"/>
        </w:rPr>
      </w:pPr>
    </w:p>
    <w:p>
      <w:pPr>
        <w:ind w:left="1060" w:hanging="589"/>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306"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1016799</w:t>
      </w:r>
    </w:p>
    <w:p>
      <w:pPr>
        <w:sectPr>
          <w:pgSz w:w="11900" w:h="16838" w:orient="portrait"/>
          <w:cols w:equalWidth="0" w:num="1">
            <w:col w:w="11240"/>
          </w:cols>
          <w:pgMar w:left="320" w:top="1440" w:right="339" w:bottom="1440" w:gutter="0" w:footer="0" w:header="0"/>
          <w:type w:val="continuous"/>
        </w:sectPr>
      </w:pPr>
    </w:p>
    <w:bookmarkStart w:id="110" w:name="page111"/>
    <w:bookmarkEnd w:id="110"/>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power of the common stock or subordinating the liquidation rights of the common stock. As a result of these or other factors, the issuance of preferred stock may have an adverse impact on the market price of our common stock.</w:t>
      </w:r>
    </w:p>
    <w:p>
      <w:pPr>
        <w:spacing w:after="0" w:line="27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Anti-Takeover Effects of Our Certificate of Incorporation and Our Bylaws and Certain Provisions of Delaware Law; and Provisions that May Impact a Change of Control</w:t>
      </w:r>
    </w:p>
    <w:p>
      <w:pPr>
        <w:spacing w:after="0" w:line="5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Our Certificate of Incorporation, our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7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Our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Certificate of Incorporation and our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right="380" w:firstLine="441"/>
        <w:spacing w:after="0" w:line="263"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0" w:lineRule="exact"/>
        <w:rPr>
          <w:sz w:val="20"/>
          <w:szCs w:val="20"/>
          <w:color w:val="auto"/>
        </w:rPr>
      </w:pPr>
    </w:p>
    <w:p>
      <w:pPr>
        <w:ind w:left="1100" w:right="460" w:hanging="507"/>
        <w:spacing w:after="0" w:line="246" w:lineRule="auto"/>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1016799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2" w:lineRule="exact"/>
        <w:rPr>
          <w:sz w:val="20"/>
          <w:szCs w:val="20"/>
          <w:color w:val="auto"/>
        </w:rPr>
      </w:pPr>
    </w:p>
    <w:p>
      <w:pPr>
        <w:ind w:left="1100" w:right="80" w:hanging="507"/>
        <w:spacing w:after="0" w:line="258" w:lineRule="auto"/>
        <w:tabs>
          <w:tab w:leader="none" w:pos="11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9" w:lineRule="exact"/>
        <w:rPr>
          <w:rFonts w:ascii="Arial" w:cs="Arial" w:eastAsia="Arial" w:hAnsi="Arial"/>
          <w:sz w:val="17"/>
          <w:szCs w:val="17"/>
          <w:color w:val="auto"/>
        </w:rPr>
      </w:pPr>
    </w:p>
    <w:p>
      <w:pPr>
        <w:ind w:left="1100" w:right="360" w:hanging="507"/>
        <w:spacing w:after="0" w:line="230" w:lineRule="auto"/>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19"/>
          <w:szCs w:val="19"/>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3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1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right="560" w:firstLine="441"/>
        <w:spacing w:after="0" w:line="263" w:lineRule="auto"/>
        <w:rPr>
          <w:sz w:val="20"/>
          <w:szCs w:val="20"/>
          <w:color w:val="auto"/>
        </w:rPr>
      </w:pPr>
      <w:r>
        <w:rPr>
          <w:rFonts w:ascii="Arial" w:cs="Arial" w:eastAsia="Arial" w:hAnsi="Arial"/>
          <w:sz w:val="18"/>
          <w:szCs w:val="18"/>
          <w:color w:val="auto"/>
        </w:rPr>
        <w:t>Our Certificate of Incorporation provides that any investment entities owned by Kohlberg Kravis Roberts &amp; Co. L.P., (collectively, the “KKR Stockholders”) and their affiliates and any of their respective direct or indirect transferees and any group as to which such persons are a party do not constitute “interested stockholders” for purposes of this provision.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Under the DGCL, unless otherwise provided in our Certificate of Incorporation, directors serving on a classified board may be removed by the stockholders only for cause. Our Certificate of Incorporation and our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8"/>
          <w:szCs w:val="8"/>
          <w:color w:val="auto"/>
        </w:rPr>
        <w:t>2</w:t>
      </w:r>
      <w:r>
        <w:rPr>
          <w:rFonts w:ascii="Arial" w:cs="Arial" w:eastAsia="Arial" w:hAnsi="Arial"/>
          <w:sz w:val="16"/>
          <w:szCs w:val="16"/>
          <w:color w:val="auto"/>
        </w:rPr>
        <w:t>/</w:t>
      </w:r>
      <w:r>
        <w:rPr>
          <w:rFonts w:ascii="Arial" w:cs="Arial" w:eastAsia="Arial" w:hAnsi="Arial"/>
          <w:sz w:val="17"/>
          <w:szCs w:val="17"/>
          <w:color w:val="auto"/>
          <w:vertAlign w:val="subscript"/>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Certificate of Incorporation and our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280" w:firstLine="441"/>
        <w:spacing w:after="0" w:line="263"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1016799</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6"/>
          <w:szCs w:val="16"/>
          <w:color w:val="auto"/>
        </w:rPr>
        <w:t xml:space="preserve">Our Certificate of Incorporation provides that special meetings of our stockholders may be called at any time only by or at the direction of our board of directors or the chairman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Bylaws prohibit the conduct of any business at a special meeting other than as specified in the notice for such meeting.</w:t>
      </w:r>
    </w:p>
    <w:p>
      <w:pPr>
        <w:spacing w:after="0" w:line="1" w:lineRule="exact"/>
        <w:rPr>
          <w:sz w:val="20"/>
          <w:szCs w:val="20"/>
          <w:color w:val="auto"/>
        </w:rPr>
      </w:pPr>
    </w:p>
    <w:p>
      <w:pPr>
        <w:ind w:right="520"/>
        <w:spacing w:after="0" w:line="406" w:lineRule="auto"/>
        <w:rPr>
          <w:sz w:val="20"/>
          <w:szCs w:val="20"/>
          <w:color w:val="auto"/>
        </w:rPr>
      </w:pPr>
      <w:r>
        <w:rPr>
          <w:rFonts w:ascii="Arial" w:cs="Arial" w:eastAsia="Arial" w:hAnsi="Arial"/>
          <w:sz w:val="18"/>
          <w:szCs w:val="18"/>
          <w:color w:val="auto"/>
        </w:rPr>
        <w:t xml:space="preserve">These provisions may have the effect of deferring, delaying or discouraging hostile takeovers, or changes in control or management of the Company. </w:t>
      </w: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Our Bylaws establishes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 later than the close of business on the 90th day and not earlier than the close of business on the 120th day prior to the first anniversary date of the immediately preceding annual meeting of stockholders. Our Bylaws also specifies requirements as to the form and content of a stockholder’s notice, including various information and representations related to stockholder proposed nominee(s) for election as a director, the stockholder giving the notice and beneficial owner, if any, on whose behalf the nomination or proposal is made and certain of their proponent persons (as defined in the Bylaws). Our Bylaws allows the chairman of the meeting at a meeting of the stockholders to adopt rules and regulations for the conduct of meetings which may have the effect of precluding the conduct of certain business at a meeting if the rules and regulations are not followed and to disregard any nomination or proposal that is not submitted in compliance with our advance notice provisions. These provisions may defer, delay or discourage a potential acquiror from conducting a solicitation of proxies to elect the acquiror’s own slate of directors or otherwise attempting to influence or obtain control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Our Certificate of Incorporation and our Bylaws provide that our board of directors is expressly authorized to make, alter, amend, change, add to, rescind or repeal, in whole or in part, our Bylaws without a stockholder vote in any matter not inconsistent with the laws of the State of Delaware or our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Bylaws by our stockholders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Bylaws by our stockholders require the affirmative vote of the holders of at least 66</w:t>
      </w:r>
      <w:r>
        <w:rPr>
          <w:rFonts w:ascii="Arial" w:cs="Arial" w:eastAsia="Arial" w:hAnsi="Arial"/>
          <w:sz w:val="9"/>
          <w:szCs w:val="9"/>
          <w:color w:val="auto"/>
        </w:rPr>
        <w:t>2</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1016799</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46" w:lineRule="exact"/>
        <w:rPr>
          <w:sz w:val="20"/>
          <w:szCs w:val="20"/>
          <w:color w:val="auto"/>
        </w:rPr>
      </w:pPr>
    </w:p>
    <w:p>
      <w:pPr>
        <w:ind w:right="320" w:firstLine="441"/>
        <w:spacing w:after="0" w:line="274" w:lineRule="auto"/>
        <w:rPr>
          <w:sz w:val="20"/>
          <w:szCs w:val="20"/>
          <w:color w:val="auto"/>
        </w:rPr>
      </w:pPr>
      <w:r>
        <w:rPr>
          <w:rFonts w:ascii="Arial" w:cs="Arial" w:eastAsia="Arial" w:hAnsi="Arial"/>
          <w:sz w:val="17"/>
          <w:szCs w:val="17"/>
          <w:color w:val="auto"/>
        </w:rPr>
        <w:t>Our Certificate of Incorporation provides that once KKR Stockholders and their affiliates beneficially own, in the aggregate, less than 40% of the voting power of all outstanding shares of stock entitled to vote generally in the election of directors, the following provisions in our Certificate of Incorporation may be amended, altered, repealed or rescinded only by the affirmative vote of the holders of at least 66</w:t>
      </w:r>
      <w:r>
        <w:rPr>
          <w:rFonts w:ascii="Arial" w:cs="Arial" w:eastAsia="Arial" w:hAnsi="Arial"/>
          <w:sz w:val="9"/>
          <w:szCs w:val="9"/>
          <w:color w:val="auto"/>
        </w:rPr>
        <w:t>2</w:t>
      </w:r>
      <w:r>
        <w:rPr>
          <w:rFonts w:ascii="Arial" w:cs="Arial" w:eastAsia="Arial" w:hAnsi="Arial"/>
          <w:sz w:val="17"/>
          <w:szCs w:val="17"/>
          <w:color w:val="auto"/>
        </w:rPr>
        <w:t>/</w:t>
      </w:r>
      <w:r>
        <w:rPr>
          <w:rFonts w:ascii="Arial" w:cs="Arial" w:eastAsia="Arial" w:hAnsi="Arial"/>
          <w:sz w:val="18"/>
          <w:szCs w:val="18"/>
          <w:color w:val="auto"/>
          <w:vertAlign w:val="subscript"/>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134" w:lineRule="exact"/>
        <w:rPr>
          <w:sz w:val="20"/>
          <w:szCs w:val="20"/>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supermajority vote for stockholders to amend our Bylaws;</w:t>
      </w:r>
    </w:p>
    <w:p>
      <w:pPr>
        <w:spacing w:after="0" w:line="130"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44"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44"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44"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44"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44"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44" w:lineRule="exact"/>
        <w:rPr>
          <w:rFonts w:ascii="Arial" w:cs="Arial" w:eastAsia="Arial" w:hAnsi="Arial"/>
          <w:sz w:val="18"/>
          <w:szCs w:val="18"/>
          <w:color w:val="auto"/>
        </w:rPr>
      </w:pPr>
    </w:p>
    <w:p>
      <w:pPr>
        <w:ind w:left="1100" w:hanging="507"/>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supermajority vote.</w:t>
      </w:r>
    </w:p>
    <w:p>
      <w:pPr>
        <w:spacing w:after="0" w:line="306" w:lineRule="exact"/>
        <w:rPr>
          <w:sz w:val="20"/>
          <w:szCs w:val="20"/>
          <w:color w:val="auto"/>
        </w:rPr>
      </w:pPr>
    </w:p>
    <w:p>
      <w:pPr>
        <w:jc w:val="both"/>
        <w:ind w:right="180" w:firstLine="441"/>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1016799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jc w:val="both"/>
        <w:ind w:right="320" w:firstLine="441"/>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Our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Certificate of Incorporation or our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does not apply to suits brought to enforce any liability or duty created by the Exchange Act, which already provides that such claims must be brought exclusively in the federal courts. Our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are deemed to have notice of and consented to the forum provisions in our Certificate of Incorporation.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do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1016799</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right="640" w:firstLine="441"/>
        <w:spacing w:after="0" w:line="258"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exceptions. Our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Our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17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Certificate of Incorporation and our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1016799</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rPr>
          <w:sz w:val="20"/>
          <w:szCs w:val="20"/>
          <w:color w:val="auto"/>
        </w:rPr>
      </w:pPr>
      <w:r>
        <w:rPr>
          <w:rFonts w:ascii="Arial" w:cs="Arial" w:eastAsia="Arial" w:hAnsi="Arial"/>
          <w:sz w:val="18"/>
          <w:szCs w:val="18"/>
          <w:b w:val="1"/>
          <w:bCs w:val="1"/>
          <w:color w:val="auto"/>
        </w:rPr>
        <w:t>SUBSIDIARIES OF THE REGISTRANT</w:t>
      </w:r>
      <w:r>
        <w:rPr>
          <w:rFonts w:ascii="Arial" w:cs="Arial" w:eastAsia="Arial" w:hAnsi="Arial"/>
          <w:sz w:val="23"/>
          <w:szCs w:val="23"/>
          <w:b w:val="1"/>
          <w:bCs w:val="1"/>
          <w:color w:val="auto"/>
          <w:vertAlign w:val="superscript"/>
        </w:rPr>
        <w:t>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Pr>
          <w:p>
            <w:pPr>
              <w:ind w:left="1420"/>
              <w:spacing w:after="0"/>
              <w:rPr>
                <w:sz w:val="20"/>
                <w:szCs w:val="20"/>
                <w:color w:val="auto"/>
              </w:rPr>
            </w:pPr>
            <w:r>
              <w:rPr>
                <w:rFonts w:ascii="Arial" w:cs="Arial" w:eastAsia="Arial" w:hAnsi="Arial"/>
                <w:sz w:val="18"/>
                <w:szCs w:val="18"/>
                <w:b w:val="1"/>
                <w:bCs w:val="1"/>
                <w:color w:val="auto"/>
              </w:rPr>
              <w:t>State or Country of</w:t>
            </w:r>
          </w:p>
        </w:tc>
      </w:tr>
      <w:tr>
        <w:trPr>
          <w:trHeight w:val="243"/>
        </w:trPr>
        <w:tc>
          <w:tcPr>
            <w:tcW w:w="68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Subsidiaries of Academy Sports and Outdoors, Inc.</w:t>
            </w:r>
          </w:p>
        </w:tc>
        <w:tc>
          <w:tcPr>
            <w:tcW w:w="80" w:type="dxa"/>
            <w:vAlign w:val="bottom"/>
          </w:tcPr>
          <w:p>
            <w:pPr>
              <w:spacing w:after="0"/>
              <w:rPr>
                <w:sz w:val="21"/>
                <w:szCs w:val="21"/>
                <w:color w:val="auto"/>
              </w:rPr>
            </w:pPr>
          </w:p>
        </w:tc>
        <w:tc>
          <w:tcPr>
            <w:tcW w:w="434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Incorporation or Formation</w:t>
            </w:r>
          </w:p>
        </w:tc>
      </w:tr>
      <w:tr>
        <w:trPr>
          <w:trHeight w:val="47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New Academy Holding Company, LLC</w:t>
            </w:r>
          </w:p>
        </w:tc>
        <w:tc>
          <w:tcPr>
            <w:tcW w:w="43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49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Academy Managing Co., LLC</w:t>
            </w:r>
          </w:p>
        </w:tc>
        <w:tc>
          <w:tcPr>
            <w:tcW w:w="43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50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Associated Investors, LLC</w:t>
            </w:r>
          </w:p>
        </w:tc>
        <w:tc>
          <w:tcPr>
            <w:tcW w:w="43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49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Academy, Ltd.</w:t>
            </w:r>
          </w:p>
        </w:tc>
        <w:tc>
          <w:tcPr>
            <w:tcW w:w="43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50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Academy International Limited</w:t>
            </w:r>
          </w:p>
        </w:tc>
        <w:tc>
          <w:tcPr>
            <w:tcW w:w="4340" w:type="dxa"/>
            <w:vAlign w:val="bottom"/>
          </w:tcPr>
          <w:p>
            <w:pPr>
              <w:ind w:left="20"/>
              <w:spacing w:after="0"/>
              <w:rPr>
                <w:sz w:val="20"/>
                <w:szCs w:val="20"/>
                <w:color w:val="auto"/>
              </w:rPr>
            </w:pPr>
            <w:r>
              <w:rPr>
                <w:rFonts w:ascii="Arial" w:cs="Arial" w:eastAsia="Arial" w:hAnsi="Arial"/>
                <w:sz w:val="18"/>
                <w:szCs w:val="18"/>
                <w:color w:val="auto"/>
              </w:rPr>
              <w:t>Hong Kong</w:t>
            </w:r>
          </w:p>
        </w:tc>
      </w:tr>
    </w:tbl>
    <w:p>
      <w:pPr>
        <w:spacing w:after="0" w:line="200" w:lineRule="exact"/>
        <w:rPr>
          <w:sz w:val="20"/>
          <w:szCs w:val="20"/>
          <w:color w:val="auto"/>
        </w:rPr>
      </w:pPr>
    </w:p>
    <w:p>
      <w:pPr>
        <w:spacing w:after="0" w:line="305" w:lineRule="exact"/>
        <w:rPr>
          <w:sz w:val="20"/>
          <w:szCs w:val="20"/>
          <w:color w:val="auto"/>
        </w:rPr>
      </w:pPr>
    </w:p>
    <w:p>
      <w:pPr>
        <w:ind w:left="120" w:hanging="94"/>
        <w:spacing w:after="0"/>
        <w:tabs>
          <w:tab w:leader="none" w:pos="120"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Subsidiaries noted throughout this document may be direct or indirect subsidiaries of the Registrant.</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consent to the incorporation by reference in Registration Statement No. 333-249233 and Registration Statement No. 333-263944 on Form S-8 of our reports dated March 16, 2023, relating to the financial statements of Academy Sports and Outdoors, Inc. and the effectiveness of Academy Sports and Outdoors, Inc. internal control over financial reporting appearing in this Annual Report on Form 10-K for the year ended January 28, 2023.</w:t>
      </w:r>
    </w:p>
    <w:p>
      <w:pPr>
        <w:spacing w:after="0" w:line="225"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Deloitte and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28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2023</w:t>
      </w:r>
    </w:p>
    <w:p>
      <w:pPr>
        <w:sectPr>
          <w:pgSz w:w="11900" w:h="16838" w:orient="portrait"/>
          <w:cols w:equalWidth="0" w:num="1">
            <w:col w:w="11240"/>
          </w:cols>
          <w:pgMar w:left="320" w:top="12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January 28, 2023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16, 2023</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January 28, 2023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16, 2023</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Academy Sports and Outdoors, Inc. (the “Company”) for the fiscal year ended January 28, 2023,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16, 2023</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Academy Sports and Outdoors, Inc. (the “Company”) for the fiscal year ended January 28, 2023,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16, 2023</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lvl w:ilvl="1">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lowerLetter"/>
      <w:start w:val="1"/>
    </w:lvl>
    <w:lvl w:ilvl="1">
      <w:lvlJc w:val="left"/>
      <w:lvlText w:val="(%2)"/>
      <w:numFmt w:val="decimal"/>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decimal"/>
      <w:start w:val="2"/>
    </w:lvl>
  </w:abstractNum>
  <w:abstractNum w:abstractNumId="51">
    <w:nsid w:val="1381823A"/>
    <w:multiLevelType w:val="hybridMultilevel"/>
    <w:lvl w:ilvl="0">
      <w:lvlJc w:val="left"/>
      <w:lvlText w:val="%1."/>
      <w:numFmt w:val="decimal"/>
      <w:start w:val="3"/>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5"/>
    </w:lvl>
  </w:abstractNum>
  <w:abstractNum w:abstractNumId="58">
    <w:nsid w:val="799D0247"/>
    <w:multiLevelType w:val="hybridMultilevel"/>
    <w:lvl w:ilvl="0">
      <w:lvlJc w:val="left"/>
      <w:lvlText w:val="%1."/>
      <w:numFmt w:val="decimal"/>
      <w:start w:val="6"/>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decimal"/>
      <w:start w:val="8"/>
    </w:lvl>
  </w:abstractNum>
  <w:abstractNum w:abstractNumId="61">
    <w:nsid w:val="168E121F"/>
    <w:multiLevelType w:val="hybridMultilevel"/>
    <w:lvl w:ilvl="0">
      <w:lvlJc w:val="left"/>
      <w:lvlText w:val="%1."/>
      <w:numFmt w:val="decimal"/>
      <w:start w:val="9"/>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amp;"/>
      <w:numFmt w:val="bullet"/>
      <w:start w:val="1"/>
    </w:lvl>
  </w:abstractNum>
  <w:abstractNum w:abstractNumId="71">
    <w:nsid w:val="42963E5A"/>
    <w:multiLevelType w:val="hybridMultilevel"/>
    <w:lvl w:ilvl="0">
      <w:lvlJc w:val="left"/>
      <w:lvlText w:val="%1."/>
      <w:numFmt w:val="decimal"/>
      <w:start w:val="14"/>
    </w:lvl>
  </w:abstractNum>
  <w:abstractNum w:abstractNumId="72">
    <w:nsid w:val="A0382C5"/>
    <w:multiLevelType w:val="hybridMultilevel"/>
    <w:lvl w:ilvl="0">
      <w:lvlJc w:val="left"/>
      <w:lvlText w:val="%1."/>
      <w:numFmt w:val="decimal"/>
      <w:start w:val="15"/>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3"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132" Type="http://schemas.openxmlformats.org/officeDocument/2006/relationships/hyperlink" Target="http://www.sec.gov/Archives/edgar/data/1817358/000119312520264744/d910645dex31.htm" TargetMode="External"/><Relationship Id="rId133" Type="http://schemas.openxmlformats.org/officeDocument/2006/relationships/hyperlink" Target="http://www.sec.gov/Archives/edgar/data/1817358/000119312520264744/d910645dex32.htm" TargetMode="External"/><Relationship Id="rId134" Type="http://schemas.openxmlformats.org/officeDocument/2006/relationships/hyperlink" Target="http://www.sec.gov/Archives/edgar/data/0001817358/000119312520287988/d22150dex41.htm" TargetMode="External"/><Relationship Id="rId135" Type="http://schemas.openxmlformats.org/officeDocument/2006/relationships/hyperlink" Target="http://www.sec.gov/Archives/edgar/data/0001817358/000119312520287988/d22150dex101.htm" TargetMode="External"/><Relationship Id="rId136" Type="http://schemas.openxmlformats.org/officeDocument/2006/relationships/hyperlink" Target="http://www.sec.gov/Archives/edgar/data/0001817358/000181735821000102/exh101-asoxamendmentno4r.htm" TargetMode="External"/><Relationship Id="rId137" Type="http://schemas.openxmlformats.org/officeDocument/2006/relationships/hyperlink" Target="http://www.sec.gov/Archives/edgar/data/0001817358/000119312520242076/d934024dex102.htm" TargetMode="External"/><Relationship Id="rId138" Type="http://schemas.openxmlformats.org/officeDocument/2006/relationships/hyperlink" Target="http://www.sec.gov/Archives/edgar/data/0001817358/000119312520242076/d934024dex103.htm" TargetMode="External"/><Relationship Id="rId139" Type="http://schemas.openxmlformats.org/officeDocument/2006/relationships/hyperlink" Target="http://www.sec.gov/Archives/edgar/data/0001817358/000119312520242076/d934024dex104.htm" TargetMode="External"/><Relationship Id="rId140" Type="http://schemas.openxmlformats.org/officeDocument/2006/relationships/hyperlink" Target="http://www.sec.gov/Archives/edgar/data/0001817358/000119312521016235/d103203dex105.htm" TargetMode="External"/><Relationship Id="rId141" Type="http://schemas.openxmlformats.org/officeDocument/2006/relationships/hyperlink" Target="http://www.sec.gov/Archives/edgar/data/0001817358/000119312521016235/d103203dex106.htm" TargetMode="External"/><Relationship Id="rId142" Type="http://schemas.openxmlformats.org/officeDocument/2006/relationships/hyperlink" Target="http://www.sec.gov/Archives/edgar/data/0001817358/000119312521016235/d103203dex107.htm" TargetMode="External"/><Relationship Id="rId144" Type="http://schemas.openxmlformats.org/officeDocument/2006/relationships/hyperlink" Target="http://www.sec.gov/Archives/edgar/data/0001817358/000119312520242076/d934024dex105.htm" TargetMode="External"/><Relationship Id="rId145" Type="http://schemas.openxmlformats.org/officeDocument/2006/relationships/hyperlink" Target="https://www.sec.gov/Archives/edgar/data/0001817358/000119312520242076/d934024dex106.htm" TargetMode="External"/><Relationship Id="rId146" Type="http://schemas.openxmlformats.org/officeDocument/2006/relationships/hyperlink" Target="http://www.sec.gov/Archives/edgar/data/0001817358/000119312520287988/d22150dex102.htm" TargetMode="External"/><Relationship Id="rId147" Type="http://schemas.openxmlformats.org/officeDocument/2006/relationships/hyperlink" Target="http://www.sec.gov/Archives/edgar/data/0001817358/000119312520242076/d934024dex107.htm" TargetMode="External"/><Relationship Id="rId148" Type="http://schemas.openxmlformats.org/officeDocument/2006/relationships/hyperlink" Target="http://www.sec.gov/Archives/edgar/data/0001817358/000119312520242076/d934024dex108.htm" TargetMode="External"/><Relationship Id="rId149" Type="http://schemas.openxmlformats.org/officeDocument/2006/relationships/hyperlink" Target="http://www.sec.gov/Archives/edgar/data/0001817358/000119312521016235/d103203dex1013.htm" TargetMode="External"/><Relationship Id="rId150" Type="http://schemas.openxmlformats.org/officeDocument/2006/relationships/hyperlink" Target="http://www.sec.gov/Archives/edgar/data/0001817358/000119312521016235/d103203dex1014.htm" TargetMode="External"/><Relationship Id="rId151" Type="http://schemas.openxmlformats.org/officeDocument/2006/relationships/hyperlink" Target="http://www.sec.gov/Archives/edgar/data/0001817358/000119312520264744/d910645dex41.htm" TargetMode="External"/><Relationship Id="rId152" Type="http://schemas.openxmlformats.org/officeDocument/2006/relationships/hyperlink" Target="http://www.sec.gov/Archives/edgar/data/1817358/000181735822000158/a102aso2022formofnon-emplo.htm" TargetMode="External"/><Relationship Id="rId153" Type="http://schemas.openxmlformats.org/officeDocument/2006/relationships/hyperlink" Target="http://www.sec.gov/Archives/edgar/data/1817358/000181735822000119/exhibit101-ceoperformancer.htm" TargetMode="External"/><Relationship Id="rId154" Type="http://schemas.openxmlformats.org/officeDocument/2006/relationships/hyperlink" Target="http://www.sec.gov/Archives/edgar/data/1817358/000181735822000119/exhibit102-ceotimeoptions.htm" TargetMode="External"/><Relationship Id="rId155" Type="http://schemas.openxmlformats.org/officeDocument/2006/relationships/hyperlink" Target="http://www.sec.gov/Archives/edgar/data/1817358/000181735822000119/exhibit103-ecperformancers.htm" TargetMode="External"/><Relationship Id="rId156" Type="http://schemas.openxmlformats.org/officeDocument/2006/relationships/hyperlink" Target="http://www.sec.gov/Archives/edgar/data/1817358/000181735822000119/exhibit104-ectimersuagreem.htm" TargetMode="External"/><Relationship Id="rId157" Type="http://schemas.openxmlformats.org/officeDocument/2006/relationships/hyperlink" Target="http://www.sec.gov/Archives/edgar/data/1817358/000181735822000119/exhibit105-ectimeoptiongra.htm" TargetMode="External"/><Relationship Id="rId158" Type="http://schemas.openxmlformats.org/officeDocument/2006/relationships/hyperlink" Target="http://www.sec.gov/Archives/edgar/data/1817358/000181735821000215/exhibit1001q32021.htm" TargetMode="External"/><Relationship Id="rId161" Type="http://schemas.openxmlformats.org/officeDocument/2006/relationships/hyperlink" Target="http://www.sec.gov/Archives/edgar/data/1817358/000181735821000059/a1019fy2020.htm" TargetMode="External"/><Relationship Id="rId162" Type="http://schemas.openxmlformats.org/officeDocument/2006/relationships/hyperlink" Target="http://www.sec.gov/Archives/edgar/data/0001817358/000181735820000012/exhibit102.htm" TargetMode="External"/><Relationship Id="rId163" Type="http://schemas.openxmlformats.org/officeDocument/2006/relationships/hyperlink" Target="http://www.sec.gov/Archives/edgar/data/0001817358/000119312520252290/d934024dex1010.htm" TargetMode="External"/><Relationship Id="rId164" Type="http://schemas.openxmlformats.org/officeDocument/2006/relationships/hyperlink" Target="http://www.sec.gov/Archives/edgar/data/0001817358/000119312520252290/d934024dex1011.htm" TargetMode="External"/><Relationship Id="rId165" Type="http://schemas.openxmlformats.org/officeDocument/2006/relationships/hyperlink" Target="http://www.sec.gov/Archives/edgar/data/0001817358/000119312520252290/d934024dex1012.htm" TargetMode="External"/><Relationship Id="rId166" Type="http://schemas.openxmlformats.org/officeDocument/2006/relationships/hyperlink" Target="http://www.sec.gov/Archives/edgar/data/1817358/000119312520242076/d934024dex1013.htm" TargetMode="External"/><Relationship Id="rId167" Type="http://schemas.openxmlformats.org/officeDocument/2006/relationships/hyperlink" Target="https://www.sec.gov/Archives/edgar/data/1817358/000119312520242076/d934024dex1014.htm" TargetMode="External"/><Relationship Id="rId168" Type="http://schemas.openxmlformats.org/officeDocument/2006/relationships/hyperlink" Target="http://www.sec.gov/Archives/edgar/data/1817358/000119312520242076/d934024dex1015.htm" TargetMode="External"/><Relationship Id="rId169" Type="http://schemas.openxmlformats.org/officeDocument/2006/relationships/hyperlink" Target="http://www.sec.gov/Archives/edgar/data/1817358/000119312520242076/d934024dex1016.htm" TargetMode="External"/><Relationship Id="rId170" Type="http://schemas.openxmlformats.org/officeDocument/2006/relationships/hyperlink" Target="http://www.sec.gov/Archives/edgar/data/1817358/000119312520242076/d934024dex1017.htm" TargetMode="External"/><Relationship Id="rId171" Type="http://schemas.openxmlformats.org/officeDocument/2006/relationships/hyperlink" Target="http://www.sec.gov/Archives/edgar/data/1817358/000119312520242076/d934024dex1018.htm" TargetMode="External"/><Relationship Id="rId172" Type="http://schemas.openxmlformats.org/officeDocument/2006/relationships/hyperlink" Target="http://www.sec.gov/Archives/edgar/data/1817358/000119312520242076/d934024dex1019.htm" TargetMode="External"/><Relationship Id="rId173" Type="http://schemas.openxmlformats.org/officeDocument/2006/relationships/hyperlink" Target="http://www.sec.gov/Archives/edgar/data/0001817358/000181735821000059/exhibit1027.htm" TargetMode="External"/><Relationship Id="rId174" Type="http://schemas.openxmlformats.org/officeDocument/2006/relationships/hyperlink" Target="http://www.sec.gov/Archives/edgar/data/1817358/000119312520242076/d934024dex1020.htm" TargetMode="External"/><Relationship Id="rId175" Type="http://schemas.openxmlformats.org/officeDocument/2006/relationships/hyperlink" Target="http://www.sec.gov/Archives/edgar/data/1817358/000119312520242076/d934024dex1021.htm" TargetMode="External"/><Relationship Id="rId176" Type="http://schemas.openxmlformats.org/officeDocument/2006/relationships/hyperlink" Target="http://www.sec.gov/Archives/edgar/data/1817358/000119312520242076/d934024dex1022.htm" TargetMode="External"/><Relationship Id="rId177" Type="http://schemas.openxmlformats.org/officeDocument/2006/relationships/hyperlink" Target="http://www.sec.gov/Archives/edgar/data/1817358/000119312520242076/d934024dex1023.htm" TargetMode="External"/><Relationship Id="rId178" Type="http://schemas.openxmlformats.org/officeDocument/2006/relationships/hyperlink" Target="http://www.sec.gov/Archives/edgar/data/1817358/000119312520242076/d934024dex1024.htm" TargetMode="External"/><Relationship Id="rId179" Type="http://schemas.openxmlformats.org/officeDocument/2006/relationships/hyperlink" Target="http://www.sec.gov/Archives/edgar/data/1817358/000119312520242076/d934024dex1025.htm" TargetMode="External"/><Relationship Id="rId180" Type="http://schemas.openxmlformats.org/officeDocument/2006/relationships/hyperlink" Target="http://www.sec.gov/Archives/edgar/data/1817358/000119312520242076/d934024dex1026.htm" TargetMode="External"/><Relationship Id="rId183" Type="http://schemas.openxmlformats.org/officeDocument/2006/relationships/hyperlink" Target="http://www.sec.gov/Archives/edgar/data/1817358/000119312520242076/d934024dex1027.htm" TargetMode="External"/><Relationship Id="rId184" Type="http://schemas.openxmlformats.org/officeDocument/2006/relationships/hyperlink" Target="http://www.sec.gov/Archives/edgar/data/1817358/000119312520242076/d934024dex1028.htm" TargetMode="External"/><Relationship Id="rId185" Type="http://schemas.openxmlformats.org/officeDocument/2006/relationships/hyperlink" Target="http://www.sec.gov/Archives/edgar/data/1817358/000119312520242076/d934024dex1029.htm" TargetMode="External"/><Relationship Id="rId186" Type="http://schemas.openxmlformats.org/officeDocument/2006/relationships/hyperlink" Target="http://www.sec.gov/Archives/edgar/data/1817358/000119312520242076/d934024dex1030.htm" TargetMode="External"/><Relationship Id="rId187" Type="http://schemas.openxmlformats.org/officeDocument/2006/relationships/hyperlink" Target="http://www.sec.gov/Archives/edgar/data/1817358/000119312520242076/d934024dex1031.htm" TargetMode="External"/><Relationship Id="rId188" Type="http://schemas.openxmlformats.org/officeDocument/2006/relationships/hyperlink" Target="http://www.sec.gov/Archives/edgar/data/1817358/000119312520242076/d934024dex1032.htm" TargetMode="External"/><Relationship Id="rId189" Type="http://schemas.openxmlformats.org/officeDocument/2006/relationships/hyperlink" Target="http://www.sec.gov/Archives/edgar/data/0001817358/000181735821000059/exhibit1041-fy2020.htm" TargetMode="External"/><Relationship Id="rId190" Type="http://schemas.openxmlformats.org/officeDocument/2006/relationships/hyperlink" Target="http://www.sec.gov/Archives/edgar/data/1817358/000181735822000158/a103manishmaini-academyemp.htm" TargetMode="External"/><Relationship Id="rId191" Type="http://schemas.openxmlformats.org/officeDocument/2006/relationships/hyperlink" Target="http://www.sec.gov/Archives/edgar/data/0001817358/000119312520252290/d934024dex1034.htm" TargetMode="External"/><Relationship Id="rId192" Type="http://schemas.openxmlformats.org/officeDocument/2006/relationships/hyperlink" Target="http://www.sec.gov/Archives/edgar/data/0001817358/000119312520264744/d910645dex101.htm" TargetMode="External"/><Relationship Id="rId193" Type="http://schemas.openxmlformats.org/officeDocument/2006/relationships/hyperlink" Target="http://www.sec.gov/Archives/edgar/data/0001817358/000119312520252290/d934024dex1037.htm" TargetMode="External"/><Relationship Id="rId194" Type="http://schemas.openxmlformats.org/officeDocument/2006/relationships/hyperlink" Target="http://www.sec.gov/Archives/edgar/data/1817358/000181735822000158/a101aso2022non-employeedi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2023-03-16T16:20:44Z</dcterms:created>
  <dcterms:modified xsi:type="dcterms:W3CDTF">2023-03-16T16:20:44Z</dcterms:modified>
</cp:coreProperties>
</file>