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137160</wp:posOffset>
            </wp:positionV>
            <wp:extent cx="1697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6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140335</wp:posOffset>
            </wp:positionV>
            <wp:extent cx="1697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6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September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148590</wp:posOffset>
            </wp:positionV>
            <wp:extent cx="1697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2640965</wp:posOffset>
            </wp:positionH>
            <wp:positionV relativeFrom="paragraph">
              <wp:posOffset>268605</wp:posOffset>
            </wp:positionV>
            <wp:extent cx="182562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562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Academy Sports and Outdoors, Inc.</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129540</wp:posOffset>
            </wp:positionV>
            <wp:extent cx="1697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sectPr>
      </w:pPr>
    </w:p>
    <w:p>
      <w:pPr>
        <w:spacing w:after="0" w:line="397"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001-39589</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85-1800912</w:t>
      </w:r>
    </w:p>
    <w:p>
      <w:pPr>
        <w:spacing w:after="0" w:line="158" w:lineRule="exact"/>
        <w:rPr>
          <w:sz w:val="24"/>
          <w:szCs w:val="24"/>
          <w:color w:val="auto"/>
        </w:rPr>
      </w:pPr>
    </w:p>
    <w:p>
      <w:pPr>
        <w:sectPr>
          <w:pgSz w:w="11900" w:h="16838" w:orient="portrait"/>
          <w:cols w:equalWidth="0" w:num="3">
            <w:col w:w="4500" w:space="720"/>
            <w:col w:w="2820" w:space="720"/>
            <w:col w:w="2400"/>
          </w:cols>
          <w:pgMar w:left="340" w:top="747" w:right="399" w:bottom="1440" w:gutter="0" w:footer="0" w:header="0"/>
          <w:type w:val="continuous"/>
        </w:sectPr>
      </w:pPr>
    </w:p>
    <w:p>
      <w:pPr>
        <w:ind w:left="118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w:t>
      </w:r>
    </w:p>
    <w:p>
      <w:pPr>
        <w:spacing w:after="0" w:line="138" w:lineRule="exact"/>
        <w:rPr>
          <w:sz w:val="24"/>
          <w:szCs w:val="24"/>
          <w:color w:val="auto"/>
        </w:rPr>
      </w:pPr>
    </w:p>
    <w:p>
      <w:pPr>
        <w:sectPr>
          <w:pgSz w:w="11900" w:h="16838" w:orient="portrait"/>
          <w:cols w:equalWidth="0" w:num="3">
            <w:col w:w="4420" w:space="720"/>
            <w:col w:w="2640" w:space="720"/>
            <w:col w:w="2660"/>
          </w:cols>
          <w:pgMar w:left="340" w:top="747" w:right="399" w:bottom="1440" w:gutter="0" w:footer="0" w:header="0"/>
          <w:type w:val="continuous"/>
        </w:sectPr>
      </w:pPr>
    </w:p>
    <w:p>
      <w:pPr>
        <w:ind w:left="11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161" w:lineRule="exact"/>
        <w:rPr>
          <w:sz w:val="24"/>
          <w:szCs w:val="24"/>
          <w:color w:val="auto"/>
        </w:rPr>
      </w:pPr>
    </w:p>
    <w:p>
      <w:pPr>
        <w:sectPr>
          <w:pgSz w:w="11900" w:h="16838" w:orient="portrait"/>
          <w:cols w:equalWidth="0" w:num="3">
            <w:col w:w="4560" w:space="720"/>
            <w:col w:w="2460" w:space="720"/>
            <w:col w:w="2700"/>
          </w:cols>
          <w:pgMar w:left="340" w:top="747" w:right="399" w:bottom="1440" w:gutter="0" w:footer="0" w:header="0"/>
          <w:type w:val="continuous"/>
        </w:sectPr>
      </w:pPr>
    </w:p>
    <w:p>
      <w:pPr>
        <w:ind w:left="4740"/>
        <w:spacing w:after="0"/>
        <w:rPr>
          <w:sz w:val="20"/>
          <w:szCs w:val="20"/>
          <w:color w:val="auto"/>
        </w:rPr>
      </w:pPr>
      <w:r>
        <w:rPr>
          <w:rFonts w:ascii="Arial" w:cs="Arial" w:eastAsia="Arial" w:hAnsi="Arial"/>
          <w:sz w:val="16"/>
          <w:szCs w:val="16"/>
          <w:b w:val="1"/>
          <w:bCs w:val="1"/>
          <w:color w:val="auto"/>
        </w:rPr>
        <w:t>1800 North Mason Road</w:t>
      </w:r>
    </w:p>
    <w:p>
      <w:pPr>
        <w:spacing w:after="0" w:line="59" w:lineRule="exact"/>
        <w:rPr>
          <w:sz w:val="24"/>
          <w:szCs w:val="24"/>
          <w:color w:val="auto"/>
        </w:rPr>
      </w:pPr>
    </w:p>
    <w:p>
      <w:pPr>
        <w:ind w:left="4960"/>
        <w:spacing w:after="0"/>
        <w:rPr>
          <w:sz w:val="20"/>
          <w:szCs w:val="20"/>
          <w:color w:val="auto"/>
        </w:rPr>
      </w:pPr>
      <w:r>
        <w:rPr>
          <w:rFonts w:ascii="Arial" w:cs="Arial" w:eastAsia="Arial" w:hAnsi="Arial"/>
          <w:sz w:val="16"/>
          <w:szCs w:val="16"/>
          <w:b w:val="1"/>
          <w:bCs w:val="1"/>
          <w:color w:val="auto"/>
        </w:rPr>
        <w:t>Katy, Texas 77449</w:t>
      </w:r>
    </w:p>
    <w:p>
      <w:pPr>
        <w:spacing w:after="0" w:line="63" w:lineRule="exact"/>
        <w:rPr>
          <w:sz w:val="24"/>
          <w:szCs w:val="24"/>
          <w:color w:val="auto"/>
        </w:rPr>
      </w:pPr>
    </w:p>
    <w:p>
      <w:pPr>
        <w:ind w:left="4040"/>
        <w:spacing w:after="0"/>
        <w:rPr>
          <w:sz w:val="20"/>
          <w:szCs w:val="20"/>
          <w:color w:val="auto"/>
        </w:rPr>
      </w:pPr>
      <w:r>
        <w:rPr>
          <w:rFonts w:ascii="Arial" w:cs="Arial" w:eastAsia="Arial" w:hAnsi="Arial"/>
          <w:sz w:val="16"/>
          <w:szCs w:val="16"/>
          <w:i w:val="1"/>
          <w:iCs w:val="1"/>
          <w:color w:val="auto"/>
        </w:rPr>
        <w:t>(Address of principal executive offices) (Zip code)</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(281) 646-5200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144145</wp:posOffset>
            </wp:positionV>
            <wp:extent cx="16973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1" w:lineRule="exact"/>
        <w:rPr>
          <w:sz w:val="24"/>
          <w:szCs w:val="24"/>
          <w:color w:val="auto"/>
        </w:rPr>
      </w:pPr>
    </w:p>
    <w:tbl>
      <w:tblPr>
        <w:tblLayout w:type="fixed"/>
        <w:tblInd w:w="6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440" w:type="dxa"/>
            <w:vAlign w:val="bottom"/>
            <w:gridSpan w:val="2"/>
          </w:tcPr>
          <w:p>
            <w:pPr>
              <w:jc w:val="center"/>
              <w:ind w:right="2220"/>
              <w:spacing w:after="0"/>
              <w:rPr>
                <w:sz w:val="20"/>
                <w:szCs w:val="20"/>
                <w:color w:val="auto"/>
              </w:rPr>
            </w:pPr>
            <w:r>
              <w:rPr>
                <w:rFonts w:ascii="Arial" w:cs="Arial" w:eastAsia="Arial" w:hAnsi="Arial"/>
                <w:sz w:val="16"/>
                <w:szCs w:val="16"/>
                <w:b w:val="1"/>
                <w:bCs w:val="1"/>
                <w:color w:val="auto"/>
                <w:w w:val="88"/>
              </w:rPr>
              <w:t>Title of each class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340" w:type="dxa"/>
            <w:vAlign w:val="bottom"/>
            <w:gridSpan w:val="2"/>
          </w:tcPr>
          <w:p>
            <w:pPr>
              <w:jc w:val="center"/>
              <w:ind w:left="12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57"/>
        </w:trPr>
        <w:tc>
          <w:tcPr>
            <w:tcW w:w="4280" w:type="dxa"/>
            <w:vAlign w:val="bottom"/>
            <w:gridSpan w:val="3"/>
          </w:tcPr>
          <w:p>
            <w:pPr>
              <w:jc w:val="center"/>
              <w:ind w:right="1380"/>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ASO</w:t>
            </w:r>
          </w:p>
        </w:tc>
        <w:tc>
          <w:tcPr>
            <w:tcW w:w="134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2"/>
              </w:rPr>
              <w:t>Nasdaq Global Select Market</w:t>
            </w:r>
          </w:p>
        </w:tc>
      </w:tr>
    </w:tbl>
    <w:p>
      <w:pPr>
        <w:spacing w:after="0" w:line="199" w:lineRule="exact"/>
        <w:rPr>
          <w:sz w:val="24"/>
          <w:szCs w:val="24"/>
          <w:color w:val="auto"/>
        </w:rPr>
      </w:pPr>
    </w:p>
    <w:p>
      <w:pPr>
        <w:spacing w:after="0" w:line="26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4" w:lineRule="exact"/>
        <w:rPr>
          <w:sz w:val="24"/>
          <w:szCs w:val="24"/>
          <w:color w:val="auto"/>
        </w:rPr>
      </w:pPr>
    </w:p>
    <w:p>
      <w:pPr>
        <w:ind w:right="5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391795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86995</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113030</wp:posOffset>
            </wp:positionV>
            <wp:extent cx="71234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3" w:lineRule="exact"/>
        <w:rPr>
          <w:sz w:val="20"/>
          <w:szCs w:val="20"/>
          <w:color w:val="auto"/>
        </w:rPr>
      </w:pPr>
    </w:p>
    <w:p>
      <w:pPr>
        <w:jc w:val="both"/>
        <w:ind w:right="20" w:firstLine="401"/>
        <w:spacing w:after="0" w:line="261" w:lineRule="auto"/>
        <w:rPr>
          <w:sz w:val="20"/>
          <w:szCs w:val="20"/>
          <w:color w:val="auto"/>
        </w:rPr>
      </w:pPr>
      <w:r>
        <w:rPr>
          <w:rFonts w:ascii="Arial" w:cs="Arial" w:eastAsia="Arial" w:hAnsi="Arial"/>
          <w:sz w:val="18"/>
          <w:szCs w:val="18"/>
          <w:color w:val="auto"/>
        </w:rPr>
        <w:t>On September 9, 2021, Academy Sports and Outdoors, Inc. (the “Company”) issued a press release announcing financial results for the quarter ended July 31, 2021. A copy of the release is furnished herewith as Exhibit 99.1 and incorporated by reference herein.</w:t>
      </w:r>
    </w:p>
    <w:p>
      <w:pPr>
        <w:spacing w:after="0" w:line="198" w:lineRule="exact"/>
        <w:rPr>
          <w:sz w:val="20"/>
          <w:szCs w:val="20"/>
          <w:color w:val="auto"/>
        </w:rPr>
      </w:pPr>
    </w:p>
    <w:p>
      <w:pPr>
        <w:jc w:val="both"/>
        <w:ind w:firstLine="401"/>
        <w:spacing w:after="0" w:line="241" w:lineRule="auto"/>
        <w:rPr>
          <w:sz w:val="20"/>
          <w:szCs w:val="20"/>
          <w:color w:val="auto"/>
        </w:rPr>
      </w:pPr>
      <w:r>
        <w:rPr>
          <w:rFonts w:ascii="Arial" w:cs="Arial" w:eastAsia="Arial" w:hAnsi="Arial"/>
          <w:sz w:val="18"/>
          <w:szCs w:val="18"/>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 under the Securities Act of 1933, as amended (the “Securities Act”), or the Exchange Act, except as shall be expressly set forth by specific reference in such a filing.</w:t>
      </w:r>
    </w:p>
    <w:p>
      <w:pPr>
        <w:spacing w:after="0" w:line="200" w:lineRule="exact"/>
        <w:rPr>
          <w:sz w:val="20"/>
          <w:szCs w:val="20"/>
          <w:color w:val="auto"/>
        </w:rPr>
      </w:pPr>
    </w:p>
    <w:p>
      <w:pPr>
        <w:spacing w:after="0" w:line="25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3"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On September 2, 2021, the Board of Directors (the “Board”) of the Company authorized a new share repurchase program under which the Company may purchase up to $500 million of its outstanding shares over the next three years.</w:t>
      </w:r>
    </w:p>
    <w:p>
      <w:pPr>
        <w:spacing w:after="0" w:line="198" w:lineRule="exact"/>
        <w:rPr>
          <w:sz w:val="20"/>
          <w:szCs w:val="20"/>
          <w:color w:val="auto"/>
        </w:rPr>
      </w:pPr>
    </w:p>
    <w:p>
      <w:pPr>
        <w:jc w:val="both"/>
        <w:ind w:firstLine="401"/>
        <w:spacing w:after="0" w:line="279" w:lineRule="auto"/>
        <w:rPr>
          <w:sz w:val="20"/>
          <w:szCs w:val="20"/>
          <w:color w:val="auto"/>
        </w:rPr>
      </w:pPr>
      <w:r>
        <w:rPr>
          <w:rFonts w:ascii="Arial" w:cs="Arial" w:eastAsia="Arial" w:hAnsi="Arial"/>
          <w:sz w:val="16"/>
          <w:szCs w:val="16"/>
          <w:color w:val="auto"/>
        </w:rPr>
        <w:t>Under the share repurchase program, repurchases can be made using a variety of methods, which may include open market purchases, block trades, privately negotiated transactions and/or a non-discretionary trading plan, all in compliance with the rules of the SEC and other applicable legal requirements. The timing, manner, price and amount of any common share repurchases will be determined by the Company in its discretion and will depend on a variety of factors, including legal requirements, price and economic and market conditions. The share repurchase program does not obligate the Company to acquire any particular number of common shares, and the program may be suspended, extended, modified or discontinued at any time.</w:t>
      </w:r>
    </w:p>
    <w:p>
      <w:pPr>
        <w:spacing w:after="0" w:line="200" w:lineRule="exact"/>
        <w:rPr>
          <w:sz w:val="20"/>
          <w:szCs w:val="20"/>
          <w:color w:val="auto"/>
        </w:rPr>
      </w:pP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400" w:type="dxa"/>
            <w:vAlign w:val="bottom"/>
            <w:gridSpan w:val="3"/>
          </w:tcPr>
          <w:p>
            <w:pPr>
              <w:ind w:left="140"/>
              <w:spacing w:after="0"/>
              <w:rPr>
                <w:sz w:val="20"/>
                <w:szCs w:val="20"/>
                <w:color w:val="auto"/>
              </w:rPr>
            </w:pPr>
            <w:r>
              <w:rPr>
                <w:rFonts w:ascii="Arial" w:cs="Arial" w:eastAsia="Arial" w:hAnsi="Arial"/>
                <w:sz w:val="18"/>
                <w:szCs w:val="18"/>
                <w:b w:val="1"/>
                <w:bCs w:val="1"/>
                <w:color w:val="auto"/>
              </w:rPr>
              <w:t>Exhibit No.</w:t>
            </w:r>
          </w:p>
        </w:tc>
        <w:tc>
          <w:tcPr>
            <w:tcW w:w="9660" w:type="dxa"/>
            <w:vAlign w:val="bottom"/>
            <w:gridSpan w:val="2"/>
          </w:tcPr>
          <w:p>
            <w:pPr>
              <w:ind w:left="39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60" w:type="dxa"/>
            <w:vAlign w:val="bottom"/>
            <w:gridSpan w:val="2"/>
          </w:tcPr>
          <w:p>
            <w:pPr>
              <w:spacing w:after="0"/>
              <w:rPr>
                <w:sz w:val="2"/>
                <w:szCs w:val="2"/>
                <w:color w:val="auto"/>
              </w:rPr>
            </w:pPr>
          </w:p>
        </w:tc>
      </w:tr>
      <w:tr>
        <w:trPr>
          <w:trHeight w:val="243"/>
        </w:trPr>
        <w:tc>
          <w:tcPr>
            <w:tcW w:w="1500" w:type="dxa"/>
            <w:vAlign w:val="bottom"/>
            <w:tcBorders>
              <w:top w:val="single" w:sz="8" w:color="auto"/>
            </w:tcBorders>
            <w:gridSpan w:val="3"/>
            <w:shd w:val="clear" w:color="auto" w:fill="CCEEFF"/>
          </w:tcPr>
          <w:p>
            <w:pPr>
              <w:jc w:val="right"/>
              <w:ind w:right="100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80" w:type="dxa"/>
            <w:vAlign w:val="bottom"/>
            <w:tcBorders>
              <w:top w:val="single" w:sz="8" w:color="CCEEFF"/>
            </w:tcBorders>
            <w:shd w:val="clear" w:color="auto" w:fill="CCEEFF"/>
          </w:tcPr>
          <w:p>
            <w:pPr>
              <w:spacing w:after="0"/>
              <w:rPr>
                <w:sz w:val="21"/>
                <w:szCs w:val="21"/>
                <w:color w:val="auto"/>
              </w:rPr>
            </w:pPr>
          </w:p>
        </w:tc>
        <w:tc>
          <w:tcPr>
            <w:tcW w:w="95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Academy Sports and Outdoors, Inc. Press Release September 9, 2021</w:t>
            </w:r>
          </w:p>
        </w:tc>
        <w:tc>
          <w:tcPr>
            <w:tcW w:w="120" w:type="dxa"/>
            <w:vAlign w:val="bottom"/>
          </w:tcPr>
          <w:p>
            <w:pPr>
              <w:spacing w:after="0"/>
              <w:rPr>
                <w:sz w:val="21"/>
                <w:szCs w:val="21"/>
                <w:color w:val="auto"/>
              </w:rPr>
            </w:pPr>
          </w:p>
        </w:tc>
      </w:tr>
      <w:tr>
        <w:trPr>
          <w:trHeight w:val="1505"/>
        </w:trPr>
        <w:tc>
          <w:tcPr>
            <w:tcW w:w="18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0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9540" w:type="dxa"/>
            <w:vAlign w:val="bottom"/>
            <w:tcBorders>
              <w:top w:val="single" w:sz="8" w:color="CCEE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8-K on its behalf by the undersigned, thereto duly authorized.</w:t>
      </w:r>
    </w:p>
    <w:p>
      <w:pPr>
        <w:spacing w:after="0" w:line="200" w:lineRule="exact"/>
        <w:rPr>
          <w:sz w:val="20"/>
          <w:szCs w:val="20"/>
          <w:color w:val="auto"/>
        </w:rPr>
      </w:pPr>
    </w:p>
    <w:p>
      <w:pPr>
        <w:spacing w:after="0" w:line="29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60" w:val="left"/>
          <w:tab w:leader="none" w:pos="6960" w:val="left"/>
          <w:tab w:leader="none" w:pos="7300" w:val="left"/>
        </w:tabs>
        <w:rPr>
          <w:sz w:val="20"/>
          <w:szCs w:val="20"/>
          <w:color w:val="auto"/>
        </w:rPr>
      </w:pPr>
      <w:r>
        <w:rPr>
          <w:rFonts w:ascii="Arial" w:cs="Arial" w:eastAsia="Arial" w:hAnsi="Arial"/>
          <w:sz w:val="18"/>
          <w:szCs w:val="18"/>
          <w:color w:val="auto"/>
        </w:rPr>
        <w:t>Date: September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31750</wp:posOffset>
            </wp:positionV>
            <wp:extent cx="2717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57" w:lineRule="exact"/>
        <w:rPr>
          <w:sz w:val="20"/>
          <w:szCs w:val="20"/>
          <w:color w:val="auto"/>
        </w:rPr>
      </w:pPr>
    </w:p>
    <w:p>
      <w:pPr>
        <w:ind w:left="6280"/>
        <w:spacing w:after="0"/>
        <w:tabs>
          <w:tab w:leader="none" w:pos="6960" w:val="left"/>
        </w:tabs>
        <w:rPr>
          <w:sz w:val="20"/>
          <w:szCs w:val="20"/>
          <w:color w:val="auto"/>
        </w:rPr>
      </w:pPr>
      <w:r>
        <w:rPr>
          <w:rFonts w:ascii="Arial" w:cs="Arial" w:eastAsia="Arial" w:hAnsi="Arial"/>
          <w:sz w:val="18"/>
          <w:szCs w:val="18"/>
          <w:color w:val="auto"/>
        </w:rPr>
        <w:t>Name:</w:t>
        <w:tab/>
        <w:t>Rene G. Casares</w:t>
      </w:r>
    </w:p>
    <w:p>
      <w:pPr>
        <w:spacing w:after="0" w:line="63" w:lineRule="exact"/>
        <w:rPr>
          <w:sz w:val="20"/>
          <w:szCs w:val="20"/>
          <w:color w:val="auto"/>
        </w:rPr>
      </w:pPr>
    </w:p>
    <w:p>
      <w:pPr>
        <w:ind w:left="6280"/>
        <w:spacing w:after="0"/>
        <w:tabs>
          <w:tab w:leader="none" w:pos="69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Senior Vice President, General Counsel and Secretary</w:t>
      </w:r>
    </w:p>
    <w:p>
      <w:pPr>
        <w:sectPr>
          <w:pgSz w:w="11900" w:h="16838" w:orient="portrait"/>
          <w:cols w:equalWidth="0" w:num="1">
            <w:col w:w="11240"/>
          </w:cols>
          <w:pgMar w:left="320" w:top="14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51435</wp:posOffset>
            </wp:positionV>
            <wp:extent cx="197167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716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Academy Sports + Outdoors Announces Record Sales and Earnings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Second Quarter and Raises 2021 Guidance</w:t>
      </w:r>
    </w:p>
    <w:p>
      <w:pPr>
        <w:spacing w:after="0" w:line="221"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Net Sales Increased 11.5%; 44.8% Growth over Two Years</w:t>
      </w:r>
    </w:p>
    <w:p>
      <w:pPr>
        <w:spacing w:after="0" w:line="239"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Pre-Tax Income Grew 42.8% to $240.9 million</w:t>
      </w:r>
    </w:p>
    <w:p>
      <w:pPr>
        <w:spacing w:after="0" w:line="239"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Company Raises Full Year Diluted EPS Range to $5.45 to $5.80 from $4.15 to $4.50</w:t>
      </w:r>
    </w:p>
    <w:p>
      <w:pPr>
        <w:spacing w:after="0" w:line="239" w:lineRule="exact"/>
        <w:rPr>
          <w:sz w:val="20"/>
          <w:szCs w:val="20"/>
          <w:color w:val="auto"/>
        </w:rPr>
      </w:pPr>
    </w:p>
    <w:p>
      <w:pPr>
        <w:ind w:left="2900"/>
        <w:spacing w:after="0"/>
        <w:rPr>
          <w:sz w:val="20"/>
          <w:szCs w:val="20"/>
          <w:color w:val="auto"/>
        </w:rPr>
      </w:pPr>
      <w:r>
        <w:rPr>
          <w:rFonts w:ascii="Arial" w:cs="Arial" w:eastAsia="Arial" w:hAnsi="Arial"/>
          <w:sz w:val="18"/>
          <w:szCs w:val="18"/>
          <w:i w:val="1"/>
          <w:iCs w:val="1"/>
          <w:color w:val="auto"/>
        </w:rPr>
        <w:t>Company Announces New $500 Million Share Repurchase Authorization</w:t>
      </w:r>
    </w:p>
    <w:p>
      <w:pPr>
        <w:spacing w:after="0" w:line="2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KATY, TEXAS (Globe Newswire — Sept 9, 2021) </w:t>
      </w:r>
      <w:r>
        <w:rPr>
          <w:rFonts w:ascii="Arial" w:cs="Arial" w:eastAsia="Arial" w:hAnsi="Arial"/>
          <w:sz w:val="18"/>
          <w:szCs w:val="18"/>
          <w:color w:val="auto"/>
        </w:rPr>
        <w:t>– Academy Sports and Outdoors, Inc. (Nasdaq: ASO) ("Academy" or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its financial results for the second quarter ended July 31, 2021. Unless otherwise indicated, comparisons are to the same period in the prior fiscal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2021 Results</w:t>
      </w:r>
    </w:p>
    <w:p>
      <w:pPr>
        <w:spacing w:after="0" w:line="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Net sales increased 11.5% to an all-time quarterly high of $1.79 billion. When compared to the same quarter in 2019, sales increased 44.8%. Comparable sales grew 11.4% on top of 27.0% last year, making it the eighth consecutive quarter of positive comparable sales. The sales growth was driven by the sustained strength in the sporting goods and outdoor recreation market, improving in-stocks and strong consumer demand across all product categories. Sales were particularly strong in Apparel, Footwear, Field, Fitness and Team Sports. E-commerce sales declined slightly (0.9%) after growing 210.3% in the prior year quarter. When compared to the second quarter of 2019, E-commerce sales increased 207.2%.</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Gross margin increased 29.4% to $ 642.5 million, the highest quarterly gross profit in the Company's history. The gross margin rate improved by 500 basis points to 35.9%. This growth was primarily driven by stronger merchandise margins from a favorable product mix shift, higher average unit retails and less promotional activity.</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Selling, general and administrative ("SG&amp;A") expenses were 21.7% of sales, a 220 basis point increase. The change was a result of higher advertising and payroll expenses that had been pared back last year due to the pandemic as well as non-recurring stock compensation and payroll expenses associated with accelerated share vesting. Excluding the non-recurring expenses, SG&amp;A expenses would have been 19.2% of sales.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Pre-tax income increased by 42.8% to $240.9 million compared to $168.7 million.</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income was $190.5 million compared to $167.7 million. Diluted earnings per share were $ 1.99 compared to $2.25 per share. The decline in earnings per share was the result of an increase in the number of shares outstanding and higher federal income tax. Pro forma adjusted net income, which excludes the impact of certain non-cash and extraordinary items, increased 67.1% to $224.6 million. Pro forma diluted earnings per share increased 29.3% to $2.34 compared to $1.81 per share.</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Academy Sports + Outdoors team delivered the best quarterly financial results in the Company’s history as we surpassed the very strong store comparables from last year," said Ken Hicks, Chairman, President and Chief Executive Officer. "We plan to build on this continued success by further sharpening our focus on the fundamentals of the business and investing in our strategic initiatives with the goal of adding new customers, gaining market share and driving sales and profit growth. I am also excited to announce the authorization of our new share repurchase program. This program signifies the current strength of the Company and the confidence we have in the future of Academy."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Year-to-Date 2021 Results</w:t>
      </w:r>
    </w:p>
    <w:p>
      <w:pPr>
        <w:spacing w:after="0" w:line="3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Net sales increased 22.9% to $3.37 billion, while comparable sales increased 22.8%. Year-to-date sales grew 45.7% compared to 2019. E-commerce sales increased 241.9% compared to 2019 and declined 10.8% versus 2020.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51.8% to $1.21 billion. The gross margin rate improved by 680 basis points to 35.8%.</w:t>
      </w:r>
    </w:p>
    <w:p>
      <w:pPr>
        <w:spacing w:after="0" w:line="25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growth in gross profit, coupled with 70 basis points of selling, general &amp; administrative expense leverage, resulted in a 192.6% increase in pre-tax income to $465.8 million compared to $159.2 million.</w:t>
      </w:r>
    </w:p>
    <w:p>
      <w:pPr>
        <w:sectPr>
          <w:pgSz w:w="11900" w:h="16838" w:orient="portrait"/>
          <w:cols w:equalWidth="0" w:num="1">
            <w:col w:w="11240"/>
          </w:cols>
          <w:pgMar w:left="320" w:top="1093" w:right="339" w:bottom="6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093" w:right="339" w:bottom="673" w:gutter="0" w:footer="0" w:header="0"/>
          <w:type w:val="continuous"/>
        </w:sectPr>
      </w:pPr>
    </w:p>
    <w:bookmarkStart w:id="4" w:name="page5"/>
    <w:bookmarkEnd w:id="4"/>
    <w:p>
      <w:pPr>
        <w:jc w:val="both"/>
        <w:ind w:right="20"/>
        <w:spacing w:after="0" w:line="256" w:lineRule="auto"/>
        <w:rPr>
          <w:sz w:val="20"/>
          <w:szCs w:val="20"/>
          <w:color w:val="auto"/>
        </w:rPr>
      </w:pPr>
      <w:r>
        <w:rPr>
          <w:rFonts w:ascii="Arial" w:cs="Arial" w:eastAsia="Arial" w:hAnsi="Arial"/>
          <w:sz w:val="18"/>
          <w:szCs w:val="18"/>
          <w:color w:val="auto"/>
        </w:rPr>
        <w:t>Net income increased 133.6% to $368.3 million compared to $157.7 million. Diluted earnings per share were $3.82 compared to $2.12 per share in the prior year to date. Pro forma adjusted net income, which excludes the impact of certain non-cash and extraordinary items, increased 201.9% to $407.1 million. Pro forma diluted earnings per share were $4.22 compared to $1.81 per share in the prior year to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Balance Sheet Update</w:t>
      </w:r>
    </w:p>
    <w:p>
      <w:pPr>
        <w:spacing w:after="0" w:line="1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company also took steps to enhance its balance sheet. As of the end of the second quarter, the Company’s cash and cash equivalents totaled $553.8 million with no outstanding balance on its credit facility. Adjusted free cash flow was $169.5 million. Merchandise inventories were $1.1 billion, an increase of 24.0% compared to the prior year quarter and 3.2% compared to Q1 2021.</w:t>
      </w:r>
    </w:p>
    <w:p>
      <w:pPr>
        <w:spacing w:after="0" w:line="23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As previously reported, Academy's largest shareholder (KKR) completed two transactions, reducing their ownership to approximately 20% of the Company as of the end of the quarter. As part of one of these events, Academy purchased and retired 3.2 million shares for approximately $100 million. In addition to the stock repurchase, the Company paid down $99 million of its outstanding term loan and refinanced the loan's interest rate from LIBOR + 5.0% to LIBOR + 3.75%. Based on these positive actions, S&amp;P (B+ from B) and Moody's (Ba3 from B1) both upgraded the Company's debt rating.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Allocation</w:t>
      </w:r>
    </w:p>
    <w:p>
      <w:pPr>
        <w:spacing w:after="0" w:line="1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On September 2, 2021, the Academy Board of Directors authorized a new share repurchase program under which the Company may purchase up to $500 million of its outstanding shares over the next three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2021 Outlook</w:t>
      </w:r>
    </w:p>
    <w:p>
      <w:pPr>
        <w:spacing w:after="0" w:line="1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Michael Mullican, Executive Vice President and Chief Financial Officer, said, "Our second quarter performance set Company records across numerous financial metrics, including revenue, gross margin dollars and rate, pre-tax income and net earnings. Importantly, we continue to improve profitability at a higher rate than our sales growth. As a result, we are increasing our fiscal 2021 guidance. Looking ahead, we expect to utilize our capabilities to accelerate our omnichannel, new store and other growth initiatives."</w:t>
      </w:r>
    </w:p>
    <w:p>
      <w:pPr>
        <w:spacing w:after="0" w:line="232"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This forecast accounts for various market scenarios due to the uncertainty from the impact of COVID-19 on the economy and consumer. The new guidance is as follows:</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2900" w:type="dxa"/>
            <w:vAlign w:val="bottom"/>
            <w:tcBorders>
              <w:top w:val="single" w:sz="8" w:color="auto"/>
              <w:left w:val="single" w:sz="8" w:color="auto"/>
              <w:right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2720" w:type="dxa"/>
            <w:vAlign w:val="bottom"/>
            <w:tcBorders>
              <w:top w:val="single" w:sz="8" w:color="auto"/>
              <w:right w:val="single" w:sz="8" w:color="auto"/>
            </w:tcBorders>
            <w:gridSpan w:val="2"/>
          </w:tcPr>
          <w:p>
            <w:pPr>
              <w:ind w:left="600"/>
              <w:spacing w:after="0"/>
              <w:rPr>
                <w:sz w:val="20"/>
                <w:szCs w:val="20"/>
                <w:color w:val="auto"/>
              </w:rPr>
            </w:pPr>
            <w:r>
              <w:rPr>
                <w:rFonts w:ascii="Arial" w:cs="Arial" w:eastAsia="Arial" w:hAnsi="Arial"/>
                <w:sz w:val="14"/>
                <w:szCs w:val="14"/>
                <w:color w:val="auto"/>
              </w:rPr>
              <w:t>% change(at mid-point)</w:t>
            </w:r>
          </w:p>
        </w:tc>
      </w:tr>
      <w:tr>
        <w:trPr>
          <w:trHeight w:val="255"/>
        </w:trPr>
        <w:tc>
          <w:tcPr>
            <w:tcW w:w="2900" w:type="dxa"/>
            <w:vAlign w:val="bottom"/>
            <w:tcBorders>
              <w:left w:val="single" w:sz="8" w:color="auto"/>
              <w:right w:val="single" w:sz="8" w:color="auto"/>
            </w:tcBorders>
          </w:tcPr>
          <w:p>
            <w:pPr>
              <w:spacing w:after="0"/>
              <w:rPr>
                <w:sz w:val="22"/>
                <w:szCs w:val="22"/>
                <w:color w:val="auto"/>
              </w:rPr>
            </w:pPr>
          </w:p>
        </w:tc>
        <w:tc>
          <w:tcPr>
            <w:tcW w:w="2900" w:type="dxa"/>
            <w:vAlign w:val="bottom"/>
            <w:gridSpan w:val="2"/>
          </w:tcPr>
          <w:p>
            <w:pPr>
              <w:ind w:left="20"/>
              <w:spacing w:after="0"/>
              <w:rPr>
                <w:sz w:val="20"/>
                <w:szCs w:val="20"/>
                <w:color w:val="auto"/>
              </w:rPr>
            </w:pPr>
            <w:r>
              <w:rPr>
                <w:rFonts w:ascii="Arial" w:cs="Arial" w:eastAsia="Arial" w:hAnsi="Arial"/>
                <w:sz w:val="18"/>
                <w:szCs w:val="18"/>
                <w:b w:val="1"/>
                <w:bCs w:val="1"/>
                <w:color w:val="auto"/>
              </w:rPr>
              <w:t>Updated Fiscal 2021(e) Guidance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2020</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2019</w:t>
            </w:r>
          </w:p>
        </w:tc>
        <w:tc>
          <w:tcPr>
            <w:tcW w:w="1340" w:type="dxa"/>
            <w:vAlign w:val="bottom"/>
          </w:tcPr>
          <w:p>
            <w:pPr>
              <w:ind w:left="300"/>
              <w:spacing w:after="0"/>
              <w:rPr>
                <w:sz w:val="20"/>
                <w:szCs w:val="20"/>
                <w:color w:val="auto"/>
              </w:rPr>
            </w:pPr>
            <w:r>
              <w:rPr>
                <w:rFonts w:ascii="Arial" w:cs="Arial" w:eastAsia="Arial" w:hAnsi="Arial"/>
                <w:sz w:val="18"/>
                <w:szCs w:val="18"/>
                <w:b w:val="1"/>
                <w:bCs w:val="1"/>
                <w:color w:val="auto"/>
              </w:rPr>
              <w:t>vs. 2020</w:t>
            </w:r>
          </w:p>
        </w:tc>
        <w:tc>
          <w:tcPr>
            <w:tcW w:w="1380" w:type="dxa"/>
            <w:vAlign w:val="bottom"/>
            <w:tcBorders>
              <w:right w:val="single" w:sz="8" w:color="auto"/>
            </w:tcBorders>
          </w:tcPr>
          <w:p>
            <w:pPr>
              <w:ind w:left="320"/>
              <w:spacing w:after="0"/>
              <w:rPr>
                <w:sz w:val="20"/>
                <w:szCs w:val="20"/>
                <w:color w:val="auto"/>
              </w:rPr>
            </w:pPr>
            <w:r>
              <w:rPr>
                <w:rFonts w:ascii="Arial" w:cs="Arial" w:eastAsia="Arial" w:hAnsi="Arial"/>
                <w:sz w:val="18"/>
                <w:szCs w:val="18"/>
                <w:b w:val="1"/>
                <w:bCs w:val="1"/>
                <w:color w:val="auto"/>
              </w:rPr>
              <w:t>vs. 2019</w:t>
            </w: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r>
      <w:tr>
        <w:trPr>
          <w:trHeight w:val="258"/>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4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Low end</w:t>
            </w:r>
          </w:p>
        </w:tc>
        <w:tc>
          <w:tcPr>
            <w:tcW w:w="146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High end</w:t>
            </w:r>
          </w:p>
        </w:tc>
        <w:tc>
          <w:tcPr>
            <w:tcW w:w="136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r>
      <w:tr>
        <w:trPr>
          <w:trHeight w:val="243"/>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$6,465</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$6,620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$5,689</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$4,830</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35%</w:t>
            </w: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1460" w:type="dxa"/>
            <w:vAlign w:val="bottom"/>
            <w:tcBorders>
              <w:right w:val="single" w:sz="8" w:color="auto"/>
            </w:tcBorders>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r>
      <w:tr>
        <w:trPr>
          <w:trHeight w:val="149"/>
        </w:trPr>
        <w:tc>
          <w:tcPr>
            <w:tcW w:w="2900" w:type="dxa"/>
            <w:vAlign w:val="bottom"/>
            <w:tcBorders>
              <w:left w:val="single" w:sz="8" w:color="auto"/>
              <w:right w:val="single" w:sz="8" w:color="auto"/>
            </w:tcBorders>
            <w:shd w:val="clear" w:color="auto" w:fill="DBDBDB"/>
          </w:tcPr>
          <w:p>
            <w:pPr>
              <w:spacing w:after="0"/>
              <w:rPr>
                <w:sz w:val="12"/>
                <w:szCs w:val="12"/>
                <w:color w:val="auto"/>
              </w:rPr>
            </w:pPr>
          </w:p>
        </w:tc>
        <w:tc>
          <w:tcPr>
            <w:tcW w:w="1440" w:type="dxa"/>
            <w:vAlign w:val="bottom"/>
            <w:tcBorders>
              <w:right w:val="single" w:sz="8" w:color="DBDBDB"/>
            </w:tcBorders>
            <w:shd w:val="clear" w:color="auto" w:fill="DBDBDB"/>
          </w:tcPr>
          <w:p>
            <w:pPr>
              <w:spacing w:after="0"/>
              <w:rPr>
                <w:sz w:val="12"/>
                <w:szCs w:val="12"/>
                <w:color w:val="auto"/>
              </w:rPr>
            </w:pPr>
          </w:p>
        </w:tc>
        <w:tc>
          <w:tcPr>
            <w:tcW w:w="1460" w:type="dxa"/>
            <w:vAlign w:val="bottom"/>
            <w:tcBorders>
              <w:right w:val="single" w:sz="8" w:color="auto"/>
            </w:tcBorders>
            <w:shd w:val="clear" w:color="auto" w:fill="DBDBDB"/>
          </w:tcPr>
          <w:p>
            <w:pPr>
              <w:spacing w:after="0"/>
              <w:rPr>
                <w:sz w:val="12"/>
                <w:szCs w:val="12"/>
                <w:color w:val="auto"/>
              </w:rPr>
            </w:pPr>
          </w:p>
        </w:tc>
        <w:tc>
          <w:tcPr>
            <w:tcW w:w="1360" w:type="dxa"/>
            <w:vAlign w:val="bottom"/>
            <w:tcBorders>
              <w:right w:val="single" w:sz="8" w:color="auto"/>
            </w:tcBorders>
            <w:shd w:val="clear" w:color="auto" w:fill="DBDBDB"/>
          </w:tcPr>
          <w:p>
            <w:pPr>
              <w:spacing w:after="0"/>
              <w:rPr>
                <w:sz w:val="12"/>
                <w:szCs w:val="12"/>
                <w:color w:val="auto"/>
              </w:rPr>
            </w:pPr>
          </w:p>
        </w:tc>
        <w:tc>
          <w:tcPr>
            <w:tcW w:w="1380" w:type="dxa"/>
            <w:vAlign w:val="bottom"/>
            <w:tcBorders>
              <w:right w:val="single" w:sz="8" w:color="auto"/>
            </w:tcBorders>
            <w:shd w:val="clear" w:color="auto" w:fill="DBDBDB"/>
          </w:tcPr>
          <w:p>
            <w:pPr>
              <w:spacing w:after="0"/>
              <w:rPr>
                <w:sz w:val="12"/>
                <w:szCs w:val="12"/>
                <w:color w:val="auto"/>
              </w:rPr>
            </w:pPr>
          </w:p>
        </w:tc>
        <w:tc>
          <w:tcPr>
            <w:tcW w:w="1340" w:type="dxa"/>
            <w:vAlign w:val="bottom"/>
            <w:shd w:val="clear" w:color="auto" w:fill="DBDBDB"/>
          </w:tcPr>
          <w:p>
            <w:pPr>
              <w:spacing w:after="0"/>
              <w:rPr>
                <w:sz w:val="12"/>
                <w:szCs w:val="12"/>
                <w:color w:val="auto"/>
              </w:rPr>
            </w:pPr>
          </w:p>
        </w:tc>
        <w:tc>
          <w:tcPr>
            <w:tcW w:w="1380" w:type="dxa"/>
            <w:vAlign w:val="bottom"/>
            <w:tcBorders>
              <w:right w:val="single" w:sz="8" w:color="auto"/>
            </w:tcBorders>
            <w:shd w:val="clear" w:color="auto" w:fill="DBDBDB"/>
          </w:tcPr>
          <w:p>
            <w:pPr>
              <w:spacing w:after="0"/>
              <w:rPr>
                <w:sz w:val="12"/>
                <w:szCs w:val="12"/>
                <w:color w:val="auto"/>
              </w:rPr>
            </w:pPr>
          </w:p>
        </w:tc>
      </w:tr>
      <w:tr>
        <w:trPr>
          <w:trHeight w:val="243"/>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Comparable sales</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14.0%</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17.0%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16.1%</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(0.7)%</w:t>
            </w:r>
          </w:p>
        </w:tc>
        <w:tc>
          <w:tcPr>
            <w:tcW w:w="134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1460" w:type="dxa"/>
            <w:vAlign w:val="bottom"/>
            <w:tcBorders>
              <w:right w:val="single" w:sz="8" w:color="auto"/>
            </w:tcBorders>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r>
      <w:tr>
        <w:trPr>
          <w:trHeight w:val="270"/>
        </w:trPr>
        <w:tc>
          <w:tcPr>
            <w:tcW w:w="2900" w:type="dxa"/>
            <w:vAlign w:val="bottom"/>
            <w:tcBorders>
              <w:left w:val="single" w:sz="8" w:color="auto"/>
              <w:right w:val="single" w:sz="8" w:color="auto"/>
            </w:tcBorders>
            <w:shd w:val="clear" w:color="auto" w:fill="DBDBDB"/>
          </w:tcPr>
          <w:p>
            <w:pPr>
              <w:spacing w:after="0"/>
              <w:rPr>
                <w:sz w:val="23"/>
                <w:szCs w:val="23"/>
                <w:color w:val="auto"/>
              </w:rPr>
            </w:pPr>
          </w:p>
        </w:tc>
        <w:tc>
          <w:tcPr>
            <w:tcW w:w="1440" w:type="dxa"/>
            <w:vAlign w:val="bottom"/>
            <w:tcBorders>
              <w:right w:val="single" w:sz="8" w:color="DBDBDB"/>
            </w:tcBorders>
            <w:shd w:val="clear" w:color="auto" w:fill="DBDBDB"/>
          </w:tcPr>
          <w:p>
            <w:pPr>
              <w:spacing w:after="0"/>
              <w:rPr>
                <w:sz w:val="23"/>
                <w:szCs w:val="23"/>
                <w:color w:val="auto"/>
              </w:rPr>
            </w:pPr>
          </w:p>
        </w:tc>
        <w:tc>
          <w:tcPr>
            <w:tcW w:w="1460" w:type="dxa"/>
            <w:vAlign w:val="bottom"/>
            <w:tcBorders>
              <w:right w:val="single" w:sz="8" w:color="auto"/>
            </w:tcBorders>
            <w:shd w:val="clear" w:color="auto" w:fill="DBDBDB"/>
          </w:tcPr>
          <w:p>
            <w:pPr>
              <w:spacing w:after="0"/>
              <w:rPr>
                <w:sz w:val="23"/>
                <w:szCs w:val="23"/>
                <w:color w:val="auto"/>
              </w:rPr>
            </w:pPr>
          </w:p>
        </w:tc>
        <w:tc>
          <w:tcPr>
            <w:tcW w:w="1360" w:type="dxa"/>
            <w:vAlign w:val="bottom"/>
            <w:tcBorders>
              <w:right w:val="single" w:sz="8" w:color="auto"/>
            </w:tcBorders>
            <w:shd w:val="clear" w:color="auto" w:fill="DBDBDB"/>
          </w:tcPr>
          <w:p>
            <w:pPr>
              <w:spacing w:after="0"/>
              <w:rPr>
                <w:sz w:val="23"/>
                <w:szCs w:val="23"/>
                <w:color w:val="auto"/>
              </w:rPr>
            </w:pPr>
          </w:p>
        </w:tc>
        <w:tc>
          <w:tcPr>
            <w:tcW w:w="1380" w:type="dxa"/>
            <w:vAlign w:val="bottom"/>
            <w:tcBorders>
              <w:right w:val="single" w:sz="8" w:color="auto"/>
            </w:tcBorders>
            <w:shd w:val="clear" w:color="auto" w:fill="DBDBDB"/>
          </w:tcPr>
          <w:p>
            <w:pPr>
              <w:spacing w:after="0"/>
              <w:rPr>
                <w:sz w:val="23"/>
                <w:szCs w:val="23"/>
                <w:color w:val="auto"/>
              </w:rPr>
            </w:pPr>
          </w:p>
        </w:tc>
        <w:tc>
          <w:tcPr>
            <w:tcW w:w="1340" w:type="dxa"/>
            <w:vAlign w:val="bottom"/>
            <w:shd w:val="clear" w:color="auto" w:fill="DBDBDB"/>
          </w:tcPr>
          <w:p>
            <w:pPr>
              <w:spacing w:after="0"/>
              <w:rPr>
                <w:sz w:val="23"/>
                <w:szCs w:val="23"/>
                <w:color w:val="auto"/>
              </w:rPr>
            </w:pPr>
          </w:p>
        </w:tc>
        <w:tc>
          <w:tcPr>
            <w:tcW w:w="1380" w:type="dxa"/>
            <w:vAlign w:val="bottom"/>
            <w:tcBorders>
              <w:right w:val="single" w:sz="8" w:color="auto"/>
            </w:tcBorders>
            <w:shd w:val="clear" w:color="auto" w:fill="DBDBDB"/>
          </w:tcPr>
          <w:p>
            <w:pPr>
              <w:spacing w:after="0"/>
              <w:rPr>
                <w:sz w:val="23"/>
                <w:szCs w:val="23"/>
                <w:color w:val="auto"/>
              </w:rPr>
            </w:pPr>
          </w:p>
        </w:tc>
      </w:tr>
      <w:tr>
        <w:trPr>
          <w:trHeight w:val="243"/>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Income before taxes</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$670</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$715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$339</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$123</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463%</w:t>
            </w: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1460" w:type="dxa"/>
            <w:vAlign w:val="bottom"/>
            <w:tcBorders>
              <w:right w:val="single" w:sz="8" w:color="auto"/>
            </w:tcBorders>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r>
      <w:tr>
        <w:trPr>
          <w:trHeight w:val="148"/>
        </w:trPr>
        <w:tc>
          <w:tcPr>
            <w:tcW w:w="2900" w:type="dxa"/>
            <w:vAlign w:val="bottom"/>
            <w:tcBorders>
              <w:left w:val="single" w:sz="8" w:color="auto"/>
              <w:right w:val="single" w:sz="8" w:color="auto"/>
            </w:tcBorders>
            <w:shd w:val="clear" w:color="auto" w:fill="DBDBDB"/>
          </w:tcPr>
          <w:p>
            <w:pPr>
              <w:spacing w:after="0"/>
              <w:rPr>
                <w:sz w:val="12"/>
                <w:szCs w:val="12"/>
                <w:color w:val="auto"/>
              </w:rPr>
            </w:pPr>
          </w:p>
        </w:tc>
        <w:tc>
          <w:tcPr>
            <w:tcW w:w="1440" w:type="dxa"/>
            <w:vAlign w:val="bottom"/>
            <w:tcBorders>
              <w:right w:val="single" w:sz="8" w:color="DBDBDB"/>
            </w:tcBorders>
            <w:shd w:val="clear" w:color="auto" w:fill="DBDBDB"/>
          </w:tcPr>
          <w:p>
            <w:pPr>
              <w:spacing w:after="0"/>
              <w:rPr>
                <w:sz w:val="12"/>
                <w:szCs w:val="12"/>
                <w:color w:val="auto"/>
              </w:rPr>
            </w:pPr>
          </w:p>
        </w:tc>
        <w:tc>
          <w:tcPr>
            <w:tcW w:w="1460" w:type="dxa"/>
            <w:vAlign w:val="bottom"/>
            <w:tcBorders>
              <w:right w:val="single" w:sz="8" w:color="auto"/>
            </w:tcBorders>
            <w:shd w:val="clear" w:color="auto" w:fill="DBDBDB"/>
          </w:tcPr>
          <w:p>
            <w:pPr>
              <w:spacing w:after="0"/>
              <w:rPr>
                <w:sz w:val="12"/>
                <w:szCs w:val="12"/>
                <w:color w:val="auto"/>
              </w:rPr>
            </w:pPr>
          </w:p>
        </w:tc>
        <w:tc>
          <w:tcPr>
            <w:tcW w:w="1360" w:type="dxa"/>
            <w:vAlign w:val="bottom"/>
            <w:tcBorders>
              <w:right w:val="single" w:sz="8" w:color="auto"/>
            </w:tcBorders>
            <w:shd w:val="clear" w:color="auto" w:fill="DBDBDB"/>
          </w:tcPr>
          <w:p>
            <w:pPr>
              <w:spacing w:after="0"/>
              <w:rPr>
                <w:sz w:val="12"/>
                <w:szCs w:val="12"/>
                <w:color w:val="auto"/>
              </w:rPr>
            </w:pPr>
          </w:p>
        </w:tc>
        <w:tc>
          <w:tcPr>
            <w:tcW w:w="1380" w:type="dxa"/>
            <w:vAlign w:val="bottom"/>
            <w:tcBorders>
              <w:right w:val="single" w:sz="8" w:color="auto"/>
            </w:tcBorders>
            <w:shd w:val="clear" w:color="auto" w:fill="DBDBDB"/>
          </w:tcPr>
          <w:p>
            <w:pPr>
              <w:spacing w:after="0"/>
              <w:rPr>
                <w:sz w:val="12"/>
                <w:szCs w:val="12"/>
                <w:color w:val="auto"/>
              </w:rPr>
            </w:pPr>
          </w:p>
        </w:tc>
        <w:tc>
          <w:tcPr>
            <w:tcW w:w="1340" w:type="dxa"/>
            <w:vAlign w:val="bottom"/>
            <w:shd w:val="clear" w:color="auto" w:fill="DBDBDB"/>
          </w:tcPr>
          <w:p>
            <w:pPr>
              <w:spacing w:after="0"/>
              <w:rPr>
                <w:sz w:val="12"/>
                <w:szCs w:val="12"/>
                <w:color w:val="auto"/>
              </w:rPr>
            </w:pPr>
          </w:p>
        </w:tc>
        <w:tc>
          <w:tcPr>
            <w:tcW w:w="1380" w:type="dxa"/>
            <w:vAlign w:val="bottom"/>
            <w:tcBorders>
              <w:right w:val="single" w:sz="8" w:color="auto"/>
            </w:tcBorders>
            <w:shd w:val="clear" w:color="auto" w:fill="DBDBDB"/>
          </w:tcPr>
          <w:p>
            <w:pPr>
              <w:spacing w:after="0"/>
              <w:rPr>
                <w:sz w:val="12"/>
                <w:szCs w:val="12"/>
                <w:color w:val="auto"/>
              </w:rPr>
            </w:pPr>
          </w:p>
        </w:tc>
      </w:tr>
      <w:tr>
        <w:trPr>
          <w:trHeight w:val="243"/>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$525</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$560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$309</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$120</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76%</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352%</w:t>
            </w: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1460" w:type="dxa"/>
            <w:vAlign w:val="bottom"/>
            <w:tcBorders>
              <w:right w:val="single" w:sz="8" w:color="auto"/>
            </w:tcBorders>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r>
      <w:tr>
        <w:trPr>
          <w:trHeight w:val="270"/>
        </w:trPr>
        <w:tc>
          <w:tcPr>
            <w:tcW w:w="2900" w:type="dxa"/>
            <w:vAlign w:val="bottom"/>
            <w:tcBorders>
              <w:left w:val="single" w:sz="8" w:color="auto"/>
              <w:right w:val="single" w:sz="8" w:color="auto"/>
            </w:tcBorders>
            <w:shd w:val="clear" w:color="auto" w:fill="DBDBDB"/>
          </w:tcPr>
          <w:p>
            <w:pPr>
              <w:spacing w:after="0"/>
              <w:rPr>
                <w:sz w:val="23"/>
                <w:szCs w:val="23"/>
                <w:color w:val="auto"/>
              </w:rPr>
            </w:pPr>
          </w:p>
        </w:tc>
        <w:tc>
          <w:tcPr>
            <w:tcW w:w="1440" w:type="dxa"/>
            <w:vAlign w:val="bottom"/>
            <w:tcBorders>
              <w:right w:val="single" w:sz="8" w:color="DBDBDB"/>
            </w:tcBorders>
            <w:shd w:val="clear" w:color="auto" w:fill="DBDBDB"/>
          </w:tcPr>
          <w:p>
            <w:pPr>
              <w:spacing w:after="0"/>
              <w:rPr>
                <w:sz w:val="23"/>
                <w:szCs w:val="23"/>
                <w:color w:val="auto"/>
              </w:rPr>
            </w:pPr>
          </w:p>
        </w:tc>
        <w:tc>
          <w:tcPr>
            <w:tcW w:w="1460" w:type="dxa"/>
            <w:vAlign w:val="bottom"/>
            <w:tcBorders>
              <w:right w:val="single" w:sz="8" w:color="auto"/>
            </w:tcBorders>
            <w:shd w:val="clear" w:color="auto" w:fill="DBDBDB"/>
          </w:tcPr>
          <w:p>
            <w:pPr>
              <w:spacing w:after="0"/>
              <w:rPr>
                <w:sz w:val="23"/>
                <w:szCs w:val="23"/>
                <w:color w:val="auto"/>
              </w:rPr>
            </w:pPr>
          </w:p>
        </w:tc>
        <w:tc>
          <w:tcPr>
            <w:tcW w:w="1360" w:type="dxa"/>
            <w:vAlign w:val="bottom"/>
            <w:tcBorders>
              <w:right w:val="single" w:sz="8" w:color="auto"/>
            </w:tcBorders>
            <w:shd w:val="clear" w:color="auto" w:fill="DBDBDB"/>
          </w:tcPr>
          <w:p>
            <w:pPr>
              <w:spacing w:after="0"/>
              <w:rPr>
                <w:sz w:val="23"/>
                <w:szCs w:val="23"/>
                <w:color w:val="auto"/>
              </w:rPr>
            </w:pPr>
          </w:p>
        </w:tc>
        <w:tc>
          <w:tcPr>
            <w:tcW w:w="1380" w:type="dxa"/>
            <w:vAlign w:val="bottom"/>
            <w:tcBorders>
              <w:right w:val="single" w:sz="8" w:color="auto"/>
            </w:tcBorders>
            <w:shd w:val="clear" w:color="auto" w:fill="DBDBDB"/>
          </w:tcPr>
          <w:p>
            <w:pPr>
              <w:spacing w:after="0"/>
              <w:rPr>
                <w:sz w:val="23"/>
                <w:szCs w:val="23"/>
                <w:color w:val="auto"/>
              </w:rPr>
            </w:pPr>
          </w:p>
        </w:tc>
        <w:tc>
          <w:tcPr>
            <w:tcW w:w="1340" w:type="dxa"/>
            <w:vAlign w:val="bottom"/>
            <w:shd w:val="clear" w:color="auto" w:fill="DBDBDB"/>
          </w:tcPr>
          <w:p>
            <w:pPr>
              <w:spacing w:after="0"/>
              <w:rPr>
                <w:sz w:val="23"/>
                <w:szCs w:val="23"/>
                <w:color w:val="auto"/>
              </w:rPr>
            </w:pPr>
          </w:p>
        </w:tc>
        <w:tc>
          <w:tcPr>
            <w:tcW w:w="1380" w:type="dxa"/>
            <w:vAlign w:val="bottom"/>
            <w:tcBorders>
              <w:right w:val="single" w:sz="8" w:color="auto"/>
            </w:tcBorders>
            <w:shd w:val="clear" w:color="auto" w:fill="DBDBDB"/>
          </w:tcPr>
          <w:p>
            <w:pPr>
              <w:spacing w:after="0"/>
              <w:rPr>
                <w:sz w:val="23"/>
                <w:szCs w:val="23"/>
                <w:color w:val="auto"/>
              </w:rPr>
            </w:pPr>
          </w:p>
        </w:tc>
      </w:tr>
      <w:tr>
        <w:trPr>
          <w:trHeight w:val="243"/>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Earnings per share-diluted</w:t>
            </w:r>
          </w:p>
        </w:tc>
        <w:tc>
          <w:tcPr>
            <w:tcW w:w="1440" w:type="dxa"/>
            <w:vAlign w:val="bottom"/>
          </w:tcPr>
          <w:p>
            <w:pPr>
              <w:jc w:val="center"/>
              <w:spacing w:after="0"/>
              <w:rPr>
                <w:sz w:val="20"/>
                <w:szCs w:val="20"/>
                <w:color w:val="auto"/>
              </w:rPr>
            </w:pPr>
            <w:r>
              <w:rPr>
                <w:rFonts w:ascii="Arial" w:cs="Arial" w:eastAsia="Arial" w:hAnsi="Arial"/>
                <w:sz w:val="18"/>
                <w:szCs w:val="18"/>
                <w:color w:val="auto"/>
              </w:rPr>
              <w:t>$5.45</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$5.80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$3.79</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$1.60</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252%</w:t>
            </w:r>
          </w:p>
        </w:tc>
      </w:tr>
      <w:tr>
        <w:trPr>
          <w:trHeight w:val="27"/>
        </w:trPr>
        <w:tc>
          <w:tcPr>
            <w:tcW w:w="2900" w:type="dxa"/>
            <w:vAlign w:val="bottom"/>
            <w:tcBorders>
              <w:left w:val="single" w:sz="8" w:color="auto"/>
              <w:right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1460" w:type="dxa"/>
            <w:vAlign w:val="bottom"/>
            <w:tcBorders>
              <w:right w:val="single" w:sz="8" w:color="auto"/>
            </w:tcBorders>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r>
      <w:tr>
        <w:trPr>
          <w:trHeight w:val="270"/>
        </w:trPr>
        <w:tc>
          <w:tcPr>
            <w:tcW w:w="2900" w:type="dxa"/>
            <w:vAlign w:val="bottom"/>
            <w:tcBorders>
              <w:left w:val="single" w:sz="8" w:color="auto"/>
              <w:right w:val="single" w:sz="8" w:color="auto"/>
            </w:tcBorders>
            <w:shd w:val="clear" w:color="auto" w:fill="DBDBDB"/>
          </w:tcPr>
          <w:p>
            <w:pPr>
              <w:spacing w:after="0"/>
              <w:rPr>
                <w:sz w:val="23"/>
                <w:szCs w:val="23"/>
                <w:color w:val="auto"/>
              </w:rPr>
            </w:pPr>
          </w:p>
        </w:tc>
        <w:tc>
          <w:tcPr>
            <w:tcW w:w="1440" w:type="dxa"/>
            <w:vAlign w:val="bottom"/>
            <w:tcBorders>
              <w:right w:val="single" w:sz="8" w:color="DBDBDB"/>
            </w:tcBorders>
            <w:shd w:val="clear" w:color="auto" w:fill="DBDBDB"/>
          </w:tcPr>
          <w:p>
            <w:pPr>
              <w:spacing w:after="0"/>
              <w:rPr>
                <w:sz w:val="23"/>
                <w:szCs w:val="23"/>
                <w:color w:val="auto"/>
              </w:rPr>
            </w:pPr>
          </w:p>
        </w:tc>
        <w:tc>
          <w:tcPr>
            <w:tcW w:w="1460" w:type="dxa"/>
            <w:vAlign w:val="bottom"/>
            <w:tcBorders>
              <w:right w:val="single" w:sz="8" w:color="auto"/>
            </w:tcBorders>
            <w:shd w:val="clear" w:color="auto" w:fill="DBDBDB"/>
          </w:tcPr>
          <w:p>
            <w:pPr>
              <w:spacing w:after="0"/>
              <w:rPr>
                <w:sz w:val="23"/>
                <w:szCs w:val="23"/>
                <w:color w:val="auto"/>
              </w:rPr>
            </w:pPr>
          </w:p>
        </w:tc>
        <w:tc>
          <w:tcPr>
            <w:tcW w:w="1360" w:type="dxa"/>
            <w:vAlign w:val="bottom"/>
            <w:tcBorders>
              <w:right w:val="single" w:sz="8" w:color="auto"/>
            </w:tcBorders>
            <w:shd w:val="clear" w:color="auto" w:fill="DBDBDB"/>
          </w:tcPr>
          <w:p>
            <w:pPr>
              <w:spacing w:after="0"/>
              <w:rPr>
                <w:sz w:val="23"/>
                <w:szCs w:val="23"/>
                <w:color w:val="auto"/>
              </w:rPr>
            </w:pPr>
          </w:p>
        </w:tc>
        <w:tc>
          <w:tcPr>
            <w:tcW w:w="1380" w:type="dxa"/>
            <w:vAlign w:val="bottom"/>
            <w:tcBorders>
              <w:right w:val="single" w:sz="8" w:color="auto"/>
            </w:tcBorders>
            <w:shd w:val="clear" w:color="auto" w:fill="DBDBDB"/>
          </w:tcPr>
          <w:p>
            <w:pPr>
              <w:spacing w:after="0"/>
              <w:rPr>
                <w:sz w:val="23"/>
                <w:szCs w:val="23"/>
                <w:color w:val="auto"/>
              </w:rPr>
            </w:pPr>
          </w:p>
        </w:tc>
        <w:tc>
          <w:tcPr>
            <w:tcW w:w="1340" w:type="dxa"/>
            <w:vAlign w:val="bottom"/>
            <w:shd w:val="clear" w:color="auto" w:fill="DBDBDB"/>
          </w:tcPr>
          <w:p>
            <w:pPr>
              <w:spacing w:after="0"/>
              <w:rPr>
                <w:sz w:val="23"/>
                <w:szCs w:val="23"/>
                <w:color w:val="auto"/>
              </w:rPr>
            </w:pPr>
          </w:p>
        </w:tc>
        <w:tc>
          <w:tcPr>
            <w:tcW w:w="1380" w:type="dxa"/>
            <w:vAlign w:val="bottom"/>
            <w:tcBorders>
              <w:right w:val="single" w:sz="8" w:color="auto"/>
            </w:tcBorders>
            <w:shd w:val="clear" w:color="auto" w:fill="DBDBDB"/>
          </w:tcPr>
          <w:p>
            <w:pPr>
              <w:spacing w:after="0"/>
              <w:rPr>
                <w:sz w:val="23"/>
                <w:szCs w:val="23"/>
                <w:color w:val="auto"/>
              </w:rPr>
            </w:pPr>
          </w:p>
        </w:tc>
      </w:tr>
      <w:tr>
        <w:trPr>
          <w:trHeight w:val="242"/>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Diluted weighted average shares</w:t>
            </w:r>
          </w:p>
        </w:tc>
        <w:tc>
          <w:tcPr>
            <w:tcW w:w="144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r>
      <w:tr>
        <w:trPr>
          <w:trHeight w:val="217"/>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outstanding</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96,500</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96,500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81,431</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74,795</w:t>
            </w:r>
          </w:p>
        </w:tc>
        <w:tc>
          <w:tcPr>
            <w:tcW w:w="134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EPS estimate reflects a tax rate of 22.0% and does not include any potential future share repurchases.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w:t>
      </w:r>
    </w:p>
    <w:p>
      <w:pPr>
        <w:spacing w:after="0" w:line="1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 xml:space="preserve">Academy will host a conference call today at 11:00 a.m. Eastern Time to discuss its financial results. Listeners may access the call by dialing 1-877-407-3982 (U.S.) or 1-201-493-6780 (International). The passcode is 13721945. A webcast of the call can be accessed at </w:t>
      </w:r>
      <w:r>
        <w:rPr>
          <w:rFonts w:ascii="Arial" w:cs="Arial" w:eastAsia="Arial" w:hAnsi="Arial"/>
          <w:sz w:val="18"/>
          <w:szCs w:val="18"/>
          <w:u w:val="single" w:color="auto"/>
          <w:color w:val="0E32E1"/>
        </w:rPr>
        <w:t>investors.academy.com</w:t>
      </w:r>
      <w:r>
        <w:rPr>
          <w:rFonts w:ascii="Arial" w:cs="Arial" w:eastAsia="Arial" w:hAnsi="Arial"/>
          <w:sz w:val="18"/>
          <w:szCs w:val="18"/>
          <w:color w:val="000000"/>
        </w:rPr>
        <w:t>.</w:t>
      </w:r>
    </w:p>
    <w:p>
      <w:pPr>
        <w:spacing w:after="0" w:line="23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 xml:space="preserve">A telephonic replay of the conference call will be available for approximately 30 days, by dialing 1-844-512-2921 (U.S.) or 1-412-317-6671 (International) and entering passcode 13721945. An archive of the webcast will be available at </w:t>
      </w:r>
      <w:r>
        <w:rPr>
          <w:rFonts w:ascii="Arial" w:cs="Arial" w:eastAsia="Arial" w:hAnsi="Arial"/>
          <w:sz w:val="18"/>
          <w:szCs w:val="18"/>
          <w:u w:val="single" w:color="auto"/>
          <w:color w:val="0E32E1"/>
        </w:rPr>
        <w:t>investors.academy.com</w:t>
      </w:r>
      <w:r>
        <w:rPr>
          <w:rFonts w:ascii="Arial" w:cs="Arial" w:eastAsia="Arial" w:hAnsi="Arial"/>
          <w:sz w:val="18"/>
          <w:szCs w:val="18"/>
          <w:color w:val="auto"/>
        </w:rPr>
        <w:t xml:space="preserve"> for approximately 30 days.</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60"/>
          </w:cols>
          <w:pgMar w:left="320" w:top="463"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About Academy Sports + Outdoors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Academy is a leading full-line sporting goods and outdoor recreation retailer in the United States. Originally founded in 1938 as a family business in Texas, Academy has grown to 259 stores across 16 contiguous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19 private label brands, which go well beyond traditional sporting goods and apparel offerings.</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references to "Academy," "Academy Sports + Outdoors," "we," "us," "our" or the "Company" in this press release refer to (1) prior to October 1, 2020 (the "IPO pricing date"), New Academy Holding Company, LLC, a Delaware limited liability company ("NAHC") and the prior parent holding company for our operations, and its consolidated subsidiaries; and (2) on and after the IPO pricing date, Academy Sports and Outdoors, Inc., a Delaware corporation ("ASO, Inc.") and the current parent holding company of our operations, and its consolidated subsidiaries.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the IPO pricing date, we completed a series of reorganization transactions (the "Reorganization Transactions") that resulted in NAHC being contributed to ASO, Inc. by its members and becoming a wholly owned subsidiary of ASO, Inc. and one share of common stock of ASO, Inc. issued to then-existing members of NAHC for every 3.15 membership units of NAHC contributed to ASO, Inc. (the "Contribution</w:t>
      </w:r>
    </w:p>
    <w:p>
      <w:pPr>
        <w:spacing w:after="0" w:line="1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Ratio"). Unless indicated otherwise, the information in this press release has been adjusted to give retrospective effect to the Contribution Ratio.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Adjusted EBITDA, Adjusted EBIT, Adjusted Net Income (Loss), Pro Forma Adjusted Net Income (Loss), Pro Forma Adjusted Earnings Per Share, and Adjusted Free Cash Flow have been presented in this press release as supplemental measures of financial performance that are not required by, or presented in accordance with, generally accepted accounting principles (“GAAP”). These non-GAAP measures have limitations as analytical tools. For information on these limitations, as well as information on why management believes these non-GAAP measures are useful, please see our Annual Report for fiscal year 2020 filed on April 7, 2021 (the “Annual Report”), as such limitations and information may be updated from time to time in our periodic filings with the Securities and Exchange commission (the "SEC"), which are accessible on the SEC's website at </w:t>
      </w:r>
      <w:r>
        <w:rPr>
          <w:rFonts w:ascii="Arial" w:cs="Arial" w:eastAsia="Arial" w:hAnsi="Arial"/>
          <w:sz w:val="18"/>
          <w:szCs w:val="18"/>
          <w:u w:val="single" w:color="auto"/>
          <w:color w:val="0E32E1"/>
        </w:rPr>
        <w:t>www.sec.gov</w:t>
      </w:r>
      <w:r>
        <w:rPr>
          <w:rFonts w:ascii="Arial" w:cs="Arial" w:eastAsia="Arial" w:hAnsi="Arial"/>
          <w:sz w:val="18"/>
          <w:szCs w:val="18"/>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We compensate for these limitations by primarily relying on our GAAP results in addition to using these non-GAAP measures supplementally.</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See “Reconciliations of Non-GAAP to GAAP Financial Measures” below for reconciliations of non-GAAP financial measures used in this press release to their most directly comparable GAAP financial measures.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and Section 21E of the Securities Exchange Act of 1934, as amended. These forward-looking statements are based on Academy's current expectations and are not guarantees of future performance. You can identify these forward-looking statements by the use of words such as “outlook,” “guidance,” “believes,” “expects,” “potential,” “continues,” “may,” “will,” “should,” “could,” “seeks,” “projects,” “predicts,” “intends,” “plans,” “estimates,” “anticipates” or the negative version of these words or other comparable words. The forward-looking statements are subject to various risks, uncertainties, assumptions or changes in circumstances that are difficult to predict or quantify. Actual results may differ materially from these expectations due to changes in global, regional or local economic, business, competitive, market, regulatory and other factors, many of which are beyond Academy's control. Important factors that could cause actual results to differ materially from those in the forward-looking statements are set forth in Academy's filings with the SEC, including the Annual Report, under the caption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3480" w:type="dxa"/>
            <w:vAlign w:val="bottom"/>
            <w:gridSpan w:val="3"/>
          </w:tcPr>
          <w:p>
            <w:pPr>
              <w:ind w:left="1000"/>
              <w:spacing w:after="0"/>
              <w:rPr>
                <w:sz w:val="20"/>
                <w:szCs w:val="20"/>
                <w:color w:val="auto"/>
              </w:rPr>
            </w:pPr>
            <w:r>
              <w:rPr>
                <w:rFonts w:ascii="Arial" w:cs="Arial" w:eastAsia="Arial" w:hAnsi="Arial"/>
                <w:sz w:val="18"/>
                <w:szCs w:val="18"/>
                <w:b w:val="1"/>
                <w:bCs w:val="1"/>
                <w:color w:val="auto"/>
              </w:rPr>
              <w:t>Media Contact</w:t>
            </w:r>
          </w:p>
        </w:tc>
      </w:tr>
      <w:tr>
        <w:trPr>
          <w:trHeight w:val="284"/>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 Hodges</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Elise Hasbrook</w:t>
            </w:r>
          </w:p>
        </w:tc>
        <w:tc>
          <w:tcPr>
            <w:tcW w:w="1240" w:type="dxa"/>
            <w:vAlign w:val="bottom"/>
          </w:tcPr>
          <w:p>
            <w:pPr>
              <w:spacing w:after="0"/>
              <w:rPr>
                <w:sz w:val="24"/>
                <w:szCs w:val="24"/>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VP, Investor Relations</w:t>
            </w:r>
          </w:p>
        </w:tc>
        <w:tc>
          <w:tcPr>
            <w:tcW w:w="3480" w:type="dxa"/>
            <w:vAlign w:val="bottom"/>
            <w:gridSpan w:val="3"/>
          </w:tcPr>
          <w:p>
            <w:pPr>
              <w:ind w:left="1000"/>
              <w:spacing w:after="0"/>
              <w:rPr>
                <w:sz w:val="20"/>
                <w:szCs w:val="20"/>
                <w:color w:val="auto"/>
              </w:rPr>
            </w:pPr>
            <w:r>
              <w:rPr>
                <w:rFonts w:ascii="Arial" w:cs="Arial" w:eastAsia="Arial" w:hAnsi="Arial"/>
                <w:sz w:val="18"/>
                <w:szCs w:val="18"/>
                <w:color w:val="auto"/>
              </w:rPr>
              <w:t>VP, Communications</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281-646-5362</w:t>
            </w:r>
          </w:p>
        </w:tc>
        <w:tc>
          <w:tcPr>
            <w:tcW w:w="1860" w:type="dxa"/>
            <w:vAlign w:val="bottom"/>
          </w:tcPr>
          <w:p>
            <w:pPr>
              <w:spacing w:after="0"/>
              <w:rPr>
                <w:sz w:val="23"/>
                <w:szCs w:val="23"/>
                <w:color w:val="auto"/>
              </w:rPr>
            </w:pPr>
          </w:p>
        </w:tc>
        <w:tc>
          <w:tcPr>
            <w:tcW w:w="2240" w:type="dxa"/>
            <w:vAlign w:val="bottom"/>
            <w:gridSpan w:val="2"/>
          </w:tcPr>
          <w:p>
            <w:pPr>
              <w:ind w:left="1000"/>
              <w:spacing w:after="0"/>
              <w:rPr>
                <w:sz w:val="20"/>
                <w:szCs w:val="20"/>
                <w:color w:val="auto"/>
              </w:rPr>
            </w:pPr>
            <w:r>
              <w:rPr>
                <w:rFonts w:ascii="Arial" w:cs="Arial" w:eastAsia="Arial" w:hAnsi="Arial"/>
                <w:sz w:val="18"/>
                <w:szCs w:val="18"/>
                <w:color w:val="auto"/>
              </w:rPr>
              <w:t>281-944-6041</w:t>
            </w:r>
          </w:p>
        </w:tc>
        <w:tc>
          <w:tcPr>
            <w:tcW w:w="1240" w:type="dxa"/>
            <w:vAlign w:val="bottom"/>
          </w:tcPr>
          <w:p>
            <w:pPr>
              <w:spacing w:after="0"/>
              <w:rPr>
                <w:sz w:val="23"/>
                <w:szCs w:val="23"/>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Matt.hodges@academy.com</w:t>
            </w:r>
          </w:p>
        </w:tc>
        <w:tc>
          <w:tcPr>
            <w:tcW w:w="3480" w:type="dxa"/>
            <w:vAlign w:val="bottom"/>
            <w:gridSpan w:val="3"/>
          </w:tcPr>
          <w:p>
            <w:pPr>
              <w:ind w:left="1000"/>
              <w:spacing w:after="0"/>
              <w:rPr>
                <w:sz w:val="20"/>
                <w:szCs w:val="20"/>
                <w:color w:val="auto"/>
              </w:rPr>
            </w:pPr>
            <w:r>
              <w:rPr>
                <w:rFonts w:ascii="Arial" w:cs="Arial" w:eastAsia="Arial" w:hAnsi="Arial"/>
                <w:sz w:val="18"/>
                <w:szCs w:val="18"/>
                <w:color w:val="auto"/>
                <w:w w:val="99"/>
              </w:rPr>
              <w:t>Elise.hasbrook@academy.com</w:t>
            </w:r>
          </w:p>
        </w:tc>
      </w:tr>
      <w:tr>
        <w:trPr>
          <w:trHeight w:val="542"/>
        </w:trPr>
        <w:tc>
          <w:tcPr>
            <w:tcW w:w="1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80" w:type="dxa"/>
            <w:vAlign w:val="bottom"/>
            <w:gridSpan w:val="3"/>
          </w:tcPr>
          <w:p>
            <w:pPr>
              <w:jc w:val="right"/>
              <w:ind w:right="1120"/>
              <w:spacing w:after="0"/>
              <w:rPr>
                <w:sz w:val="20"/>
                <w:szCs w:val="20"/>
                <w:color w:val="auto"/>
              </w:rPr>
            </w:pPr>
            <w:r>
              <w:rPr>
                <w:rFonts w:ascii="Arial" w:cs="Arial" w:eastAsia="Arial" w:hAnsi="Arial"/>
                <w:sz w:val="14"/>
                <w:szCs w:val="14"/>
                <w:color w:val="auto"/>
              </w:rPr>
              <w:t>3</w:t>
            </w:r>
          </w:p>
        </w:tc>
      </w:tr>
    </w:tbl>
    <w:p>
      <w:pPr>
        <w:sectPr>
          <w:pgSz w:w="11900" w:h="16838" w:orient="portrait"/>
          <w:cols w:equalWidth="0" w:num="1">
            <w:col w:w="11240"/>
          </w:cols>
          <w:pgMar w:left="320" w:top="44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gridSpan w:val="5"/>
          </w:tcPr>
          <w:p>
            <w:pPr>
              <w:ind w:left="820"/>
              <w:spacing w:after="0"/>
              <w:rPr>
                <w:sz w:val="20"/>
                <w:szCs w:val="20"/>
                <w:color w:val="auto"/>
              </w:rPr>
            </w:pPr>
            <w:r>
              <w:rPr>
                <w:rFonts w:ascii="Arial" w:cs="Arial" w:eastAsia="Arial" w:hAnsi="Arial"/>
                <w:sz w:val="18"/>
                <w:szCs w:val="18"/>
                <w:b w:val="1"/>
                <w:bCs w:val="1"/>
                <w:color w:val="auto"/>
              </w:rPr>
              <w:t>Thirteen Weeks Ended</w:t>
            </w:r>
          </w:p>
        </w:tc>
        <w:tc>
          <w:tcPr>
            <w:tcW w:w="174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1"/>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Percentage of</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right"/>
              <w:ind w:right="190"/>
              <w:spacing w:after="0"/>
              <w:rPr>
                <w:sz w:val="20"/>
                <w:szCs w:val="20"/>
                <w:color w:val="auto"/>
              </w:rPr>
            </w:pPr>
            <w:r>
              <w:rPr>
                <w:rFonts w:ascii="Arial" w:cs="Arial" w:eastAsia="Arial" w:hAnsi="Arial"/>
                <w:sz w:val="18"/>
                <w:szCs w:val="18"/>
                <w:b w:val="1"/>
                <w:bCs w:val="1"/>
                <w:color w:val="auto"/>
              </w:rPr>
              <w:t>Percentage of</w:t>
            </w:r>
          </w:p>
        </w:tc>
      </w:tr>
      <w:tr>
        <w:trPr>
          <w:trHeight w:val="268"/>
        </w:trPr>
        <w:tc>
          <w:tcPr>
            <w:tcW w:w="4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31, 2021</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 xml:space="preserve">Sales </w:t>
            </w:r>
            <w:r>
              <w:rPr>
                <w:rFonts w:ascii="Arial" w:cs="Arial" w:eastAsia="Arial" w:hAnsi="Arial"/>
                <w:sz w:val="23"/>
                <w:szCs w:val="23"/>
                <w:b w:val="1"/>
                <w:bCs w:val="1"/>
                <w:color w:val="auto"/>
                <w:w w:val="93"/>
                <w:vertAlign w:val="superscript"/>
              </w:rPr>
              <w:t>(2)</w:t>
            </w:r>
          </w:p>
        </w:tc>
        <w:tc>
          <w:tcPr>
            <w:tcW w:w="140" w:type="dxa"/>
            <w:vAlign w:val="bottom"/>
          </w:tcPr>
          <w:p>
            <w:pPr>
              <w:spacing w:after="0"/>
              <w:rPr>
                <w:sz w:val="23"/>
                <w:szCs w:val="23"/>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August 1, 2020</w:t>
            </w:r>
          </w:p>
        </w:tc>
        <w:tc>
          <w:tcPr>
            <w:tcW w:w="1740" w:type="dxa"/>
            <w:vAlign w:val="bottom"/>
          </w:tcPr>
          <w:p>
            <w:pPr>
              <w:jc w:val="right"/>
              <w:ind w:right="450"/>
              <w:spacing w:after="0"/>
              <w:rPr>
                <w:sz w:val="20"/>
                <w:szCs w:val="20"/>
                <w:color w:val="auto"/>
              </w:rPr>
            </w:pPr>
            <w:r>
              <w:rPr>
                <w:rFonts w:ascii="Arial" w:cs="Arial" w:eastAsia="Arial" w:hAnsi="Arial"/>
                <w:sz w:val="18"/>
                <w:szCs w:val="18"/>
                <w:b w:val="1"/>
                <w:bCs w:val="1"/>
                <w:color w:val="auto"/>
              </w:rPr>
              <w:t xml:space="preserve">Sales </w:t>
            </w:r>
            <w:r>
              <w:rPr>
                <w:rFonts w:ascii="Arial" w:cs="Arial" w:eastAsia="Arial" w:hAnsi="Arial"/>
                <w:sz w:val="23"/>
                <w:szCs w:val="23"/>
                <w:b w:val="1"/>
                <w:bCs w:val="1"/>
                <w:color w:val="auto"/>
                <w:vertAlign w:val="superscript"/>
              </w:rPr>
              <w:t>(2)</w:t>
            </w:r>
          </w:p>
        </w:tc>
      </w:tr>
      <w:tr>
        <w:trPr>
          <w:trHeight w:val="243"/>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1,791,530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1,606,420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1,149,034</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64.1 %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1,109,919</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69.1 %</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3"/>
        </w:trPr>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642,496</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35.9 %</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496,501</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30.9 %</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387,938</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21.7 %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312,713</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19.5 %</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3"/>
        </w:trPr>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254,558</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14.2 %</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183,788</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12,157</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0.7 %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23,566</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early extinguishment of debt,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2,239</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0.1 %</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(735)</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0.0 %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(628)</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0.0 %</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3"/>
        </w:trPr>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240,897</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13.4 %</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168,681</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50,387</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2.8 %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1,005</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8"/>
        </w:trPr>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190,510</w:t>
            </w:r>
          </w:p>
        </w:tc>
        <w:tc>
          <w:tcPr>
            <w:tcW w:w="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10.6 %</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167,676</w:t>
            </w:r>
          </w:p>
        </w:tc>
        <w:tc>
          <w:tcPr>
            <w:tcW w:w="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70"/>
        </w:trPr>
        <w:tc>
          <w:tcPr>
            <w:tcW w:w="4360" w:type="dxa"/>
            <w:vAlign w:val="bottom"/>
          </w:tcPr>
          <w:p>
            <w:pPr>
              <w:ind w:left="24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2.06</w:t>
            </w:r>
          </w:p>
        </w:tc>
        <w:tc>
          <w:tcPr>
            <w:tcW w:w="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0"/>
        </w:trPr>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56"/>
        </w:trPr>
        <w:tc>
          <w:tcPr>
            <w:tcW w:w="4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70"/>
        </w:trPr>
        <w:tc>
          <w:tcPr>
            <w:tcW w:w="4360" w:type="dxa"/>
            <w:vAlign w:val="bottom"/>
          </w:tcPr>
          <w:p>
            <w:pPr>
              <w:ind w:left="24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92,627</w:t>
            </w:r>
          </w:p>
        </w:tc>
        <w:tc>
          <w:tcPr>
            <w:tcW w:w="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72,478</w:t>
            </w:r>
          </w:p>
        </w:tc>
        <w:tc>
          <w:tcPr>
            <w:tcW w:w="8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0"/>
        </w:trPr>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95,891</w:t>
            </w:r>
          </w:p>
        </w:tc>
        <w:tc>
          <w:tcPr>
            <w:tcW w:w="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74,439</w:t>
            </w:r>
          </w:p>
        </w:tc>
        <w:tc>
          <w:tcPr>
            <w:tcW w:w="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bl>
    <w:p>
      <w:pPr>
        <w:spacing w:after="0" w:line="28" w:lineRule="exact"/>
        <w:rPr>
          <w:sz w:val="20"/>
          <w:szCs w:val="20"/>
          <w:color w:val="auto"/>
        </w:rPr>
      </w:pPr>
    </w:p>
    <w:p>
      <w:pPr>
        <w:ind w:left="180" w:hanging="172"/>
        <w:spacing w:after="0"/>
        <w:tabs>
          <w:tab w:leader="none" w:pos="180"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After effect of the retrospective presentation of the Reorganization Transactions and Contribution Ratio</w:t>
      </w:r>
    </w:p>
    <w:p>
      <w:pPr>
        <w:ind w:left="180" w:hanging="172"/>
        <w:spacing w:after="0" w:line="209" w:lineRule="auto"/>
        <w:tabs>
          <w:tab w:leader="none" w:pos="180"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Column may not add due to rounding</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00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80" w:type="dxa"/>
            <w:vAlign w:val="bottom"/>
            <w:gridSpan w:val="5"/>
          </w:tcPr>
          <w:p>
            <w:pPr>
              <w:ind w:left="700"/>
              <w:spacing w:after="0"/>
              <w:rPr>
                <w:sz w:val="20"/>
                <w:szCs w:val="20"/>
                <w:color w:val="auto"/>
              </w:rPr>
            </w:pPr>
            <w:r>
              <w:rPr>
                <w:rFonts w:ascii="Arial" w:cs="Arial" w:eastAsia="Arial" w:hAnsi="Arial"/>
                <w:sz w:val="18"/>
                <w:szCs w:val="18"/>
                <w:b w:val="1"/>
                <w:bCs w:val="1"/>
                <w:color w:val="auto"/>
              </w:rPr>
              <w:t>Twenty-Six Weeks Ended</w:t>
            </w:r>
          </w:p>
        </w:tc>
        <w:tc>
          <w:tcPr>
            <w:tcW w:w="174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1"/>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Percentage of</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right"/>
              <w:ind w:right="190"/>
              <w:spacing w:after="0"/>
              <w:rPr>
                <w:sz w:val="20"/>
                <w:szCs w:val="20"/>
                <w:color w:val="auto"/>
              </w:rPr>
            </w:pPr>
            <w:r>
              <w:rPr>
                <w:rFonts w:ascii="Arial" w:cs="Arial" w:eastAsia="Arial" w:hAnsi="Arial"/>
                <w:sz w:val="18"/>
                <w:szCs w:val="18"/>
                <w:b w:val="1"/>
                <w:bCs w:val="1"/>
                <w:color w:val="auto"/>
              </w:rPr>
              <w:t>Percentage of</w:t>
            </w:r>
          </w:p>
        </w:tc>
      </w:tr>
      <w:tr>
        <w:trPr>
          <w:trHeight w:val="268"/>
        </w:trPr>
        <w:tc>
          <w:tcPr>
            <w:tcW w:w="4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31, 2021</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 xml:space="preserve">Sales </w:t>
            </w:r>
            <w:r>
              <w:rPr>
                <w:rFonts w:ascii="Arial" w:cs="Arial" w:eastAsia="Arial" w:hAnsi="Arial"/>
                <w:sz w:val="23"/>
                <w:szCs w:val="23"/>
                <w:b w:val="1"/>
                <w:bCs w:val="1"/>
                <w:color w:val="auto"/>
                <w:w w:val="93"/>
                <w:vertAlign w:val="superscript"/>
              </w:rPr>
              <w:t>(2)</w:t>
            </w:r>
          </w:p>
        </w:tc>
        <w:tc>
          <w:tcPr>
            <w:tcW w:w="140" w:type="dxa"/>
            <w:vAlign w:val="bottom"/>
          </w:tcPr>
          <w:p>
            <w:pPr>
              <w:spacing w:after="0"/>
              <w:rPr>
                <w:sz w:val="23"/>
                <w:szCs w:val="23"/>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August 1, 2020</w:t>
            </w:r>
          </w:p>
        </w:tc>
        <w:tc>
          <w:tcPr>
            <w:tcW w:w="1740" w:type="dxa"/>
            <w:vAlign w:val="bottom"/>
          </w:tcPr>
          <w:p>
            <w:pPr>
              <w:jc w:val="right"/>
              <w:ind w:right="450"/>
              <w:spacing w:after="0"/>
              <w:rPr>
                <w:sz w:val="20"/>
                <w:szCs w:val="20"/>
                <w:color w:val="auto"/>
              </w:rPr>
            </w:pPr>
            <w:r>
              <w:rPr>
                <w:rFonts w:ascii="Arial" w:cs="Arial" w:eastAsia="Arial" w:hAnsi="Arial"/>
                <w:sz w:val="18"/>
                <w:szCs w:val="18"/>
                <w:b w:val="1"/>
                <w:bCs w:val="1"/>
                <w:color w:val="auto"/>
              </w:rPr>
              <w:t xml:space="preserve">Sales </w:t>
            </w:r>
            <w:r>
              <w:rPr>
                <w:rFonts w:ascii="Arial" w:cs="Arial" w:eastAsia="Arial" w:hAnsi="Arial"/>
                <w:sz w:val="23"/>
                <w:szCs w:val="23"/>
                <w:b w:val="1"/>
                <w:bCs w:val="1"/>
                <w:color w:val="auto"/>
                <w:vertAlign w:val="superscript"/>
              </w:rPr>
              <w:t>(2)</w:t>
            </w:r>
          </w:p>
        </w:tc>
      </w:tr>
      <w:tr>
        <w:trPr>
          <w:trHeight w:val="243"/>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3,371,863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2,742,721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2,165,666</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64.2 %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1,948,275</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71.0 %</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3"/>
        </w:trPr>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1,206,197</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35.8 %</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794,446</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29.0 %</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712,565</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21.1 %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596,636</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21.8 %</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493,632</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14.6 %</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197,810</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26,706</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0.8 %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48,088</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on early extinguishment of debt,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2,239</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0.1 %</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(1,132)</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0.0 %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(1,621)</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465,819</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13.8 %</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159,174</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97,513</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2.9 %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1,518</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8"/>
        </w:trPr>
        <w:tc>
          <w:tcPr>
            <w:tcW w:w="4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368,306</w:t>
            </w:r>
          </w:p>
        </w:tc>
        <w:tc>
          <w:tcPr>
            <w:tcW w:w="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10.9 %</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157,656</w:t>
            </w:r>
          </w:p>
        </w:tc>
        <w:tc>
          <w:tcPr>
            <w:tcW w:w="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70"/>
        </w:trPr>
        <w:tc>
          <w:tcPr>
            <w:tcW w:w="4360" w:type="dxa"/>
            <w:vAlign w:val="bottom"/>
          </w:tcPr>
          <w:p>
            <w:pPr>
              <w:ind w:left="24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3.99</w:t>
            </w:r>
          </w:p>
        </w:tc>
        <w:tc>
          <w:tcPr>
            <w:tcW w:w="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0"/>
        </w:trPr>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c>
          <w:tcPr>
            <w:tcW w:w="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56"/>
        </w:trPr>
        <w:tc>
          <w:tcPr>
            <w:tcW w:w="4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70"/>
        </w:trPr>
        <w:tc>
          <w:tcPr>
            <w:tcW w:w="4360" w:type="dxa"/>
            <w:vAlign w:val="bottom"/>
          </w:tcPr>
          <w:p>
            <w:pPr>
              <w:ind w:left="24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92,357</w:t>
            </w:r>
          </w:p>
        </w:tc>
        <w:tc>
          <w:tcPr>
            <w:tcW w:w="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72,476</w:t>
            </w:r>
          </w:p>
        </w:tc>
        <w:tc>
          <w:tcPr>
            <w:tcW w:w="8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0"/>
        </w:trPr>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96,391</w:t>
            </w:r>
          </w:p>
        </w:tc>
        <w:tc>
          <w:tcPr>
            <w:tcW w:w="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74,487</w:t>
            </w:r>
          </w:p>
        </w:tc>
        <w:tc>
          <w:tcPr>
            <w:tcW w:w="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bl>
    <w:p>
      <w:pPr>
        <w:spacing w:after="0" w:line="62"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After effect of retrospective presentation of the Reorganization Transactions and Contribution Ratio</w:t>
      </w:r>
    </w:p>
    <w:p>
      <w:pPr>
        <w:spacing w:after="0" w:line="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Column may not add due to rounding</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765" w:right="339" w:bottom="1440" w:gutter="0" w:footer="0" w:header="0"/>
        </w:sectPr>
      </w:pPr>
    </w:p>
    <w:bookmarkStart w:id="8" w:name="page9"/>
    <w:bookmarkEnd w:id="8"/>
    <w:p>
      <w:pPr>
        <w:jc w:val="center"/>
        <w:ind w:right="-11"/>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89" w:lineRule="exact"/>
        <w:rPr>
          <w:sz w:val="20"/>
          <w:szCs w:val="20"/>
          <w:color w:val="auto"/>
        </w:rPr>
      </w:pPr>
    </w:p>
    <w:tbl>
      <w:tblPr>
        <w:tblLayout w:type="fixed"/>
        <w:tblInd w:w="12" w:type="dxa"/>
        <w:tblCellMar>
          <w:top w:w="0" w:type="dxa"/>
          <w:left w:w="0" w:type="dxa"/>
          <w:bottom w:w="0" w:type="dxa"/>
          <w:right w:w="0" w:type="dxa"/>
        </w:tblCellMar>
      </w:tblPr>
      <w:tr>
        <w:trPr>
          <w:trHeight w:val="228"/>
        </w:trPr>
        <w:tc>
          <w:tcPr>
            <w:tcW w:w="6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July 31, 2021</w:t>
            </w:r>
          </w:p>
        </w:tc>
        <w:tc>
          <w:tcPr>
            <w:tcW w:w="14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January 30, 2021</w:t>
            </w:r>
          </w:p>
        </w:tc>
        <w:tc>
          <w:tcPr>
            <w:tcW w:w="160" w:type="dxa"/>
            <w:vAlign w:val="bottom"/>
          </w:tcPr>
          <w:p>
            <w:pPr>
              <w:spacing w:after="0"/>
              <w:rPr>
                <w:sz w:val="19"/>
                <w:szCs w:val="19"/>
                <w:color w:val="auto"/>
              </w:rPr>
            </w:pPr>
          </w:p>
        </w:tc>
        <w:tc>
          <w:tcPr>
            <w:tcW w:w="146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1, 2020</w:t>
            </w:r>
          </w:p>
        </w:tc>
        <w:tc>
          <w:tcPr>
            <w:tcW w:w="0" w:type="dxa"/>
            <w:vAlign w:val="bottom"/>
          </w:tcPr>
          <w:p>
            <w:pPr>
              <w:spacing w:after="0"/>
              <w:rPr>
                <w:sz w:val="1"/>
                <w:szCs w:val="1"/>
                <w:color w:val="auto"/>
              </w:rPr>
            </w:pPr>
          </w:p>
        </w:tc>
      </w:tr>
      <w:tr>
        <w:trPr>
          <w:trHeight w:val="229"/>
        </w:trPr>
        <w:tc>
          <w:tcPr>
            <w:tcW w:w="6140" w:type="dxa"/>
            <w:vAlign w:val="bottom"/>
            <w:tcBorders>
              <w:top w:val="single" w:sz="8" w:color="CCEEFF"/>
            </w:tcBorders>
            <w:shd w:val="clear" w:color="auto" w:fill="CCEEFF"/>
          </w:tcPr>
          <w:p>
            <w:pPr>
              <w:ind w:left="270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553,825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377,604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884,029</w:t>
            </w:r>
          </w:p>
        </w:tc>
        <w:tc>
          <w:tcPr>
            <w:tcW w:w="0" w:type="dxa"/>
            <w:vAlign w:val="bottom"/>
          </w:tcPr>
          <w:p>
            <w:pPr>
              <w:spacing w:after="0"/>
              <w:rPr>
                <w:sz w:val="1"/>
                <w:szCs w:val="1"/>
                <w:color w:val="auto"/>
              </w:rPr>
            </w:pPr>
          </w:p>
        </w:tc>
      </w:tr>
      <w:tr>
        <w:trPr>
          <w:trHeight w:val="218"/>
        </w:trPr>
        <w:tc>
          <w:tcPr>
            <w:tcW w:w="6140" w:type="dxa"/>
            <w:vAlign w:val="bottom"/>
          </w:tcPr>
          <w:p>
            <w:pPr>
              <w:ind w:left="240"/>
              <w:spacing w:after="0"/>
              <w:rPr>
                <w:sz w:val="20"/>
                <w:szCs w:val="20"/>
                <w:color w:val="auto"/>
              </w:rPr>
            </w:pPr>
            <w:r>
              <w:rPr>
                <w:rFonts w:ascii="Arial" w:cs="Arial" w:eastAsia="Arial" w:hAnsi="Arial"/>
                <w:sz w:val="16"/>
                <w:szCs w:val="16"/>
                <w:color w:val="auto"/>
              </w:rPr>
              <w:t>Accounts receivable - less allowance for doubtful accounts of $822, $1,172 and</w:t>
            </w:r>
          </w:p>
        </w:tc>
        <w:tc>
          <w:tcPr>
            <w:tcW w:w="22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10,791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140" w:type="dxa"/>
            <w:vAlign w:val="bottom"/>
          </w:tcPr>
          <w:p>
            <w:pPr>
              <w:ind w:left="240"/>
              <w:spacing w:after="0"/>
              <w:rPr>
                <w:sz w:val="20"/>
                <w:szCs w:val="20"/>
                <w:color w:val="auto"/>
              </w:rPr>
            </w:pPr>
            <w:r>
              <w:rPr>
                <w:rFonts w:ascii="Arial" w:cs="Arial" w:eastAsia="Arial" w:hAnsi="Arial"/>
                <w:sz w:val="16"/>
                <w:szCs w:val="16"/>
                <w:color w:val="auto"/>
              </w:rPr>
              <w:t>$3,323, respectively</w:t>
            </w:r>
          </w:p>
        </w:tc>
        <w:tc>
          <w:tcPr>
            <w:tcW w:w="22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17,306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9,181</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Merchandise inventories, net</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1,115,020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990,034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899,086</w:t>
            </w:r>
          </w:p>
        </w:tc>
        <w:tc>
          <w:tcPr>
            <w:tcW w:w="0" w:type="dxa"/>
            <w:vAlign w:val="bottom"/>
          </w:tcPr>
          <w:p>
            <w:pPr>
              <w:spacing w:after="0"/>
              <w:rPr>
                <w:sz w:val="1"/>
                <w:szCs w:val="1"/>
                <w:color w:val="auto"/>
              </w:rPr>
            </w:pPr>
          </w:p>
        </w:tc>
      </w:tr>
      <w:tr>
        <w:trPr>
          <w:trHeight w:val="233"/>
        </w:trPr>
        <w:tc>
          <w:tcPr>
            <w:tcW w:w="6140" w:type="dxa"/>
            <w:vAlign w:val="bottom"/>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39,050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28,313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30,495</w:t>
            </w:r>
          </w:p>
        </w:tc>
        <w:tc>
          <w:tcPr>
            <w:tcW w:w="0" w:type="dxa"/>
            <w:vAlign w:val="bottom"/>
          </w:tcPr>
          <w:p>
            <w:pPr>
              <w:spacing w:after="0"/>
              <w:rPr>
                <w:sz w:val="1"/>
                <w:szCs w:val="1"/>
                <w:color w:val="auto"/>
              </w:rPr>
            </w:pPr>
          </w:p>
        </w:tc>
      </w:tr>
      <w:tr>
        <w:trPr>
          <w:trHeight w:val="246"/>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Assets held for sale</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1,763</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0" w:type="dxa"/>
            <w:vAlign w:val="bottom"/>
          </w:tcPr>
          <w:p>
            <w:pPr>
              <w:spacing w:after="0"/>
              <w:rPr>
                <w:sz w:val="1"/>
                <w:szCs w:val="1"/>
                <w:color w:val="auto"/>
              </w:rPr>
            </w:pPr>
          </w:p>
        </w:tc>
      </w:tr>
      <w:tr>
        <w:trPr>
          <w:trHeight w:val="233"/>
        </w:trPr>
        <w:tc>
          <w:tcPr>
            <w:tcW w:w="6140" w:type="dxa"/>
            <w:vAlign w:val="bottom"/>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1,720,449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1,415,020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1,824,554</w:t>
            </w:r>
          </w:p>
        </w:tc>
        <w:tc>
          <w:tcPr>
            <w:tcW w:w="0" w:type="dxa"/>
            <w:vAlign w:val="bottom"/>
          </w:tcPr>
          <w:p>
            <w:pPr>
              <w:spacing w:after="0"/>
              <w:rPr>
                <w:sz w:val="1"/>
                <w:szCs w:val="1"/>
                <w:color w:val="auto"/>
              </w:rPr>
            </w:pPr>
          </w:p>
        </w:tc>
      </w:tr>
      <w:tr>
        <w:trPr>
          <w:trHeight w:val="226"/>
        </w:trPr>
        <w:tc>
          <w:tcPr>
            <w:tcW w:w="6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PROPERTY AND EQUIPMENT, NET</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362,784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378,260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396,559</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RIGHT-OF-USE ASSETS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1,105,272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1,143,699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1,171,736</w:t>
            </w:r>
          </w:p>
        </w:tc>
        <w:tc>
          <w:tcPr>
            <w:tcW w:w="0" w:type="dxa"/>
            <w:vAlign w:val="bottom"/>
          </w:tcPr>
          <w:p>
            <w:pPr>
              <w:spacing w:after="0"/>
              <w:rPr>
                <w:sz w:val="1"/>
                <w:szCs w:val="1"/>
                <w:color w:val="auto"/>
              </w:rPr>
            </w:pPr>
          </w:p>
        </w:tc>
      </w:tr>
      <w:tr>
        <w:trPr>
          <w:trHeight w:val="233"/>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TRADE NAME</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577,000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577,000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577,000</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GOODWILL</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861,920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861,920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861,920</w:t>
            </w:r>
          </w:p>
        </w:tc>
        <w:tc>
          <w:tcPr>
            <w:tcW w:w="0" w:type="dxa"/>
            <w:vAlign w:val="bottom"/>
          </w:tcPr>
          <w:p>
            <w:pPr>
              <w:spacing w:after="0"/>
              <w:rPr>
                <w:sz w:val="1"/>
                <w:szCs w:val="1"/>
                <w:color w:val="auto"/>
              </w:rPr>
            </w:pPr>
          </w:p>
        </w:tc>
      </w:tr>
      <w:tr>
        <w:trPr>
          <w:trHeight w:val="237"/>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6,602</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8,583</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11,079</w:t>
            </w:r>
          </w:p>
        </w:tc>
        <w:tc>
          <w:tcPr>
            <w:tcW w:w="0" w:type="dxa"/>
            <w:vAlign w:val="bottom"/>
          </w:tcPr>
          <w:p>
            <w:pPr>
              <w:spacing w:after="0"/>
              <w:rPr>
                <w:sz w:val="1"/>
                <w:szCs w:val="1"/>
                <w:color w:val="auto"/>
              </w:rPr>
            </w:pPr>
          </w:p>
        </w:tc>
      </w:tr>
      <w:tr>
        <w:trPr>
          <w:trHeight w:val="268"/>
        </w:trPr>
        <w:tc>
          <w:tcPr>
            <w:tcW w:w="6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4,634,027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4,384,482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4,842,848</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ind w:left="800"/>
              <w:spacing w:after="0"/>
              <w:rPr>
                <w:sz w:val="20"/>
                <w:szCs w:val="20"/>
                <w:color w:val="auto"/>
              </w:rPr>
            </w:pPr>
            <w:r>
              <w:rPr>
                <w:rFonts w:ascii="Arial" w:cs="Arial" w:eastAsia="Arial" w:hAnsi="Arial"/>
                <w:sz w:val="16"/>
                <w:szCs w:val="16"/>
                <w:b w:val="1"/>
                <w:bCs w:val="1"/>
                <w:color w:val="auto"/>
              </w:rPr>
              <w:t>LIABILITIES AND STOCKHOLDERS' / PARTNERS' EQUITY</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816,427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791,404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726,666</w:t>
            </w:r>
          </w:p>
        </w:tc>
        <w:tc>
          <w:tcPr>
            <w:tcW w:w="0" w:type="dxa"/>
            <w:vAlign w:val="bottom"/>
          </w:tcPr>
          <w:p>
            <w:pPr>
              <w:spacing w:after="0"/>
              <w:rPr>
                <w:sz w:val="1"/>
                <w:szCs w:val="1"/>
                <w:color w:val="auto"/>
              </w:rPr>
            </w:pPr>
          </w:p>
        </w:tc>
      </w:tr>
      <w:tr>
        <w:trPr>
          <w:trHeight w:val="233"/>
        </w:trPr>
        <w:tc>
          <w:tcPr>
            <w:tcW w:w="6140" w:type="dxa"/>
            <w:vAlign w:val="bottom"/>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277,157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291,351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245,072</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lease liabilities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84,981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80,338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76,485</w:t>
            </w:r>
          </w:p>
        </w:tc>
        <w:tc>
          <w:tcPr>
            <w:tcW w:w="0" w:type="dxa"/>
            <w:vAlign w:val="bottom"/>
          </w:tcPr>
          <w:p>
            <w:pPr>
              <w:spacing w:after="0"/>
              <w:rPr>
                <w:sz w:val="1"/>
                <w:szCs w:val="1"/>
                <w:color w:val="auto"/>
              </w:rPr>
            </w:pPr>
          </w:p>
        </w:tc>
      </w:tr>
      <w:tr>
        <w:trPr>
          <w:trHeight w:val="236"/>
        </w:trPr>
        <w:tc>
          <w:tcPr>
            <w:tcW w:w="61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Current maturities of long-term debt</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3,000</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18,250</w:t>
            </w: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1,181,565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1,167,093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1,066,473</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LONG-TERM DEBT, NET</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684,103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781,489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1,412,800</w:t>
            </w:r>
          </w:p>
        </w:tc>
        <w:tc>
          <w:tcPr>
            <w:tcW w:w="0" w:type="dxa"/>
            <w:vAlign w:val="bottom"/>
          </w:tcPr>
          <w:p>
            <w:pPr>
              <w:spacing w:after="0"/>
              <w:rPr>
                <w:sz w:val="1"/>
                <w:szCs w:val="1"/>
                <w:color w:val="auto"/>
              </w:rPr>
            </w:pPr>
          </w:p>
        </w:tc>
      </w:tr>
      <w:tr>
        <w:trPr>
          <w:trHeight w:val="233"/>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LONG-TERM LEASE LIABILITIES</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1,107,709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1,150,088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1,181,819</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TAX LIABILITIES, NET</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185,765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138,703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OTHER LONG-TERM LIABILITIES</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27,267</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35,126</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29,683</w:t>
            </w:r>
          </w:p>
        </w:tc>
        <w:tc>
          <w:tcPr>
            <w:tcW w:w="0" w:type="dxa"/>
            <w:vAlign w:val="bottom"/>
          </w:tcPr>
          <w:p>
            <w:pPr>
              <w:spacing w:after="0"/>
              <w:rPr>
                <w:sz w:val="1"/>
                <w:szCs w:val="1"/>
                <w:color w:val="auto"/>
              </w:rPr>
            </w:pPr>
          </w:p>
        </w:tc>
      </w:tr>
      <w:tr>
        <w:trPr>
          <w:trHeight w:val="236"/>
        </w:trPr>
        <w:tc>
          <w:tcPr>
            <w:tcW w:w="614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3,186,409</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3,272,499</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3,690,775</w:t>
            </w:r>
          </w:p>
        </w:tc>
        <w:tc>
          <w:tcPr>
            <w:tcW w:w="0" w:type="dxa"/>
            <w:vAlign w:val="bottom"/>
          </w:tcPr>
          <w:p>
            <w:pPr>
              <w:spacing w:after="0"/>
              <w:rPr>
                <w:sz w:val="1"/>
                <w:szCs w:val="1"/>
                <w:color w:val="auto"/>
              </w:rPr>
            </w:pPr>
          </w:p>
        </w:tc>
      </w:tr>
      <w:tr>
        <w:trPr>
          <w:trHeight w:val="203"/>
        </w:trPr>
        <w:tc>
          <w:tcPr>
            <w:tcW w:w="6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REDEEMABLE MEMBERSHIP UNITS</w:t>
            </w:r>
          </w:p>
        </w:tc>
        <w:tc>
          <w:tcPr>
            <w:tcW w:w="2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2,977</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STOCKHOLDERS' / PARTNERS' EQUITY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140" w:type="dxa"/>
            <w:vAlign w:val="bottom"/>
          </w:tcPr>
          <w:p>
            <w:pPr>
              <w:ind w:left="240"/>
              <w:spacing w:after="0"/>
              <w:rPr>
                <w:sz w:val="20"/>
                <w:szCs w:val="20"/>
                <w:color w:val="auto"/>
              </w:rPr>
            </w:pPr>
            <w:r>
              <w:rPr>
                <w:rFonts w:ascii="Arial" w:cs="Arial" w:eastAsia="Arial" w:hAnsi="Arial"/>
                <w:sz w:val="16"/>
                <w:szCs w:val="16"/>
                <w:color w:val="auto"/>
              </w:rPr>
              <w:t>Preferred stock, $0.01 par value, authorized 50,000,000 shares; none issued</w:t>
            </w:r>
          </w:p>
        </w:tc>
        <w:tc>
          <w:tcPr>
            <w:tcW w:w="220" w:type="dxa"/>
            <w:vAlign w:val="bottom"/>
          </w:tcPr>
          <w:p>
            <w:pPr>
              <w:spacing w:after="0"/>
              <w:rPr>
                <w:sz w:val="18"/>
                <w:szCs w:val="18"/>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140" w:type="dxa"/>
            <w:vAlign w:val="bottom"/>
          </w:tcPr>
          <w:p>
            <w:pPr>
              <w:ind w:left="240"/>
              <w:spacing w:after="0"/>
              <w:rPr>
                <w:sz w:val="20"/>
                <w:szCs w:val="20"/>
                <w:color w:val="auto"/>
              </w:rPr>
            </w:pPr>
            <w:r>
              <w:rPr>
                <w:rFonts w:ascii="Arial" w:cs="Arial" w:eastAsia="Arial" w:hAnsi="Arial"/>
                <w:sz w:val="16"/>
                <w:szCs w:val="16"/>
                <w:color w:val="auto"/>
              </w:rPr>
              <w:t>and outstanding</w:t>
            </w:r>
          </w:p>
        </w:tc>
        <w:tc>
          <w:tcPr>
            <w:tcW w:w="22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Partners' equity, membership units authorized, issued and outstanding were</w:t>
            </w:r>
          </w:p>
        </w:tc>
        <w:tc>
          <w:tcPr>
            <w:tcW w:w="220" w:type="dxa"/>
            <w:vAlign w:val="bottom"/>
            <w:shd w:val="clear" w:color="auto" w:fill="CCEEFF"/>
          </w:tcPr>
          <w:p>
            <w:pPr>
              <w:spacing w:after="0"/>
              <w:rPr>
                <w:sz w:val="19"/>
                <w:szCs w:val="19"/>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72,478,106 as of August 1, 2020</w:t>
            </w:r>
          </w:p>
        </w:tc>
        <w:tc>
          <w:tcPr>
            <w:tcW w:w="220" w:type="dxa"/>
            <w:vAlign w:val="bottom"/>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1,157,435</w:t>
            </w:r>
          </w:p>
        </w:tc>
        <w:tc>
          <w:tcPr>
            <w:tcW w:w="0" w:type="dxa"/>
            <w:vAlign w:val="bottom"/>
          </w:tcPr>
          <w:p>
            <w:pPr>
              <w:spacing w:after="0"/>
              <w:rPr>
                <w:sz w:val="1"/>
                <w:szCs w:val="1"/>
                <w:color w:val="auto"/>
              </w:rPr>
            </w:pPr>
          </w:p>
        </w:tc>
      </w:tr>
      <w:tr>
        <w:trPr>
          <w:trHeight w:val="218"/>
        </w:trPr>
        <w:tc>
          <w:tcPr>
            <w:tcW w:w="6140" w:type="dxa"/>
            <w:vAlign w:val="bottom"/>
          </w:tcPr>
          <w:p>
            <w:pPr>
              <w:ind w:left="240"/>
              <w:spacing w:after="0"/>
              <w:rPr>
                <w:sz w:val="20"/>
                <w:szCs w:val="20"/>
                <w:color w:val="auto"/>
              </w:rPr>
            </w:pPr>
            <w:r>
              <w:rPr>
                <w:rFonts w:ascii="Arial" w:cs="Arial" w:eastAsia="Arial" w:hAnsi="Arial"/>
                <w:sz w:val="16"/>
                <w:szCs w:val="16"/>
                <w:color w:val="auto"/>
              </w:rPr>
              <w:t>Common stock, $0.01 par value, authorized 300,000,000 shares; 92,883,540</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140" w:type="dxa"/>
            <w:vAlign w:val="bottom"/>
          </w:tcPr>
          <w:p>
            <w:pPr>
              <w:ind w:left="240"/>
              <w:spacing w:after="0"/>
              <w:rPr>
                <w:sz w:val="20"/>
                <w:szCs w:val="20"/>
                <w:color w:val="auto"/>
              </w:rPr>
            </w:pPr>
            <w:r>
              <w:rPr>
                <w:rFonts w:ascii="Arial" w:cs="Arial" w:eastAsia="Arial" w:hAnsi="Arial"/>
                <w:sz w:val="16"/>
                <w:szCs w:val="16"/>
                <w:color w:val="auto"/>
              </w:rPr>
              <w:t>and 91,114,475 issued and outstanding as of July 31, 2021 and January 30,</w:t>
            </w:r>
          </w:p>
        </w:tc>
        <w:tc>
          <w:tcPr>
            <w:tcW w:w="220" w:type="dxa"/>
            <w:vAlign w:val="bottom"/>
          </w:tcPr>
          <w:p>
            <w:pPr>
              <w:spacing w:after="0"/>
              <w:rPr>
                <w:sz w:val="16"/>
                <w:szCs w:val="16"/>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929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140" w:type="dxa"/>
            <w:vAlign w:val="bottom"/>
          </w:tcPr>
          <w:p>
            <w:pPr>
              <w:ind w:left="240"/>
              <w:spacing w:after="0"/>
              <w:rPr>
                <w:sz w:val="20"/>
                <w:szCs w:val="20"/>
                <w:color w:val="auto"/>
              </w:rPr>
            </w:pPr>
            <w:r>
              <w:rPr>
                <w:rFonts w:ascii="Arial" w:cs="Arial" w:eastAsia="Arial" w:hAnsi="Arial"/>
                <w:sz w:val="16"/>
                <w:szCs w:val="16"/>
                <w:color w:val="auto"/>
              </w:rPr>
              <w:t>2021 respectively.</w:t>
            </w:r>
          </w:p>
        </w:tc>
        <w:tc>
          <w:tcPr>
            <w:tcW w:w="22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187,746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127,228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6140" w:type="dxa"/>
            <w:vAlign w:val="bottom"/>
          </w:tcPr>
          <w:p>
            <w:pPr>
              <w:ind w:left="24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1,260,805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987,168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61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(1,862)</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(3,324)</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(8,339)</w:t>
            </w:r>
          </w:p>
        </w:tc>
        <w:tc>
          <w:tcPr>
            <w:tcW w:w="0" w:type="dxa"/>
            <w:vAlign w:val="bottom"/>
          </w:tcPr>
          <w:p>
            <w:pPr>
              <w:spacing w:after="0"/>
              <w:rPr>
                <w:sz w:val="1"/>
                <w:szCs w:val="1"/>
                <w:color w:val="auto"/>
              </w:rPr>
            </w:pPr>
          </w:p>
        </w:tc>
      </w:tr>
      <w:tr>
        <w:trPr>
          <w:trHeight w:val="236"/>
        </w:trPr>
        <w:tc>
          <w:tcPr>
            <w:tcW w:w="6140" w:type="dxa"/>
            <w:vAlign w:val="bottom"/>
            <w:tcBorders>
              <w:bottom w:val="single" w:sz="8" w:color="CCEEFF"/>
            </w:tcBorders>
          </w:tcPr>
          <w:p>
            <w:pPr>
              <w:ind w:left="460"/>
              <w:spacing w:after="0"/>
              <w:rPr>
                <w:sz w:val="20"/>
                <w:szCs w:val="20"/>
                <w:color w:val="auto"/>
              </w:rPr>
            </w:pPr>
            <w:r>
              <w:rPr>
                <w:rFonts w:ascii="Arial" w:cs="Arial" w:eastAsia="Arial" w:hAnsi="Arial"/>
                <w:sz w:val="16"/>
                <w:szCs w:val="16"/>
                <w:b w:val="1"/>
                <w:bCs w:val="1"/>
                <w:color w:val="auto"/>
              </w:rPr>
              <w:t>Stockholders' / partners' equity</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1,447,618</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1,111,983</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1,149,096</w:t>
            </w:r>
          </w:p>
        </w:tc>
        <w:tc>
          <w:tcPr>
            <w:tcW w:w="0" w:type="dxa"/>
            <w:vAlign w:val="bottom"/>
          </w:tcPr>
          <w:p>
            <w:pPr>
              <w:spacing w:after="0"/>
              <w:rPr>
                <w:sz w:val="1"/>
                <w:szCs w:val="1"/>
                <w:color w:val="auto"/>
              </w:rPr>
            </w:pPr>
          </w:p>
        </w:tc>
      </w:tr>
      <w:tr>
        <w:trPr>
          <w:trHeight w:val="268"/>
        </w:trPr>
        <w:tc>
          <w:tcPr>
            <w:tcW w:w="6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Total liabilities and stockholders' / partners' equity</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4,634,027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4,384,482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4,842,848</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172" w:hanging="172"/>
        <w:spacing w:after="0"/>
        <w:tabs>
          <w:tab w:leader="none" w:pos="172"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After effect of retrospective presentation of the Reorganization Transactions and Contribution Ratio</w:t>
      </w:r>
    </w:p>
    <w:p>
      <w:pPr>
        <w:sectPr>
          <w:pgSz w:w="11900" w:h="16838" w:orient="portrait"/>
          <w:cols w:equalWidth="0" w:num="1">
            <w:col w:w="11212"/>
          </w:cols>
          <w:pgMar w:left="328" w:top="765" w:right="359" w:bottom="1440" w:gutter="0" w:footer="0" w:header="0"/>
        </w:sectPr>
      </w:pPr>
    </w:p>
    <w:p>
      <w:pPr>
        <w:spacing w:after="0" w:line="78"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12"/>
          </w:cols>
          <w:pgMar w:left="328" w:top="765" w:right="3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Twenty-Six Weeks Ended</w:t>
            </w:r>
          </w:p>
        </w:tc>
        <w:tc>
          <w:tcPr>
            <w:tcW w:w="0" w:type="dxa"/>
            <w:vAlign w:val="bottom"/>
          </w:tcPr>
          <w:p>
            <w:pPr>
              <w:spacing w:after="0"/>
              <w:rPr>
                <w:sz w:val="1"/>
                <w:szCs w:val="1"/>
                <w:color w:val="auto"/>
              </w:rPr>
            </w:pPr>
          </w:p>
        </w:tc>
      </w:tr>
      <w:tr>
        <w:trPr>
          <w:trHeight w:val="236"/>
        </w:trPr>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July 31, 2021</w:t>
            </w:r>
          </w:p>
        </w:tc>
        <w:tc>
          <w:tcPr>
            <w:tcW w:w="220" w:type="dxa"/>
            <w:vAlign w:val="bottom"/>
          </w:tcPr>
          <w:p>
            <w:pPr>
              <w:spacing w:after="0"/>
              <w:rPr>
                <w:sz w:val="20"/>
                <w:szCs w:val="20"/>
                <w:color w:val="auto"/>
              </w:rPr>
            </w:pPr>
          </w:p>
        </w:tc>
        <w:tc>
          <w:tcPr>
            <w:tcW w:w="154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1, 2020</w:t>
            </w:r>
          </w:p>
        </w:tc>
        <w:tc>
          <w:tcPr>
            <w:tcW w:w="0" w:type="dxa"/>
            <w:vAlign w:val="bottom"/>
          </w:tcPr>
          <w:p>
            <w:pPr>
              <w:spacing w:after="0"/>
              <w:rPr>
                <w:sz w:val="1"/>
                <w:szCs w:val="1"/>
                <w:color w:val="auto"/>
              </w:rPr>
            </w:pPr>
          </w:p>
        </w:tc>
      </w:tr>
      <w:tr>
        <w:trPr>
          <w:trHeight w:val="230"/>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2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368,306</w:t>
            </w:r>
          </w:p>
        </w:tc>
        <w:tc>
          <w:tcPr>
            <w:tcW w:w="8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157,656</w:t>
            </w:r>
          </w:p>
        </w:tc>
        <w:tc>
          <w:tcPr>
            <w:tcW w:w="0" w:type="dxa"/>
            <w:vAlign w:val="bottom"/>
          </w:tcPr>
          <w:p>
            <w:pPr>
              <w:spacing w:after="0"/>
              <w:rPr>
                <w:sz w:val="1"/>
                <w:szCs w:val="1"/>
                <w:color w:val="auto"/>
              </w:rPr>
            </w:pPr>
          </w:p>
        </w:tc>
      </w:tr>
      <w:tr>
        <w:trPr>
          <w:trHeight w:val="253"/>
        </w:trPr>
        <w:tc>
          <w:tcPr>
            <w:tcW w:w="7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42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51,308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54,151</w:t>
            </w:r>
          </w:p>
        </w:tc>
        <w:tc>
          <w:tcPr>
            <w:tcW w:w="0" w:type="dxa"/>
            <w:vAlign w:val="bottom"/>
          </w:tcPr>
          <w:p>
            <w:pPr>
              <w:spacing w:after="0"/>
              <w:rPr>
                <w:sz w:val="1"/>
                <w:szCs w:val="1"/>
                <w:color w:val="auto"/>
              </w:rPr>
            </w:pPr>
          </w:p>
        </w:tc>
      </w:tr>
      <w:tr>
        <w:trPr>
          <w:trHeight w:val="253"/>
        </w:trPr>
        <w:tc>
          <w:tcPr>
            <w:tcW w:w="7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Non-cash lease expense</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14,049</w:t>
            </w:r>
          </w:p>
        </w:tc>
        <w:tc>
          <w:tcPr>
            <w:tcW w:w="0" w:type="dxa"/>
            <w:vAlign w:val="bottom"/>
          </w:tcPr>
          <w:p>
            <w:pPr>
              <w:spacing w:after="0"/>
              <w:rPr>
                <w:sz w:val="1"/>
                <w:szCs w:val="1"/>
                <w:color w:val="auto"/>
              </w:rPr>
            </w:pPr>
          </w:p>
        </w:tc>
      </w:tr>
      <w:tr>
        <w:trPr>
          <w:trHeight w:val="233"/>
        </w:trPr>
        <w:tc>
          <w:tcPr>
            <w:tcW w:w="7420" w:type="dxa"/>
            <w:vAlign w:val="bottom"/>
          </w:tcPr>
          <w:p>
            <w:pPr>
              <w:ind w:left="460"/>
              <w:spacing w:after="0"/>
              <w:rPr>
                <w:sz w:val="20"/>
                <w:szCs w:val="20"/>
                <w:color w:val="auto"/>
              </w:rPr>
            </w:pPr>
            <w:r>
              <w:rPr>
                <w:rFonts w:ascii="Arial" w:cs="Arial" w:eastAsia="Arial" w:hAnsi="Arial"/>
                <w:sz w:val="16"/>
                <w:szCs w:val="16"/>
                <w:color w:val="auto"/>
              </w:rPr>
              <w:t>Equity compensation</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33,205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3,690</w:t>
            </w:r>
          </w:p>
        </w:tc>
        <w:tc>
          <w:tcPr>
            <w:tcW w:w="0" w:type="dxa"/>
            <w:vAlign w:val="bottom"/>
          </w:tcPr>
          <w:p>
            <w:pPr>
              <w:spacing w:after="0"/>
              <w:rPr>
                <w:sz w:val="1"/>
                <w:szCs w:val="1"/>
                <w:color w:val="auto"/>
              </w:rPr>
            </w:pPr>
          </w:p>
        </w:tc>
      </w:tr>
      <w:tr>
        <w:trPr>
          <w:trHeight w:val="253"/>
        </w:trPr>
        <w:tc>
          <w:tcPr>
            <w:tcW w:w="7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terminated interest rate swaps, deferred loan and other costs</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3,521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w:t>
            </w:r>
          </w:p>
        </w:tc>
        <w:tc>
          <w:tcPr>
            <w:tcW w:w="0" w:type="dxa"/>
            <w:vAlign w:val="bottom"/>
          </w:tcPr>
          <w:p>
            <w:pPr>
              <w:spacing w:after="0"/>
              <w:rPr>
                <w:sz w:val="1"/>
                <w:szCs w:val="1"/>
                <w:color w:val="auto"/>
              </w:rPr>
            </w:pPr>
          </w:p>
        </w:tc>
      </w:tr>
      <w:tr>
        <w:trPr>
          <w:trHeight w:val="233"/>
        </w:trPr>
        <w:tc>
          <w:tcPr>
            <w:tcW w:w="7420" w:type="dxa"/>
            <w:vAlign w:val="bottom"/>
          </w:tcPr>
          <w:p>
            <w:pPr>
              <w:ind w:left="46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46,628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7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Non-cash (gain) loss on early retirement of debt, net</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(7,831)</w:t>
            </w:r>
          </w:p>
        </w:tc>
        <w:tc>
          <w:tcPr>
            <w:tcW w:w="0" w:type="dxa"/>
            <w:vAlign w:val="bottom"/>
          </w:tcPr>
          <w:p>
            <w:pPr>
              <w:spacing w:after="0"/>
              <w:rPr>
                <w:sz w:val="1"/>
                <w:szCs w:val="1"/>
                <w:color w:val="auto"/>
              </w:rPr>
            </w:pPr>
          </w:p>
        </w:tc>
      </w:tr>
      <w:tr>
        <w:trPr>
          <w:trHeight w:val="233"/>
        </w:trPr>
        <w:tc>
          <w:tcPr>
            <w:tcW w:w="7420" w:type="dxa"/>
            <w:vAlign w:val="bottom"/>
          </w:tcPr>
          <w:p>
            <w:pPr>
              <w:ind w:left="460"/>
              <w:spacing w:after="0"/>
              <w:rPr>
                <w:sz w:val="20"/>
                <w:szCs w:val="20"/>
                <w:color w:val="auto"/>
              </w:rPr>
            </w:pPr>
            <w:r>
              <w:rPr>
                <w:rFonts w:ascii="Arial" w:cs="Arial" w:eastAsia="Arial" w:hAnsi="Arial"/>
                <w:sz w:val="16"/>
                <w:szCs w:val="16"/>
                <w:color w:val="auto"/>
              </w:rPr>
              <w:t>Casualty loss</w:t>
            </w:r>
          </w:p>
        </w:tc>
        <w:tc>
          <w:tcPr>
            <w:tcW w:w="240" w:type="dxa"/>
            <w:vAlign w:val="bottom"/>
          </w:tcPr>
          <w:p>
            <w:pPr>
              <w:spacing w:after="0"/>
              <w:rPr>
                <w:sz w:val="20"/>
                <w:szCs w:val="20"/>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53"/>
        </w:trPr>
        <w:tc>
          <w:tcPr>
            <w:tcW w:w="7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Changes in assets and liabilities:</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420" w:type="dxa"/>
            <w:vAlign w:val="bottom"/>
          </w:tcPr>
          <w:p>
            <w:pPr>
              <w:ind w:left="6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6,515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4,819</w:t>
            </w:r>
          </w:p>
        </w:tc>
        <w:tc>
          <w:tcPr>
            <w:tcW w:w="0" w:type="dxa"/>
            <w:vAlign w:val="bottom"/>
          </w:tcPr>
          <w:p>
            <w:pPr>
              <w:spacing w:after="0"/>
              <w:rPr>
                <w:sz w:val="1"/>
                <w:szCs w:val="1"/>
                <w:color w:val="auto"/>
              </w:rPr>
            </w:pPr>
          </w:p>
        </w:tc>
      </w:tr>
      <w:tr>
        <w:trPr>
          <w:trHeight w:val="253"/>
        </w:trPr>
        <w:tc>
          <w:tcPr>
            <w:tcW w:w="7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Merchandise inventories, net</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(124,986)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200,647</w:t>
            </w:r>
          </w:p>
        </w:tc>
        <w:tc>
          <w:tcPr>
            <w:tcW w:w="0" w:type="dxa"/>
            <w:vAlign w:val="bottom"/>
          </w:tcPr>
          <w:p>
            <w:pPr>
              <w:spacing w:after="0"/>
              <w:rPr>
                <w:sz w:val="1"/>
                <w:szCs w:val="1"/>
                <w:color w:val="auto"/>
              </w:rPr>
            </w:pPr>
          </w:p>
        </w:tc>
      </w:tr>
      <w:tr>
        <w:trPr>
          <w:trHeight w:val="233"/>
        </w:trPr>
        <w:tc>
          <w:tcPr>
            <w:tcW w:w="7420" w:type="dxa"/>
            <w:vAlign w:val="bottom"/>
          </w:tcPr>
          <w:p>
            <w:pPr>
              <w:ind w:left="6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(10,737)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253"/>
        </w:trPr>
        <w:tc>
          <w:tcPr>
            <w:tcW w:w="7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noncurrent assets</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3"/>
        </w:trPr>
        <w:tc>
          <w:tcPr>
            <w:tcW w:w="7420" w:type="dxa"/>
            <w:vAlign w:val="bottom"/>
          </w:tcPr>
          <w:p>
            <w:pPr>
              <w:ind w:left="68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22,958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302,391</w:t>
            </w:r>
          </w:p>
        </w:tc>
        <w:tc>
          <w:tcPr>
            <w:tcW w:w="0" w:type="dxa"/>
            <w:vAlign w:val="bottom"/>
          </w:tcPr>
          <w:p>
            <w:pPr>
              <w:spacing w:after="0"/>
              <w:rPr>
                <w:sz w:val="1"/>
                <w:szCs w:val="1"/>
                <w:color w:val="auto"/>
              </w:rPr>
            </w:pPr>
          </w:p>
        </w:tc>
      </w:tr>
      <w:tr>
        <w:trPr>
          <w:trHeight w:val="253"/>
        </w:trPr>
        <w:tc>
          <w:tcPr>
            <w:tcW w:w="7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18,517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32,335</w:t>
            </w:r>
          </w:p>
        </w:tc>
        <w:tc>
          <w:tcPr>
            <w:tcW w:w="0" w:type="dxa"/>
            <w:vAlign w:val="bottom"/>
          </w:tcPr>
          <w:p>
            <w:pPr>
              <w:spacing w:after="0"/>
              <w:rPr>
                <w:sz w:val="1"/>
                <w:szCs w:val="1"/>
                <w:color w:val="auto"/>
              </w:rPr>
            </w:pPr>
          </w:p>
        </w:tc>
      </w:tr>
      <w:tr>
        <w:trPr>
          <w:trHeight w:val="233"/>
        </w:trPr>
        <w:tc>
          <w:tcPr>
            <w:tcW w:w="7420" w:type="dxa"/>
            <w:vAlign w:val="bottom"/>
          </w:tcPr>
          <w:p>
            <w:pPr>
              <w:ind w:left="68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(12,996)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7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11,568</w:t>
            </w:r>
          </w:p>
        </w:tc>
        <w:tc>
          <w:tcPr>
            <w:tcW w:w="0" w:type="dxa"/>
            <w:vAlign w:val="bottom"/>
          </w:tcPr>
          <w:p>
            <w:pPr>
              <w:spacing w:after="0"/>
              <w:rPr>
                <w:sz w:val="1"/>
                <w:szCs w:val="1"/>
                <w:color w:val="auto"/>
              </w:rPr>
            </w:pPr>
          </w:p>
        </w:tc>
      </w:tr>
      <w:tr>
        <w:trPr>
          <w:trHeight w:val="236"/>
        </w:trPr>
        <w:tc>
          <w:tcPr>
            <w:tcW w:w="742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405,674</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773,621</w:t>
            </w:r>
          </w:p>
        </w:tc>
        <w:tc>
          <w:tcPr>
            <w:tcW w:w="0" w:type="dxa"/>
            <w:vAlign w:val="bottom"/>
          </w:tcPr>
          <w:p>
            <w:pPr>
              <w:spacing w:after="0"/>
              <w:rPr>
                <w:sz w:val="1"/>
                <w:szCs w:val="1"/>
                <w:color w:val="auto"/>
              </w:rPr>
            </w:pPr>
          </w:p>
        </w:tc>
      </w:tr>
      <w:tr>
        <w:trPr>
          <w:trHeight w:val="203"/>
        </w:trPr>
        <w:tc>
          <w:tcPr>
            <w:tcW w:w="7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42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Capital expenditures</w:t>
            </w:r>
          </w:p>
        </w:tc>
        <w:tc>
          <w:tcPr>
            <w:tcW w:w="2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(33,767)</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(13,850)</w:t>
            </w:r>
          </w:p>
        </w:tc>
        <w:tc>
          <w:tcPr>
            <w:tcW w:w="0" w:type="dxa"/>
            <w:vAlign w:val="bottom"/>
          </w:tcPr>
          <w:p>
            <w:pPr>
              <w:spacing w:after="0"/>
              <w:rPr>
                <w:sz w:val="1"/>
                <w:szCs w:val="1"/>
                <w:color w:val="auto"/>
              </w:rPr>
            </w:pPr>
          </w:p>
        </w:tc>
      </w:tr>
      <w:tr>
        <w:trPr>
          <w:trHeight w:val="236"/>
        </w:trPr>
        <w:tc>
          <w:tcPr>
            <w:tcW w:w="742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(33,767)</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(13,850)</w:t>
            </w:r>
          </w:p>
        </w:tc>
        <w:tc>
          <w:tcPr>
            <w:tcW w:w="0" w:type="dxa"/>
            <w:vAlign w:val="bottom"/>
          </w:tcPr>
          <w:p>
            <w:pPr>
              <w:spacing w:after="0"/>
              <w:rPr>
                <w:sz w:val="1"/>
                <w:szCs w:val="1"/>
                <w:color w:val="auto"/>
              </w:rPr>
            </w:pPr>
          </w:p>
        </w:tc>
      </w:tr>
      <w:tr>
        <w:trPr>
          <w:trHeight w:val="203"/>
        </w:trPr>
        <w:tc>
          <w:tcPr>
            <w:tcW w:w="7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42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ABL Facility</w:t>
            </w:r>
          </w:p>
        </w:tc>
        <w:tc>
          <w:tcPr>
            <w:tcW w:w="2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33"/>
        </w:trPr>
        <w:tc>
          <w:tcPr>
            <w:tcW w:w="7420" w:type="dxa"/>
            <w:vAlign w:val="bottom"/>
          </w:tcPr>
          <w:p>
            <w:pPr>
              <w:ind w:left="240"/>
              <w:spacing w:after="0"/>
              <w:rPr>
                <w:sz w:val="20"/>
                <w:szCs w:val="20"/>
                <w:color w:val="auto"/>
              </w:rPr>
            </w:pPr>
            <w:r>
              <w:rPr>
                <w:rFonts w:ascii="Arial" w:cs="Arial" w:eastAsia="Arial" w:hAnsi="Arial"/>
                <w:sz w:val="16"/>
                <w:szCs w:val="16"/>
                <w:color w:val="auto"/>
              </w:rPr>
              <w:t>Repayment of ABL Facility</w:t>
            </w:r>
          </w:p>
        </w:tc>
        <w:tc>
          <w:tcPr>
            <w:tcW w:w="240" w:type="dxa"/>
            <w:vAlign w:val="bottom"/>
          </w:tcPr>
          <w:p>
            <w:pPr>
              <w:spacing w:after="0"/>
              <w:rPr>
                <w:sz w:val="20"/>
                <w:szCs w:val="20"/>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53"/>
        </w:trPr>
        <w:tc>
          <w:tcPr>
            <w:tcW w:w="7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Repayment of Term Loan</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(100,750)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(25,090)</w:t>
            </w:r>
          </w:p>
        </w:tc>
        <w:tc>
          <w:tcPr>
            <w:tcW w:w="0" w:type="dxa"/>
            <w:vAlign w:val="bottom"/>
          </w:tcPr>
          <w:p>
            <w:pPr>
              <w:spacing w:after="0"/>
              <w:rPr>
                <w:sz w:val="1"/>
                <w:szCs w:val="1"/>
                <w:color w:val="auto"/>
              </w:rPr>
            </w:pPr>
          </w:p>
        </w:tc>
      </w:tr>
      <w:tr>
        <w:trPr>
          <w:trHeight w:val="233"/>
        </w:trPr>
        <w:tc>
          <w:tcPr>
            <w:tcW w:w="7420" w:type="dxa"/>
            <w:vAlign w:val="bottom"/>
          </w:tcPr>
          <w:p>
            <w:pPr>
              <w:ind w:left="240"/>
              <w:spacing w:after="0"/>
              <w:rPr>
                <w:sz w:val="20"/>
                <w:szCs w:val="20"/>
                <w:color w:val="auto"/>
              </w:rPr>
            </w:pPr>
            <w:r>
              <w:rPr>
                <w:rFonts w:ascii="Arial" w:cs="Arial" w:eastAsia="Arial" w:hAnsi="Arial"/>
                <w:sz w:val="16"/>
                <w:szCs w:val="16"/>
                <w:color w:val="auto"/>
              </w:rPr>
              <w:t>Debt issuance fees</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(927)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7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Share-Based Award Payments</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(11,214)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420" w:type="dxa"/>
            <w:vAlign w:val="bottom"/>
          </w:tcPr>
          <w:p>
            <w:pPr>
              <w:ind w:left="240"/>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31,678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7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issuance of common stock under employee stock purchase program</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420" w:type="dxa"/>
            <w:vAlign w:val="bottom"/>
          </w:tcPr>
          <w:p>
            <w:pPr>
              <w:ind w:left="240"/>
              <w:spacing w:after="0"/>
              <w:rPr>
                <w:sz w:val="20"/>
                <w:szCs w:val="20"/>
                <w:color w:val="auto"/>
              </w:rPr>
            </w:pPr>
            <w:r>
              <w:rPr>
                <w:rFonts w:ascii="Arial" w:cs="Arial" w:eastAsia="Arial" w:hAnsi="Arial"/>
                <w:sz w:val="16"/>
                <w:szCs w:val="16"/>
                <w:color w:val="auto"/>
              </w:rPr>
              <w:t>Taxes paid related to net share settlement of equity awards</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(15,418)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7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Repurchase of common stock for retirement</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(100,000)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20" w:type="dxa"/>
            <w:vAlign w:val="bottom"/>
          </w:tcPr>
          <w:p>
            <w:pPr>
              <w:ind w:left="240"/>
              <w:spacing w:after="0"/>
              <w:rPr>
                <w:sz w:val="20"/>
                <w:szCs w:val="20"/>
                <w:color w:val="auto"/>
              </w:rPr>
            </w:pPr>
            <w:r>
              <w:rPr>
                <w:rFonts w:ascii="Arial" w:cs="Arial" w:eastAsia="Arial" w:hAnsi="Arial"/>
                <w:sz w:val="16"/>
                <w:szCs w:val="16"/>
                <w:color w:val="auto"/>
              </w:rPr>
              <w:t>Repurchase of Redeemable Membership Units</w:t>
            </w:r>
          </w:p>
        </w:tc>
        <w:tc>
          <w:tcPr>
            <w:tcW w:w="240" w:type="dxa"/>
            <w:vAlign w:val="bottom"/>
          </w:tcPr>
          <w:p>
            <w:pPr>
              <w:spacing w:after="0"/>
              <w:rPr>
                <w:sz w:val="20"/>
                <w:szCs w:val="20"/>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6"/>
        </w:trPr>
        <w:tc>
          <w:tcPr>
            <w:tcW w:w="742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(195,686)</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(25,127)</w:t>
            </w:r>
          </w:p>
        </w:tc>
        <w:tc>
          <w:tcPr>
            <w:tcW w:w="0" w:type="dxa"/>
            <w:vAlign w:val="bottom"/>
          </w:tcPr>
          <w:p>
            <w:pPr>
              <w:spacing w:after="0"/>
              <w:rPr>
                <w:sz w:val="1"/>
                <w:szCs w:val="1"/>
                <w:color w:val="auto"/>
              </w:rPr>
            </w:pPr>
          </w:p>
        </w:tc>
      </w:tr>
      <w:tr>
        <w:trPr>
          <w:trHeight w:val="203"/>
        </w:trPr>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176,221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734,644</w:t>
            </w: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377,604</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149,385</w:t>
            </w:r>
          </w:p>
        </w:tc>
        <w:tc>
          <w:tcPr>
            <w:tcW w:w="0" w:type="dxa"/>
            <w:vAlign w:val="bottom"/>
          </w:tcPr>
          <w:p>
            <w:pPr>
              <w:spacing w:after="0"/>
              <w:rPr>
                <w:sz w:val="1"/>
                <w:szCs w:val="1"/>
                <w:color w:val="auto"/>
              </w:rPr>
            </w:pPr>
          </w:p>
        </w:tc>
      </w:tr>
      <w:tr>
        <w:trPr>
          <w:trHeight w:val="26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553,825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884,029</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5460"/>
              <w:spacing w:after="0"/>
              <w:rPr>
                <w:sz w:val="20"/>
                <w:szCs w:val="20"/>
                <w:color w:val="auto"/>
              </w:rPr>
            </w:pPr>
            <w:r>
              <w:rPr>
                <w:rFonts w:ascii="Arial" w:cs="Arial" w:eastAsia="Arial" w:hAnsi="Arial"/>
                <w:sz w:val="14"/>
                <w:szCs w:val="14"/>
                <w:color w:val="auto"/>
              </w:rPr>
              <w:t>7</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1"/>
        </w:trPr>
        <w:tc>
          <w:tcPr>
            <w:tcW w:w="7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765" w:right="4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RECONCILIATIONS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define “Adjusted EBITDA” as net income (loss) before interest expense, net, income tax expense and depreciation, amortization and impairment, further adjusted to exclude consulting fees, private equity sponsor monitoring fees, equity compensation expense, (gain) loss on early extinguishment of debt, net, severance and executive transition costs, costs related to the COVID -19 pandemic, payroll taxes associated with the 2021 Vesting Event and other adjustments. We define “Adjusted EBIT” as net income (loss) before interest expense, net, and income tax expense, further adjusted to exclude consulting fees, private equity sponsor monitoring fees, equity compensation expense, (gain) loss on early extinguishment of debt, net, severance and executive transition costs, costs related to the COVID-19 pandemic, payroll taxes associated with the 2021 Vesting Event and other adjustments. We describe these adjustments reconciling net income (loss) to Adjusted EBITDA and Adjusted EBIT in the following table.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6"/>
                <w:szCs w:val="16"/>
                <w:b w:val="1"/>
                <w:bCs w:val="1"/>
                <w:color w:val="auto"/>
              </w:rPr>
              <w:t>Thirteen Weeks Ended</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6"/>
                <w:szCs w:val="16"/>
                <w:b w:val="1"/>
                <w:bCs w:val="1"/>
                <w:color w:val="auto"/>
              </w:rPr>
              <w:t>Twenty-Six Weeks Ended</w:t>
            </w:r>
          </w:p>
        </w:tc>
      </w:tr>
      <w:tr>
        <w:trPr>
          <w:trHeight w:val="236"/>
        </w:trPr>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July 31, 2021</w:t>
            </w:r>
          </w:p>
        </w:tc>
        <w:tc>
          <w:tcPr>
            <w:tcW w:w="18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1, 2020</w:t>
            </w:r>
          </w:p>
        </w:tc>
        <w:tc>
          <w:tcPr>
            <w:tcW w:w="22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July 31, 2021</w:t>
            </w:r>
          </w:p>
        </w:tc>
        <w:tc>
          <w:tcPr>
            <w:tcW w:w="160" w:type="dxa"/>
            <w:vAlign w:val="bottom"/>
          </w:tcPr>
          <w:p>
            <w:pPr>
              <w:spacing w:after="0"/>
              <w:rPr>
                <w:sz w:val="20"/>
                <w:szCs w:val="20"/>
                <w:color w:val="auto"/>
              </w:rPr>
            </w:pPr>
          </w:p>
        </w:tc>
        <w:tc>
          <w:tcPr>
            <w:tcW w:w="1440" w:type="dxa"/>
            <w:vAlign w:val="bottom"/>
          </w:tcPr>
          <w:p>
            <w:pPr>
              <w:jc w:val="right"/>
              <w:ind w:right="151"/>
              <w:spacing w:after="0"/>
              <w:rPr>
                <w:sz w:val="20"/>
                <w:szCs w:val="20"/>
                <w:color w:val="auto"/>
              </w:rPr>
            </w:pPr>
            <w:r>
              <w:rPr>
                <w:rFonts w:ascii="Arial" w:cs="Arial" w:eastAsia="Arial" w:hAnsi="Arial"/>
                <w:sz w:val="16"/>
                <w:szCs w:val="16"/>
                <w:b w:val="1"/>
                <w:bCs w:val="1"/>
                <w:color w:val="auto"/>
              </w:rPr>
              <w:t>August 1, 2020</w:t>
            </w:r>
          </w:p>
        </w:tc>
      </w:tr>
      <w:tr>
        <w:trPr>
          <w:trHeight w:val="250"/>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190,510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368,306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157,656</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12,157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23,566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26,706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48,088</w:t>
            </w: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50,387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97,513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26,010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26,704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51,308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54,151</w:t>
            </w: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Consulting fees (a)</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Private equity sponsor monitoring fee (b)</w:t>
            </w:r>
          </w:p>
        </w:tc>
        <w:tc>
          <w:tcPr>
            <w:tcW w:w="2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1,840</w:t>
            </w: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(c)</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27,331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33,205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3,690</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(Gain) Loss on early extinguishment of debt, net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2,239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(7,831)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2,239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(7,831)</w:t>
            </w: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and executive transition costs (d)</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Costs related to the COVID-19 pandemic (e)</w:t>
            </w:r>
          </w:p>
        </w:tc>
        <w:tc>
          <w:tcPr>
            <w:tcW w:w="20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10,987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17,632</w:t>
            </w: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Payroll taxes associated with the 2021 Vesting Event (f)</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15,418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15,418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Other (g)</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364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714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1,929</w:t>
            </w:r>
          </w:p>
        </w:tc>
      </w:tr>
      <w:tr>
        <w:trPr>
          <w:trHeight w:val="27"/>
        </w:trPr>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3"/>
        </w:trPr>
        <w:tc>
          <w:tcPr>
            <w:tcW w:w="4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324,416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229,645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595,409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282,902</w:t>
            </w:r>
          </w:p>
        </w:tc>
      </w:tr>
      <w:tr>
        <w:trPr>
          <w:trHeight w:val="237"/>
        </w:trPr>
        <w:tc>
          <w:tcPr>
            <w:tcW w:w="4580" w:type="dxa"/>
            <w:vAlign w:val="bottom"/>
          </w:tcPr>
          <w:p>
            <w:pPr>
              <w:ind w:left="20"/>
              <w:spacing w:after="0"/>
              <w:rPr>
                <w:sz w:val="20"/>
                <w:szCs w:val="20"/>
                <w:color w:val="auto"/>
              </w:rPr>
            </w:pPr>
            <w:r>
              <w:rPr>
                <w:rFonts w:ascii="Arial" w:cs="Arial" w:eastAsia="Arial" w:hAnsi="Arial"/>
                <w:sz w:val="18"/>
                <w:szCs w:val="18"/>
                <w:color w:val="auto"/>
              </w:rPr>
              <w:t>Less: Depreciation and amortization</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(26,010)</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(26,704)</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(51,308)</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(54,151)</w:t>
            </w:r>
          </w:p>
        </w:tc>
      </w:tr>
      <w:tr>
        <w:trPr>
          <w:trHeight w:val="27"/>
        </w:trPr>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1"/>
        </w:trPr>
        <w:tc>
          <w:tcPr>
            <w:tcW w:w="4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298,406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202,941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544,101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228,751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400" w:hanging="374"/>
        <w:spacing w:after="0"/>
        <w:tabs>
          <w:tab w:leader="none" w:pos="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outside consulting fees associated with our strategic cost savings and business optimization initiatives.</w:t>
      </w:r>
    </w:p>
    <w:p>
      <w:pPr>
        <w:spacing w:after="0" w:line="59" w:lineRule="exact"/>
        <w:rPr>
          <w:rFonts w:ascii="Arial" w:cs="Arial" w:eastAsia="Arial" w:hAnsi="Arial"/>
          <w:sz w:val="16"/>
          <w:szCs w:val="16"/>
          <w:color w:val="auto"/>
        </w:rPr>
      </w:pPr>
    </w:p>
    <w:p>
      <w:pPr>
        <w:ind w:left="400" w:right="20" w:hanging="374"/>
        <w:spacing w:after="0" w:line="260" w:lineRule="auto"/>
        <w:tabs>
          <w:tab w:leader="none" w:pos="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our contractual payments under a monitoring agreement ("Monitoring Agreement") with our private equity sponsor Kohlberg Kravis Roberts &amp; Co. L.P.</w:t>
      </w:r>
    </w:p>
    <w:p>
      <w:pPr>
        <w:spacing w:after="0" w:line="33" w:lineRule="exact"/>
        <w:rPr>
          <w:rFonts w:ascii="Arial" w:cs="Arial" w:eastAsia="Arial" w:hAnsi="Arial"/>
          <w:sz w:val="16"/>
          <w:szCs w:val="16"/>
          <w:color w:val="auto"/>
        </w:rPr>
      </w:pPr>
    </w:p>
    <w:p>
      <w:pPr>
        <w:ind w:left="400" w:right="20" w:hanging="374"/>
        <w:spacing w:after="0" w:line="260" w:lineRule="auto"/>
        <w:tabs>
          <w:tab w:leader="none" w:pos="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non-cash charges related to equity based compensation, which vary from period to period depending on certain factors such as the 2021 Vesting Event, timing and valuation of awards, achievement of performance targets and equity award forfeitures.</w:t>
      </w:r>
    </w:p>
    <w:p>
      <w:pPr>
        <w:spacing w:after="0" w:line="33" w:lineRule="exact"/>
        <w:rPr>
          <w:rFonts w:ascii="Arial" w:cs="Arial" w:eastAsia="Arial" w:hAnsi="Arial"/>
          <w:sz w:val="16"/>
          <w:szCs w:val="16"/>
          <w:color w:val="auto"/>
        </w:rPr>
      </w:pPr>
    </w:p>
    <w:p>
      <w:pPr>
        <w:ind w:left="400" w:hanging="374"/>
        <w:spacing w:after="0"/>
        <w:tabs>
          <w:tab w:leader="none" w:pos="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severance costs associated with executive leadership changes and enterprise-wide organizational changes.</w:t>
      </w:r>
    </w:p>
    <w:p>
      <w:pPr>
        <w:spacing w:after="0" w:line="59" w:lineRule="exact"/>
        <w:rPr>
          <w:rFonts w:ascii="Arial" w:cs="Arial" w:eastAsia="Arial" w:hAnsi="Arial"/>
          <w:sz w:val="16"/>
          <w:szCs w:val="16"/>
          <w:color w:val="auto"/>
        </w:rPr>
      </w:pPr>
    </w:p>
    <w:p>
      <w:pPr>
        <w:jc w:val="both"/>
        <w:ind w:left="400" w:right="20" w:hanging="374"/>
        <w:spacing w:after="0" w:line="251" w:lineRule="auto"/>
        <w:tabs>
          <w:tab w:leader="none" w:pos="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costs incurred during the thirteen and twenty-six weeks ended August 1,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(f)</w:t>
      </w:r>
    </w:p>
    <w:p>
      <w:pPr>
        <w:ind w:left="400"/>
        <w:spacing w:after="0"/>
        <w:rPr>
          <w:sz w:val="20"/>
          <w:szCs w:val="20"/>
          <w:color w:val="auto"/>
        </w:rPr>
      </w:pPr>
      <w:r>
        <w:rPr>
          <w:rFonts w:ascii="Arial" w:cs="Arial" w:eastAsia="Arial" w:hAnsi="Arial"/>
          <w:sz w:val="16"/>
          <w:szCs w:val="16"/>
          <w:color w:val="auto"/>
        </w:rPr>
        <w:t>Represents cash expenses related to taxes on equity-based compensation resulting from the 2021 Vesting Event.</w:t>
      </w:r>
    </w:p>
    <w:p>
      <w:pPr>
        <w:spacing w:after="0" w:line="32" w:lineRule="exact"/>
        <w:rPr>
          <w:sz w:val="20"/>
          <w:szCs w:val="20"/>
          <w:color w:val="auto"/>
        </w:rPr>
      </w:pPr>
    </w:p>
    <w:p>
      <w:pPr>
        <w:jc w:val="both"/>
        <w:ind w:left="400" w:right="20" w:hanging="374"/>
        <w:spacing w:after="0" w:line="221" w:lineRule="auto"/>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adjustments include (representing deductions or additions to Adjusted EBITDA and Adjusted EBIT) amounts that management believes are not representative of our operating performance, including investment income, installation costs for energy savings associated with our profitability initiatives, legal fees associated with our distribution and the omnibus incentive plan, store exit costs and other costs associated with strategic cost savings and business optimization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0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Adjusted Net Income, Pro Forma Adjusted Net Income and Pro Forma Adjusted Earnings Per Share</w:t>
      </w:r>
    </w:p>
    <w:p>
      <w:pPr>
        <w:spacing w:after="0" w:line="250"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6"/>
          <w:szCs w:val="16"/>
          <w:color w:val="auto"/>
        </w:rPr>
        <w:t>We define “Adjusted Net Income (Loss)” as net income (loss), plus consulting fees, private equity sponsor monitoring fees, equity compensation expense, (gain) loss on early extinguishment of debt, net, severance and executive transition costs, costs related to the COVID-19 pandemic, payroll taxes associated with the 2021 Vesting Event and other adjustments, less the tax effect of these adjustments. We define “Pro Forma Adjusted Net Income (Loss)” as Adjusted Net Income (Loss) less the retroactive tax effect of Adjusted Net Income at our estimated effective tax rate of approximately 25% for periods prior to October 1, 2020, the effective date of our conversion to a C-Corporation. We define “Pro Forma Adjusted Earnings per Common Share, Basic” as Pro Forma Adjusted Net Income divided by the basic weighted average common shares outstanding during the period and “Pro Forma Adjusted Earnings per Common Share, Diluted” as Pro Forma Adjusted Net Income divided by the diluted weighted average common shares outstanding during the period. We describe these adjustments reconciling net income (loss) to Adjusted Net Income (Loss), Pro Forma Adjusted Net Income (Loss), and Pro Forma Adjusted Earnings Per Share in the following table.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Thirteen Weeks Ended</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Twenty-Six Weeks Ended</w:t>
            </w:r>
          </w:p>
        </w:tc>
      </w:tr>
      <w:tr>
        <w:trPr>
          <w:trHeight w:val="237"/>
        </w:trPr>
        <w:tc>
          <w:tcPr>
            <w:tcW w:w="5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July 31, 2021</w:t>
            </w: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August 1, 2020</w:t>
            </w: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July 31, 2021</w:t>
            </w:r>
          </w:p>
        </w:tc>
        <w:tc>
          <w:tcPr>
            <w:tcW w:w="1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August 1, 2020</w:t>
            </w:r>
          </w:p>
        </w:tc>
      </w:tr>
      <w:tr>
        <w:trPr>
          <w:trHeight w:val="243"/>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190,510</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167,676</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368,306</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157,656</w:t>
            </w:r>
          </w:p>
        </w:tc>
      </w:tr>
      <w:tr>
        <w:trPr>
          <w:trHeight w:val="233"/>
        </w:trPr>
        <w:tc>
          <w:tcPr>
            <w:tcW w:w="5000" w:type="dxa"/>
            <w:vAlign w:val="bottom"/>
          </w:tcPr>
          <w:p>
            <w:pPr>
              <w:ind w:left="20"/>
              <w:spacing w:after="0"/>
              <w:rPr>
                <w:sz w:val="20"/>
                <w:szCs w:val="20"/>
                <w:color w:val="auto"/>
              </w:rPr>
            </w:pPr>
            <w:r>
              <w:rPr>
                <w:rFonts w:ascii="Arial" w:cs="Arial" w:eastAsia="Arial" w:hAnsi="Arial"/>
                <w:sz w:val="16"/>
                <w:szCs w:val="16"/>
                <w:color w:val="auto"/>
              </w:rPr>
              <w:t>Consulting fees (a)</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53"/>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equity sponsor monitoring fee (b)</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w:t>
            </w:r>
          </w:p>
        </w:tc>
      </w:tr>
      <w:tr>
        <w:trPr>
          <w:trHeight w:val="233"/>
        </w:trPr>
        <w:tc>
          <w:tcPr>
            <w:tcW w:w="5000" w:type="dxa"/>
            <w:vAlign w:val="bottom"/>
          </w:tcPr>
          <w:p>
            <w:pPr>
              <w:ind w:left="20"/>
              <w:spacing w:after="0"/>
              <w:rPr>
                <w:sz w:val="20"/>
                <w:szCs w:val="20"/>
                <w:color w:val="auto"/>
              </w:rPr>
            </w:pPr>
            <w:r>
              <w:rPr>
                <w:rFonts w:ascii="Arial" w:cs="Arial" w:eastAsia="Arial" w:hAnsi="Arial"/>
                <w:sz w:val="16"/>
                <w:szCs w:val="16"/>
                <w:color w:val="auto"/>
              </w:rPr>
              <w:t>Equity compensation (c)</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27,331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1,581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33,205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3,690</w:t>
            </w:r>
          </w:p>
        </w:tc>
      </w:tr>
      <w:tr>
        <w:trPr>
          <w:trHeight w:val="253"/>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on early extinguishment of debt, net</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(7,831)</w:t>
            </w:r>
          </w:p>
        </w:tc>
      </w:tr>
      <w:tr>
        <w:trPr>
          <w:trHeight w:val="233"/>
        </w:trPr>
        <w:tc>
          <w:tcPr>
            <w:tcW w:w="5000" w:type="dxa"/>
            <w:vAlign w:val="bottom"/>
          </w:tcPr>
          <w:p>
            <w:pPr>
              <w:ind w:left="20"/>
              <w:spacing w:after="0"/>
              <w:rPr>
                <w:sz w:val="20"/>
                <w:szCs w:val="20"/>
                <w:color w:val="auto"/>
              </w:rPr>
            </w:pPr>
            <w:r>
              <w:rPr>
                <w:rFonts w:ascii="Arial" w:cs="Arial" w:eastAsia="Arial" w:hAnsi="Arial"/>
                <w:sz w:val="16"/>
                <w:szCs w:val="16"/>
                <w:color w:val="auto"/>
              </w:rPr>
              <w:t>Severance and executive transition costs (d)</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4,137</w:t>
            </w:r>
          </w:p>
        </w:tc>
      </w:tr>
      <w:tr>
        <w:trPr>
          <w:trHeight w:val="253"/>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related to the COVID-19 pandemic (e)</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17,632</w:t>
            </w:r>
          </w:p>
        </w:tc>
      </w:tr>
      <w:tr>
        <w:trPr>
          <w:trHeight w:val="233"/>
        </w:trPr>
        <w:tc>
          <w:tcPr>
            <w:tcW w:w="5000" w:type="dxa"/>
            <w:vAlign w:val="bottom"/>
          </w:tcPr>
          <w:p>
            <w:pPr>
              <w:ind w:left="20"/>
              <w:spacing w:after="0"/>
              <w:rPr>
                <w:sz w:val="20"/>
                <w:szCs w:val="20"/>
                <w:color w:val="auto"/>
              </w:rPr>
            </w:pPr>
            <w:r>
              <w:rPr>
                <w:rFonts w:ascii="Arial" w:cs="Arial" w:eastAsia="Arial" w:hAnsi="Arial"/>
                <w:sz w:val="16"/>
                <w:szCs w:val="16"/>
                <w:color w:val="auto"/>
              </w:rPr>
              <w:t>Payroll taxes associated with the 2021 Vesting Event (f)</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15,418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15,418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w:t>
            </w:r>
          </w:p>
        </w:tc>
      </w:tr>
      <w:tr>
        <w:trPr>
          <w:trHeight w:val="237"/>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Tax effects of these adjustments (h)</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(11,312)</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(12,801)</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43"/>
        </w:trPr>
        <w:tc>
          <w:tcPr>
            <w:tcW w:w="5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Adjusted Net Income</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224,550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178,351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407,081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179,106</w:t>
            </w:r>
          </w:p>
        </w:tc>
      </w:tr>
      <w:tr>
        <w:trPr>
          <w:trHeight w:val="237"/>
        </w:trPr>
        <w:tc>
          <w:tcPr>
            <w:tcW w:w="5000" w:type="dxa"/>
            <w:vAlign w:val="bottom"/>
          </w:tcPr>
          <w:p>
            <w:pPr>
              <w:ind w:left="20"/>
              <w:spacing w:after="0"/>
              <w:rPr>
                <w:sz w:val="20"/>
                <w:szCs w:val="20"/>
                <w:color w:val="auto"/>
              </w:rPr>
            </w:pPr>
            <w:r>
              <w:rPr>
                <w:rFonts w:ascii="Arial" w:cs="Arial" w:eastAsia="Arial" w:hAnsi="Arial"/>
                <w:sz w:val="16"/>
                <w:szCs w:val="16"/>
                <w:color w:val="auto"/>
              </w:rPr>
              <w:t>Estimated tax effect of change to C-Corporation status (i)</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(43,947)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(44,262)</w:t>
            </w:r>
          </w:p>
        </w:tc>
      </w:tr>
      <w:tr>
        <w:trPr>
          <w:trHeight w:val="268"/>
        </w:trPr>
        <w:tc>
          <w:tcPr>
            <w:tcW w:w="50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Pro Forma Adjusted 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224,550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134,404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407,081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134,844</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5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 Forma Adjusted Earnings per Share</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3"/>
        </w:trPr>
        <w:tc>
          <w:tcPr>
            <w:tcW w:w="500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2.42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1.85</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4.41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53"/>
        </w:trPr>
        <w:tc>
          <w:tcPr>
            <w:tcW w:w="5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33"/>
        </w:trPr>
        <w:tc>
          <w:tcPr>
            <w:tcW w:w="500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5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Basic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92,627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72,478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92,357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72,476</w:t>
            </w:r>
          </w:p>
        </w:tc>
      </w:tr>
      <w:tr>
        <w:trPr>
          <w:trHeight w:val="269"/>
        </w:trPr>
        <w:tc>
          <w:tcPr>
            <w:tcW w:w="5000" w:type="dxa"/>
            <w:vAlign w:val="bottom"/>
          </w:tcPr>
          <w:p>
            <w:pPr>
              <w:ind w:left="240"/>
              <w:spacing w:after="0"/>
              <w:rPr>
                <w:sz w:val="20"/>
                <w:szCs w:val="20"/>
                <w:color w:val="auto"/>
              </w:rPr>
            </w:pPr>
            <w:r>
              <w:rPr>
                <w:rFonts w:ascii="Arial" w:cs="Arial" w:eastAsia="Arial" w:hAnsi="Arial"/>
                <w:sz w:val="16"/>
                <w:szCs w:val="16"/>
                <w:color w:val="auto"/>
              </w:rPr>
              <w:t xml:space="preserve">Diluted </w:t>
            </w:r>
            <w:r>
              <w:rPr>
                <w:rFonts w:ascii="Arial" w:cs="Arial" w:eastAsia="Arial" w:hAnsi="Arial"/>
                <w:sz w:val="21"/>
                <w:szCs w:val="21"/>
                <w:color w:val="auto"/>
                <w:vertAlign w:val="superscript"/>
              </w:rPr>
              <w:t>(1)</w:t>
            </w: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95,891</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74,439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96,391</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74,487</w:t>
            </w:r>
          </w:p>
        </w:tc>
      </w:tr>
    </w:tbl>
    <w:p>
      <w:pPr>
        <w:spacing w:after="0" w:line="33" w:lineRule="exact"/>
        <w:rPr>
          <w:sz w:val="20"/>
          <w:szCs w:val="20"/>
          <w:color w:val="auto"/>
        </w:rPr>
      </w:pPr>
    </w:p>
    <w:p>
      <w:pPr>
        <w:ind w:left="400" w:hanging="160"/>
        <w:spacing w:after="0"/>
        <w:tabs>
          <w:tab w:leader="none" w:pos="400" w:val="left"/>
        </w:tabs>
        <w:numPr>
          <w:ilvl w:val="1"/>
          <w:numId w:val="7"/>
        </w:numPr>
        <w:rPr>
          <w:rFonts w:ascii="Arial" w:cs="Arial" w:eastAsia="Arial" w:hAnsi="Arial"/>
          <w:sz w:val="19"/>
          <w:szCs w:val="19"/>
          <w:color w:val="auto"/>
          <w:vertAlign w:val="superscript"/>
        </w:rPr>
      </w:pPr>
      <w:r>
        <w:rPr>
          <w:rFonts w:ascii="Arial" w:cs="Arial" w:eastAsia="Arial" w:hAnsi="Arial"/>
          <w:sz w:val="15"/>
          <w:szCs w:val="15"/>
          <w:color w:val="auto"/>
        </w:rPr>
        <w:t>After effect of retrospective presentation of the Reorganization Transactions and Contribution Ratio</w:t>
      </w:r>
    </w:p>
    <w:p>
      <w:pPr>
        <w:spacing w:after="0" w:line="102" w:lineRule="exact"/>
        <w:rPr>
          <w:rFonts w:ascii="Arial" w:cs="Arial" w:eastAsia="Arial" w:hAnsi="Arial"/>
          <w:sz w:val="19"/>
          <w:szCs w:val="19"/>
          <w:color w:val="auto"/>
          <w:vertAlign w:val="superscript"/>
        </w:rPr>
      </w:pPr>
    </w:p>
    <w:p>
      <w:pPr>
        <w:ind w:left="400" w:hanging="374"/>
        <w:spacing w:after="0"/>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outside consulting fees associated with our strategic cost savings and business optimization initiatives.</w:t>
      </w:r>
    </w:p>
    <w:p>
      <w:pPr>
        <w:spacing w:after="0" w:line="59" w:lineRule="exact"/>
        <w:rPr>
          <w:rFonts w:ascii="Arial" w:cs="Arial" w:eastAsia="Arial" w:hAnsi="Arial"/>
          <w:sz w:val="16"/>
          <w:szCs w:val="16"/>
          <w:color w:val="auto"/>
        </w:rPr>
      </w:pPr>
    </w:p>
    <w:p>
      <w:pPr>
        <w:ind w:left="400" w:hanging="374"/>
        <w:spacing w:after="0"/>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our contractual payments under our Monitoring Agreement with our private equity sponsor Kohlberg Kravis Roberts &amp; Co. L.P.</w:t>
      </w:r>
    </w:p>
    <w:p>
      <w:pPr>
        <w:spacing w:after="0" w:line="59" w:lineRule="exact"/>
        <w:rPr>
          <w:rFonts w:ascii="Arial" w:cs="Arial" w:eastAsia="Arial" w:hAnsi="Arial"/>
          <w:sz w:val="16"/>
          <w:szCs w:val="16"/>
          <w:color w:val="auto"/>
        </w:rPr>
      </w:pPr>
    </w:p>
    <w:p>
      <w:pPr>
        <w:ind w:left="400" w:right="20" w:hanging="374"/>
        <w:spacing w:after="0" w:line="260" w:lineRule="auto"/>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non-cash charges related to equity based compensation, which vary from period to period depending on certain factors such as the 2021 Vesting Event, timing and valuation of awards, achievement of performance targets and equity award forfeitures.</w:t>
      </w:r>
    </w:p>
    <w:p>
      <w:pPr>
        <w:spacing w:after="0" w:line="33" w:lineRule="exact"/>
        <w:rPr>
          <w:rFonts w:ascii="Arial" w:cs="Arial" w:eastAsia="Arial" w:hAnsi="Arial"/>
          <w:sz w:val="16"/>
          <w:szCs w:val="16"/>
          <w:color w:val="auto"/>
        </w:rPr>
      </w:pPr>
    </w:p>
    <w:p>
      <w:pPr>
        <w:ind w:left="400" w:hanging="374"/>
        <w:spacing w:after="0"/>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severance costs associated with executive leadership changes and enterprise-wide organizational changes.</w:t>
      </w:r>
    </w:p>
    <w:p>
      <w:pPr>
        <w:spacing w:after="0" w:line="59" w:lineRule="exact"/>
        <w:rPr>
          <w:rFonts w:ascii="Arial" w:cs="Arial" w:eastAsia="Arial" w:hAnsi="Arial"/>
          <w:sz w:val="16"/>
          <w:szCs w:val="16"/>
          <w:color w:val="auto"/>
        </w:rPr>
      </w:pPr>
    </w:p>
    <w:p>
      <w:pPr>
        <w:jc w:val="both"/>
        <w:ind w:left="400" w:right="20" w:hanging="374"/>
        <w:spacing w:after="0" w:line="251" w:lineRule="auto"/>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costs incurred during the thirteen and twenty-six weeks ended August 1,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spacing w:after="0" w:line="40" w:lineRule="exact"/>
        <w:rPr>
          <w:rFonts w:ascii="Arial" w:cs="Arial" w:eastAsia="Arial" w:hAnsi="Arial"/>
          <w:sz w:val="16"/>
          <w:szCs w:val="16"/>
          <w:color w:val="auto"/>
        </w:rPr>
      </w:pPr>
    </w:p>
    <w:p>
      <w:pPr>
        <w:ind w:left="400" w:hanging="374"/>
        <w:spacing w:after="0"/>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cash expenses related to taxes on equity-based compensation resulting from the 2021 Vesting Event.</w:t>
      </w:r>
    </w:p>
    <w:p>
      <w:pPr>
        <w:spacing w:after="0" w:line="59" w:lineRule="exact"/>
        <w:rPr>
          <w:rFonts w:ascii="Arial" w:cs="Arial" w:eastAsia="Arial" w:hAnsi="Arial"/>
          <w:sz w:val="16"/>
          <w:szCs w:val="16"/>
          <w:color w:val="auto"/>
        </w:rPr>
      </w:pPr>
    </w:p>
    <w:p>
      <w:pPr>
        <w:jc w:val="both"/>
        <w:ind w:left="400" w:right="20" w:hanging="374"/>
        <w:spacing w:after="0" w:line="251" w:lineRule="auto"/>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adjustments include (representing deductions or additions to Adjusted Net Income) amounts that management believes are not representative of our operating performance, including investment income, installation costs for energy savings associated with our profitability initiatives, legal fees associated with a distribution to NAHC's members and our omnibus incentive plan, store exit costs and other costs associated with strategic cost savings and business optimization initiatives.</w:t>
      </w:r>
    </w:p>
    <w:p>
      <w:pPr>
        <w:spacing w:after="0" w:line="40" w:lineRule="exact"/>
        <w:rPr>
          <w:rFonts w:ascii="Arial" w:cs="Arial" w:eastAsia="Arial" w:hAnsi="Arial"/>
          <w:sz w:val="16"/>
          <w:szCs w:val="16"/>
          <w:color w:val="auto"/>
        </w:rPr>
      </w:pPr>
    </w:p>
    <w:p>
      <w:pPr>
        <w:jc w:val="both"/>
        <w:ind w:left="400" w:right="20" w:hanging="374"/>
        <w:spacing w:after="0" w:line="253" w:lineRule="auto"/>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thirteen and twenty-six weeks ended July 31, 2021, this represents the tax effect of the total adjustments made to arrive at Adjusted Net Income at the estimated effective tax rate for the fiscal year ended January 31, 2022. For thirteen and twenty-six weeks ended August 1, 2020, this represents the tax effect of the total adjustments made to arrive at Adjusted Net Income at our historical tax rate.</w:t>
      </w:r>
    </w:p>
    <w:p>
      <w:pPr>
        <w:spacing w:after="0" w:line="39" w:lineRule="exact"/>
        <w:rPr>
          <w:rFonts w:ascii="Arial" w:cs="Arial" w:eastAsia="Arial" w:hAnsi="Arial"/>
          <w:sz w:val="16"/>
          <w:szCs w:val="16"/>
          <w:color w:val="auto"/>
        </w:rPr>
      </w:pPr>
    </w:p>
    <w:p>
      <w:pPr>
        <w:ind w:left="400" w:right="20" w:hanging="374"/>
        <w:spacing w:after="0" w:line="260" w:lineRule="auto"/>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retrospective tax effect of Adjusted Net Income at our estimated effective tax rate of approximately 25% for periods prior to October 1, 2020, the effective date of our conversion to a C-Corporation, upon which we became subject to federal income taxes.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98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define “Adjusted Free Cash Flow” as net cash provided by (used in) operating activities less net cash provided by (used in) investing activities. We describe these adjustments reconciling net cash provided by operating activities to Adjusted Free Cash Flow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gridSpan w:val="5"/>
          </w:tcPr>
          <w:p>
            <w:pPr>
              <w:ind w:left="600"/>
              <w:spacing w:after="0"/>
              <w:rPr>
                <w:sz w:val="20"/>
                <w:szCs w:val="20"/>
                <w:color w:val="auto"/>
              </w:rPr>
            </w:pPr>
            <w:r>
              <w:rPr>
                <w:rFonts w:ascii="Arial" w:cs="Arial" w:eastAsia="Arial" w:hAnsi="Arial"/>
                <w:sz w:val="18"/>
                <w:szCs w:val="18"/>
                <w:b w:val="1"/>
                <w:bCs w:val="1"/>
                <w:color w:val="auto"/>
              </w:rPr>
              <w:t>Thirteen Weeks Ended</w:t>
            </w:r>
          </w:p>
        </w:tc>
        <w:tc>
          <w:tcPr>
            <w:tcW w:w="180" w:type="dxa"/>
            <w:vAlign w:val="bottom"/>
          </w:tcPr>
          <w:p>
            <w:pPr>
              <w:spacing w:after="0"/>
              <w:rPr>
                <w:sz w:val="20"/>
                <w:szCs w:val="20"/>
                <w:color w:val="auto"/>
              </w:rPr>
            </w:pPr>
          </w:p>
        </w:tc>
        <w:tc>
          <w:tcPr>
            <w:tcW w:w="31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Twenty-Six Weeks Ended</w:t>
            </w:r>
          </w:p>
        </w:tc>
      </w:tr>
      <w:tr>
        <w:trPr>
          <w:trHeight w:val="27"/>
        </w:trPr>
        <w:tc>
          <w:tcPr>
            <w:tcW w:w="4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31, 2021</w:t>
            </w:r>
          </w:p>
        </w:tc>
        <w:tc>
          <w:tcPr>
            <w:tcW w:w="18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August 1, 2020</w:t>
            </w:r>
          </w:p>
        </w:tc>
        <w:tc>
          <w:tcPr>
            <w:tcW w:w="18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July 31, 2021</w:t>
            </w:r>
          </w:p>
        </w:tc>
        <w:tc>
          <w:tcPr>
            <w:tcW w:w="140" w:type="dxa"/>
            <w:vAlign w:val="bottom"/>
          </w:tcPr>
          <w:p>
            <w:pPr>
              <w:spacing w:after="0"/>
              <w:rPr>
                <w:sz w:val="20"/>
                <w:szCs w:val="20"/>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rPr>
              <w:t>August 1, 2020</w:t>
            </w:r>
          </w:p>
        </w:tc>
      </w:tr>
      <w:tr>
        <w:trPr>
          <w:trHeight w:val="27"/>
        </w:trPr>
        <w:tc>
          <w:tcPr>
            <w:tcW w:w="4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center"/>
              <w:ind w:left="633"/>
              <w:spacing w:after="0"/>
              <w:rPr>
                <w:sz w:val="20"/>
                <w:szCs w:val="20"/>
                <w:color w:val="auto"/>
              </w:rPr>
            </w:pPr>
            <w:r>
              <w:rPr>
                <w:rFonts w:ascii="Arial" w:cs="Arial" w:eastAsia="Arial" w:hAnsi="Arial"/>
                <w:sz w:val="18"/>
                <w:szCs w:val="18"/>
                <w:b w:val="1"/>
                <w:bCs w:val="1"/>
                <w:color w:val="auto"/>
                <w:w w:val="98"/>
              </w:rPr>
              <w:t>186,446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682,865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405,674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773,621</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(16,959)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(33,767)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(13,850)</w:t>
            </w:r>
          </w:p>
        </w:tc>
      </w:tr>
      <w:tr>
        <w:trPr>
          <w:trHeight w:val="27"/>
        </w:trPr>
        <w:tc>
          <w:tcPr>
            <w:tcW w:w="4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8"/>
        </w:trPr>
        <w:tc>
          <w:tcPr>
            <w:tcW w:w="4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Free Cash Flow</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center"/>
              <w:ind w:left="633"/>
              <w:spacing w:after="0"/>
              <w:rPr>
                <w:sz w:val="20"/>
                <w:szCs w:val="20"/>
                <w:color w:val="auto"/>
              </w:rPr>
            </w:pPr>
            <w:r>
              <w:rPr>
                <w:rFonts w:ascii="Arial" w:cs="Arial" w:eastAsia="Arial" w:hAnsi="Arial"/>
                <w:sz w:val="18"/>
                <w:szCs w:val="18"/>
                <w:b w:val="1"/>
                <w:bCs w:val="1"/>
                <w:color w:val="auto"/>
                <w:w w:val="98"/>
              </w:rPr>
              <w:t>169,487</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678,941</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371,907</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759,771</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745"/>
        </w:trPr>
        <w:tc>
          <w:tcPr>
            <w:tcW w:w="4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center"/>
              <w:ind w:left="593"/>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7"/>
    </w:lvl>
  </w:abstractNum>
  <w:abstractNum w:abstractNumId="6">
    <w:nsid w:val="79E2A9E3"/>
    <w:multiLevelType w:val="hybridMultilevel"/>
    <w:lvl w:ilvl="0">
      <w:lvlJc w:val="left"/>
      <w:lvlText w:val="%1"/>
      <w:numFmt w:val="lowerLetter"/>
      <w:start w:val="1"/>
    </w:lvl>
    <w:lvl w:ilvl="1">
      <w:lvlJc w:val="left"/>
      <w:lvlText w:val="(%2)"/>
      <w:numFmt w:val="decimal"/>
      <w:start w:val="1"/>
    </w:lvl>
  </w:abstractNum>
  <w:abstractNum w:abstractNumId="7">
    <w:nsid w:val="7545E146"/>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2021-09-09T07:06:58Z</dcterms:created>
  <dcterms:modified xsi:type="dcterms:W3CDTF">2021-09-09T07:06:58Z</dcterms:modified>
</cp:coreProperties>
</file>