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139700</wp:posOffset>
            </wp:positionV>
            <wp:extent cx="1697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144145</wp:posOffset>
            </wp:positionV>
            <wp:extent cx="1697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March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145415</wp:posOffset>
            </wp:positionV>
            <wp:extent cx="1697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2872740</wp:posOffset>
            </wp:positionH>
            <wp:positionV relativeFrom="paragraph">
              <wp:posOffset>205105</wp:posOffset>
            </wp:positionV>
            <wp:extent cx="137160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140335</wp:posOffset>
            </wp:positionV>
            <wp:extent cx="169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500" w:space="720"/>
            <w:col w:w="2820" w:space="720"/>
            <w:col w:w="2400"/>
          </w:cols>
          <w:pgMar w:left="340" w:top="743" w:right="39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420" w:space="720"/>
            <w:col w:w="2640" w:space="720"/>
            <w:col w:w="2660"/>
          </w:cols>
          <w:pgMar w:left="340" w:top="743" w:right="39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6"/>
          <w:szCs w:val="16"/>
          <w:color w:val="auto"/>
        </w:rPr>
        <w:t>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560" w:space="720"/>
            <w:col w:w="2460" w:space="720"/>
            <w:col w:w="2700"/>
          </w:cols>
          <w:pgMar w:left="340" w:top="743" w:right="399" w:bottom="1440" w:gutter="0" w:footer="0" w:header="0"/>
          <w:type w:val="continuous"/>
        </w:sectPr>
      </w:pPr>
    </w:p>
    <w:p>
      <w:pPr>
        <w:ind w:left="474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133350</wp:posOffset>
            </wp:positionV>
            <wp:extent cx="1697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6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440" w:type="dxa"/>
            <w:vAlign w:val="bottom"/>
            <w:gridSpan w:val="2"/>
          </w:tcPr>
          <w:p>
            <w:pPr>
              <w:jc w:val="center"/>
              <w:ind w:right="22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340" w:type="dxa"/>
            <w:vAlign w:val="bottom"/>
            <w:gridSpan w:val="2"/>
          </w:tcPr>
          <w:p>
            <w:pPr>
              <w:jc w:val="center"/>
              <w:ind w:left="12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7"/>
        </w:trPr>
        <w:tc>
          <w:tcPr>
            <w:tcW w:w="4280" w:type="dxa"/>
            <w:vAlign w:val="bottom"/>
            <w:gridSpan w:val="3"/>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ASO</w:t>
            </w:r>
          </w:p>
        </w:tc>
        <w:tc>
          <w:tcPr>
            <w:tcW w:w="134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95"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90" w:lineRule="exact"/>
        <w:rPr>
          <w:sz w:val="24"/>
          <w:szCs w:val="24"/>
          <w:color w:val="auto"/>
        </w:rPr>
      </w:pPr>
    </w:p>
    <w:p>
      <w:pPr>
        <w:ind w:right="50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394970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7123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116205</wp:posOffset>
            </wp:positionV>
            <wp:extent cx="7123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jc w:val="both"/>
        <w:ind w:firstLine="401"/>
        <w:spacing w:after="0" w:line="282" w:lineRule="auto"/>
        <w:rPr>
          <w:sz w:val="20"/>
          <w:szCs w:val="20"/>
          <w:color w:val="auto"/>
        </w:rPr>
      </w:pPr>
      <w:r>
        <w:rPr>
          <w:rFonts w:ascii="Times New Roman" w:cs="Times New Roman" w:eastAsia="Times New Roman" w:hAnsi="Times New Roman"/>
          <w:sz w:val="18"/>
          <w:szCs w:val="18"/>
          <w:color w:val="auto"/>
        </w:rPr>
        <w:t>On March 21, 2024, Academy Sports and Outdoors, Inc. (the “Company”) issued a press release announcing financial results for the fiscal year ended February 3, 2024. A copy of the release is furnished herewith as Exhibit 99.1 and incorporated by reference herein.</w:t>
      </w:r>
    </w:p>
    <w:p>
      <w:pPr>
        <w:spacing w:after="0" w:line="175" w:lineRule="exact"/>
        <w:rPr>
          <w:sz w:val="20"/>
          <w:szCs w:val="20"/>
          <w:color w:val="auto"/>
        </w:rPr>
      </w:pPr>
    </w:p>
    <w:p>
      <w:pPr>
        <w:jc w:val="both"/>
        <w:ind w:firstLine="401"/>
        <w:spacing w:after="0" w:line="246"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exhibits, is being furnished to the U.S.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(the “Securities Act”), or the Exchange Act, except as shall be expressly set forth by specific reference in such a filing.</w:t>
      </w:r>
    </w:p>
    <w:p>
      <w:pPr>
        <w:spacing w:after="0" w:line="200" w:lineRule="exact"/>
        <w:rPr>
          <w:sz w:val="20"/>
          <w:szCs w:val="20"/>
          <w:color w:val="auto"/>
        </w:rPr>
      </w:pPr>
    </w:p>
    <w:p>
      <w:pPr>
        <w:spacing w:after="0" w:line="2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hereto, which is incorporated herein by reference.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gridSpan w:val="2"/>
          </w:tcPr>
          <w:p>
            <w:pPr>
              <w:ind w:left="39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60" w:type="dxa"/>
            <w:vAlign w:val="bottom"/>
            <w:gridSpan w:val="2"/>
          </w:tcPr>
          <w:p>
            <w:pPr>
              <w:spacing w:after="0"/>
              <w:rPr>
                <w:sz w:val="2"/>
                <w:szCs w:val="2"/>
                <w:color w:val="auto"/>
              </w:rPr>
            </w:pPr>
          </w:p>
        </w:tc>
      </w:tr>
      <w:tr>
        <w:trPr>
          <w:trHeight w:val="244"/>
        </w:trPr>
        <w:tc>
          <w:tcPr>
            <w:tcW w:w="18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80" w:type="dxa"/>
            <w:vAlign w:val="bottom"/>
            <w:tcBorders>
              <w:top w:val="single" w:sz="8" w:color="CCEEFF"/>
            </w:tcBorders>
            <w:shd w:val="clear" w:color="auto" w:fill="CCEEFF"/>
          </w:tcPr>
          <w:p>
            <w:pPr>
              <w:spacing w:after="0"/>
              <w:rPr>
                <w:sz w:val="21"/>
                <w:szCs w:val="21"/>
                <w:color w:val="auto"/>
              </w:rPr>
            </w:pPr>
          </w:p>
        </w:tc>
        <w:tc>
          <w:tcPr>
            <w:tcW w:w="9540" w:type="dxa"/>
            <w:vAlign w:val="bottom"/>
            <w:tcBorders>
              <w:top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Academy Sports and Outdoors, Inc. Press Release, dated March 21, 2024.</w:t>
            </w:r>
          </w:p>
        </w:tc>
        <w:tc>
          <w:tcPr>
            <w:tcW w:w="120" w:type="dxa"/>
            <w:vAlign w:val="bottom"/>
          </w:tcPr>
          <w:p>
            <w:pPr>
              <w:spacing w:after="0"/>
              <w:rPr>
                <w:sz w:val="21"/>
                <w:szCs w:val="21"/>
                <w:color w:val="auto"/>
              </w:rPr>
            </w:pPr>
          </w:p>
        </w:tc>
      </w:tr>
      <w:tr>
        <w:trPr>
          <w:trHeight w:val="243"/>
        </w:trPr>
        <w:tc>
          <w:tcPr>
            <w:tcW w:w="18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95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20" w:type="dxa"/>
            <w:vAlign w:val="bottom"/>
          </w:tcPr>
          <w:p>
            <w:pPr>
              <w:spacing w:after="0"/>
              <w:rPr>
                <w:sz w:val="21"/>
                <w:szCs w:val="21"/>
                <w:color w:val="auto"/>
              </w:rPr>
            </w:pPr>
          </w:p>
        </w:tc>
      </w:tr>
      <w:tr>
        <w:trPr>
          <w:trHeight w:val="1519"/>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on Form 8-K on its behalf by the undersigned, thereto duly authorized.</w:t>
      </w:r>
    </w:p>
    <w:p>
      <w:pPr>
        <w:spacing w:after="0" w:line="200" w:lineRule="exact"/>
        <w:rPr>
          <w:sz w:val="20"/>
          <w:szCs w:val="20"/>
          <w:color w:val="auto"/>
        </w:rPr>
      </w:pPr>
    </w:p>
    <w:p>
      <w:pPr>
        <w:spacing w:after="0" w:line="28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40" w:val="left"/>
          <w:tab w:leader="none" w:pos="6940" w:val="left"/>
          <w:tab w:leader="none" w:pos="7280" w:val="left"/>
        </w:tabs>
        <w:rPr>
          <w:sz w:val="20"/>
          <w:szCs w:val="20"/>
          <w:color w:val="auto"/>
        </w:rPr>
      </w:pPr>
      <w:r>
        <w:rPr>
          <w:rFonts w:ascii="Times New Roman" w:cs="Times New Roman" w:eastAsia="Times New Roman" w:hAnsi="Times New Roman"/>
          <w:sz w:val="18"/>
          <w:szCs w:val="18"/>
          <w:color w:val="auto"/>
        </w:rPr>
        <w:t>Date: March 21,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34290</wp:posOffset>
            </wp:positionV>
            <wp:extent cx="27260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57" w:lineRule="exact"/>
        <w:rPr>
          <w:sz w:val="20"/>
          <w:szCs w:val="20"/>
          <w:color w:val="auto"/>
        </w:rPr>
      </w:pPr>
    </w:p>
    <w:p>
      <w:pPr>
        <w:ind w:left="6260"/>
        <w:spacing w:after="0"/>
        <w:tabs>
          <w:tab w:leader="none" w:pos="694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63" w:lineRule="exact"/>
        <w:rPr>
          <w:sz w:val="20"/>
          <w:szCs w:val="20"/>
          <w:color w:val="auto"/>
        </w:rPr>
      </w:pPr>
    </w:p>
    <w:p>
      <w:pPr>
        <w:ind w:left="6260"/>
        <w:spacing w:after="0"/>
        <w:tabs>
          <w:tab w:leader="none" w:pos="69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1240"/>
          </w:cols>
          <w:pgMar w:left="320" w:top="1413"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44450</wp:posOffset>
            </wp:positionV>
            <wp:extent cx="1894205"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420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Academy Sports + Outdoors Reports Fourth Quarter and Fiscal 2023 Results</w:t>
      </w: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Fourth Quarter Comparable Sales Declined (3.6)%: a +440 Basis Point Increase vs.(8.0%) Third Quarter 2023</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Fourth Quarter Diluted GAAP EPS of $2.21; Grew 12.2% over Last Year</w:t>
      </w: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Company Opened Seven New Stores in Fourth Quarter; 14 New Stores in 2023</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Quarterly Dividend Increased by 22%</w:t>
      </w: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 xml:space="preserve">KATY, TEXAS (Globe Newswire — March 21, 2024) </w:t>
      </w:r>
      <w:r>
        <w:rPr>
          <w:rFonts w:ascii="Arial" w:cs="Arial" w:eastAsia="Arial" w:hAnsi="Arial"/>
          <w:sz w:val="18"/>
          <w:szCs w:val="18"/>
          <w:color w:val="auto"/>
        </w:rPr>
        <w:t>– Academy Sports and Outdoors, Inc. (Nasdaq: ASO) ("Academy"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today announced its financial results for the fourth quarter and fiscal year ended February 3, 2024. Fourth quarter and fiscal year 2023 included 14 and 53 weeks respectively, compared to 13 and 52 weeks in fourth quarter and fiscal 2022.</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 am proud of the progress we have made and the resiliency that the team has shown, as we have navigated through many challenges over the past year. We have been working through a choppy macro-economic backdrop while putting in place the building blocks for our future," said Steve Lawrence, Chief Executive Officer. "As we move into 2024 and beyond, we remain optimistic about our long-term growth potential. We are the value leader in our space, and we believe this positions us well to serve the active young families who are our core customers. Customers have shown a deep affinity for our brand, and we remain confident that our model is both scalable and transportable. We remain committed to our long-range plan goals and will continue to invest in our future growth so that we can enable more customers to have fun out there by shopping at Academy Sports + Outdoors."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380" w:type="dxa"/>
            <w:vAlign w:val="bottom"/>
            <w:vMerge w:val="restart"/>
            <w:shd w:val="clear" w:color="auto" w:fill="0E32E1"/>
          </w:tcPr>
          <w:p>
            <w:pPr>
              <w:ind w:left="20"/>
              <w:spacing w:after="0"/>
              <w:rPr>
                <w:sz w:val="20"/>
                <w:szCs w:val="20"/>
                <w:color w:val="auto"/>
              </w:rPr>
            </w:pPr>
            <w:r>
              <w:rPr>
                <w:rFonts w:ascii="Calibri" w:cs="Calibri" w:eastAsia="Calibri" w:hAnsi="Calibri"/>
                <w:sz w:val="20"/>
                <w:szCs w:val="20"/>
                <w:color w:val="FFFFFF"/>
              </w:rPr>
              <w:t xml:space="preserve">Fourth Quarter Operatng Results </w:t>
            </w:r>
            <w:r>
              <w:rPr>
                <w:rFonts w:ascii="Calibri" w:cs="Calibri" w:eastAsia="Calibri" w:hAnsi="Calibri"/>
                <w:sz w:val="14"/>
                <w:szCs w:val="14"/>
                <w:color w:val="FFFFFF"/>
              </w:rPr>
              <w:t>($ in millions, except per</w:t>
            </w:r>
          </w:p>
        </w:tc>
        <w:tc>
          <w:tcPr>
            <w:tcW w:w="340" w:type="dxa"/>
            <w:vAlign w:val="bottom"/>
            <w:shd w:val="clear" w:color="auto" w:fill="0E32E1"/>
          </w:tcPr>
          <w:p>
            <w:pPr>
              <w:spacing w:after="0"/>
              <w:rPr>
                <w:sz w:val="22"/>
                <w:szCs w:val="22"/>
                <w:color w:val="auto"/>
              </w:rPr>
            </w:pPr>
          </w:p>
        </w:tc>
        <w:tc>
          <w:tcPr>
            <w:tcW w:w="4440" w:type="dxa"/>
            <w:vAlign w:val="bottom"/>
            <w:gridSpan w:val="3"/>
            <w:shd w:val="clear" w:color="auto" w:fill="0E32E1"/>
          </w:tcPr>
          <w:p>
            <w:pPr>
              <w:jc w:val="right"/>
              <w:ind w:right="1881"/>
              <w:spacing w:after="0"/>
              <w:rPr>
                <w:sz w:val="20"/>
                <w:szCs w:val="20"/>
                <w:color w:val="auto"/>
              </w:rPr>
            </w:pPr>
            <w:r>
              <w:rPr>
                <w:rFonts w:ascii="Calibri" w:cs="Calibri" w:eastAsia="Calibri" w:hAnsi="Calibri"/>
                <w:sz w:val="20"/>
                <w:szCs w:val="20"/>
                <w:color w:val="FFFFFF"/>
              </w:rPr>
              <w:t>Quarter Ended</w:t>
            </w:r>
          </w:p>
        </w:tc>
        <w:tc>
          <w:tcPr>
            <w:tcW w:w="2080" w:type="dxa"/>
            <w:vAlign w:val="bottom"/>
            <w:shd w:val="clear" w:color="auto" w:fill="0E32E1"/>
          </w:tcPr>
          <w:p>
            <w:pPr>
              <w:jc w:val="center"/>
              <w:ind w:right="401"/>
              <w:spacing w:after="0"/>
              <w:rPr>
                <w:sz w:val="20"/>
                <w:szCs w:val="20"/>
                <w:color w:val="auto"/>
              </w:rPr>
            </w:pPr>
            <w:r>
              <w:rPr>
                <w:rFonts w:ascii="Calibri" w:cs="Calibri" w:eastAsia="Calibri" w:hAnsi="Calibri"/>
                <w:sz w:val="20"/>
                <w:szCs w:val="20"/>
                <w:color w:val="FFFFFF"/>
              </w:rPr>
              <w:t>Change</w:t>
            </w:r>
          </w:p>
        </w:tc>
        <w:tc>
          <w:tcPr>
            <w:tcW w:w="0" w:type="dxa"/>
            <w:vAlign w:val="bottom"/>
          </w:tcPr>
          <w:p>
            <w:pPr>
              <w:spacing w:after="0"/>
              <w:rPr>
                <w:sz w:val="1"/>
                <w:szCs w:val="1"/>
                <w:color w:val="auto"/>
              </w:rPr>
            </w:pPr>
          </w:p>
        </w:tc>
      </w:tr>
      <w:tr>
        <w:trPr>
          <w:trHeight w:val="50"/>
        </w:trPr>
        <w:tc>
          <w:tcPr>
            <w:tcW w:w="4380" w:type="dxa"/>
            <w:vAlign w:val="bottom"/>
            <w:vMerge w:val="continue"/>
            <w:shd w:val="clear" w:color="auto" w:fill="0E32E1"/>
          </w:tcPr>
          <w:p>
            <w:pPr>
              <w:spacing w:after="0"/>
              <w:rPr>
                <w:sz w:val="4"/>
                <w:szCs w:val="4"/>
                <w:color w:val="auto"/>
              </w:rPr>
            </w:pPr>
          </w:p>
        </w:tc>
        <w:tc>
          <w:tcPr>
            <w:tcW w:w="340" w:type="dxa"/>
            <w:vAlign w:val="bottom"/>
            <w:shd w:val="clear" w:color="auto" w:fill="0E32E1"/>
          </w:tcPr>
          <w:p>
            <w:pPr>
              <w:spacing w:after="0"/>
              <w:rPr>
                <w:sz w:val="4"/>
                <w:szCs w:val="4"/>
                <w:color w:val="auto"/>
              </w:rPr>
            </w:pPr>
          </w:p>
        </w:tc>
        <w:tc>
          <w:tcPr>
            <w:tcW w:w="1860" w:type="dxa"/>
            <w:vAlign w:val="bottom"/>
            <w:vMerge w:val="restart"/>
            <w:shd w:val="clear" w:color="auto" w:fill="0E32E1"/>
          </w:tcPr>
          <w:p>
            <w:pPr>
              <w:jc w:val="right"/>
              <w:ind w:right="261"/>
              <w:spacing w:after="0"/>
              <w:rPr>
                <w:sz w:val="20"/>
                <w:szCs w:val="20"/>
                <w:color w:val="auto"/>
              </w:rPr>
            </w:pPr>
            <w:r>
              <w:rPr>
                <w:rFonts w:ascii="Calibri" w:cs="Calibri" w:eastAsia="Calibri" w:hAnsi="Calibri"/>
                <w:sz w:val="20"/>
                <w:szCs w:val="20"/>
                <w:color w:val="FFFFFF"/>
              </w:rPr>
              <w:t>February 3, 2024</w:t>
            </w:r>
          </w:p>
        </w:tc>
        <w:tc>
          <w:tcPr>
            <w:tcW w:w="240" w:type="dxa"/>
            <w:vAlign w:val="bottom"/>
            <w:shd w:val="clear" w:color="auto" w:fill="0E32E1"/>
          </w:tcPr>
          <w:p>
            <w:pPr>
              <w:spacing w:after="0"/>
              <w:rPr>
                <w:sz w:val="4"/>
                <w:szCs w:val="4"/>
                <w:color w:val="auto"/>
              </w:rPr>
            </w:pPr>
          </w:p>
        </w:tc>
        <w:tc>
          <w:tcPr>
            <w:tcW w:w="2340" w:type="dxa"/>
            <w:vAlign w:val="bottom"/>
            <w:vMerge w:val="restart"/>
            <w:shd w:val="clear" w:color="auto" w:fill="0E32E1"/>
          </w:tcPr>
          <w:p>
            <w:pPr>
              <w:jc w:val="right"/>
              <w:ind w:right="761"/>
              <w:spacing w:after="0"/>
              <w:rPr>
                <w:sz w:val="20"/>
                <w:szCs w:val="20"/>
                <w:color w:val="auto"/>
              </w:rPr>
            </w:pPr>
            <w:r>
              <w:rPr>
                <w:rFonts w:ascii="Calibri" w:cs="Calibri" w:eastAsia="Calibri" w:hAnsi="Calibri"/>
                <w:sz w:val="20"/>
                <w:szCs w:val="20"/>
                <w:color w:val="FFFFFF"/>
              </w:rPr>
              <w:t>January 28, 2023</w:t>
            </w:r>
          </w:p>
        </w:tc>
        <w:tc>
          <w:tcPr>
            <w:tcW w:w="2080" w:type="dxa"/>
            <w:vAlign w:val="bottom"/>
            <w:vMerge w:val="restart"/>
            <w:shd w:val="clear" w:color="auto" w:fill="0E32E1"/>
          </w:tcPr>
          <w:p>
            <w:pPr>
              <w:jc w:val="center"/>
              <w:ind w:right="401"/>
              <w:spacing w:after="0"/>
              <w:rPr>
                <w:sz w:val="20"/>
                <w:szCs w:val="20"/>
                <w:color w:val="auto"/>
              </w:rPr>
            </w:pPr>
            <w:r>
              <w:rPr>
                <w:rFonts w:ascii="Calibri" w:cs="Calibri" w:eastAsia="Calibri" w:hAnsi="Calibri"/>
                <w:sz w:val="20"/>
                <w:szCs w:val="20"/>
                <w:color w:val="FFFFFF"/>
                <w:w w:val="97"/>
              </w:rPr>
              <w:t>%</w:t>
            </w:r>
          </w:p>
        </w:tc>
        <w:tc>
          <w:tcPr>
            <w:tcW w:w="0" w:type="dxa"/>
            <w:vAlign w:val="bottom"/>
          </w:tcPr>
          <w:p>
            <w:pPr>
              <w:spacing w:after="0"/>
              <w:rPr>
                <w:sz w:val="1"/>
                <w:szCs w:val="1"/>
                <w:color w:val="auto"/>
              </w:rPr>
            </w:pPr>
          </w:p>
        </w:tc>
      </w:tr>
      <w:tr>
        <w:trPr>
          <w:trHeight w:val="270"/>
        </w:trPr>
        <w:tc>
          <w:tcPr>
            <w:tcW w:w="4380" w:type="dxa"/>
            <w:vAlign w:val="bottom"/>
            <w:tcBorders>
              <w:bottom w:val="single" w:sz="8" w:color="0E32E1"/>
            </w:tcBorders>
            <w:shd w:val="clear" w:color="auto" w:fill="0E32E1"/>
          </w:tcPr>
          <w:p>
            <w:pPr>
              <w:ind w:left="20"/>
              <w:spacing w:after="0"/>
              <w:rPr>
                <w:sz w:val="20"/>
                <w:szCs w:val="20"/>
                <w:color w:val="auto"/>
              </w:rPr>
            </w:pPr>
            <w:r>
              <w:rPr>
                <w:rFonts w:ascii="Calibri" w:cs="Calibri" w:eastAsia="Calibri" w:hAnsi="Calibri"/>
                <w:sz w:val="14"/>
                <w:szCs w:val="14"/>
                <w:color w:val="FFFFFF"/>
              </w:rPr>
              <w:t>share data)</w:t>
            </w:r>
          </w:p>
        </w:tc>
        <w:tc>
          <w:tcPr>
            <w:tcW w:w="340" w:type="dxa"/>
            <w:vAlign w:val="bottom"/>
            <w:tcBorders>
              <w:bottom w:val="single" w:sz="8" w:color="0E32E1"/>
            </w:tcBorders>
            <w:shd w:val="clear" w:color="auto" w:fill="0E32E1"/>
          </w:tcPr>
          <w:p>
            <w:pPr>
              <w:spacing w:after="0"/>
              <w:rPr>
                <w:sz w:val="23"/>
                <w:szCs w:val="23"/>
                <w:color w:val="auto"/>
              </w:rPr>
            </w:pPr>
          </w:p>
        </w:tc>
        <w:tc>
          <w:tcPr>
            <w:tcW w:w="1860" w:type="dxa"/>
            <w:vAlign w:val="bottom"/>
            <w:tcBorders>
              <w:bottom w:val="single" w:sz="8" w:color="0E32E1"/>
            </w:tcBorders>
            <w:vMerge w:val="continue"/>
            <w:shd w:val="clear" w:color="auto" w:fill="0E32E1"/>
          </w:tcPr>
          <w:p>
            <w:pPr>
              <w:spacing w:after="0"/>
              <w:rPr>
                <w:sz w:val="23"/>
                <w:szCs w:val="23"/>
                <w:color w:val="auto"/>
              </w:rPr>
            </w:pPr>
          </w:p>
        </w:tc>
        <w:tc>
          <w:tcPr>
            <w:tcW w:w="240" w:type="dxa"/>
            <w:vAlign w:val="bottom"/>
            <w:tcBorders>
              <w:bottom w:val="single" w:sz="8" w:color="0E32E1"/>
            </w:tcBorders>
            <w:shd w:val="clear" w:color="auto" w:fill="0E32E1"/>
          </w:tcPr>
          <w:p>
            <w:pPr>
              <w:spacing w:after="0"/>
              <w:rPr>
                <w:sz w:val="23"/>
                <w:szCs w:val="23"/>
                <w:color w:val="auto"/>
              </w:rPr>
            </w:pPr>
          </w:p>
        </w:tc>
        <w:tc>
          <w:tcPr>
            <w:tcW w:w="2340" w:type="dxa"/>
            <w:vAlign w:val="bottom"/>
            <w:tcBorders>
              <w:bottom w:val="single" w:sz="8" w:color="0E32E1"/>
            </w:tcBorders>
            <w:vMerge w:val="continue"/>
            <w:shd w:val="clear" w:color="auto" w:fill="0E32E1"/>
          </w:tcPr>
          <w:p>
            <w:pPr>
              <w:spacing w:after="0"/>
              <w:rPr>
                <w:sz w:val="23"/>
                <w:szCs w:val="23"/>
                <w:color w:val="auto"/>
              </w:rPr>
            </w:pPr>
          </w:p>
        </w:tc>
        <w:tc>
          <w:tcPr>
            <w:tcW w:w="2080" w:type="dxa"/>
            <w:vAlign w:val="bottom"/>
            <w:tcBorders>
              <w:bottom w:val="single" w:sz="8" w:color="0E32E1"/>
            </w:tcBorders>
            <w:vMerge w:val="continue"/>
            <w:shd w:val="clear" w:color="auto" w:fill="0E32E1"/>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380" w:type="dxa"/>
            <w:vAlign w:val="bottom"/>
            <w:tcBorders>
              <w:bottom w:val="single" w:sz="8" w:color="DBDBDB"/>
            </w:tcBorders>
            <w:shd w:val="clear" w:color="auto" w:fill="DBDBDB"/>
          </w:tcPr>
          <w:p>
            <w:pPr>
              <w:ind w:left="20"/>
              <w:spacing w:after="0" w:line="236" w:lineRule="exact"/>
              <w:rPr>
                <w:sz w:val="20"/>
                <w:szCs w:val="20"/>
                <w:color w:val="auto"/>
              </w:rPr>
            </w:pPr>
            <w:r>
              <w:rPr>
                <w:rFonts w:ascii="Calibri" w:cs="Calibri" w:eastAsia="Calibri" w:hAnsi="Calibri"/>
                <w:sz w:val="20"/>
                <w:szCs w:val="20"/>
                <w:color w:val="auto"/>
              </w:rPr>
              <w:t>Net sales</w:t>
            </w:r>
          </w:p>
        </w:tc>
        <w:tc>
          <w:tcPr>
            <w:tcW w:w="340" w:type="dxa"/>
            <w:vAlign w:val="bottom"/>
            <w:tcBorders>
              <w:bottom w:val="single" w:sz="8" w:color="DBDBDB"/>
            </w:tcBorders>
            <w:shd w:val="clear" w:color="auto" w:fill="DBDBDB"/>
          </w:tcPr>
          <w:p>
            <w:pPr>
              <w:jc w:val="right"/>
              <w:ind w:right="21"/>
              <w:spacing w:after="0" w:line="236" w:lineRule="exact"/>
              <w:rPr>
                <w:sz w:val="20"/>
                <w:szCs w:val="20"/>
                <w:color w:val="auto"/>
              </w:rPr>
            </w:pPr>
            <w:r>
              <w:rPr>
                <w:rFonts w:ascii="Calibri" w:cs="Calibri" w:eastAsia="Calibri" w:hAnsi="Calibri"/>
                <w:sz w:val="20"/>
                <w:szCs w:val="20"/>
                <w:color w:val="auto"/>
              </w:rPr>
              <w:t>$</w:t>
            </w:r>
          </w:p>
        </w:tc>
        <w:tc>
          <w:tcPr>
            <w:tcW w:w="1860" w:type="dxa"/>
            <w:vAlign w:val="bottom"/>
            <w:tcBorders>
              <w:bottom w:val="single" w:sz="8" w:color="DBDBDB"/>
            </w:tcBorders>
            <w:shd w:val="clear" w:color="auto" w:fill="DBDBDB"/>
          </w:tcPr>
          <w:p>
            <w:pPr>
              <w:jc w:val="right"/>
              <w:ind w:right="141"/>
              <w:spacing w:after="0" w:line="236" w:lineRule="exact"/>
              <w:rPr>
                <w:sz w:val="20"/>
                <w:szCs w:val="20"/>
                <w:color w:val="auto"/>
              </w:rPr>
            </w:pPr>
            <w:r>
              <w:rPr>
                <w:rFonts w:ascii="Calibri" w:cs="Calibri" w:eastAsia="Calibri" w:hAnsi="Calibri"/>
                <w:sz w:val="20"/>
                <w:szCs w:val="20"/>
                <w:color w:val="auto"/>
              </w:rPr>
              <w:t>1,794.8</w:t>
            </w:r>
          </w:p>
        </w:tc>
        <w:tc>
          <w:tcPr>
            <w:tcW w:w="240" w:type="dxa"/>
            <w:vAlign w:val="bottom"/>
            <w:tcBorders>
              <w:bottom w:val="single" w:sz="8" w:color="DBDBDB"/>
            </w:tcBorders>
            <w:shd w:val="clear" w:color="auto" w:fill="DBDBDB"/>
          </w:tcPr>
          <w:p>
            <w:pPr>
              <w:jc w:val="right"/>
              <w:ind w:right="41"/>
              <w:spacing w:after="0" w:line="236" w:lineRule="exact"/>
              <w:rPr>
                <w:sz w:val="20"/>
                <w:szCs w:val="20"/>
                <w:color w:val="auto"/>
              </w:rPr>
            </w:pPr>
            <w:r>
              <w:rPr>
                <w:rFonts w:ascii="Calibri" w:cs="Calibri" w:eastAsia="Calibri" w:hAnsi="Calibri"/>
                <w:sz w:val="20"/>
                <w:szCs w:val="20"/>
                <w:color w:val="auto"/>
                <w:w w:val="78"/>
              </w:rPr>
              <w:t>$</w:t>
            </w:r>
          </w:p>
        </w:tc>
        <w:tc>
          <w:tcPr>
            <w:tcW w:w="2340" w:type="dxa"/>
            <w:vAlign w:val="bottom"/>
            <w:tcBorders>
              <w:bottom w:val="single" w:sz="8" w:color="DBDBDB"/>
            </w:tcBorders>
            <w:shd w:val="clear" w:color="auto" w:fill="DBDBDB"/>
          </w:tcPr>
          <w:p>
            <w:pPr>
              <w:jc w:val="right"/>
              <w:ind w:right="621"/>
              <w:spacing w:after="0" w:line="236" w:lineRule="exact"/>
              <w:rPr>
                <w:sz w:val="20"/>
                <w:szCs w:val="20"/>
                <w:color w:val="auto"/>
              </w:rPr>
            </w:pPr>
            <w:r>
              <w:rPr>
                <w:rFonts w:ascii="Calibri" w:cs="Calibri" w:eastAsia="Calibri" w:hAnsi="Calibri"/>
                <w:sz w:val="20"/>
                <w:szCs w:val="20"/>
                <w:color w:val="auto"/>
              </w:rPr>
              <w:t>1,746.5</w:t>
            </w:r>
          </w:p>
        </w:tc>
        <w:tc>
          <w:tcPr>
            <w:tcW w:w="2080" w:type="dxa"/>
            <w:vAlign w:val="bottom"/>
            <w:tcBorders>
              <w:bottom w:val="single" w:sz="8" w:color="DBDBDB"/>
            </w:tcBorders>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2.8 %</w:t>
            </w: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line="236" w:lineRule="exact"/>
              <w:rPr>
                <w:sz w:val="20"/>
                <w:szCs w:val="20"/>
                <w:color w:val="auto"/>
              </w:rPr>
            </w:pPr>
            <w:r>
              <w:rPr>
                <w:rFonts w:ascii="Calibri" w:cs="Calibri" w:eastAsia="Calibri" w:hAnsi="Calibri"/>
                <w:sz w:val="20"/>
                <w:szCs w:val="20"/>
                <w:color w:val="auto"/>
              </w:rPr>
              <w:t>Comparable sales</w:t>
            </w:r>
          </w:p>
        </w:tc>
        <w:tc>
          <w:tcPr>
            <w:tcW w:w="340" w:type="dxa"/>
            <w:vAlign w:val="bottom"/>
          </w:tcPr>
          <w:p>
            <w:pPr>
              <w:spacing w:after="0"/>
              <w:rPr>
                <w:sz w:val="20"/>
                <w:szCs w:val="20"/>
                <w:color w:val="auto"/>
              </w:rPr>
            </w:pPr>
          </w:p>
        </w:tc>
        <w:tc>
          <w:tcPr>
            <w:tcW w:w="1860" w:type="dxa"/>
            <w:vAlign w:val="bottom"/>
          </w:tcPr>
          <w:p>
            <w:pPr>
              <w:jc w:val="right"/>
              <w:spacing w:after="0" w:line="236" w:lineRule="exact"/>
              <w:rPr>
                <w:sz w:val="20"/>
                <w:szCs w:val="20"/>
                <w:color w:val="auto"/>
              </w:rPr>
            </w:pPr>
            <w:r>
              <w:rPr>
                <w:rFonts w:ascii="Calibri" w:cs="Calibri" w:eastAsia="Calibri" w:hAnsi="Calibri"/>
                <w:sz w:val="20"/>
                <w:szCs w:val="20"/>
                <w:color w:val="auto"/>
              </w:rPr>
              <w:t>(3.6)%</w:t>
            </w:r>
          </w:p>
        </w:tc>
        <w:tc>
          <w:tcPr>
            <w:tcW w:w="240" w:type="dxa"/>
            <w:vAlign w:val="bottom"/>
          </w:tcPr>
          <w:p>
            <w:pPr>
              <w:spacing w:after="0"/>
              <w:rPr>
                <w:sz w:val="20"/>
                <w:szCs w:val="20"/>
                <w:color w:val="auto"/>
              </w:rPr>
            </w:pPr>
          </w:p>
        </w:tc>
        <w:tc>
          <w:tcPr>
            <w:tcW w:w="2340" w:type="dxa"/>
            <w:vAlign w:val="bottom"/>
          </w:tcPr>
          <w:p>
            <w:pPr>
              <w:jc w:val="right"/>
              <w:ind w:right="421"/>
              <w:spacing w:after="0" w:line="236" w:lineRule="exact"/>
              <w:rPr>
                <w:sz w:val="20"/>
                <w:szCs w:val="20"/>
                <w:color w:val="auto"/>
              </w:rPr>
            </w:pPr>
            <w:r>
              <w:rPr>
                <w:rFonts w:ascii="Calibri" w:cs="Calibri" w:eastAsia="Calibri" w:hAnsi="Calibri"/>
                <w:sz w:val="20"/>
                <w:szCs w:val="20"/>
                <w:color w:val="auto"/>
              </w:rPr>
              <w:t>(5.1)%</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4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3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380" w:type="dxa"/>
            <w:vAlign w:val="bottom"/>
            <w:tcBorders>
              <w:bottom w:val="single" w:sz="8" w:color="DBDBDB"/>
            </w:tcBorders>
            <w:shd w:val="clear" w:color="auto" w:fill="DBDBDB"/>
          </w:tcPr>
          <w:p>
            <w:pPr>
              <w:ind w:left="20"/>
              <w:spacing w:after="0" w:line="236" w:lineRule="exact"/>
              <w:rPr>
                <w:sz w:val="20"/>
                <w:szCs w:val="20"/>
                <w:color w:val="auto"/>
              </w:rPr>
            </w:pPr>
            <w:r>
              <w:rPr>
                <w:rFonts w:ascii="Calibri" w:cs="Calibri" w:eastAsia="Calibri" w:hAnsi="Calibri"/>
                <w:sz w:val="20"/>
                <w:szCs w:val="20"/>
                <w:color w:val="auto"/>
              </w:rPr>
              <w:t>Income before income tax</w:t>
            </w:r>
          </w:p>
        </w:tc>
        <w:tc>
          <w:tcPr>
            <w:tcW w:w="340" w:type="dxa"/>
            <w:vAlign w:val="bottom"/>
            <w:tcBorders>
              <w:bottom w:val="single" w:sz="8" w:color="DBDBDB"/>
            </w:tcBorders>
            <w:shd w:val="clear" w:color="auto" w:fill="DBDBDB"/>
          </w:tcPr>
          <w:p>
            <w:pPr>
              <w:jc w:val="right"/>
              <w:ind w:right="21"/>
              <w:spacing w:after="0" w:line="236" w:lineRule="exact"/>
              <w:rPr>
                <w:sz w:val="20"/>
                <w:szCs w:val="20"/>
                <w:color w:val="auto"/>
              </w:rPr>
            </w:pPr>
            <w:r>
              <w:rPr>
                <w:rFonts w:ascii="Calibri" w:cs="Calibri" w:eastAsia="Calibri" w:hAnsi="Calibri"/>
                <w:sz w:val="20"/>
                <w:szCs w:val="20"/>
                <w:color w:val="auto"/>
              </w:rPr>
              <w:t>$</w:t>
            </w:r>
          </w:p>
        </w:tc>
        <w:tc>
          <w:tcPr>
            <w:tcW w:w="1860" w:type="dxa"/>
            <w:vAlign w:val="bottom"/>
            <w:tcBorders>
              <w:bottom w:val="single" w:sz="8" w:color="DBDBDB"/>
            </w:tcBorders>
            <w:shd w:val="clear" w:color="auto" w:fill="DBDBDB"/>
          </w:tcPr>
          <w:p>
            <w:pPr>
              <w:jc w:val="right"/>
              <w:ind w:right="141"/>
              <w:spacing w:after="0" w:line="236" w:lineRule="exact"/>
              <w:rPr>
                <w:sz w:val="20"/>
                <w:szCs w:val="20"/>
                <w:color w:val="auto"/>
              </w:rPr>
            </w:pPr>
            <w:r>
              <w:rPr>
                <w:rFonts w:ascii="Calibri" w:cs="Calibri" w:eastAsia="Calibri" w:hAnsi="Calibri"/>
                <w:sz w:val="20"/>
                <w:szCs w:val="20"/>
                <w:color w:val="auto"/>
              </w:rPr>
              <w:t>211.3</w:t>
            </w:r>
          </w:p>
        </w:tc>
        <w:tc>
          <w:tcPr>
            <w:tcW w:w="240" w:type="dxa"/>
            <w:vAlign w:val="bottom"/>
            <w:tcBorders>
              <w:bottom w:val="single" w:sz="8" w:color="DBDBDB"/>
            </w:tcBorders>
            <w:shd w:val="clear" w:color="auto" w:fill="DBDBDB"/>
          </w:tcPr>
          <w:p>
            <w:pPr>
              <w:jc w:val="right"/>
              <w:ind w:right="41"/>
              <w:spacing w:after="0" w:line="236" w:lineRule="exact"/>
              <w:rPr>
                <w:sz w:val="20"/>
                <w:szCs w:val="20"/>
                <w:color w:val="auto"/>
              </w:rPr>
            </w:pPr>
            <w:r>
              <w:rPr>
                <w:rFonts w:ascii="Calibri" w:cs="Calibri" w:eastAsia="Calibri" w:hAnsi="Calibri"/>
                <w:sz w:val="20"/>
                <w:szCs w:val="20"/>
                <w:color w:val="auto"/>
                <w:w w:val="78"/>
              </w:rPr>
              <w:t>$</w:t>
            </w:r>
          </w:p>
        </w:tc>
        <w:tc>
          <w:tcPr>
            <w:tcW w:w="2340" w:type="dxa"/>
            <w:vAlign w:val="bottom"/>
            <w:tcBorders>
              <w:bottom w:val="single" w:sz="8" w:color="DBDBDB"/>
            </w:tcBorders>
            <w:shd w:val="clear" w:color="auto" w:fill="DBDBDB"/>
          </w:tcPr>
          <w:p>
            <w:pPr>
              <w:jc w:val="right"/>
              <w:ind w:right="621"/>
              <w:spacing w:after="0" w:line="236" w:lineRule="exact"/>
              <w:rPr>
                <w:sz w:val="20"/>
                <w:szCs w:val="20"/>
                <w:color w:val="auto"/>
              </w:rPr>
            </w:pPr>
            <w:r>
              <w:rPr>
                <w:rFonts w:ascii="Calibri" w:cs="Calibri" w:eastAsia="Calibri" w:hAnsi="Calibri"/>
                <w:sz w:val="20"/>
                <w:szCs w:val="20"/>
                <w:color w:val="auto"/>
              </w:rPr>
              <w:t>206.1</w:t>
            </w:r>
          </w:p>
        </w:tc>
        <w:tc>
          <w:tcPr>
            <w:tcW w:w="2080" w:type="dxa"/>
            <w:vAlign w:val="bottom"/>
            <w:tcBorders>
              <w:bottom w:val="single" w:sz="8" w:color="DBDBDB"/>
            </w:tcBorders>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2.5 %</w:t>
            </w:r>
          </w:p>
        </w:tc>
        <w:tc>
          <w:tcPr>
            <w:tcW w:w="0" w:type="dxa"/>
            <w:vAlign w:val="bottom"/>
          </w:tcPr>
          <w:p>
            <w:pPr>
              <w:spacing w:after="0"/>
              <w:rPr>
                <w:sz w:val="1"/>
                <w:szCs w:val="1"/>
                <w:color w:val="auto"/>
              </w:rPr>
            </w:pPr>
          </w:p>
        </w:tc>
      </w:tr>
      <w:tr>
        <w:trPr>
          <w:trHeight w:val="297"/>
        </w:trPr>
        <w:tc>
          <w:tcPr>
            <w:tcW w:w="4380" w:type="dxa"/>
            <w:vAlign w:val="bottom"/>
          </w:tcPr>
          <w:p>
            <w:pPr>
              <w:ind w:left="20"/>
              <w:spacing w:after="0" w:line="297" w:lineRule="exact"/>
              <w:rPr>
                <w:sz w:val="20"/>
                <w:szCs w:val="20"/>
                <w:color w:val="auto"/>
              </w:rPr>
            </w:pPr>
            <w:r>
              <w:rPr>
                <w:rFonts w:ascii="Calibri" w:cs="Calibri" w:eastAsia="Calibri" w:hAnsi="Calibri"/>
                <w:sz w:val="20"/>
                <w:szCs w:val="20"/>
                <w:color w:val="auto"/>
              </w:rPr>
              <w:t xml:space="preserve">Net income </w:t>
            </w:r>
            <w:r>
              <w:rPr>
                <w:rFonts w:ascii="Calibri" w:cs="Calibri" w:eastAsia="Calibri" w:hAnsi="Calibri"/>
                <w:sz w:val="25"/>
                <w:szCs w:val="25"/>
                <w:color w:val="auto"/>
                <w:vertAlign w:val="superscript"/>
              </w:rPr>
              <w:t>(1)</w:t>
            </w:r>
          </w:p>
        </w:tc>
        <w:tc>
          <w:tcPr>
            <w:tcW w:w="340" w:type="dxa"/>
            <w:vAlign w:val="bottom"/>
          </w:tcPr>
          <w:p>
            <w:pPr>
              <w:jc w:val="right"/>
              <w:ind w:right="21"/>
              <w:spacing w:after="0" w:line="236" w:lineRule="exact"/>
              <w:rPr>
                <w:sz w:val="20"/>
                <w:szCs w:val="20"/>
                <w:color w:val="auto"/>
              </w:rPr>
            </w:pPr>
            <w:r>
              <w:rPr>
                <w:rFonts w:ascii="Calibri" w:cs="Calibri" w:eastAsia="Calibri" w:hAnsi="Calibri"/>
                <w:sz w:val="20"/>
                <w:szCs w:val="20"/>
                <w:color w:val="auto"/>
              </w:rPr>
              <w:t>$</w:t>
            </w:r>
          </w:p>
        </w:tc>
        <w:tc>
          <w:tcPr>
            <w:tcW w:w="1860" w:type="dxa"/>
            <w:vAlign w:val="bottom"/>
          </w:tcPr>
          <w:p>
            <w:pPr>
              <w:jc w:val="right"/>
              <w:ind w:right="141"/>
              <w:spacing w:after="0" w:line="236" w:lineRule="exact"/>
              <w:rPr>
                <w:sz w:val="20"/>
                <w:szCs w:val="20"/>
                <w:color w:val="auto"/>
              </w:rPr>
            </w:pPr>
            <w:r>
              <w:rPr>
                <w:rFonts w:ascii="Calibri" w:cs="Calibri" w:eastAsia="Calibri" w:hAnsi="Calibri"/>
                <w:sz w:val="20"/>
                <w:szCs w:val="20"/>
                <w:color w:val="auto"/>
              </w:rPr>
              <w:t>168.2</w:t>
            </w:r>
          </w:p>
        </w:tc>
        <w:tc>
          <w:tcPr>
            <w:tcW w:w="240" w:type="dxa"/>
            <w:vAlign w:val="bottom"/>
          </w:tcPr>
          <w:p>
            <w:pPr>
              <w:jc w:val="right"/>
              <w:ind w:right="41"/>
              <w:spacing w:after="0" w:line="236" w:lineRule="exact"/>
              <w:rPr>
                <w:sz w:val="20"/>
                <w:szCs w:val="20"/>
                <w:color w:val="auto"/>
              </w:rPr>
            </w:pPr>
            <w:r>
              <w:rPr>
                <w:rFonts w:ascii="Calibri" w:cs="Calibri" w:eastAsia="Calibri" w:hAnsi="Calibri"/>
                <w:sz w:val="20"/>
                <w:szCs w:val="20"/>
                <w:color w:val="auto"/>
                <w:w w:val="78"/>
              </w:rPr>
              <w:t>$</w:t>
            </w:r>
          </w:p>
        </w:tc>
        <w:tc>
          <w:tcPr>
            <w:tcW w:w="2340" w:type="dxa"/>
            <w:vAlign w:val="bottom"/>
          </w:tcPr>
          <w:p>
            <w:pPr>
              <w:jc w:val="right"/>
              <w:ind w:right="621"/>
              <w:spacing w:after="0" w:line="236" w:lineRule="exact"/>
              <w:rPr>
                <w:sz w:val="20"/>
                <w:szCs w:val="20"/>
                <w:color w:val="auto"/>
              </w:rPr>
            </w:pPr>
            <w:r>
              <w:rPr>
                <w:rFonts w:ascii="Calibri" w:cs="Calibri" w:eastAsia="Calibri" w:hAnsi="Calibri"/>
                <w:sz w:val="20"/>
                <w:szCs w:val="20"/>
                <w:color w:val="auto"/>
              </w:rPr>
              <w:t>157.7</w:t>
            </w:r>
          </w:p>
        </w:tc>
        <w:tc>
          <w:tcPr>
            <w:tcW w:w="2080" w:type="dxa"/>
            <w:vAlign w:val="bottom"/>
          </w:tcPr>
          <w:p>
            <w:pPr>
              <w:jc w:val="right"/>
              <w:spacing w:after="0" w:line="236" w:lineRule="exact"/>
              <w:rPr>
                <w:sz w:val="20"/>
                <w:szCs w:val="20"/>
                <w:color w:val="auto"/>
              </w:rPr>
            </w:pPr>
            <w:r>
              <w:rPr>
                <w:rFonts w:ascii="Calibri" w:cs="Calibri" w:eastAsia="Calibri" w:hAnsi="Calibri"/>
                <w:sz w:val="20"/>
                <w:szCs w:val="20"/>
                <w:color w:val="auto"/>
              </w:rPr>
              <w:t>6.7 %</w:t>
            </w:r>
          </w:p>
        </w:tc>
        <w:tc>
          <w:tcPr>
            <w:tcW w:w="0" w:type="dxa"/>
            <w:vAlign w:val="bottom"/>
          </w:tcPr>
          <w:p>
            <w:pPr>
              <w:spacing w:after="0"/>
              <w:rPr>
                <w:sz w:val="1"/>
                <w:szCs w:val="1"/>
                <w:color w:val="auto"/>
              </w:rPr>
            </w:pPr>
          </w:p>
        </w:tc>
      </w:tr>
      <w:tr>
        <w:trPr>
          <w:trHeight w:val="297"/>
        </w:trPr>
        <w:tc>
          <w:tcPr>
            <w:tcW w:w="4380" w:type="dxa"/>
            <w:vAlign w:val="bottom"/>
            <w:shd w:val="clear" w:color="auto" w:fill="DBDBDB"/>
          </w:tcPr>
          <w:p>
            <w:pPr>
              <w:ind w:left="20"/>
              <w:spacing w:after="0" w:line="297" w:lineRule="exact"/>
              <w:rPr>
                <w:sz w:val="20"/>
                <w:szCs w:val="20"/>
                <w:color w:val="auto"/>
              </w:rPr>
            </w:pPr>
            <w:r>
              <w:rPr>
                <w:rFonts w:ascii="Calibri" w:cs="Calibri" w:eastAsia="Calibri" w:hAnsi="Calibri"/>
                <w:sz w:val="20"/>
                <w:szCs w:val="20"/>
                <w:color w:val="auto"/>
              </w:rPr>
              <w:t xml:space="preserve">Adjusted net income </w:t>
            </w:r>
            <w:r>
              <w:rPr>
                <w:rFonts w:ascii="Calibri" w:cs="Calibri" w:eastAsia="Calibri" w:hAnsi="Calibri"/>
                <w:sz w:val="25"/>
                <w:szCs w:val="25"/>
                <w:color w:val="auto"/>
                <w:vertAlign w:val="superscript"/>
              </w:rPr>
              <w:t>(2)</w:t>
            </w:r>
          </w:p>
        </w:tc>
        <w:tc>
          <w:tcPr>
            <w:tcW w:w="340" w:type="dxa"/>
            <w:vAlign w:val="bottom"/>
            <w:shd w:val="clear" w:color="auto" w:fill="DBDBDB"/>
          </w:tcPr>
          <w:p>
            <w:pPr>
              <w:jc w:val="right"/>
              <w:ind w:right="21"/>
              <w:spacing w:after="0" w:line="236" w:lineRule="exact"/>
              <w:rPr>
                <w:sz w:val="20"/>
                <w:szCs w:val="20"/>
                <w:color w:val="auto"/>
              </w:rPr>
            </w:pPr>
            <w:r>
              <w:rPr>
                <w:rFonts w:ascii="Calibri" w:cs="Calibri" w:eastAsia="Calibri" w:hAnsi="Calibri"/>
                <w:sz w:val="20"/>
                <w:szCs w:val="20"/>
                <w:color w:val="auto"/>
              </w:rPr>
              <w:t>$</w:t>
            </w:r>
          </w:p>
        </w:tc>
        <w:tc>
          <w:tcPr>
            <w:tcW w:w="1860" w:type="dxa"/>
            <w:vAlign w:val="bottom"/>
            <w:shd w:val="clear" w:color="auto" w:fill="DBDBDB"/>
          </w:tcPr>
          <w:p>
            <w:pPr>
              <w:jc w:val="right"/>
              <w:ind w:right="141"/>
              <w:spacing w:after="0" w:line="236" w:lineRule="exact"/>
              <w:rPr>
                <w:sz w:val="20"/>
                <w:szCs w:val="20"/>
                <w:color w:val="auto"/>
              </w:rPr>
            </w:pPr>
            <w:r>
              <w:rPr>
                <w:rFonts w:ascii="Calibri" w:cs="Calibri" w:eastAsia="Calibri" w:hAnsi="Calibri"/>
                <w:sz w:val="20"/>
                <w:szCs w:val="20"/>
                <w:color w:val="auto"/>
              </w:rPr>
              <w:t>168.2</w:t>
            </w:r>
          </w:p>
        </w:tc>
        <w:tc>
          <w:tcPr>
            <w:tcW w:w="240" w:type="dxa"/>
            <w:vAlign w:val="bottom"/>
            <w:shd w:val="clear" w:color="auto" w:fill="DBDBDB"/>
          </w:tcPr>
          <w:p>
            <w:pPr>
              <w:jc w:val="right"/>
              <w:ind w:right="41"/>
              <w:spacing w:after="0" w:line="236" w:lineRule="exact"/>
              <w:rPr>
                <w:sz w:val="20"/>
                <w:szCs w:val="20"/>
                <w:color w:val="auto"/>
              </w:rPr>
            </w:pPr>
            <w:r>
              <w:rPr>
                <w:rFonts w:ascii="Calibri" w:cs="Calibri" w:eastAsia="Calibri" w:hAnsi="Calibri"/>
                <w:sz w:val="20"/>
                <w:szCs w:val="20"/>
                <w:color w:val="auto"/>
                <w:w w:val="78"/>
              </w:rPr>
              <w:t>$</w:t>
            </w:r>
          </w:p>
        </w:tc>
        <w:tc>
          <w:tcPr>
            <w:tcW w:w="2340" w:type="dxa"/>
            <w:vAlign w:val="bottom"/>
            <w:shd w:val="clear" w:color="auto" w:fill="DBDBDB"/>
          </w:tcPr>
          <w:p>
            <w:pPr>
              <w:jc w:val="right"/>
              <w:ind w:right="621"/>
              <w:spacing w:after="0" w:line="236" w:lineRule="exact"/>
              <w:rPr>
                <w:sz w:val="20"/>
                <w:szCs w:val="20"/>
                <w:color w:val="auto"/>
              </w:rPr>
            </w:pPr>
            <w:r>
              <w:rPr>
                <w:rFonts w:ascii="Calibri" w:cs="Calibri" w:eastAsia="Calibri" w:hAnsi="Calibri"/>
                <w:sz w:val="20"/>
                <w:szCs w:val="20"/>
                <w:color w:val="auto"/>
              </w:rPr>
              <w:t>163.5</w:t>
            </w:r>
          </w:p>
        </w:tc>
        <w:tc>
          <w:tcPr>
            <w:tcW w:w="2080" w:type="dxa"/>
            <w:vAlign w:val="bottom"/>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2.9 %</w:t>
            </w: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line="236" w:lineRule="exact"/>
              <w:rPr>
                <w:sz w:val="20"/>
                <w:szCs w:val="20"/>
                <w:color w:val="auto"/>
              </w:rPr>
            </w:pPr>
            <w:r>
              <w:rPr>
                <w:rFonts w:ascii="Calibri" w:cs="Calibri" w:eastAsia="Calibri" w:hAnsi="Calibri"/>
                <w:sz w:val="20"/>
                <w:szCs w:val="20"/>
                <w:color w:val="auto"/>
              </w:rPr>
              <w:t>Earnings per common share, diluted</w:t>
            </w:r>
          </w:p>
        </w:tc>
        <w:tc>
          <w:tcPr>
            <w:tcW w:w="340" w:type="dxa"/>
            <w:vAlign w:val="bottom"/>
          </w:tcPr>
          <w:p>
            <w:pPr>
              <w:jc w:val="right"/>
              <w:ind w:right="21"/>
              <w:spacing w:after="0" w:line="236" w:lineRule="exact"/>
              <w:rPr>
                <w:sz w:val="20"/>
                <w:szCs w:val="20"/>
                <w:color w:val="auto"/>
              </w:rPr>
            </w:pPr>
            <w:r>
              <w:rPr>
                <w:rFonts w:ascii="Calibri" w:cs="Calibri" w:eastAsia="Calibri" w:hAnsi="Calibri"/>
                <w:sz w:val="20"/>
                <w:szCs w:val="20"/>
                <w:color w:val="auto"/>
              </w:rPr>
              <w:t>$</w:t>
            </w:r>
          </w:p>
        </w:tc>
        <w:tc>
          <w:tcPr>
            <w:tcW w:w="1860" w:type="dxa"/>
            <w:vAlign w:val="bottom"/>
          </w:tcPr>
          <w:p>
            <w:pPr>
              <w:jc w:val="right"/>
              <w:ind w:right="141"/>
              <w:spacing w:after="0" w:line="236" w:lineRule="exact"/>
              <w:rPr>
                <w:sz w:val="20"/>
                <w:szCs w:val="20"/>
                <w:color w:val="auto"/>
              </w:rPr>
            </w:pPr>
            <w:r>
              <w:rPr>
                <w:rFonts w:ascii="Calibri" w:cs="Calibri" w:eastAsia="Calibri" w:hAnsi="Calibri"/>
                <w:sz w:val="20"/>
                <w:szCs w:val="20"/>
                <w:color w:val="auto"/>
              </w:rPr>
              <w:t>2.21</w:t>
            </w:r>
          </w:p>
        </w:tc>
        <w:tc>
          <w:tcPr>
            <w:tcW w:w="240" w:type="dxa"/>
            <w:vAlign w:val="bottom"/>
          </w:tcPr>
          <w:p>
            <w:pPr>
              <w:jc w:val="right"/>
              <w:ind w:right="41"/>
              <w:spacing w:after="0" w:line="236" w:lineRule="exact"/>
              <w:rPr>
                <w:sz w:val="20"/>
                <w:szCs w:val="20"/>
                <w:color w:val="auto"/>
              </w:rPr>
            </w:pPr>
            <w:r>
              <w:rPr>
                <w:rFonts w:ascii="Calibri" w:cs="Calibri" w:eastAsia="Calibri" w:hAnsi="Calibri"/>
                <w:sz w:val="20"/>
                <w:szCs w:val="20"/>
                <w:color w:val="auto"/>
                <w:w w:val="78"/>
              </w:rPr>
              <w:t>$</w:t>
            </w:r>
          </w:p>
        </w:tc>
        <w:tc>
          <w:tcPr>
            <w:tcW w:w="2340" w:type="dxa"/>
            <w:vAlign w:val="bottom"/>
          </w:tcPr>
          <w:p>
            <w:pPr>
              <w:jc w:val="right"/>
              <w:ind w:right="621"/>
              <w:spacing w:after="0" w:line="236" w:lineRule="exact"/>
              <w:rPr>
                <w:sz w:val="20"/>
                <w:szCs w:val="20"/>
                <w:color w:val="auto"/>
              </w:rPr>
            </w:pPr>
            <w:r>
              <w:rPr>
                <w:rFonts w:ascii="Calibri" w:cs="Calibri" w:eastAsia="Calibri" w:hAnsi="Calibri"/>
                <w:sz w:val="20"/>
                <w:szCs w:val="20"/>
                <w:color w:val="auto"/>
              </w:rPr>
              <w:t>1.97</w:t>
            </w:r>
          </w:p>
        </w:tc>
        <w:tc>
          <w:tcPr>
            <w:tcW w:w="2080" w:type="dxa"/>
            <w:vAlign w:val="bottom"/>
          </w:tcPr>
          <w:p>
            <w:pPr>
              <w:jc w:val="right"/>
              <w:spacing w:after="0" w:line="236" w:lineRule="exact"/>
              <w:rPr>
                <w:sz w:val="20"/>
                <w:szCs w:val="20"/>
                <w:color w:val="auto"/>
              </w:rPr>
            </w:pPr>
            <w:r>
              <w:rPr>
                <w:rFonts w:ascii="Calibri" w:cs="Calibri" w:eastAsia="Calibri" w:hAnsi="Calibri"/>
                <w:sz w:val="20"/>
                <w:szCs w:val="20"/>
                <w:color w:val="auto"/>
              </w:rPr>
              <w:t>12.2 %</w:t>
            </w:r>
          </w:p>
        </w:tc>
        <w:tc>
          <w:tcPr>
            <w:tcW w:w="0" w:type="dxa"/>
            <w:vAlign w:val="bottom"/>
          </w:tcPr>
          <w:p>
            <w:pPr>
              <w:spacing w:after="0"/>
              <w:rPr>
                <w:sz w:val="1"/>
                <w:szCs w:val="1"/>
                <w:color w:val="auto"/>
              </w:rPr>
            </w:pPr>
          </w:p>
        </w:tc>
      </w:tr>
      <w:tr>
        <w:trPr>
          <w:trHeight w:val="60"/>
        </w:trPr>
        <w:tc>
          <w:tcPr>
            <w:tcW w:w="4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3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380" w:type="dxa"/>
            <w:vAlign w:val="bottom"/>
            <w:shd w:val="clear" w:color="auto" w:fill="DBDBDB"/>
          </w:tcPr>
          <w:p>
            <w:pPr>
              <w:ind w:left="20"/>
              <w:spacing w:after="0" w:line="297" w:lineRule="exact"/>
              <w:rPr>
                <w:sz w:val="20"/>
                <w:szCs w:val="20"/>
                <w:color w:val="auto"/>
              </w:rPr>
            </w:pPr>
            <w:r>
              <w:rPr>
                <w:rFonts w:ascii="Calibri" w:cs="Calibri" w:eastAsia="Calibri" w:hAnsi="Calibri"/>
                <w:sz w:val="20"/>
                <w:szCs w:val="20"/>
                <w:color w:val="auto"/>
              </w:rPr>
              <w:t xml:space="preserve">Adjusted earnings per common share, diluted </w:t>
            </w:r>
            <w:r>
              <w:rPr>
                <w:rFonts w:ascii="Calibri" w:cs="Calibri" w:eastAsia="Calibri" w:hAnsi="Calibri"/>
                <w:sz w:val="25"/>
                <w:szCs w:val="25"/>
                <w:color w:val="auto"/>
                <w:vertAlign w:val="superscript"/>
              </w:rPr>
              <w:t>(2)</w:t>
            </w:r>
          </w:p>
        </w:tc>
        <w:tc>
          <w:tcPr>
            <w:tcW w:w="340" w:type="dxa"/>
            <w:vAlign w:val="bottom"/>
            <w:shd w:val="clear" w:color="auto" w:fill="DBDBDB"/>
          </w:tcPr>
          <w:p>
            <w:pPr>
              <w:jc w:val="right"/>
              <w:ind w:right="21"/>
              <w:spacing w:after="0" w:line="236" w:lineRule="exact"/>
              <w:rPr>
                <w:sz w:val="20"/>
                <w:szCs w:val="20"/>
                <w:color w:val="auto"/>
              </w:rPr>
            </w:pPr>
            <w:r>
              <w:rPr>
                <w:rFonts w:ascii="Calibri" w:cs="Calibri" w:eastAsia="Calibri" w:hAnsi="Calibri"/>
                <w:sz w:val="20"/>
                <w:szCs w:val="20"/>
                <w:color w:val="auto"/>
              </w:rPr>
              <w:t>$</w:t>
            </w:r>
          </w:p>
        </w:tc>
        <w:tc>
          <w:tcPr>
            <w:tcW w:w="1860" w:type="dxa"/>
            <w:vAlign w:val="bottom"/>
            <w:shd w:val="clear" w:color="auto" w:fill="DBDBDB"/>
          </w:tcPr>
          <w:p>
            <w:pPr>
              <w:jc w:val="right"/>
              <w:ind w:right="141"/>
              <w:spacing w:after="0" w:line="236" w:lineRule="exact"/>
              <w:rPr>
                <w:sz w:val="20"/>
                <w:szCs w:val="20"/>
                <w:color w:val="auto"/>
              </w:rPr>
            </w:pPr>
            <w:r>
              <w:rPr>
                <w:rFonts w:ascii="Calibri" w:cs="Calibri" w:eastAsia="Calibri" w:hAnsi="Calibri"/>
                <w:sz w:val="20"/>
                <w:szCs w:val="20"/>
                <w:color w:val="auto"/>
              </w:rPr>
              <w:t>2.21</w:t>
            </w:r>
          </w:p>
        </w:tc>
        <w:tc>
          <w:tcPr>
            <w:tcW w:w="240" w:type="dxa"/>
            <w:vAlign w:val="bottom"/>
            <w:shd w:val="clear" w:color="auto" w:fill="DBDBDB"/>
          </w:tcPr>
          <w:p>
            <w:pPr>
              <w:jc w:val="right"/>
              <w:ind w:right="41"/>
              <w:spacing w:after="0" w:line="236" w:lineRule="exact"/>
              <w:rPr>
                <w:sz w:val="20"/>
                <w:szCs w:val="20"/>
                <w:color w:val="auto"/>
              </w:rPr>
            </w:pPr>
            <w:r>
              <w:rPr>
                <w:rFonts w:ascii="Calibri" w:cs="Calibri" w:eastAsia="Calibri" w:hAnsi="Calibri"/>
                <w:sz w:val="20"/>
                <w:szCs w:val="20"/>
                <w:color w:val="auto"/>
                <w:w w:val="78"/>
              </w:rPr>
              <w:t>$</w:t>
            </w:r>
          </w:p>
        </w:tc>
        <w:tc>
          <w:tcPr>
            <w:tcW w:w="2340" w:type="dxa"/>
            <w:vAlign w:val="bottom"/>
            <w:shd w:val="clear" w:color="auto" w:fill="DBDBDB"/>
          </w:tcPr>
          <w:p>
            <w:pPr>
              <w:jc w:val="right"/>
              <w:ind w:right="621"/>
              <w:spacing w:after="0" w:line="236" w:lineRule="exact"/>
              <w:rPr>
                <w:sz w:val="20"/>
                <w:szCs w:val="20"/>
                <w:color w:val="auto"/>
              </w:rPr>
            </w:pPr>
            <w:r>
              <w:rPr>
                <w:rFonts w:ascii="Calibri" w:cs="Calibri" w:eastAsia="Calibri" w:hAnsi="Calibri"/>
                <w:sz w:val="20"/>
                <w:szCs w:val="20"/>
                <w:color w:val="auto"/>
              </w:rPr>
              <w:t>2.04</w:t>
            </w:r>
          </w:p>
        </w:tc>
        <w:tc>
          <w:tcPr>
            <w:tcW w:w="2080" w:type="dxa"/>
            <w:vAlign w:val="bottom"/>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8.3 %</w:t>
            </w:r>
          </w:p>
        </w:tc>
        <w:tc>
          <w:tcPr>
            <w:tcW w:w="0" w:type="dxa"/>
            <w:vAlign w:val="bottom"/>
          </w:tcPr>
          <w:p>
            <w:pPr>
              <w:spacing w:after="0"/>
              <w:rPr>
                <w:sz w:val="1"/>
                <w:szCs w:val="1"/>
                <w:color w:val="auto"/>
              </w:rPr>
            </w:pPr>
          </w:p>
        </w:tc>
      </w:tr>
      <w:tr>
        <w:trPr>
          <w:trHeight w:val="473"/>
        </w:trPr>
        <w:tc>
          <w:tcPr>
            <w:tcW w:w="4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gridSpan w:val="3"/>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380" w:type="dxa"/>
            <w:vAlign w:val="bottom"/>
            <w:vMerge w:val="restart"/>
            <w:shd w:val="clear" w:color="auto" w:fill="0E32E1"/>
          </w:tcPr>
          <w:p>
            <w:pPr>
              <w:ind w:left="20"/>
              <w:spacing w:after="0"/>
              <w:rPr>
                <w:sz w:val="20"/>
                <w:szCs w:val="20"/>
                <w:color w:val="auto"/>
              </w:rPr>
            </w:pPr>
            <w:r>
              <w:rPr>
                <w:rFonts w:ascii="Calibri" w:cs="Calibri" w:eastAsia="Calibri" w:hAnsi="Calibri"/>
                <w:sz w:val="20"/>
                <w:szCs w:val="20"/>
                <w:color w:val="FFFFFF"/>
              </w:rPr>
              <w:t xml:space="preserve">Fiscal 2023 Operatng Results </w:t>
            </w:r>
            <w:r>
              <w:rPr>
                <w:rFonts w:ascii="Calibri" w:cs="Calibri" w:eastAsia="Calibri" w:hAnsi="Calibri"/>
                <w:sz w:val="14"/>
                <w:szCs w:val="14"/>
                <w:color w:val="FFFFFF"/>
              </w:rPr>
              <w:t>($ in millions, except per share</w:t>
            </w:r>
          </w:p>
        </w:tc>
        <w:tc>
          <w:tcPr>
            <w:tcW w:w="340" w:type="dxa"/>
            <w:vAlign w:val="bottom"/>
            <w:shd w:val="clear" w:color="auto" w:fill="0E32E1"/>
          </w:tcPr>
          <w:p>
            <w:pPr>
              <w:spacing w:after="0"/>
              <w:rPr>
                <w:sz w:val="20"/>
                <w:szCs w:val="20"/>
                <w:color w:val="auto"/>
              </w:rPr>
            </w:pPr>
          </w:p>
        </w:tc>
        <w:tc>
          <w:tcPr>
            <w:tcW w:w="4440" w:type="dxa"/>
            <w:vAlign w:val="bottom"/>
            <w:gridSpan w:val="3"/>
            <w:shd w:val="clear" w:color="auto" w:fill="0E32E1"/>
          </w:tcPr>
          <w:p>
            <w:pPr>
              <w:jc w:val="right"/>
              <w:ind w:right="1761"/>
              <w:spacing w:after="0" w:line="236" w:lineRule="exact"/>
              <w:rPr>
                <w:sz w:val="20"/>
                <w:szCs w:val="20"/>
                <w:color w:val="auto"/>
              </w:rPr>
            </w:pPr>
            <w:r>
              <w:rPr>
                <w:rFonts w:ascii="Calibri" w:cs="Calibri" w:eastAsia="Calibri" w:hAnsi="Calibri"/>
                <w:sz w:val="20"/>
                <w:szCs w:val="20"/>
                <w:color w:val="FFFFFF"/>
              </w:rPr>
              <w:t>Fiscal Year Ended</w:t>
            </w:r>
          </w:p>
        </w:tc>
        <w:tc>
          <w:tcPr>
            <w:tcW w:w="2080" w:type="dxa"/>
            <w:vAlign w:val="bottom"/>
            <w:shd w:val="clear" w:color="auto" w:fill="0E32E1"/>
          </w:tcPr>
          <w:p>
            <w:pPr>
              <w:jc w:val="center"/>
              <w:ind w:right="361"/>
              <w:spacing w:after="0" w:line="236" w:lineRule="exact"/>
              <w:rPr>
                <w:sz w:val="20"/>
                <w:szCs w:val="20"/>
                <w:color w:val="auto"/>
              </w:rPr>
            </w:pPr>
            <w:r>
              <w:rPr>
                <w:rFonts w:ascii="Calibri" w:cs="Calibri" w:eastAsia="Calibri" w:hAnsi="Calibri"/>
                <w:sz w:val="20"/>
                <w:szCs w:val="20"/>
                <w:color w:val="FFFFFF"/>
              </w:rPr>
              <w:t>Change</w:t>
            </w:r>
          </w:p>
        </w:tc>
        <w:tc>
          <w:tcPr>
            <w:tcW w:w="0" w:type="dxa"/>
            <w:vAlign w:val="bottom"/>
          </w:tcPr>
          <w:p>
            <w:pPr>
              <w:spacing w:after="0"/>
              <w:rPr>
                <w:sz w:val="1"/>
                <w:szCs w:val="1"/>
                <w:color w:val="auto"/>
              </w:rPr>
            </w:pPr>
          </w:p>
        </w:tc>
      </w:tr>
      <w:tr>
        <w:trPr>
          <w:trHeight w:val="135"/>
        </w:trPr>
        <w:tc>
          <w:tcPr>
            <w:tcW w:w="4380" w:type="dxa"/>
            <w:vAlign w:val="bottom"/>
            <w:vMerge w:val="continue"/>
            <w:shd w:val="clear" w:color="auto" w:fill="0E32E1"/>
          </w:tcPr>
          <w:p>
            <w:pPr>
              <w:spacing w:after="0"/>
              <w:rPr>
                <w:sz w:val="11"/>
                <w:szCs w:val="11"/>
                <w:color w:val="auto"/>
              </w:rPr>
            </w:pPr>
          </w:p>
        </w:tc>
        <w:tc>
          <w:tcPr>
            <w:tcW w:w="340" w:type="dxa"/>
            <w:vAlign w:val="bottom"/>
            <w:shd w:val="clear" w:color="auto" w:fill="0E32E1"/>
          </w:tcPr>
          <w:p>
            <w:pPr>
              <w:spacing w:after="0"/>
              <w:rPr>
                <w:sz w:val="11"/>
                <w:szCs w:val="11"/>
                <w:color w:val="auto"/>
              </w:rPr>
            </w:pPr>
          </w:p>
        </w:tc>
        <w:tc>
          <w:tcPr>
            <w:tcW w:w="1860" w:type="dxa"/>
            <w:vAlign w:val="bottom"/>
            <w:vMerge w:val="restart"/>
            <w:shd w:val="clear" w:color="auto" w:fill="0E32E1"/>
          </w:tcPr>
          <w:p>
            <w:pPr>
              <w:jc w:val="right"/>
              <w:ind w:right="241"/>
              <w:spacing w:after="0"/>
              <w:rPr>
                <w:sz w:val="20"/>
                <w:szCs w:val="20"/>
                <w:color w:val="auto"/>
              </w:rPr>
            </w:pPr>
            <w:r>
              <w:rPr>
                <w:rFonts w:ascii="Calibri" w:cs="Calibri" w:eastAsia="Calibri" w:hAnsi="Calibri"/>
                <w:sz w:val="20"/>
                <w:szCs w:val="20"/>
                <w:color w:val="FFFFFF"/>
              </w:rPr>
              <w:t>February 3, 2024</w:t>
            </w:r>
          </w:p>
        </w:tc>
        <w:tc>
          <w:tcPr>
            <w:tcW w:w="240" w:type="dxa"/>
            <w:vAlign w:val="bottom"/>
            <w:shd w:val="clear" w:color="auto" w:fill="0E32E1"/>
          </w:tcPr>
          <w:p>
            <w:pPr>
              <w:spacing w:after="0"/>
              <w:rPr>
                <w:sz w:val="11"/>
                <w:szCs w:val="11"/>
                <w:color w:val="auto"/>
              </w:rPr>
            </w:pPr>
          </w:p>
        </w:tc>
        <w:tc>
          <w:tcPr>
            <w:tcW w:w="2340" w:type="dxa"/>
            <w:vAlign w:val="bottom"/>
            <w:vMerge w:val="restart"/>
            <w:shd w:val="clear" w:color="auto" w:fill="0E32E1"/>
          </w:tcPr>
          <w:p>
            <w:pPr>
              <w:jc w:val="right"/>
              <w:ind w:right="721"/>
              <w:spacing w:after="0"/>
              <w:rPr>
                <w:sz w:val="20"/>
                <w:szCs w:val="20"/>
                <w:color w:val="auto"/>
              </w:rPr>
            </w:pPr>
            <w:r>
              <w:rPr>
                <w:rFonts w:ascii="Calibri" w:cs="Calibri" w:eastAsia="Calibri" w:hAnsi="Calibri"/>
                <w:sz w:val="20"/>
                <w:szCs w:val="20"/>
                <w:color w:val="FFFFFF"/>
              </w:rPr>
              <w:t>January 28, 2023</w:t>
            </w:r>
          </w:p>
        </w:tc>
        <w:tc>
          <w:tcPr>
            <w:tcW w:w="2080" w:type="dxa"/>
            <w:vAlign w:val="bottom"/>
            <w:vMerge w:val="restart"/>
            <w:shd w:val="clear" w:color="auto" w:fill="0E32E1"/>
          </w:tcPr>
          <w:p>
            <w:pPr>
              <w:jc w:val="center"/>
              <w:ind w:right="361"/>
              <w:spacing w:after="0"/>
              <w:rPr>
                <w:sz w:val="20"/>
                <w:szCs w:val="20"/>
                <w:color w:val="auto"/>
              </w:rPr>
            </w:pPr>
            <w:r>
              <w:rPr>
                <w:rFonts w:ascii="Calibri" w:cs="Calibri" w:eastAsia="Calibri" w:hAnsi="Calibri"/>
                <w:sz w:val="20"/>
                <w:szCs w:val="20"/>
                <w:color w:val="FFFFFF"/>
                <w:w w:val="97"/>
              </w:rPr>
              <w:t>%</w:t>
            </w:r>
          </w:p>
        </w:tc>
        <w:tc>
          <w:tcPr>
            <w:tcW w:w="0" w:type="dxa"/>
            <w:vAlign w:val="bottom"/>
          </w:tcPr>
          <w:p>
            <w:pPr>
              <w:spacing w:after="0"/>
              <w:rPr>
                <w:sz w:val="1"/>
                <w:szCs w:val="1"/>
                <w:color w:val="auto"/>
              </w:rPr>
            </w:pPr>
          </w:p>
        </w:tc>
      </w:tr>
      <w:tr>
        <w:trPr>
          <w:trHeight w:val="202"/>
        </w:trPr>
        <w:tc>
          <w:tcPr>
            <w:tcW w:w="4380" w:type="dxa"/>
            <w:vAlign w:val="bottom"/>
            <w:tcBorders>
              <w:bottom w:val="single" w:sz="8" w:color="0E32E1"/>
            </w:tcBorders>
            <w:shd w:val="clear" w:color="auto" w:fill="0E32E1"/>
          </w:tcPr>
          <w:p>
            <w:pPr>
              <w:ind w:left="20"/>
              <w:spacing w:after="0"/>
              <w:rPr>
                <w:sz w:val="20"/>
                <w:szCs w:val="20"/>
                <w:color w:val="auto"/>
              </w:rPr>
            </w:pPr>
            <w:r>
              <w:rPr>
                <w:rFonts w:ascii="Calibri" w:cs="Calibri" w:eastAsia="Calibri" w:hAnsi="Calibri"/>
                <w:sz w:val="14"/>
                <w:szCs w:val="14"/>
                <w:color w:val="FFFFFF"/>
              </w:rPr>
              <w:t>data)</w:t>
            </w:r>
          </w:p>
        </w:tc>
        <w:tc>
          <w:tcPr>
            <w:tcW w:w="340" w:type="dxa"/>
            <w:vAlign w:val="bottom"/>
            <w:tcBorders>
              <w:bottom w:val="single" w:sz="8" w:color="0E32E1"/>
            </w:tcBorders>
            <w:shd w:val="clear" w:color="auto" w:fill="0E32E1"/>
          </w:tcPr>
          <w:p>
            <w:pPr>
              <w:spacing w:after="0"/>
              <w:rPr>
                <w:sz w:val="17"/>
                <w:szCs w:val="17"/>
                <w:color w:val="auto"/>
              </w:rPr>
            </w:pPr>
          </w:p>
        </w:tc>
        <w:tc>
          <w:tcPr>
            <w:tcW w:w="1860" w:type="dxa"/>
            <w:vAlign w:val="bottom"/>
            <w:tcBorders>
              <w:bottom w:val="single" w:sz="8" w:color="0E32E1"/>
            </w:tcBorders>
            <w:vMerge w:val="continue"/>
            <w:shd w:val="clear" w:color="auto" w:fill="0E32E1"/>
          </w:tcPr>
          <w:p>
            <w:pPr>
              <w:spacing w:after="0"/>
              <w:rPr>
                <w:sz w:val="17"/>
                <w:szCs w:val="17"/>
                <w:color w:val="auto"/>
              </w:rPr>
            </w:pPr>
          </w:p>
        </w:tc>
        <w:tc>
          <w:tcPr>
            <w:tcW w:w="240" w:type="dxa"/>
            <w:vAlign w:val="bottom"/>
            <w:tcBorders>
              <w:bottom w:val="single" w:sz="8" w:color="0E32E1"/>
            </w:tcBorders>
            <w:shd w:val="clear" w:color="auto" w:fill="0E32E1"/>
          </w:tcPr>
          <w:p>
            <w:pPr>
              <w:spacing w:after="0"/>
              <w:rPr>
                <w:sz w:val="17"/>
                <w:szCs w:val="17"/>
                <w:color w:val="auto"/>
              </w:rPr>
            </w:pPr>
          </w:p>
        </w:tc>
        <w:tc>
          <w:tcPr>
            <w:tcW w:w="2340" w:type="dxa"/>
            <w:vAlign w:val="bottom"/>
            <w:tcBorders>
              <w:bottom w:val="single" w:sz="8" w:color="0E32E1"/>
            </w:tcBorders>
            <w:vMerge w:val="continue"/>
            <w:shd w:val="clear" w:color="auto" w:fill="0E32E1"/>
          </w:tcPr>
          <w:p>
            <w:pPr>
              <w:spacing w:after="0"/>
              <w:rPr>
                <w:sz w:val="17"/>
                <w:szCs w:val="17"/>
                <w:color w:val="auto"/>
              </w:rPr>
            </w:pPr>
          </w:p>
        </w:tc>
        <w:tc>
          <w:tcPr>
            <w:tcW w:w="2080" w:type="dxa"/>
            <w:vAlign w:val="bottom"/>
            <w:tcBorders>
              <w:bottom w:val="single" w:sz="8" w:color="0E32E1"/>
            </w:tcBorders>
            <w:vMerge w:val="continue"/>
            <w:shd w:val="clear" w:color="auto" w:fill="0E32E1"/>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DBDBDB"/>
          </w:tcPr>
          <w:p>
            <w:pPr>
              <w:ind w:left="20"/>
              <w:spacing w:after="0" w:line="236" w:lineRule="exact"/>
              <w:rPr>
                <w:sz w:val="20"/>
                <w:szCs w:val="20"/>
                <w:color w:val="auto"/>
              </w:rPr>
            </w:pPr>
            <w:r>
              <w:rPr>
                <w:rFonts w:ascii="Calibri" w:cs="Calibri" w:eastAsia="Calibri" w:hAnsi="Calibri"/>
                <w:sz w:val="20"/>
                <w:szCs w:val="20"/>
                <w:color w:val="auto"/>
              </w:rPr>
              <w:t>Net sales</w:t>
            </w:r>
          </w:p>
        </w:tc>
        <w:tc>
          <w:tcPr>
            <w:tcW w:w="340" w:type="dxa"/>
            <w:vAlign w:val="bottom"/>
            <w:shd w:val="clear" w:color="auto" w:fill="DBDBDB"/>
          </w:tcPr>
          <w:p>
            <w:pPr>
              <w:jc w:val="right"/>
              <w:ind w:right="21"/>
              <w:spacing w:after="0" w:line="236" w:lineRule="exact"/>
              <w:rPr>
                <w:sz w:val="20"/>
                <w:szCs w:val="20"/>
                <w:color w:val="auto"/>
              </w:rPr>
            </w:pPr>
            <w:r>
              <w:rPr>
                <w:rFonts w:ascii="Calibri" w:cs="Calibri" w:eastAsia="Calibri" w:hAnsi="Calibri"/>
                <w:sz w:val="20"/>
                <w:szCs w:val="20"/>
                <w:color w:val="auto"/>
              </w:rPr>
              <w:t>$</w:t>
            </w:r>
          </w:p>
        </w:tc>
        <w:tc>
          <w:tcPr>
            <w:tcW w:w="1860" w:type="dxa"/>
            <w:vAlign w:val="bottom"/>
            <w:shd w:val="clear" w:color="auto" w:fill="DBDBDB"/>
          </w:tcPr>
          <w:p>
            <w:pPr>
              <w:jc w:val="right"/>
              <w:ind w:right="101"/>
              <w:spacing w:after="0" w:line="236" w:lineRule="exact"/>
              <w:rPr>
                <w:sz w:val="20"/>
                <w:szCs w:val="20"/>
                <w:color w:val="auto"/>
              </w:rPr>
            </w:pPr>
            <w:r>
              <w:rPr>
                <w:rFonts w:ascii="Calibri" w:cs="Calibri" w:eastAsia="Calibri" w:hAnsi="Calibri"/>
                <w:sz w:val="20"/>
                <w:szCs w:val="20"/>
                <w:color w:val="auto"/>
              </w:rPr>
              <w:t>6,159.3</w:t>
            </w:r>
          </w:p>
        </w:tc>
        <w:tc>
          <w:tcPr>
            <w:tcW w:w="240" w:type="dxa"/>
            <w:vAlign w:val="bottom"/>
            <w:shd w:val="clear" w:color="auto" w:fill="DBDBDB"/>
          </w:tcPr>
          <w:p>
            <w:pPr>
              <w:jc w:val="right"/>
              <w:ind w:right="1"/>
              <w:spacing w:after="0" w:line="236" w:lineRule="exact"/>
              <w:rPr>
                <w:sz w:val="20"/>
                <w:szCs w:val="20"/>
                <w:color w:val="auto"/>
              </w:rPr>
            </w:pPr>
            <w:r>
              <w:rPr>
                <w:rFonts w:ascii="Calibri" w:cs="Calibri" w:eastAsia="Calibri" w:hAnsi="Calibri"/>
                <w:sz w:val="20"/>
                <w:szCs w:val="20"/>
                <w:color w:val="auto"/>
              </w:rPr>
              <w:t>$</w:t>
            </w:r>
          </w:p>
        </w:tc>
        <w:tc>
          <w:tcPr>
            <w:tcW w:w="2340" w:type="dxa"/>
            <w:vAlign w:val="bottom"/>
            <w:shd w:val="clear" w:color="auto" w:fill="DBDBDB"/>
          </w:tcPr>
          <w:p>
            <w:pPr>
              <w:jc w:val="right"/>
              <w:ind w:right="581"/>
              <w:spacing w:after="0" w:line="236" w:lineRule="exact"/>
              <w:rPr>
                <w:sz w:val="20"/>
                <w:szCs w:val="20"/>
                <w:color w:val="auto"/>
              </w:rPr>
            </w:pPr>
            <w:r>
              <w:rPr>
                <w:rFonts w:ascii="Calibri" w:cs="Calibri" w:eastAsia="Calibri" w:hAnsi="Calibri"/>
                <w:sz w:val="20"/>
                <w:szCs w:val="20"/>
                <w:color w:val="auto"/>
              </w:rPr>
              <w:t>6,395.1</w:t>
            </w:r>
          </w:p>
        </w:tc>
        <w:tc>
          <w:tcPr>
            <w:tcW w:w="2080" w:type="dxa"/>
            <w:vAlign w:val="bottom"/>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(3.7)%</w:t>
            </w:r>
          </w:p>
        </w:tc>
        <w:tc>
          <w:tcPr>
            <w:tcW w:w="0" w:type="dxa"/>
            <w:vAlign w:val="bottom"/>
          </w:tcPr>
          <w:p>
            <w:pPr>
              <w:spacing w:after="0"/>
              <w:rPr>
                <w:sz w:val="1"/>
                <w:szCs w:val="1"/>
                <w:color w:val="auto"/>
              </w:rPr>
            </w:pPr>
          </w:p>
        </w:tc>
      </w:tr>
      <w:tr>
        <w:trPr>
          <w:trHeight w:val="60"/>
        </w:trPr>
        <w:tc>
          <w:tcPr>
            <w:tcW w:w="4380" w:type="dxa"/>
            <w:vAlign w:val="bottom"/>
            <w:shd w:val="clear" w:color="auto" w:fill="DBDBDB"/>
          </w:tcPr>
          <w:p>
            <w:pPr>
              <w:spacing w:after="0"/>
              <w:rPr>
                <w:sz w:val="5"/>
                <w:szCs w:val="5"/>
                <w:color w:val="auto"/>
              </w:rPr>
            </w:pPr>
          </w:p>
        </w:tc>
        <w:tc>
          <w:tcPr>
            <w:tcW w:w="340" w:type="dxa"/>
            <w:vAlign w:val="bottom"/>
            <w:shd w:val="clear" w:color="auto" w:fill="DBDBDB"/>
          </w:tcPr>
          <w:p>
            <w:pPr>
              <w:spacing w:after="0"/>
              <w:rPr>
                <w:sz w:val="5"/>
                <w:szCs w:val="5"/>
                <w:color w:val="auto"/>
              </w:rPr>
            </w:pPr>
          </w:p>
        </w:tc>
        <w:tc>
          <w:tcPr>
            <w:tcW w:w="1860" w:type="dxa"/>
            <w:vAlign w:val="bottom"/>
            <w:shd w:val="clear" w:color="auto" w:fill="DBDBDB"/>
          </w:tcPr>
          <w:p>
            <w:pPr>
              <w:spacing w:after="0"/>
              <w:rPr>
                <w:sz w:val="5"/>
                <w:szCs w:val="5"/>
                <w:color w:val="auto"/>
              </w:rPr>
            </w:pPr>
          </w:p>
        </w:tc>
        <w:tc>
          <w:tcPr>
            <w:tcW w:w="240" w:type="dxa"/>
            <w:vAlign w:val="bottom"/>
            <w:shd w:val="clear" w:color="auto" w:fill="DBDBDB"/>
          </w:tcPr>
          <w:p>
            <w:pPr>
              <w:spacing w:after="0"/>
              <w:rPr>
                <w:sz w:val="5"/>
                <w:szCs w:val="5"/>
                <w:color w:val="auto"/>
              </w:rPr>
            </w:pPr>
          </w:p>
        </w:tc>
        <w:tc>
          <w:tcPr>
            <w:tcW w:w="2340" w:type="dxa"/>
            <w:vAlign w:val="bottom"/>
            <w:shd w:val="clear" w:color="auto" w:fill="DBDBDB"/>
          </w:tcPr>
          <w:p>
            <w:pPr>
              <w:spacing w:after="0"/>
              <w:rPr>
                <w:sz w:val="5"/>
                <w:szCs w:val="5"/>
                <w:color w:val="auto"/>
              </w:rPr>
            </w:pPr>
          </w:p>
        </w:tc>
        <w:tc>
          <w:tcPr>
            <w:tcW w:w="208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line="236" w:lineRule="exact"/>
              <w:rPr>
                <w:sz w:val="20"/>
                <w:szCs w:val="20"/>
                <w:color w:val="auto"/>
              </w:rPr>
            </w:pPr>
            <w:r>
              <w:rPr>
                <w:rFonts w:ascii="Calibri" w:cs="Calibri" w:eastAsia="Calibri" w:hAnsi="Calibri"/>
                <w:sz w:val="20"/>
                <w:szCs w:val="20"/>
                <w:color w:val="auto"/>
              </w:rPr>
              <w:t>Comparable sales</w:t>
            </w:r>
          </w:p>
        </w:tc>
        <w:tc>
          <w:tcPr>
            <w:tcW w:w="340" w:type="dxa"/>
            <w:vAlign w:val="bottom"/>
          </w:tcPr>
          <w:p>
            <w:pPr>
              <w:spacing w:after="0"/>
              <w:rPr>
                <w:sz w:val="20"/>
                <w:szCs w:val="20"/>
                <w:color w:val="auto"/>
              </w:rPr>
            </w:pPr>
          </w:p>
        </w:tc>
        <w:tc>
          <w:tcPr>
            <w:tcW w:w="1860" w:type="dxa"/>
            <w:vAlign w:val="bottom"/>
          </w:tcPr>
          <w:p>
            <w:pPr>
              <w:jc w:val="right"/>
              <w:spacing w:after="0" w:line="236" w:lineRule="exact"/>
              <w:rPr>
                <w:sz w:val="20"/>
                <w:szCs w:val="20"/>
                <w:color w:val="auto"/>
              </w:rPr>
            </w:pPr>
            <w:r>
              <w:rPr>
                <w:rFonts w:ascii="Calibri" w:cs="Calibri" w:eastAsia="Calibri" w:hAnsi="Calibri"/>
                <w:sz w:val="20"/>
                <w:szCs w:val="20"/>
                <w:color w:val="auto"/>
              </w:rPr>
              <w:t>(6.5)%</w:t>
            </w:r>
          </w:p>
        </w:tc>
        <w:tc>
          <w:tcPr>
            <w:tcW w:w="240" w:type="dxa"/>
            <w:vAlign w:val="bottom"/>
          </w:tcPr>
          <w:p>
            <w:pPr>
              <w:spacing w:after="0"/>
              <w:rPr>
                <w:sz w:val="20"/>
                <w:szCs w:val="20"/>
                <w:color w:val="auto"/>
              </w:rPr>
            </w:pPr>
          </w:p>
        </w:tc>
        <w:tc>
          <w:tcPr>
            <w:tcW w:w="2340" w:type="dxa"/>
            <w:vAlign w:val="bottom"/>
          </w:tcPr>
          <w:p>
            <w:pPr>
              <w:jc w:val="right"/>
              <w:ind w:right="381"/>
              <w:spacing w:after="0" w:line="236" w:lineRule="exact"/>
              <w:rPr>
                <w:sz w:val="20"/>
                <w:szCs w:val="20"/>
                <w:color w:val="auto"/>
              </w:rPr>
            </w:pPr>
            <w:r>
              <w:rPr>
                <w:rFonts w:ascii="Calibri" w:cs="Calibri" w:eastAsia="Calibri" w:hAnsi="Calibri"/>
                <w:sz w:val="20"/>
                <w:szCs w:val="20"/>
                <w:color w:val="auto"/>
              </w:rPr>
              <w:t>(6.4)%</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4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3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DBDBDB"/>
          </w:tcPr>
          <w:p>
            <w:pPr>
              <w:ind w:left="20"/>
              <w:spacing w:after="0" w:line="236" w:lineRule="exact"/>
              <w:rPr>
                <w:sz w:val="20"/>
                <w:szCs w:val="20"/>
                <w:color w:val="auto"/>
              </w:rPr>
            </w:pPr>
            <w:r>
              <w:rPr>
                <w:rFonts w:ascii="Calibri" w:cs="Calibri" w:eastAsia="Calibri" w:hAnsi="Calibri"/>
                <w:sz w:val="20"/>
                <w:szCs w:val="20"/>
                <w:color w:val="auto"/>
              </w:rPr>
              <w:t>Income before income tax</w:t>
            </w:r>
          </w:p>
        </w:tc>
        <w:tc>
          <w:tcPr>
            <w:tcW w:w="340" w:type="dxa"/>
            <w:vAlign w:val="bottom"/>
            <w:shd w:val="clear" w:color="auto" w:fill="DBDBDB"/>
          </w:tcPr>
          <w:p>
            <w:pPr>
              <w:jc w:val="right"/>
              <w:ind w:right="21"/>
              <w:spacing w:after="0" w:line="236" w:lineRule="exact"/>
              <w:rPr>
                <w:sz w:val="20"/>
                <w:szCs w:val="20"/>
                <w:color w:val="auto"/>
              </w:rPr>
            </w:pPr>
            <w:r>
              <w:rPr>
                <w:rFonts w:ascii="Calibri" w:cs="Calibri" w:eastAsia="Calibri" w:hAnsi="Calibri"/>
                <w:sz w:val="20"/>
                <w:szCs w:val="20"/>
                <w:color w:val="auto"/>
              </w:rPr>
              <w:t>$</w:t>
            </w:r>
          </w:p>
        </w:tc>
        <w:tc>
          <w:tcPr>
            <w:tcW w:w="1860" w:type="dxa"/>
            <w:vAlign w:val="bottom"/>
            <w:shd w:val="clear" w:color="auto" w:fill="DBDBDB"/>
          </w:tcPr>
          <w:p>
            <w:pPr>
              <w:jc w:val="right"/>
              <w:ind w:right="101"/>
              <w:spacing w:after="0" w:line="236" w:lineRule="exact"/>
              <w:rPr>
                <w:sz w:val="20"/>
                <w:szCs w:val="20"/>
                <w:color w:val="auto"/>
              </w:rPr>
            </w:pPr>
            <w:r>
              <w:rPr>
                <w:rFonts w:ascii="Calibri" w:cs="Calibri" w:eastAsia="Calibri" w:hAnsi="Calibri"/>
                <w:sz w:val="20"/>
                <w:szCs w:val="20"/>
                <w:color w:val="auto"/>
              </w:rPr>
              <w:t>663.2</w:t>
            </w:r>
          </w:p>
        </w:tc>
        <w:tc>
          <w:tcPr>
            <w:tcW w:w="240" w:type="dxa"/>
            <w:vAlign w:val="bottom"/>
            <w:shd w:val="clear" w:color="auto" w:fill="DBDBDB"/>
          </w:tcPr>
          <w:p>
            <w:pPr>
              <w:jc w:val="right"/>
              <w:ind w:right="1"/>
              <w:spacing w:after="0" w:line="236" w:lineRule="exact"/>
              <w:rPr>
                <w:sz w:val="20"/>
                <w:szCs w:val="20"/>
                <w:color w:val="auto"/>
              </w:rPr>
            </w:pPr>
            <w:r>
              <w:rPr>
                <w:rFonts w:ascii="Calibri" w:cs="Calibri" w:eastAsia="Calibri" w:hAnsi="Calibri"/>
                <w:sz w:val="20"/>
                <w:szCs w:val="20"/>
                <w:color w:val="auto"/>
              </w:rPr>
              <w:t>$</w:t>
            </w:r>
          </w:p>
        </w:tc>
        <w:tc>
          <w:tcPr>
            <w:tcW w:w="2340" w:type="dxa"/>
            <w:vAlign w:val="bottom"/>
            <w:shd w:val="clear" w:color="auto" w:fill="DBDBDB"/>
          </w:tcPr>
          <w:p>
            <w:pPr>
              <w:jc w:val="right"/>
              <w:ind w:right="581"/>
              <w:spacing w:after="0" w:line="236" w:lineRule="exact"/>
              <w:rPr>
                <w:sz w:val="20"/>
                <w:szCs w:val="20"/>
                <w:color w:val="auto"/>
              </w:rPr>
            </w:pPr>
            <w:r>
              <w:rPr>
                <w:rFonts w:ascii="Calibri" w:cs="Calibri" w:eastAsia="Calibri" w:hAnsi="Calibri"/>
                <w:sz w:val="20"/>
                <w:szCs w:val="20"/>
                <w:color w:val="auto"/>
              </w:rPr>
              <w:t>818.3</w:t>
            </w:r>
          </w:p>
        </w:tc>
        <w:tc>
          <w:tcPr>
            <w:tcW w:w="2080" w:type="dxa"/>
            <w:vAlign w:val="bottom"/>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(19.0)%</w:t>
            </w:r>
          </w:p>
        </w:tc>
        <w:tc>
          <w:tcPr>
            <w:tcW w:w="0" w:type="dxa"/>
            <w:vAlign w:val="bottom"/>
          </w:tcPr>
          <w:p>
            <w:pPr>
              <w:spacing w:after="0"/>
              <w:rPr>
                <w:sz w:val="1"/>
                <w:szCs w:val="1"/>
                <w:color w:val="auto"/>
              </w:rPr>
            </w:pPr>
          </w:p>
        </w:tc>
      </w:tr>
      <w:tr>
        <w:trPr>
          <w:trHeight w:val="60"/>
        </w:trPr>
        <w:tc>
          <w:tcPr>
            <w:tcW w:w="4380" w:type="dxa"/>
            <w:vAlign w:val="bottom"/>
            <w:shd w:val="clear" w:color="auto" w:fill="DBDBDB"/>
          </w:tcPr>
          <w:p>
            <w:pPr>
              <w:spacing w:after="0"/>
              <w:rPr>
                <w:sz w:val="5"/>
                <w:szCs w:val="5"/>
                <w:color w:val="auto"/>
              </w:rPr>
            </w:pPr>
          </w:p>
        </w:tc>
        <w:tc>
          <w:tcPr>
            <w:tcW w:w="340" w:type="dxa"/>
            <w:vAlign w:val="bottom"/>
            <w:shd w:val="clear" w:color="auto" w:fill="DBDBDB"/>
          </w:tcPr>
          <w:p>
            <w:pPr>
              <w:spacing w:after="0"/>
              <w:rPr>
                <w:sz w:val="5"/>
                <w:szCs w:val="5"/>
                <w:color w:val="auto"/>
              </w:rPr>
            </w:pPr>
          </w:p>
        </w:tc>
        <w:tc>
          <w:tcPr>
            <w:tcW w:w="1860" w:type="dxa"/>
            <w:vAlign w:val="bottom"/>
            <w:shd w:val="clear" w:color="auto" w:fill="DBDBDB"/>
          </w:tcPr>
          <w:p>
            <w:pPr>
              <w:spacing w:after="0"/>
              <w:rPr>
                <w:sz w:val="5"/>
                <w:szCs w:val="5"/>
                <w:color w:val="auto"/>
              </w:rPr>
            </w:pPr>
          </w:p>
        </w:tc>
        <w:tc>
          <w:tcPr>
            <w:tcW w:w="240" w:type="dxa"/>
            <w:vAlign w:val="bottom"/>
            <w:shd w:val="clear" w:color="auto" w:fill="DBDBDB"/>
          </w:tcPr>
          <w:p>
            <w:pPr>
              <w:spacing w:after="0"/>
              <w:rPr>
                <w:sz w:val="5"/>
                <w:szCs w:val="5"/>
                <w:color w:val="auto"/>
              </w:rPr>
            </w:pPr>
          </w:p>
        </w:tc>
        <w:tc>
          <w:tcPr>
            <w:tcW w:w="2340" w:type="dxa"/>
            <w:vAlign w:val="bottom"/>
            <w:shd w:val="clear" w:color="auto" w:fill="DBDBDB"/>
          </w:tcPr>
          <w:p>
            <w:pPr>
              <w:spacing w:after="0"/>
              <w:rPr>
                <w:sz w:val="5"/>
                <w:szCs w:val="5"/>
                <w:color w:val="auto"/>
              </w:rPr>
            </w:pPr>
          </w:p>
        </w:tc>
        <w:tc>
          <w:tcPr>
            <w:tcW w:w="208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380" w:type="dxa"/>
            <w:vAlign w:val="bottom"/>
          </w:tcPr>
          <w:p>
            <w:pPr>
              <w:ind w:left="20"/>
              <w:spacing w:after="0" w:line="297" w:lineRule="exact"/>
              <w:rPr>
                <w:sz w:val="20"/>
                <w:szCs w:val="20"/>
                <w:color w:val="auto"/>
              </w:rPr>
            </w:pPr>
            <w:r>
              <w:rPr>
                <w:rFonts w:ascii="Calibri" w:cs="Calibri" w:eastAsia="Calibri" w:hAnsi="Calibri"/>
                <w:sz w:val="20"/>
                <w:szCs w:val="20"/>
                <w:color w:val="auto"/>
              </w:rPr>
              <w:t xml:space="preserve">Net income </w:t>
            </w:r>
            <w:r>
              <w:rPr>
                <w:rFonts w:ascii="Calibri" w:cs="Calibri" w:eastAsia="Calibri" w:hAnsi="Calibri"/>
                <w:sz w:val="25"/>
                <w:szCs w:val="25"/>
                <w:color w:val="auto"/>
                <w:vertAlign w:val="superscript"/>
              </w:rPr>
              <w:t>(1)</w:t>
            </w:r>
          </w:p>
        </w:tc>
        <w:tc>
          <w:tcPr>
            <w:tcW w:w="340" w:type="dxa"/>
            <w:vAlign w:val="bottom"/>
          </w:tcPr>
          <w:p>
            <w:pPr>
              <w:jc w:val="right"/>
              <w:ind w:right="21"/>
              <w:spacing w:after="0" w:line="236" w:lineRule="exact"/>
              <w:rPr>
                <w:sz w:val="20"/>
                <w:szCs w:val="20"/>
                <w:color w:val="auto"/>
              </w:rPr>
            </w:pPr>
            <w:r>
              <w:rPr>
                <w:rFonts w:ascii="Calibri" w:cs="Calibri" w:eastAsia="Calibri" w:hAnsi="Calibri"/>
                <w:sz w:val="20"/>
                <w:szCs w:val="20"/>
                <w:color w:val="auto"/>
              </w:rPr>
              <w:t>$</w:t>
            </w:r>
          </w:p>
        </w:tc>
        <w:tc>
          <w:tcPr>
            <w:tcW w:w="1860" w:type="dxa"/>
            <w:vAlign w:val="bottom"/>
          </w:tcPr>
          <w:p>
            <w:pPr>
              <w:jc w:val="right"/>
              <w:ind w:right="101"/>
              <w:spacing w:after="0" w:line="236" w:lineRule="exact"/>
              <w:rPr>
                <w:sz w:val="20"/>
                <w:szCs w:val="20"/>
                <w:color w:val="auto"/>
              </w:rPr>
            </w:pPr>
            <w:r>
              <w:rPr>
                <w:rFonts w:ascii="Calibri" w:cs="Calibri" w:eastAsia="Calibri" w:hAnsi="Calibri"/>
                <w:sz w:val="20"/>
                <w:szCs w:val="20"/>
                <w:color w:val="auto"/>
              </w:rPr>
              <w:t>519.2</w:t>
            </w:r>
          </w:p>
        </w:tc>
        <w:tc>
          <w:tcPr>
            <w:tcW w:w="240" w:type="dxa"/>
            <w:vAlign w:val="bottom"/>
          </w:tcPr>
          <w:p>
            <w:pPr>
              <w:jc w:val="right"/>
              <w:ind w:right="1"/>
              <w:spacing w:after="0" w:line="236" w:lineRule="exact"/>
              <w:rPr>
                <w:sz w:val="20"/>
                <w:szCs w:val="20"/>
                <w:color w:val="auto"/>
              </w:rPr>
            </w:pPr>
            <w:r>
              <w:rPr>
                <w:rFonts w:ascii="Calibri" w:cs="Calibri" w:eastAsia="Calibri" w:hAnsi="Calibri"/>
                <w:sz w:val="20"/>
                <w:szCs w:val="20"/>
                <w:color w:val="auto"/>
              </w:rPr>
              <w:t>$</w:t>
            </w:r>
          </w:p>
        </w:tc>
        <w:tc>
          <w:tcPr>
            <w:tcW w:w="2340" w:type="dxa"/>
            <w:vAlign w:val="bottom"/>
          </w:tcPr>
          <w:p>
            <w:pPr>
              <w:jc w:val="right"/>
              <w:ind w:right="581"/>
              <w:spacing w:after="0" w:line="236" w:lineRule="exact"/>
              <w:rPr>
                <w:sz w:val="20"/>
                <w:szCs w:val="20"/>
                <w:color w:val="auto"/>
              </w:rPr>
            </w:pPr>
            <w:r>
              <w:rPr>
                <w:rFonts w:ascii="Calibri" w:cs="Calibri" w:eastAsia="Calibri" w:hAnsi="Calibri"/>
                <w:sz w:val="20"/>
                <w:szCs w:val="20"/>
                <w:color w:val="auto"/>
              </w:rPr>
              <w:t>628.0</w:t>
            </w:r>
          </w:p>
        </w:tc>
        <w:tc>
          <w:tcPr>
            <w:tcW w:w="2080" w:type="dxa"/>
            <w:vAlign w:val="bottom"/>
          </w:tcPr>
          <w:p>
            <w:pPr>
              <w:jc w:val="right"/>
              <w:spacing w:after="0" w:line="236" w:lineRule="exact"/>
              <w:rPr>
                <w:sz w:val="20"/>
                <w:szCs w:val="20"/>
                <w:color w:val="auto"/>
              </w:rPr>
            </w:pPr>
            <w:r>
              <w:rPr>
                <w:rFonts w:ascii="Calibri" w:cs="Calibri" w:eastAsia="Calibri" w:hAnsi="Calibri"/>
                <w:sz w:val="20"/>
                <w:szCs w:val="20"/>
                <w:color w:val="auto"/>
              </w:rPr>
              <w:t>(17.3)%</w:t>
            </w:r>
          </w:p>
        </w:tc>
        <w:tc>
          <w:tcPr>
            <w:tcW w:w="0" w:type="dxa"/>
            <w:vAlign w:val="bottom"/>
          </w:tcPr>
          <w:p>
            <w:pPr>
              <w:spacing w:after="0"/>
              <w:rPr>
                <w:sz w:val="1"/>
                <w:szCs w:val="1"/>
                <w:color w:val="auto"/>
              </w:rPr>
            </w:pPr>
          </w:p>
        </w:tc>
      </w:tr>
      <w:tr>
        <w:trPr>
          <w:trHeight w:val="297"/>
        </w:trPr>
        <w:tc>
          <w:tcPr>
            <w:tcW w:w="4380" w:type="dxa"/>
            <w:vAlign w:val="bottom"/>
            <w:shd w:val="clear" w:color="auto" w:fill="DBDBDB"/>
          </w:tcPr>
          <w:p>
            <w:pPr>
              <w:ind w:left="20"/>
              <w:spacing w:after="0" w:line="297" w:lineRule="exact"/>
              <w:rPr>
                <w:sz w:val="20"/>
                <w:szCs w:val="20"/>
                <w:color w:val="auto"/>
              </w:rPr>
            </w:pPr>
            <w:r>
              <w:rPr>
                <w:rFonts w:ascii="Calibri" w:cs="Calibri" w:eastAsia="Calibri" w:hAnsi="Calibri"/>
                <w:sz w:val="20"/>
                <w:szCs w:val="20"/>
                <w:color w:val="auto"/>
              </w:rPr>
              <w:t xml:space="preserve">Adjusted net income </w:t>
            </w:r>
            <w:r>
              <w:rPr>
                <w:rFonts w:ascii="Calibri" w:cs="Calibri" w:eastAsia="Calibri" w:hAnsi="Calibri"/>
                <w:sz w:val="25"/>
                <w:szCs w:val="25"/>
                <w:color w:val="auto"/>
                <w:vertAlign w:val="superscript"/>
              </w:rPr>
              <w:t>(2)</w:t>
            </w:r>
          </w:p>
        </w:tc>
        <w:tc>
          <w:tcPr>
            <w:tcW w:w="340" w:type="dxa"/>
            <w:vAlign w:val="bottom"/>
            <w:shd w:val="clear" w:color="auto" w:fill="DBDBDB"/>
          </w:tcPr>
          <w:p>
            <w:pPr>
              <w:jc w:val="right"/>
              <w:ind w:right="21"/>
              <w:spacing w:after="0" w:line="236" w:lineRule="exact"/>
              <w:rPr>
                <w:sz w:val="20"/>
                <w:szCs w:val="20"/>
                <w:color w:val="auto"/>
              </w:rPr>
            </w:pPr>
            <w:r>
              <w:rPr>
                <w:rFonts w:ascii="Calibri" w:cs="Calibri" w:eastAsia="Calibri" w:hAnsi="Calibri"/>
                <w:sz w:val="20"/>
                <w:szCs w:val="20"/>
                <w:color w:val="auto"/>
              </w:rPr>
              <w:t>$</w:t>
            </w:r>
          </w:p>
        </w:tc>
        <w:tc>
          <w:tcPr>
            <w:tcW w:w="1860" w:type="dxa"/>
            <w:vAlign w:val="bottom"/>
            <w:shd w:val="clear" w:color="auto" w:fill="DBDBDB"/>
          </w:tcPr>
          <w:p>
            <w:pPr>
              <w:jc w:val="right"/>
              <w:ind w:right="101"/>
              <w:spacing w:after="0" w:line="236" w:lineRule="exact"/>
              <w:rPr>
                <w:sz w:val="20"/>
                <w:szCs w:val="20"/>
                <w:color w:val="auto"/>
              </w:rPr>
            </w:pPr>
            <w:r>
              <w:rPr>
                <w:rFonts w:ascii="Calibri" w:cs="Calibri" w:eastAsia="Calibri" w:hAnsi="Calibri"/>
                <w:sz w:val="20"/>
                <w:szCs w:val="20"/>
                <w:color w:val="auto"/>
              </w:rPr>
              <w:t>539.5</w:t>
            </w:r>
          </w:p>
        </w:tc>
        <w:tc>
          <w:tcPr>
            <w:tcW w:w="240" w:type="dxa"/>
            <w:vAlign w:val="bottom"/>
            <w:shd w:val="clear" w:color="auto" w:fill="DBDBDB"/>
          </w:tcPr>
          <w:p>
            <w:pPr>
              <w:jc w:val="right"/>
              <w:ind w:right="1"/>
              <w:spacing w:after="0" w:line="236" w:lineRule="exact"/>
              <w:rPr>
                <w:sz w:val="20"/>
                <w:szCs w:val="20"/>
                <w:color w:val="auto"/>
              </w:rPr>
            </w:pPr>
            <w:r>
              <w:rPr>
                <w:rFonts w:ascii="Calibri" w:cs="Calibri" w:eastAsia="Calibri" w:hAnsi="Calibri"/>
                <w:sz w:val="20"/>
                <w:szCs w:val="20"/>
                <w:color w:val="auto"/>
              </w:rPr>
              <w:t>$</w:t>
            </w:r>
          </w:p>
        </w:tc>
        <w:tc>
          <w:tcPr>
            <w:tcW w:w="2340" w:type="dxa"/>
            <w:vAlign w:val="bottom"/>
            <w:shd w:val="clear" w:color="auto" w:fill="DBDBDB"/>
          </w:tcPr>
          <w:p>
            <w:pPr>
              <w:jc w:val="right"/>
              <w:ind w:right="581"/>
              <w:spacing w:after="0" w:line="236" w:lineRule="exact"/>
              <w:rPr>
                <w:sz w:val="20"/>
                <w:szCs w:val="20"/>
                <w:color w:val="auto"/>
              </w:rPr>
            </w:pPr>
            <w:r>
              <w:rPr>
                <w:rFonts w:ascii="Calibri" w:cs="Calibri" w:eastAsia="Calibri" w:hAnsi="Calibri"/>
                <w:sz w:val="20"/>
                <w:szCs w:val="20"/>
                <w:color w:val="auto"/>
              </w:rPr>
              <w:t>645.8</w:t>
            </w:r>
          </w:p>
        </w:tc>
        <w:tc>
          <w:tcPr>
            <w:tcW w:w="2080" w:type="dxa"/>
            <w:vAlign w:val="bottom"/>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(16.5)%</w:t>
            </w: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line="236" w:lineRule="exact"/>
              <w:rPr>
                <w:sz w:val="20"/>
                <w:szCs w:val="20"/>
                <w:color w:val="auto"/>
              </w:rPr>
            </w:pPr>
            <w:r>
              <w:rPr>
                <w:rFonts w:ascii="Calibri" w:cs="Calibri" w:eastAsia="Calibri" w:hAnsi="Calibri"/>
                <w:sz w:val="20"/>
                <w:szCs w:val="20"/>
                <w:color w:val="auto"/>
              </w:rPr>
              <w:t>Earnings per common share, diluted</w:t>
            </w:r>
          </w:p>
        </w:tc>
        <w:tc>
          <w:tcPr>
            <w:tcW w:w="340" w:type="dxa"/>
            <w:vAlign w:val="bottom"/>
          </w:tcPr>
          <w:p>
            <w:pPr>
              <w:jc w:val="right"/>
              <w:ind w:right="21"/>
              <w:spacing w:after="0" w:line="236" w:lineRule="exact"/>
              <w:rPr>
                <w:sz w:val="20"/>
                <w:szCs w:val="20"/>
                <w:color w:val="auto"/>
              </w:rPr>
            </w:pPr>
            <w:r>
              <w:rPr>
                <w:rFonts w:ascii="Calibri" w:cs="Calibri" w:eastAsia="Calibri" w:hAnsi="Calibri"/>
                <w:sz w:val="20"/>
                <w:szCs w:val="20"/>
                <w:color w:val="auto"/>
              </w:rPr>
              <w:t>$</w:t>
            </w:r>
          </w:p>
        </w:tc>
        <w:tc>
          <w:tcPr>
            <w:tcW w:w="1860" w:type="dxa"/>
            <w:vAlign w:val="bottom"/>
          </w:tcPr>
          <w:p>
            <w:pPr>
              <w:jc w:val="right"/>
              <w:ind w:right="101"/>
              <w:spacing w:after="0" w:line="236" w:lineRule="exact"/>
              <w:rPr>
                <w:sz w:val="20"/>
                <w:szCs w:val="20"/>
                <w:color w:val="auto"/>
              </w:rPr>
            </w:pPr>
            <w:r>
              <w:rPr>
                <w:rFonts w:ascii="Calibri" w:cs="Calibri" w:eastAsia="Calibri" w:hAnsi="Calibri"/>
                <w:sz w:val="20"/>
                <w:szCs w:val="20"/>
                <w:color w:val="auto"/>
              </w:rPr>
              <w:t>6.70</w:t>
            </w:r>
          </w:p>
        </w:tc>
        <w:tc>
          <w:tcPr>
            <w:tcW w:w="240" w:type="dxa"/>
            <w:vAlign w:val="bottom"/>
          </w:tcPr>
          <w:p>
            <w:pPr>
              <w:jc w:val="right"/>
              <w:ind w:right="1"/>
              <w:spacing w:after="0" w:line="236" w:lineRule="exact"/>
              <w:rPr>
                <w:sz w:val="20"/>
                <w:szCs w:val="20"/>
                <w:color w:val="auto"/>
              </w:rPr>
            </w:pPr>
            <w:r>
              <w:rPr>
                <w:rFonts w:ascii="Calibri" w:cs="Calibri" w:eastAsia="Calibri" w:hAnsi="Calibri"/>
                <w:sz w:val="20"/>
                <w:szCs w:val="20"/>
                <w:color w:val="auto"/>
              </w:rPr>
              <w:t>$</w:t>
            </w:r>
          </w:p>
        </w:tc>
        <w:tc>
          <w:tcPr>
            <w:tcW w:w="2340" w:type="dxa"/>
            <w:vAlign w:val="bottom"/>
          </w:tcPr>
          <w:p>
            <w:pPr>
              <w:jc w:val="right"/>
              <w:ind w:right="581"/>
              <w:spacing w:after="0" w:line="236" w:lineRule="exact"/>
              <w:rPr>
                <w:sz w:val="20"/>
                <w:szCs w:val="20"/>
                <w:color w:val="auto"/>
              </w:rPr>
            </w:pPr>
            <w:r>
              <w:rPr>
                <w:rFonts w:ascii="Calibri" w:cs="Calibri" w:eastAsia="Calibri" w:hAnsi="Calibri"/>
                <w:sz w:val="20"/>
                <w:szCs w:val="20"/>
                <w:color w:val="auto"/>
              </w:rPr>
              <w:t>7.49</w:t>
            </w:r>
          </w:p>
        </w:tc>
        <w:tc>
          <w:tcPr>
            <w:tcW w:w="2080" w:type="dxa"/>
            <w:vAlign w:val="bottom"/>
          </w:tcPr>
          <w:p>
            <w:pPr>
              <w:jc w:val="right"/>
              <w:spacing w:after="0" w:line="236" w:lineRule="exact"/>
              <w:rPr>
                <w:sz w:val="20"/>
                <w:szCs w:val="20"/>
                <w:color w:val="auto"/>
              </w:rPr>
            </w:pPr>
            <w:r>
              <w:rPr>
                <w:rFonts w:ascii="Calibri" w:cs="Calibri" w:eastAsia="Calibri" w:hAnsi="Calibri"/>
                <w:sz w:val="20"/>
                <w:szCs w:val="20"/>
                <w:color w:val="auto"/>
              </w:rPr>
              <w:t>(10.5)%</w:t>
            </w:r>
          </w:p>
        </w:tc>
        <w:tc>
          <w:tcPr>
            <w:tcW w:w="0" w:type="dxa"/>
            <w:vAlign w:val="bottom"/>
          </w:tcPr>
          <w:p>
            <w:pPr>
              <w:spacing w:after="0"/>
              <w:rPr>
                <w:sz w:val="1"/>
                <w:szCs w:val="1"/>
                <w:color w:val="auto"/>
              </w:rPr>
            </w:pPr>
          </w:p>
        </w:tc>
      </w:tr>
      <w:tr>
        <w:trPr>
          <w:trHeight w:val="60"/>
        </w:trPr>
        <w:tc>
          <w:tcPr>
            <w:tcW w:w="4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3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380" w:type="dxa"/>
            <w:vAlign w:val="bottom"/>
            <w:shd w:val="clear" w:color="auto" w:fill="DBDBDB"/>
          </w:tcPr>
          <w:p>
            <w:pPr>
              <w:ind w:left="20"/>
              <w:spacing w:after="0" w:line="297" w:lineRule="exact"/>
              <w:rPr>
                <w:sz w:val="20"/>
                <w:szCs w:val="20"/>
                <w:color w:val="auto"/>
              </w:rPr>
            </w:pPr>
            <w:r>
              <w:rPr>
                <w:rFonts w:ascii="Calibri" w:cs="Calibri" w:eastAsia="Calibri" w:hAnsi="Calibri"/>
                <w:sz w:val="20"/>
                <w:szCs w:val="20"/>
                <w:color w:val="auto"/>
              </w:rPr>
              <w:t xml:space="preserve">Adjusted earnings per common share, diluted </w:t>
            </w:r>
            <w:r>
              <w:rPr>
                <w:rFonts w:ascii="Calibri" w:cs="Calibri" w:eastAsia="Calibri" w:hAnsi="Calibri"/>
                <w:sz w:val="25"/>
                <w:szCs w:val="25"/>
                <w:color w:val="auto"/>
                <w:vertAlign w:val="superscript"/>
              </w:rPr>
              <w:t>(2)</w:t>
            </w:r>
          </w:p>
        </w:tc>
        <w:tc>
          <w:tcPr>
            <w:tcW w:w="340" w:type="dxa"/>
            <w:vAlign w:val="bottom"/>
            <w:shd w:val="clear" w:color="auto" w:fill="DBDBDB"/>
          </w:tcPr>
          <w:p>
            <w:pPr>
              <w:jc w:val="right"/>
              <w:ind w:right="21"/>
              <w:spacing w:after="0" w:line="236" w:lineRule="exact"/>
              <w:rPr>
                <w:sz w:val="20"/>
                <w:szCs w:val="20"/>
                <w:color w:val="auto"/>
              </w:rPr>
            </w:pPr>
            <w:r>
              <w:rPr>
                <w:rFonts w:ascii="Calibri" w:cs="Calibri" w:eastAsia="Calibri" w:hAnsi="Calibri"/>
                <w:sz w:val="20"/>
                <w:szCs w:val="20"/>
                <w:color w:val="auto"/>
              </w:rPr>
              <w:t>$</w:t>
            </w:r>
          </w:p>
        </w:tc>
        <w:tc>
          <w:tcPr>
            <w:tcW w:w="1860" w:type="dxa"/>
            <w:vAlign w:val="bottom"/>
            <w:shd w:val="clear" w:color="auto" w:fill="DBDBDB"/>
          </w:tcPr>
          <w:p>
            <w:pPr>
              <w:jc w:val="right"/>
              <w:ind w:right="101"/>
              <w:spacing w:after="0" w:line="236" w:lineRule="exact"/>
              <w:rPr>
                <w:sz w:val="20"/>
                <w:szCs w:val="20"/>
                <w:color w:val="auto"/>
              </w:rPr>
            </w:pPr>
            <w:r>
              <w:rPr>
                <w:rFonts w:ascii="Calibri" w:cs="Calibri" w:eastAsia="Calibri" w:hAnsi="Calibri"/>
                <w:sz w:val="20"/>
                <w:szCs w:val="20"/>
                <w:color w:val="auto"/>
              </w:rPr>
              <w:t>6.96</w:t>
            </w:r>
          </w:p>
        </w:tc>
        <w:tc>
          <w:tcPr>
            <w:tcW w:w="240" w:type="dxa"/>
            <w:vAlign w:val="bottom"/>
            <w:shd w:val="clear" w:color="auto" w:fill="DBDBDB"/>
          </w:tcPr>
          <w:p>
            <w:pPr>
              <w:jc w:val="right"/>
              <w:ind w:right="1"/>
              <w:spacing w:after="0" w:line="236" w:lineRule="exact"/>
              <w:rPr>
                <w:sz w:val="20"/>
                <w:szCs w:val="20"/>
                <w:color w:val="auto"/>
              </w:rPr>
            </w:pPr>
            <w:r>
              <w:rPr>
                <w:rFonts w:ascii="Calibri" w:cs="Calibri" w:eastAsia="Calibri" w:hAnsi="Calibri"/>
                <w:sz w:val="20"/>
                <w:szCs w:val="20"/>
                <w:color w:val="auto"/>
              </w:rPr>
              <w:t>$</w:t>
            </w:r>
          </w:p>
        </w:tc>
        <w:tc>
          <w:tcPr>
            <w:tcW w:w="2340" w:type="dxa"/>
            <w:vAlign w:val="bottom"/>
            <w:shd w:val="clear" w:color="auto" w:fill="DBDBDB"/>
          </w:tcPr>
          <w:p>
            <w:pPr>
              <w:jc w:val="right"/>
              <w:ind w:right="581"/>
              <w:spacing w:after="0" w:line="236" w:lineRule="exact"/>
              <w:rPr>
                <w:sz w:val="20"/>
                <w:szCs w:val="20"/>
                <w:color w:val="auto"/>
              </w:rPr>
            </w:pPr>
            <w:r>
              <w:rPr>
                <w:rFonts w:ascii="Calibri" w:cs="Calibri" w:eastAsia="Calibri" w:hAnsi="Calibri"/>
                <w:sz w:val="20"/>
                <w:szCs w:val="20"/>
                <w:color w:val="auto"/>
              </w:rPr>
              <w:t>7.70</w:t>
            </w:r>
          </w:p>
        </w:tc>
        <w:tc>
          <w:tcPr>
            <w:tcW w:w="2080" w:type="dxa"/>
            <w:vAlign w:val="bottom"/>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(9.6)%</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firstLine="8"/>
        <w:spacing w:after="0" w:line="264" w:lineRule="auto"/>
        <w:tabs>
          <w:tab w:leader="none" w:pos="192"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a $15.9 million gain from a credit card fee litigation settlement in the quarter and fiscal year ended Feb. 3, 2024. The quarter and year ended Jan. 28, 2023 included a $7.2 million gain from a business interruption insurance recovery and a $3.7 million gain from the sale of a tariff relief litigation claim.</w:t>
      </w:r>
    </w:p>
    <w:p>
      <w:pPr>
        <w:spacing w:after="0" w:line="197" w:lineRule="exact"/>
        <w:rPr>
          <w:rFonts w:ascii="Arial" w:cs="Arial" w:eastAsia="Arial" w:hAnsi="Arial"/>
          <w:sz w:val="13"/>
          <w:szCs w:val="13"/>
          <w:color w:val="auto"/>
        </w:rPr>
      </w:pPr>
    </w:p>
    <w:p>
      <w:pPr>
        <w:ind w:firstLine="8"/>
        <w:spacing w:after="0" w:line="264" w:lineRule="auto"/>
        <w:tabs>
          <w:tab w:leader="none" w:pos="189"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Adjusted net income and adjusted earnings per common share, diluted are non-GAAP measures. See "Non-GAAP Measures" and "Reconciliations of GAAP to Non-GAAP Financial Measures" below for reconciliations of non-GAAP financial measures to their most directly comparable GAAP financial measures.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Note: Fourth quarter and fiscal year 2023 included 14 and 53 weeks respectively, compared to 13 and 52 weeks in fourth quarter and fiscal 2022.</w:t>
      </w:r>
    </w:p>
    <w:p>
      <w:pPr>
        <w:sectPr>
          <w:pgSz w:w="11900" w:h="16838" w:orient="portrait"/>
          <w:cols w:equalWidth="0" w:num="1">
            <w:col w:w="11240"/>
          </w:cols>
          <w:pgMar w:left="320" w:top="1089" w:right="339" w:bottom="1024"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089" w:right="339" w:bottom="1024"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54"/>
        </w:trPr>
        <w:tc>
          <w:tcPr>
            <w:tcW w:w="3420" w:type="dxa"/>
            <w:vAlign w:val="bottom"/>
            <w:shd w:val="clear" w:color="auto" w:fill="0E32E1"/>
          </w:tcPr>
          <w:p>
            <w:pPr>
              <w:spacing w:after="0"/>
              <w:rPr>
                <w:sz w:val="22"/>
                <w:szCs w:val="22"/>
                <w:color w:val="auto"/>
              </w:rPr>
            </w:pPr>
          </w:p>
        </w:tc>
        <w:tc>
          <w:tcPr>
            <w:tcW w:w="1260" w:type="dxa"/>
            <w:vAlign w:val="bottom"/>
            <w:shd w:val="clear" w:color="auto" w:fill="0E32E1"/>
          </w:tcPr>
          <w:p>
            <w:pPr>
              <w:spacing w:after="0"/>
              <w:rPr>
                <w:sz w:val="22"/>
                <w:szCs w:val="22"/>
                <w:color w:val="auto"/>
              </w:rPr>
            </w:pPr>
          </w:p>
        </w:tc>
        <w:tc>
          <w:tcPr>
            <w:tcW w:w="2280" w:type="dxa"/>
            <w:vAlign w:val="bottom"/>
            <w:gridSpan w:val="2"/>
            <w:shd w:val="clear" w:color="auto" w:fill="0E32E1"/>
          </w:tcPr>
          <w:p>
            <w:pPr>
              <w:jc w:val="right"/>
              <w:ind w:right="1"/>
              <w:spacing w:after="0"/>
              <w:rPr>
                <w:sz w:val="20"/>
                <w:szCs w:val="20"/>
                <w:color w:val="auto"/>
              </w:rPr>
            </w:pPr>
            <w:r>
              <w:rPr>
                <w:rFonts w:ascii="Calibri" w:cs="Calibri" w:eastAsia="Calibri" w:hAnsi="Calibri"/>
                <w:sz w:val="20"/>
                <w:szCs w:val="20"/>
                <w:color w:val="FFFFFF"/>
              </w:rPr>
              <w:t>As of</w:t>
            </w:r>
          </w:p>
        </w:tc>
        <w:tc>
          <w:tcPr>
            <w:tcW w:w="2320" w:type="dxa"/>
            <w:vAlign w:val="bottom"/>
            <w:shd w:val="clear" w:color="auto" w:fill="0E32E1"/>
          </w:tcPr>
          <w:p>
            <w:pPr>
              <w:spacing w:after="0"/>
              <w:rPr>
                <w:sz w:val="22"/>
                <w:szCs w:val="22"/>
                <w:color w:val="auto"/>
              </w:rPr>
            </w:pPr>
          </w:p>
        </w:tc>
        <w:tc>
          <w:tcPr>
            <w:tcW w:w="1960" w:type="dxa"/>
            <w:vAlign w:val="bottom"/>
            <w:shd w:val="clear" w:color="auto" w:fill="0E32E1"/>
          </w:tcPr>
          <w:p>
            <w:pPr>
              <w:jc w:val="center"/>
              <w:ind w:right="301"/>
              <w:spacing w:after="0"/>
              <w:rPr>
                <w:sz w:val="20"/>
                <w:szCs w:val="20"/>
                <w:color w:val="auto"/>
              </w:rPr>
            </w:pPr>
            <w:r>
              <w:rPr>
                <w:rFonts w:ascii="Calibri" w:cs="Calibri" w:eastAsia="Calibri" w:hAnsi="Calibri"/>
                <w:sz w:val="20"/>
                <w:szCs w:val="20"/>
                <w:color w:val="FFFFFF"/>
                <w:w w:val="98"/>
              </w:rPr>
              <w:t>Change</w:t>
            </w:r>
          </w:p>
        </w:tc>
      </w:tr>
      <w:tr>
        <w:trPr>
          <w:trHeight w:val="320"/>
        </w:trPr>
        <w:tc>
          <w:tcPr>
            <w:tcW w:w="3420" w:type="dxa"/>
            <w:vAlign w:val="bottom"/>
            <w:tcBorders>
              <w:bottom w:val="single" w:sz="8" w:color="0E32E1"/>
            </w:tcBorders>
            <w:shd w:val="clear" w:color="auto" w:fill="0E32E1"/>
          </w:tcPr>
          <w:p>
            <w:pPr>
              <w:ind w:left="20"/>
              <w:spacing w:after="0"/>
              <w:rPr>
                <w:sz w:val="20"/>
                <w:szCs w:val="20"/>
                <w:color w:val="auto"/>
              </w:rPr>
            </w:pPr>
            <w:r>
              <w:rPr>
                <w:rFonts w:ascii="Calibri" w:cs="Calibri" w:eastAsia="Calibri" w:hAnsi="Calibri"/>
                <w:sz w:val="20"/>
                <w:szCs w:val="20"/>
                <w:color w:val="FFFFFF"/>
              </w:rPr>
              <w:t xml:space="preserve">Balance Sheet </w:t>
            </w:r>
            <w:r>
              <w:rPr>
                <w:rFonts w:ascii="Calibri" w:cs="Calibri" w:eastAsia="Calibri" w:hAnsi="Calibri"/>
                <w:sz w:val="14"/>
                <w:szCs w:val="14"/>
                <w:color w:val="FFFFFF"/>
              </w:rPr>
              <w:t>($ in millions)</w:t>
            </w:r>
          </w:p>
        </w:tc>
        <w:tc>
          <w:tcPr>
            <w:tcW w:w="1260" w:type="dxa"/>
            <w:vAlign w:val="bottom"/>
            <w:tcBorders>
              <w:bottom w:val="single" w:sz="8" w:color="0E32E1"/>
            </w:tcBorders>
            <w:shd w:val="clear" w:color="auto" w:fill="0E32E1"/>
          </w:tcPr>
          <w:p>
            <w:pPr>
              <w:spacing w:after="0"/>
              <w:rPr>
                <w:sz w:val="24"/>
                <w:szCs w:val="24"/>
                <w:color w:val="auto"/>
              </w:rPr>
            </w:pPr>
          </w:p>
        </w:tc>
        <w:tc>
          <w:tcPr>
            <w:tcW w:w="1940" w:type="dxa"/>
            <w:vAlign w:val="bottom"/>
            <w:tcBorders>
              <w:bottom w:val="single" w:sz="8" w:color="0E32E1"/>
            </w:tcBorders>
            <w:shd w:val="clear" w:color="auto" w:fill="0E32E1"/>
          </w:tcPr>
          <w:p>
            <w:pPr>
              <w:jc w:val="right"/>
              <w:ind w:right="301"/>
              <w:spacing w:after="0"/>
              <w:rPr>
                <w:sz w:val="20"/>
                <w:szCs w:val="20"/>
                <w:color w:val="auto"/>
              </w:rPr>
            </w:pPr>
            <w:r>
              <w:rPr>
                <w:rFonts w:ascii="Calibri" w:cs="Calibri" w:eastAsia="Calibri" w:hAnsi="Calibri"/>
                <w:sz w:val="20"/>
                <w:szCs w:val="20"/>
                <w:color w:val="FFFFFF"/>
              </w:rPr>
              <w:t>February 3, 2024</w:t>
            </w:r>
          </w:p>
        </w:tc>
        <w:tc>
          <w:tcPr>
            <w:tcW w:w="340" w:type="dxa"/>
            <w:vAlign w:val="bottom"/>
            <w:tcBorders>
              <w:bottom w:val="single" w:sz="8" w:color="0E32E1"/>
            </w:tcBorders>
            <w:shd w:val="clear" w:color="auto" w:fill="0E32E1"/>
          </w:tcPr>
          <w:p>
            <w:pPr>
              <w:spacing w:after="0"/>
              <w:rPr>
                <w:sz w:val="24"/>
                <w:szCs w:val="24"/>
                <w:color w:val="auto"/>
              </w:rPr>
            </w:pPr>
          </w:p>
        </w:tc>
        <w:tc>
          <w:tcPr>
            <w:tcW w:w="2320" w:type="dxa"/>
            <w:vAlign w:val="bottom"/>
            <w:tcBorders>
              <w:bottom w:val="single" w:sz="8" w:color="0E32E1"/>
            </w:tcBorders>
            <w:shd w:val="clear" w:color="auto" w:fill="0E32E1"/>
          </w:tcPr>
          <w:p>
            <w:pPr>
              <w:jc w:val="right"/>
              <w:ind w:right="721"/>
              <w:spacing w:after="0"/>
              <w:rPr>
                <w:sz w:val="20"/>
                <w:szCs w:val="20"/>
                <w:color w:val="auto"/>
              </w:rPr>
            </w:pPr>
            <w:r>
              <w:rPr>
                <w:rFonts w:ascii="Calibri" w:cs="Calibri" w:eastAsia="Calibri" w:hAnsi="Calibri"/>
                <w:sz w:val="20"/>
                <w:szCs w:val="20"/>
                <w:color w:val="FFFFFF"/>
              </w:rPr>
              <w:t>January 28, 2023</w:t>
            </w:r>
          </w:p>
        </w:tc>
        <w:tc>
          <w:tcPr>
            <w:tcW w:w="1960" w:type="dxa"/>
            <w:vAlign w:val="bottom"/>
            <w:tcBorders>
              <w:bottom w:val="single" w:sz="8" w:color="0E32E1"/>
            </w:tcBorders>
            <w:shd w:val="clear" w:color="auto" w:fill="0E32E1"/>
          </w:tcPr>
          <w:p>
            <w:pPr>
              <w:jc w:val="center"/>
              <w:ind w:right="321"/>
              <w:spacing w:after="0"/>
              <w:rPr>
                <w:sz w:val="20"/>
                <w:szCs w:val="20"/>
                <w:color w:val="auto"/>
              </w:rPr>
            </w:pPr>
            <w:r>
              <w:rPr>
                <w:rFonts w:ascii="Calibri" w:cs="Calibri" w:eastAsia="Calibri" w:hAnsi="Calibri"/>
                <w:sz w:val="20"/>
                <w:szCs w:val="20"/>
                <w:color w:val="FFFFFF"/>
                <w:w w:val="97"/>
              </w:rPr>
              <w:t>%</w:t>
            </w:r>
          </w:p>
        </w:tc>
      </w:tr>
      <w:tr>
        <w:trPr>
          <w:trHeight w:val="277"/>
        </w:trPr>
        <w:tc>
          <w:tcPr>
            <w:tcW w:w="3420" w:type="dxa"/>
            <w:vAlign w:val="bottom"/>
            <w:tcBorders>
              <w:bottom w:val="single" w:sz="8" w:color="DBDBDB"/>
            </w:tcBorders>
            <w:shd w:val="clear" w:color="auto" w:fill="DBDBDB"/>
          </w:tcPr>
          <w:p>
            <w:pPr>
              <w:ind w:left="20"/>
              <w:spacing w:after="0" w:line="236" w:lineRule="exact"/>
              <w:rPr>
                <w:sz w:val="20"/>
                <w:szCs w:val="20"/>
                <w:color w:val="auto"/>
              </w:rPr>
            </w:pPr>
            <w:r>
              <w:rPr>
                <w:rFonts w:ascii="Calibri" w:cs="Calibri" w:eastAsia="Calibri" w:hAnsi="Calibri"/>
                <w:sz w:val="20"/>
                <w:szCs w:val="20"/>
                <w:color w:val="auto"/>
              </w:rPr>
              <w:t>Cash and cash equivalents</w:t>
            </w:r>
          </w:p>
        </w:tc>
        <w:tc>
          <w:tcPr>
            <w:tcW w:w="1260" w:type="dxa"/>
            <w:vAlign w:val="bottom"/>
            <w:tcBorders>
              <w:bottom w:val="single" w:sz="8" w:color="DBDBDB"/>
            </w:tcBorders>
            <w:shd w:val="clear" w:color="auto" w:fill="DBDBDB"/>
          </w:tcPr>
          <w:p>
            <w:pPr>
              <w:jc w:val="right"/>
              <w:ind w:right="41"/>
              <w:spacing w:after="0" w:line="236" w:lineRule="exact"/>
              <w:rPr>
                <w:sz w:val="20"/>
                <w:szCs w:val="20"/>
                <w:color w:val="auto"/>
              </w:rPr>
            </w:pPr>
            <w:r>
              <w:rPr>
                <w:rFonts w:ascii="Calibri" w:cs="Calibri" w:eastAsia="Calibri" w:hAnsi="Calibri"/>
                <w:sz w:val="20"/>
                <w:szCs w:val="20"/>
                <w:color w:val="auto"/>
              </w:rPr>
              <w:t>$</w:t>
            </w:r>
          </w:p>
        </w:tc>
        <w:tc>
          <w:tcPr>
            <w:tcW w:w="1940" w:type="dxa"/>
            <w:vAlign w:val="bottom"/>
            <w:tcBorders>
              <w:bottom w:val="single" w:sz="8" w:color="DBDBDB"/>
            </w:tcBorders>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347.9</w:t>
            </w:r>
          </w:p>
        </w:tc>
        <w:tc>
          <w:tcPr>
            <w:tcW w:w="340" w:type="dxa"/>
            <w:vAlign w:val="bottom"/>
            <w:tcBorders>
              <w:bottom w:val="single" w:sz="8" w:color="DBDBDB"/>
            </w:tcBorders>
            <w:shd w:val="clear" w:color="auto" w:fill="DBDBDB"/>
          </w:tcPr>
          <w:p>
            <w:pPr>
              <w:jc w:val="right"/>
              <w:ind w:right="101"/>
              <w:spacing w:after="0" w:line="236" w:lineRule="exact"/>
              <w:rPr>
                <w:sz w:val="20"/>
                <w:szCs w:val="20"/>
                <w:color w:val="auto"/>
              </w:rPr>
            </w:pPr>
            <w:r>
              <w:rPr>
                <w:rFonts w:ascii="Calibri" w:cs="Calibri" w:eastAsia="Calibri" w:hAnsi="Calibri"/>
                <w:sz w:val="20"/>
                <w:szCs w:val="20"/>
                <w:color w:val="auto"/>
              </w:rPr>
              <w:t>$</w:t>
            </w:r>
          </w:p>
        </w:tc>
        <w:tc>
          <w:tcPr>
            <w:tcW w:w="2320" w:type="dxa"/>
            <w:vAlign w:val="bottom"/>
            <w:tcBorders>
              <w:bottom w:val="single" w:sz="8" w:color="DBDBDB"/>
            </w:tcBorders>
            <w:shd w:val="clear" w:color="auto" w:fill="DBDBDB"/>
          </w:tcPr>
          <w:p>
            <w:pPr>
              <w:jc w:val="right"/>
              <w:ind w:right="381"/>
              <w:spacing w:after="0" w:line="236" w:lineRule="exact"/>
              <w:rPr>
                <w:sz w:val="20"/>
                <w:szCs w:val="20"/>
                <w:color w:val="auto"/>
              </w:rPr>
            </w:pPr>
            <w:r>
              <w:rPr>
                <w:rFonts w:ascii="Calibri" w:cs="Calibri" w:eastAsia="Calibri" w:hAnsi="Calibri"/>
                <w:sz w:val="20"/>
                <w:szCs w:val="20"/>
                <w:color w:val="auto"/>
              </w:rPr>
              <w:t>337.1</w:t>
            </w:r>
          </w:p>
        </w:tc>
        <w:tc>
          <w:tcPr>
            <w:tcW w:w="1960" w:type="dxa"/>
            <w:vAlign w:val="bottom"/>
            <w:tcBorders>
              <w:bottom w:val="single" w:sz="8" w:color="DBDBDB"/>
            </w:tcBorders>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3.2 %</w:t>
            </w:r>
          </w:p>
        </w:tc>
      </w:tr>
      <w:tr>
        <w:trPr>
          <w:trHeight w:val="237"/>
        </w:trPr>
        <w:tc>
          <w:tcPr>
            <w:tcW w:w="3420" w:type="dxa"/>
            <w:vAlign w:val="bottom"/>
          </w:tcPr>
          <w:p>
            <w:pPr>
              <w:ind w:left="20"/>
              <w:spacing w:after="0" w:line="236" w:lineRule="exact"/>
              <w:rPr>
                <w:sz w:val="20"/>
                <w:szCs w:val="20"/>
                <w:color w:val="auto"/>
              </w:rPr>
            </w:pPr>
            <w:r>
              <w:rPr>
                <w:rFonts w:ascii="Calibri" w:cs="Calibri" w:eastAsia="Calibri" w:hAnsi="Calibri"/>
                <w:sz w:val="20"/>
                <w:szCs w:val="20"/>
                <w:color w:val="auto"/>
              </w:rPr>
              <w:t>Merchandise inventories, net</w:t>
            </w:r>
          </w:p>
        </w:tc>
        <w:tc>
          <w:tcPr>
            <w:tcW w:w="1260" w:type="dxa"/>
            <w:vAlign w:val="bottom"/>
          </w:tcPr>
          <w:p>
            <w:pPr>
              <w:jc w:val="right"/>
              <w:ind w:right="41"/>
              <w:spacing w:after="0" w:line="236" w:lineRule="exact"/>
              <w:rPr>
                <w:sz w:val="20"/>
                <w:szCs w:val="20"/>
                <w:color w:val="auto"/>
              </w:rPr>
            </w:pPr>
            <w:r>
              <w:rPr>
                <w:rFonts w:ascii="Calibri" w:cs="Calibri" w:eastAsia="Calibri" w:hAnsi="Calibri"/>
                <w:sz w:val="20"/>
                <w:szCs w:val="20"/>
                <w:color w:val="auto"/>
              </w:rPr>
              <w:t>$</w:t>
            </w:r>
          </w:p>
        </w:tc>
        <w:tc>
          <w:tcPr>
            <w:tcW w:w="1940" w:type="dxa"/>
            <w:vAlign w:val="bottom"/>
          </w:tcPr>
          <w:p>
            <w:pPr>
              <w:jc w:val="right"/>
              <w:spacing w:after="0" w:line="236" w:lineRule="exact"/>
              <w:rPr>
                <w:sz w:val="20"/>
                <w:szCs w:val="20"/>
                <w:color w:val="auto"/>
              </w:rPr>
            </w:pPr>
            <w:r>
              <w:rPr>
                <w:rFonts w:ascii="Calibri" w:cs="Calibri" w:eastAsia="Calibri" w:hAnsi="Calibri"/>
                <w:sz w:val="20"/>
                <w:szCs w:val="20"/>
                <w:color w:val="auto"/>
              </w:rPr>
              <w:t>1,194.2</w:t>
            </w:r>
          </w:p>
        </w:tc>
        <w:tc>
          <w:tcPr>
            <w:tcW w:w="340" w:type="dxa"/>
            <w:vAlign w:val="bottom"/>
          </w:tcPr>
          <w:p>
            <w:pPr>
              <w:jc w:val="right"/>
              <w:ind w:right="101"/>
              <w:spacing w:after="0" w:line="236" w:lineRule="exact"/>
              <w:rPr>
                <w:sz w:val="20"/>
                <w:szCs w:val="20"/>
                <w:color w:val="auto"/>
              </w:rPr>
            </w:pPr>
            <w:r>
              <w:rPr>
                <w:rFonts w:ascii="Calibri" w:cs="Calibri" w:eastAsia="Calibri" w:hAnsi="Calibri"/>
                <w:sz w:val="20"/>
                <w:szCs w:val="20"/>
                <w:color w:val="auto"/>
              </w:rPr>
              <w:t>$</w:t>
            </w:r>
          </w:p>
        </w:tc>
        <w:tc>
          <w:tcPr>
            <w:tcW w:w="2320" w:type="dxa"/>
            <w:vAlign w:val="bottom"/>
          </w:tcPr>
          <w:p>
            <w:pPr>
              <w:jc w:val="right"/>
              <w:ind w:right="381"/>
              <w:spacing w:after="0" w:line="236" w:lineRule="exact"/>
              <w:rPr>
                <w:sz w:val="20"/>
                <w:szCs w:val="20"/>
                <w:color w:val="auto"/>
              </w:rPr>
            </w:pPr>
            <w:r>
              <w:rPr>
                <w:rFonts w:ascii="Calibri" w:cs="Calibri" w:eastAsia="Calibri" w:hAnsi="Calibri"/>
                <w:sz w:val="20"/>
                <w:szCs w:val="20"/>
                <w:color w:val="auto"/>
              </w:rPr>
              <w:t>1,283.5</w:t>
            </w:r>
          </w:p>
        </w:tc>
        <w:tc>
          <w:tcPr>
            <w:tcW w:w="1960" w:type="dxa"/>
            <w:vAlign w:val="bottom"/>
          </w:tcPr>
          <w:p>
            <w:pPr>
              <w:jc w:val="right"/>
              <w:spacing w:after="0" w:line="236" w:lineRule="exact"/>
              <w:rPr>
                <w:sz w:val="20"/>
                <w:szCs w:val="20"/>
                <w:color w:val="auto"/>
              </w:rPr>
            </w:pPr>
            <w:r>
              <w:rPr>
                <w:rFonts w:ascii="Calibri" w:cs="Calibri" w:eastAsia="Calibri" w:hAnsi="Calibri"/>
                <w:sz w:val="20"/>
                <w:szCs w:val="20"/>
                <w:color w:val="auto"/>
              </w:rPr>
              <w:t>(7.0)%</w:t>
            </w:r>
          </w:p>
        </w:tc>
      </w:tr>
      <w:tr>
        <w:trPr>
          <w:trHeight w:val="60"/>
        </w:trPr>
        <w:tc>
          <w:tcPr>
            <w:tcW w:w="34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960" w:type="dxa"/>
            <w:vAlign w:val="bottom"/>
          </w:tcPr>
          <w:p>
            <w:pPr>
              <w:spacing w:after="0"/>
              <w:rPr>
                <w:sz w:val="5"/>
                <w:szCs w:val="5"/>
                <w:color w:val="auto"/>
              </w:rPr>
            </w:pPr>
          </w:p>
        </w:tc>
      </w:tr>
      <w:tr>
        <w:trPr>
          <w:trHeight w:val="277"/>
        </w:trPr>
        <w:tc>
          <w:tcPr>
            <w:tcW w:w="3420" w:type="dxa"/>
            <w:vAlign w:val="bottom"/>
            <w:tcBorders>
              <w:bottom w:val="single" w:sz="8" w:color="DBDBDB"/>
            </w:tcBorders>
            <w:shd w:val="clear" w:color="auto" w:fill="DBDBDB"/>
          </w:tcPr>
          <w:p>
            <w:pPr>
              <w:ind w:left="20"/>
              <w:spacing w:after="0" w:line="236" w:lineRule="exact"/>
              <w:rPr>
                <w:sz w:val="20"/>
                <w:szCs w:val="20"/>
                <w:color w:val="auto"/>
              </w:rPr>
            </w:pPr>
            <w:r>
              <w:rPr>
                <w:rFonts w:ascii="Calibri" w:cs="Calibri" w:eastAsia="Calibri" w:hAnsi="Calibri"/>
                <w:sz w:val="20"/>
                <w:szCs w:val="20"/>
                <w:color w:val="auto"/>
              </w:rPr>
              <w:t>Long-term debt, net</w:t>
            </w:r>
          </w:p>
        </w:tc>
        <w:tc>
          <w:tcPr>
            <w:tcW w:w="1260" w:type="dxa"/>
            <w:vAlign w:val="bottom"/>
            <w:tcBorders>
              <w:bottom w:val="single" w:sz="8" w:color="DBDBDB"/>
            </w:tcBorders>
            <w:shd w:val="clear" w:color="auto" w:fill="DBDBDB"/>
          </w:tcPr>
          <w:p>
            <w:pPr>
              <w:jc w:val="right"/>
              <w:ind w:right="41"/>
              <w:spacing w:after="0" w:line="236" w:lineRule="exact"/>
              <w:rPr>
                <w:sz w:val="20"/>
                <w:szCs w:val="20"/>
                <w:color w:val="auto"/>
              </w:rPr>
            </w:pPr>
            <w:r>
              <w:rPr>
                <w:rFonts w:ascii="Calibri" w:cs="Calibri" w:eastAsia="Calibri" w:hAnsi="Calibri"/>
                <w:sz w:val="20"/>
                <w:szCs w:val="20"/>
                <w:color w:val="auto"/>
              </w:rPr>
              <w:t>$</w:t>
            </w:r>
          </w:p>
        </w:tc>
        <w:tc>
          <w:tcPr>
            <w:tcW w:w="1940" w:type="dxa"/>
            <w:vAlign w:val="bottom"/>
            <w:tcBorders>
              <w:bottom w:val="single" w:sz="8" w:color="DBDBDB"/>
            </w:tcBorders>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484.6</w:t>
            </w:r>
          </w:p>
        </w:tc>
        <w:tc>
          <w:tcPr>
            <w:tcW w:w="340" w:type="dxa"/>
            <w:vAlign w:val="bottom"/>
            <w:tcBorders>
              <w:bottom w:val="single" w:sz="8" w:color="DBDBDB"/>
            </w:tcBorders>
            <w:shd w:val="clear" w:color="auto" w:fill="DBDBDB"/>
          </w:tcPr>
          <w:p>
            <w:pPr>
              <w:jc w:val="right"/>
              <w:ind w:right="101"/>
              <w:spacing w:after="0" w:line="236" w:lineRule="exact"/>
              <w:rPr>
                <w:sz w:val="20"/>
                <w:szCs w:val="20"/>
                <w:color w:val="auto"/>
              </w:rPr>
            </w:pPr>
            <w:r>
              <w:rPr>
                <w:rFonts w:ascii="Calibri" w:cs="Calibri" w:eastAsia="Calibri" w:hAnsi="Calibri"/>
                <w:sz w:val="20"/>
                <w:szCs w:val="20"/>
                <w:color w:val="auto"/>
              </w:rPr>
              <w:t>$</w:t>
            </w:r>
          </w:p>
        </w:tc>
        <w:tc>
          <w:tcPr>
            <w:tcW w:w="2320" w:type="dxa"/>
            <w:vAlign w:val="bottom"/>
            <w:tcBorders>
              <w:bottom w:val="single" w:sz="8" w:color="DBDBDB"/>
            </w:tcBorders>
            <w:shd w:val="clear" w:color="auto" w:fill="DBDBDB"/>
          </w:tcPr>
          <w:p>
            <w:pPr>
              <w:jc w:val="right"/>
              <w:ind w:right="381"/>
              <w:spacing w:after="0" w:line="236" w:lineRule="exact"/>
              <w:rPr>
                <w:sz w:val="20"/>
                <w:szCs w:val="20"/>
                <w:color w:val="auto"/>
              </w:rPr>
            </w:pPr>
            <w:r>
              <w:rPr>
                <w:rFonts w:ascii="Calibri" w:cs="Calibri" w:eastAsia="Calibri" w:hAnsi="Calibri"/>
                <w:sz w:val="20"/>
                <w:szCs w:val="20"/>
                <w:color w:val="auto"/>
              </w:rPr>
              <w:t>584.5</w:t>
            </w:r>
          </w:p>
        </w:tc>
        <w:tc>
          <w:tcPr>
            <w:tcW w:w="1960" w:type="dxa"/>
            <w:vAlign w:val="bottom"/>
            <w:tcBorders>
              <w:bottom w:val="single" w:sz="8" w:color="DBDBDB"/>
            </w:tcBorders>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(17.1)%</w:t>
            </w:r>
          </w:p>
        </w:tc>
      </w:tr>
      <w:tr>
        <w:trPr>
          <w:trHeight w:val="365"/>
        </w:trPr>
        <w:tc>
          <w:tcPr>
            <w:tcW w:w="3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0" w:type="dxa"/>
            <w:vAlign w:val="bottom"/>
            <w:gridSpan w:val="3"/>
          </w:tcPr>
          <w:p>
            <w:pPr>
              <w:spacing w:after="0"/>
              <w:rPr>
                <w:sz w:val="24"/>
                <w:szCs w:val="24"/>
                <w:color w:val="auto"/>
              </w:rPr>
            </w:pPr>
          </w:p>
        </w:tc>
        <w:tc>
          <w:tcPr>
            <w:tcW w:w="1960" w:type="dxa"/>
            <w:vAlign w:val="bottom"/>
          </w:tcPr>
          <w:p>
            <w:pPr>
              <w:spacing w:after="0"/>
              <w:rPr>
                <w:sz w:val="24"/>
                <w:szCs w:val="24"/>
                <w:color w:val="auto"/>
              </w:rPr>
            </w:pPr>
          </w:p>
        </w:tc>
      </w:tr>
      <w:tr>
        <w:trPr>
          <w:trHeight w:val="237"/>
        </w:trPr>
        <w:tc>
          <w:tcPr>
            <w:tcW w:w="3420" w:type="dxa"/>
            <w:vAlign w:val="bottom"/>
            <w:shd w:val="clear" w:color="auto" w:fill="0E32E1"/>
          </w:tcPr>
          <w:p>
            <w:pPr>
              <w:spacing w:after="0"/>
              <w:rPr>
                <w:sz w:val="20"/>
                <w:szCs w:val="20"/>
                <w:color w:val="auto"/>
              </w:rPr>
            </w:pPr>
          </w:p>
        </w:tc>
        <w:tc>
          <w:tcPr>
            <w:tcW w:w="1260" w:type="dxa"/>
            <w:vAlign w:val="bottom"/>
            <w:shd w:val="clear" w:color="auto" w:fill="0E32E1"/>
          </w:tcPr>
          <w:p>
            <w:pPr>
              <w:spacing w:after="0"/>
              <w:rPr>
                <w:sz w:val="20"/>
                <w:szCs w:val="20"/>
                <w:color w:val="auto"/>
              </w:rPr>
            </w:pPr>
          </w:p>
        </w:tc>
        <w:tc>
          <w:tcPr>
            <w:tcW w:w="4600" w:type="dxa"/>
            <w:vAlign w:val="bottom"/>
            <w:gridSpan w:val="3"/>
            <w:shd w:val="clear" w:color="auto" w:fill="0E32E1"/>
          </w:tcPr>
          <w:p>
            <w:pPr>
              <w:jc w:val="right"/>
              <w:ind w:right="1841"/>
              <w:spacing w:after="0" w:line="236" w:lineRule="exact"/>
              <w:rPr>
                <w:sz w:val="20"/>
                <w:szCs w:val="20"/>
                <w:color w:val="auto"/>
              </w:rPr>
            </w:pPr>
            <w:r>
              <w:rPr>
                <w:rFonts w:ascii="Calibri" w:cs="Calibri" w:eastAsia="Calibri" w:hAnsi="Calibri"/>
                <w:sz w:val="20"/>
                <w:szCs w:val="20"/>
                <w:color w:val="FFFFFF"/>
              </w:rPr>
              <w:t>Fiscal Year Ended</w:t>
            </w:r>
          </w:p>
        </w:tc>
        <w:tc>
          <w:tcPr>
            <w:tcW w:w="1960" w:type="dxa"/>
            <w:vAlign w:val="bottom"/>
            <w:shd w:val="clear" w:color="auto" w:fill="0E32E1"/>
          </w:tcPr>
          <w:p>
            <w:pPr>
              <w:jc w:val="center"/>
              <w:ind w:right="301"/>
              <w:spacing w:after="0" w:line="236" w:lineRule="exact"/>
              <w:rPr>
                <w:sz w:val="20"/>
                <w:szCs w:val="20"/>
                <w:color w:val="auto"/>
              </w:rPr>
            </w:pPr>
            <w:r>
              <w:rPr>
                <w:rFonts w:ascii="Calibri" w:cs="Calibri" w:eastAsia="Calibri" w:hAnsi="Calibri"/>
                <w:sz w:val="20"/>
                <w:szCs w:val="20"/>
                <w:color w:val="FFFFFF"/>
                <w:w w:val="98"/>
              </w:rPr>
              <w:t>Change</w:t>
            </w:r>
          </w:p>
        </w:tc>
      </w:tr>
      <w:tr>
        <w:trPr>
          <w:trHeight w:val="337"/>
        </w:trPr>
        <w:tc>
          <w:tcPr>
            <w:tcW w:w="3420" w:type="dxa"/>
            <w:vAlign w:val="bottom"/>
            <w:tcBorders>
              <w:bottom w:val="single" w:sz="8" w:color="0E32E1"/>
            </w:tcBorders>
            <w:shd w:val="clear" w:color="auto" w:fill="0E32E1"/>
          </w:tcPr>
          <w:p>
            <w:pPr>
              <w:ind w:left="20"/>
              <w:spacing w:after="0"/>
              <w:rPr>
                <w:sz w:val="20"/>
                <w:szCs w:val="20"/>
                <w:color w:val="auto"/>
              </w:rPr>
            </w:pPr>
            <w:r>
              <w:rPr>
                <w:rFonts w:ascii="Calibri" w:cs="Calibri" w:eastAsia="Calibri" w:hAnsi="Calibri"/>
                <w:sz w:val="20"/>
                <w:szCs w:val="20"/>
                <w:color w:val="FFFFFF"/>
              </w:rPr>
              <w:t xml:space="preserve">Capital Allocaton </w:t>
            </w:r>
            <w:r>
              <w:rPr>
                <w:rFonts w:ascii="Calibri" w:cs="Calibri" w:eastAsia="Calibri" w:hAnsi="Calibri"/>
                <w:sz w:val="14"/>
                <w:szCs w:val="14"/>
                <w:color w:val="FFFFFF"/>
              </w:rPr>
              <w:t>($ in millions)</w:t>
            </w:r>
          </w:p>
        </w:tc>
        <w:tc>
          <w:tcPr>
            <w:tcW w:w="1260" w:type="dxa"/>
            <w:vAlign w:val="bottom"/>
            <w:tcBorders>
              <w:bottom w:val="single" w:sz="8" w:color="0E32E1"/>
            </w:tcBorders>
            <w:shd w:val="clear" w:color="auto" w:fill="0E32E1"/>
          </w:tcPr>
          <w:p>
            <w:pPr>
              <w:spacing w:after="0"/>
              <w:rPr>
                <w:sz w:val="24"/>
                <w:szCs w:val="24"/>
                <w:color w:val="auto"/>
              </w:rPr>
            </w:pPr>
          </w:p>
        </w:tc>
        <w:tc>
          <w:tcPr>
            <w:tcW w:w="1940" w:type="dxa"/>
            <w:vAlign w:val="bottom"/>
            <w:tcBorders>
              <w:bottom w:val="single" w:sz="8" w:color="0E32E1"/>
            </w:tcBorders>
            <w:shd w:val="clear" w:color="auto" w:fill="0E32E1"/>
          </w:tcPr>
          <w:p>
            <w:pPr>
              <w:jc w:val="right"/>
              <w:ind w:right="301"/>
              <w:spacing w:after="0"/>
              <w:rPr>
                <w:sz w:val="20"/>
                <w:szCs w:val="20"/>
                <w:color w:val="auto"/>
              </w:rPr>
            </w:pPr>
            <w:r>
              <w:rPr>
                <w:rFonts w:ascii="Calibri" w:cs="Calibri" w:eastAsia="Calibri" w:hAnsi="Calibri"/>
                <w:sz w:val="20"/>
                <w:szCs w:val="20"/>
                <w:color w:val="FFFFFF"/>
              </w:rPr>
              <w:t>February 3, 2024</w:t>
            </w:r>
          </w:p>
        </w:tc>
        <w:tc>
          <w:tcPr>
            <w:tcW w:w="340" w:type="dxa"/>
            <w:vAlign w:val="bottom"/>
            <w:tcBorders>
              <w:bottom w:val="single" w:sz="8" w:color="0E32E1"/>
            </w:tcBorders>
            <w:shd w:val="clear" w:color="auto" w:fill="0E32E1"/>
          </w:tcPr>
          <w:p>
            <w:pPr>
              <w:spacing w:after="0"/>
              <w:rPr>
                <w:sz w:val="24"/>
                <w:szCs w:val="24"/>
                <w:color w:val="auto"/>
              </w:rPr>
            </w:pPr>
          </w:p>
        </w:tc>
        <w:tc>
          <w:tcPr>
            <w:tcW w:w="2320" w:type="dxa"/>
            <w:vAlign w:val="bottom"/>
            <w:tcBorders>
              <w:bottom w:val="single" w:sz="8" w:color="0E32E1"/>
            </w:tcBorders>
            <w:shd w:val="clear" w:color="auto" w:fill="0E32E1"/>
          </w:tcPr>
          <w:p>
            <w:pPr>
              <w:jc w:val="right"/>
              <w:ind w:right="721"/>
              <w:spacing w:after="0"/>
              <w:rPr>
                <w:sz w:val="20"/>
                <w:szCs w:val="20"/>
                <w:color w:val="auto"/>
              </w:rPr>
            </w:pPr>
            <w:r>
              <w:rPr>
                <w:rFonts w:ascii="Calibri" w:cs="Calibri" w:eastAsia="Calibri" w:hAnsi="Calibri"/>
                <w:sz w:val="20"/>
                <w:szCs w:val="20"/>
                <w:color w:val="FFFFFF"/>
              </w:rPr>
              <w:t>January 28, 2023</w:t>
            </w:r>
          </w:p>
        </w:tc>
        <w:tc>
          <w:tcPr>
            <w:tcW w:w="1960" w:type="dxa"/>
            <w:vAlign w:val="bottom"/>
            <w:tcBorders>
              <w:bottom w:val="single" w:sz="8" w:color="0E32E1"/>
            </w:tcBorders>
            <w:shd w:val="clear" w:color="auto" w:fill="0E32E1"/>
          </w:tcPr>
          <w:p>
            <w:pPr>
              <w:jc w:val="center"/>
              <w:ind w:right="321"/>
              <w:spacing w:after="0"/>
              <w:rPr>
                <w:sz w:val="20"/>
                <w:szCs w:val="20"/>
                <w:color w:val="auto"/>
              </w:rPr>
            </w:pPr>
            <w:r>
              <w:rPr>
                <w:rFonts w:ascii="Calibri" w:cs="Calibri" w:eastAsia="Calibri" w:hAnsi="Calibri"/>
                <w:sz w:val="20"/>
                <w:szCs w:val="20"/>
                <w:color w:val="FFFFFF"/>
                <w:w w:val="97"/>
              </w:rPr>
              <w:t>%</w:t>
            </w:r>
          </w:p>
        </w:tc>
      </w:tr>
      <w:tr>
        <w:trPr>
          <w:trHeight w:val="277"/>
        </w:trPr>
        <w:tc>
          <w:tcPr>
            <w:tcW w:w="3420" w:type="dxa"/>
            <w:vAlign w:val="bottom"/>
            <w:tcBorders>
              <w:bottom w:val="single" w:sz="8" w:color="DBDBDB"/>
            </w:tcBorders>
            <w:shd w:val="clear" w:color="auto" w:fill="DBDBDB"/>
          </w:tcPr>
          <w:p>
            <w:pPr>
              <w:ind w:left="20"/>
              <w:spacing w:after="0" w:line="236" w:lineRule="exact"/>
              <w:rPr>
                <w:sz w:val="20"/>
                <w:szCs w:val="20"/>
                <w:color w:val="auto"/>
              </w:rPr>
            </w:pPr>
            <w:r>
              <w:rPr>
                <w:rFonts w:ascii="Calibri" w:cs="Calibri" w:eastAsia="Calibri" w:hAnsi="Calibri"/>
                <w:sz w:val="20"/>
                <w:szCs w:val="20"/>
                <w:color w:val="auto"/>
              </w:rPr>
              <w:t>Share repurchases</w:t>
            </w:r>
          </w:p>
        </w:tc>
        <w:tc>
          <w:tcPr>
            <w:tcW w:w="1260" w:type="dxa"/>
            <w:vAlign w:val="bottom"/>
            <w:tcBorders>
              <w:bottom w:val="single" w:sz="8" w:color="DBDBDB"/>
            </w:tcBorders>
            <w:shd w:val="clear" w:color="auto" w:fill="DBDBDB"/>
          </w:tcPr>
          <w:p>
            <w:pPr>
              <w:jc w:val="right"/>
              <w:ind w:right="61"/>
              <w:spacing w:after="0" w:line="236" w:lineRule="exact"/>
              <w:rPr>
                <w:sz w:val="20"/>
                <w:szCs w:val="20"/>
                <w:color w:val="auto"/>
              </w:rPr>
            </w:pPr>
            <w:r>
              <w:rPr>
                <w:rFonts w:ascii="Calibri" w:cs="Calibri" w:eastAsia="Calibri" w:hAnsi="Calibri"/>
                <w:sz w:val="20"/>
                <w:szCs w:val="20"/>
                <w:color w:val="auto"/>
              </w:rPr>
              <w:t>$</w:t>
            </w:r>
          </w:p>
        </w:tc>
        <w:tc>
          <w:tcPr>
            <w:tcW w:w="1940" w:type="dxa"/>
            <w:vAlign w:val="bottom"/>
            <w:tcBorders>
              <w:bottom w:val="single" w:sz="8" w:color="DBDBDB"/>
            </w:tcBorders>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204.2</w:t>
            </w:r>
          </w:p>
        </w:tc>
        <w:tc>
          <w:tcPr>
            <w:tcW w:w="340" w:type="dxa"/>
            <w:vAlign w:val="bottom"/>
            <w:tcBorders>
              <w:bottom w:val="single" w:sz="8" w:color="DBDBDB"/>
            </w:tcBorders>
            <w:shd w:val="clear" w:color="auto" w:fill="DBDBDB"/>
          </w:tcPr>
          <w:p>
            <w:pPr>
              <w:jc w:val="right"/>
              <w:ind w:right="101"/>
              <w:spacing w:after="0" w:line="236" w:lineRule="exact"/>
              <w:rPr>
                <w:sz w:val="20"/>
                <w:szCs w:val="20"/>
                <w:color w:val="auto"/>
              </w:rPr>
            </w:pPr>
            <w:r>
              <w:rPr>
                <w:rFonts w:ascii="Calibri" w:cs="Calibri" w:eastAsia="Calibri" w:hAnsi="Calibri"/>
                <w:sz w:val="20"/>
                <w:szCs w:val="20"/>
                <w:color w:val="auto"/>
              </w:rPr>
              <w:t>$</w:t>
            </w:r>
          </w:p>
        </w:tc>
        <w:tc>
          <w:tcPr>
            <w:tcW w:w="2320" w:type="dxa"/>
            <w:vAlign w:val="bottom"/>
            <w:tcBorders>
              <w:bottom w:val="single" w:sz="8" w:color="DBDBDB"/>
            </w:tcBorders>
            <w:shd w:val="clear" w:color="auto" w:fill="DBDBDB"/>
          </w:tcPr>
          <w:p>
            <w:pPr>
              <w:jc w:val="right"/>
              <w:ind w:right="381"/>
              <w:spacing w:after="0" w:line="236" w:lineRule="exact"/>
              <w:rPr>
                <w:sz w:val="20"/>
                <w:szCs w:val="20"/>
                <w:color w:val="auto"/>
              </w:rPr>
            </w:pPr>
            <w:r>
              <w:rPr>
                <w:rFonts w:ascii="Calibri" w:cs="Calibri" w:eastAsia="Calibri" w:hAnsi="Calibri"/>
                <w:sz w:val="20"/>
                <w:szCs w:val="20"/>
                <w:color w:val="auto"/>
              </w:rPr>
              <w:t>489.5</w:t>
            </w:r>
          </w:p>
        </w:tc>
        <w:tc>
          <w:tcPr>
            <w:tcW w:w="1960" w:type="dxa"/>
            <w:vAlign w:val="bottom"/>
            <w:tcBorders>
              <w:bottom w:val="single" w:sz="8" w:color="DBDBDB"/>
            </w:tcBorders>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(58.3)%</w:t>
            </w:r>
          </w:p>
        </w:tc>
      </w:tr>
      <w:tr>
        <w:trPr>
          <w:trHeight w:val="237"/>
        </w:trPr>
        <w:tc>
          <w:tcPr>
            <w:tcW w:w="3420" w:type="dxa"/>
            <w:vAlign w:val="bottom"/>
          </w:tcPr>
          <w:p>
            <w:pPr>
              <w:ind w:left="20"/>
              <w:spacing w:after="0" w:line="236" w:lineRule="exact"/>
              <w:rPr>
                <w:sz w:val="20"/>
                <w:szCs w:val="20"/>
                <w:color w:val="auto"/>
              </w:rPr>
            </w:pPr>
            <w:r>
              <w:rPr>
                <w:rFonts w:ascii="Calibri" w:cs="Calibri" w:eastAsia="Calibri" w:hAnsi="Calibri"/>
                <w:sz w:val="20"/>
                <w:szCs w:val="20"/>
                <w:color w:val="auto"/>
              </w:rPr>
              <w:t>Dividends paid</w:t>
            </w:r>
          </w:p>
        </w:tc>
        <w:tc>
          <w:tcPr>
            <w:tcW w:w="1260" w:type="dxa"/>
            <w:vAlign w:val="bottom"/>
          </w:tcPr>
          <w:p>
            <w:pPr>
              <w:jc w:val="right"/>
              <w:ind w:right="61"/>
              <w:spacing w:after="0" w:line="236" w:lineRule="exact"/>
              <w:rPr>
                <w:sz w:val="20"/>
                <w:szCs w:val="20"/>
                <w:color w:val="auto"/>
              </w:rPr>
            </w:pPr>
            <w:r>
              <w:rPr>
                <w:rFonts w:ascii="Calibri" w:cs="Calibri" w:eastAsia="Calibri" w:hAnsi="Calibri"/>
                <w:sz w:val="20"/>
                <w:szCs w:val="20"/>
                <w:color w:val="auto"/>
              </w:rPr>
              <w:t>$</w:t>
            </w:r>
          </w:p>
        </w:tc>
        <w:tc>
          <w:tcPr>
            <w:tcW w:w="1940" w:type="dxa"/>
            <w:vAlign w:val="bottom"/>
          </w:tcPr>
          <w:p>
            <w:pPr>
              <w:jc w:val="right"/>
              <w:spacing w:after="0" w:line="236" w:lineRule="exact"/>
              <w:rPr>
                <w:sz w:val="20"/>
                <w:szCs w:val="20"/>
                <w:color w:val="auto"/>
              </w:rPr>
            </w:pPr>
            <w:r>
              <w:rPr>
                <w:rFonts w:ascii="Calibri" w:cs="Calibri" w:eastAsia="Calibri" w:hAnsi="Calibri"/>
                <w:sz w:val="20"/>
                <w:szCs w:val="20"/>
                <w:color w:val="auto"/>
              </w:rPr>
              <w:t>27.2</w:t>
            </w:r>
          </w:p>
        </w:tc>
        <w:tc>
          <w:tcPr>
            <w:tcW w:w="340" w:type="dxa"/>
            <w:vAlign w:val="bottom"/>
          </w:tcPr>
          <w:p>
            <w:pPr>
              <w:jc w:val="right"/>
              <w:ind w:right="101"/>
              <w:spacing w:after="0" w:line="236" w:lineRule="exact"/>
              <w:rPr>
                <w:sz w:val="20"/>
                <w:szCs w:val="20"/>
                <w:color w:val="auto"/>
              </w:rPr>
            </w:pPr>
            <w:r>
              <w:rPr>
                <w:rFonts w:ascii="Calibri" w:cs="Calibri" w:eastAsia="Calibri" w:hAnsi="Calibri"/>
                <w:sz w:val="20"/>
                <w:szCs w:val="20"/>
                <w:color w:val="auto"/>
              </w:rPr>
              <w:t>$</w:t>
            </w:r>
          </w:p>
        </w:tc>
        <w:tc>
          <w:tcPr>
            <w:tcW w:w="2320" w:type="dxa"/>
            <w:vAlign w:val="bottom"/>
          </w:tcPr>
          <w:p>
            <w:pPr>
              <w:jc w:val="right"/>
              <w:ind w:right="381"/>
              <w:spacing w:after="0" w:line="236" w:lineRule="exact"/>
              <w:rPr>
                <w:sz w:val="20"/>
                <w:szCs w:val="20"/>
                <w:color w:val="auto"/>
              </w:rPr>
            </w:pPr>
            <w:r>
              <w:rPr>
                <w:rFonts w:ascii="Calibri" w:cs="Calibri" w:eastAsia="Calibri" w:hAnsi="Calibri"/>
                <w:sz w:val="20"/>
                <w:szCs w:val="20"/>
                <w:color w:val="auto"/>
              </w:rPr>
              <w:t>24.6</w:t>
            </w:r>
          </w:p>
        </w:tc>
        <w:tc>
          <w:tcPr>
            <w:tcW w:w="1960" w:type="dxa"/>
            <w:vAlign w:val="bottom"/>
          </w:tcPr>
          <w:p>
            <w:pPr>
              <w:jc w:val="right"/>
              <w:spacing w:after="0" w:line="236" w:lineRule="exact"/>
              <w:rPr>
                <w:sz w:val="20"/>
                <w:szCs w:val="20"/>
                <w:color w:val="auto"/>
              </w:rPr>
            </w:pPr>
            <w:r>
              <w:rPr>
                <w:rFonts w:ascii="Calibri" w:cs="Calibri" w:eastAsia="Calibri" w:hAnsi="Calibri"/>
                <w:sz w:val="20"/>
                <w:szCs w:val="20"/>
                <w:color w:val="auto"/>
              </w:rPr>
              <w:t>10.6 %</w:t>
            </w:r>
          </w:p>
        </w:tc>
      </w:tr>
    </w:tbl>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Subsequent to the end of fiscal 2023, on March 7, 2024, Academy announced its Board of Directors declared a quarterly cash dividend with respect to the quarter ended February 3, 2024, of $0.11 per share of common stock. This is a 22% increase from the previous dividend payment. The dividend is payable on April 18, 2024, to stockholders of record as of the close of business on March 26, 2024. In addition, on March 8, 2024, the Company amended and extended its $1.0 billion ABL credit facility through March 8, 2029.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Store Openings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Academy opened seven new stores during the fourth quarter for a total of 14 stores in 2023.</w:t>
      </w:r>
    </w:p>
    <w:p>
      <w:pPr>
        <w:spacing w:after="0"/>
        <w:rPr>
          <w:sz w:val="20"/>
          <w:szCs w:val="20"/>
          <w:color w:val="auto"/>
        </w:rPr>
      </w:pPr>
      <w:r>
        <w:rPr>
          <w:rFonts w:ascii="Arial" w:cs="Arial" w:eastAsia="Arial" w:hAnsi="Arial"/>
          <w:sz w:val="18"/>
          <w:szCs w:val="18"/>
          <w:color w:val="auto"/>
        </w:rPr>
        <w:t>In 2024, the company plans on opening 15-17 new stores.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2024 Outlook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2023, topline sales did not meet our expectations, but we were pleased with the Q4 trajectory change. For the third consecutive year, we</w:t>
      </w:r>
    </w:p>
    <w:p>
      <w:pPr>
        <w:jc w:val="both"/>
        <w:spacing w:after="0" w:line="226" w:lineRule="auto"/>
        <w:rPr>
          <w:sz w:val="20"/>
          <w:szCs w:val="20"/>
          <w:color w:val="auto"/>
        </w:rPr>
      </w:pPr>
      <w:r>
        <w:rPr>
          <w:rFonts w:ascii="Arial" w:cs="Arial" w:eastAsia="Arial" w:hAnsi="Arial"/>
          <w:sz w:val="18"/>
          <w:szCs w:val="18"/>
          <w:color w:val="auto"/>
        </w:rPr>
        <w:t>achieved double digit operating margins and a gross margin rate above 34%, underscoring the structural changes Academy has made to improve margins. The Company also delivered stakeholder value by purchasing $204 million of stock, paying $27 million in dividends and</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reducing its debt by $103 million," stated Carl Ford, Executive Vice President and Chief Financial Officer. "In 2024, we are focused on our long-range strategy of growing the Company by opening new stores, growing omnichannel sales, customer data acquisition and utilization, and improving our supply chain. Utilizing our strong balance sheet, we will invest in each of these strategic areas while we navigate the current consumer landscape because we believe that these initiatives will drive our long-term success."</w:t>
      </w: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Academy is providing the following initial guidance for fiscal 2024 (year ending February 1, 2025). This guidance takes into account various factors, both internal and external, such as the expected benefits of the Company's growth initiatives, current consumer demand, the competitive environment as well as the potential impacts from inflation and other economic risks. The earnings per share estimate does not include any potential future share repurchases and uses a tax rate of 22.0% to 23.0%.</w:t>
      </w:r>
    </w:p>
    <w:p>
      <w:pPr>
        <w:spacing w:after="0" w:line="229" w:lineRule="exact"/>
        <w:rPr>
          <w:sz w:val="20"/>
          <w:szCs w:val="20"/>
          <w:color w:val="auto"/>
        </w:rPr>
      </w:pPr>
    </w:p>
    <w:tbl>
      <w:tblPr>
        <w:tblLayout w:type="fixed"/>
        <w:tblInd w:w="850" w:type="dxa"/>
        <w:tblCellMar>
          <w:top w:w="0" w:type="dxa"/>
          <w:left w:w="0" w:type="dxa"/>
          <w:bottom w:w="0" w:type="dxa"/>
          <w:right w:w="0" w:type="dxa"/>
        </w:tblCellMar>
      </w:tblPr>
      <w:tr>
        <w:trPr>
          <w:trHeight w:val="207"/>
        </w:trPr>
        <w:tc>
          <w:tcPr>
            <w:tcW w:w="4300" w:type="dxa"/>
            <w:vAlign w:val="bottom"/>
            <w:tcBorders>
              <w:top w:val="single" w:sz="8" w:color="auto"/>
              <w:left w:val="single" w:sz="8" w:color="auto"/>
              <w:right w:val="single" w:sz="8" w:color="auto"/>
            </w:tcBorders>
          </w:tcPr>
          <w:p>
            <w:pPr>
              <w:spacing w:after="0"/>
              <w:rPr>
                <w:sz w:val="17"/>
                <w:szCs w:val="17"/>
                <w:color w:val="auto"/>
              </w:rPr>
            </w:pPr>
          </w:p>
        </w:tc>
        <w:tc>
          <w:tcPr>
            <w:tcW w:w="2340" w:type="dxa"/>
            <w:vAlign w:val="bottom"/>
            <w:tcBorders>
              <w:top w:val="single" w:sz="8" w:color="auto"/>
              <w:right w:val="single" w:sz="8" w:color="auto"/>
            </w:tcBorders>
            <w:gridSpan w:val="2"/>
            <w:vMerge w:val="restart"/>
          </w:tcPr>
          <w:p>
            <w:pPr>
              <w:jc w:val="right"/>
              <w:ind w:right="261"/>
              <w:spacing w:after="0"/>
              <w:rPr>
                <w:sz w:val="20"/>
                <w:szCs w:val="20"/>
                <w:color w:val="auto"/>
              </w:rPr>
            </w:pPr>
            <w:r>
              <w:rPr>
                <w:rFonts w:ascii="Arial" w:cs="Arial" w:eastAsia="Arial" w:hAnsi="Arial"/>
                <w:sz w:val="16"/>
                <w:szCs w:val="16"/>
                <w:b w:val="1"/>
                <w:bCs w:val="1"/>
                <w:color w:val="auto"/>
              </w:rPr>
              <w:t>Fiscal 2024 Guidance</w:t>
            </w:r>
          </w:p>
        </w:tc>
        <w:tc>
          <w:tcPr>
            <w:tcW w:w="1580" w:type="dxa"/>
            <w:vAlign w:val="bottom"/>
            <w:tcBorders>
              <w:top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change (at</w:t>
            </w:r>
          </w:p>
        </w:tc>
        <w:tc>
          <w:tcPr>
            <w:tcW w:w="0" w:type="dxa"/>
            <w:vAlign w:val="bottom"/>
          </w:tcPr>
          <w:p>
            <w:pPr>
              <w:spacing w:after="0"/>
              <w:rPr>
                <w:sz w:val="1"/>
                <w:szCs w:val="1"/>
                <w:color w:val="auto"/>
              </w:rPr>
            </w:pPr>
          </w:p>
        </w:tc>
      </w:tr>
      <w:tr>
        <w:trPr>
          <w:trHeight w:val="204"/>
        </w:trPr>
        <w:tc>
          <w:tcPr>
            <w:tcW w:w="43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gridSpan w:val="2"/>
            <w:vMerge w:val="continue"/>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midpoint)</w:t>
            </w:r>
          </w:p>
        </w:tc>
        <w:tc>
          <w:tcPr>
            <w:tcW w:w="0" w:type="dxa"/>
            <w:vAlign w:val="bottom"/>
          </w:tcPr>
          <w:p>
            <w:pPr>
              <w:spacing w:after="0"/>
              <w:rPr>
                <w:sz w:val="1"/>
                <w:szCs w:val="1"/>
                <w:color w:val="auto"/>
              </w:rPr>
            </w:pPr>
          </w:p>
        </w:tc>
      </w:tr>
      <w:tr>
        <w:trPr>
          <w:trHeight w:val="264"/>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12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Low end</w:t>
            </w:r>
          </w:p>
        </w:tc>
        <w:tc>
          <w:tcPr>
            <w:tcW w:w="1100" w:type="dxa"/>
            <w:vAlign w:val="bottom"/>
            <w:tcBorders>
              <w:bottom w:val="single" w:sz="8" w:color="auto"/>
              <w:right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High end</w:t>
            </w:r>
          </w:p>
        </w:tc>
        <w:tc>
          <w:tcPr>
            <w:tcW w:w="1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8"/>
              </w:rPr>
              <w:t xml:space="preserve">2023 Actuals </w:t>
            </w:r>
            <w:r>
              <w:rPr>
                <w:rFonts w:ascii="Arial" w:cs="Arial" w:eastAsia="Arial" w:hAnsi="Arial"/>
                <w:sz w:val="21"/>
                <w:szCs w:val="21"/>
                <w:b w:val="1"/>
                <w:bCs w:val="1"/>
                <w:color w:val="auto"/>
                <w:w w:val="98"/>
                <w:vertAlign w:val="superscript"/>
              </w:rPr>
              <w:t>(2)</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vs. 2023</w:t>
            </w:r>
          </w:p>
        </w:tc>
        <w:tc>
          <w:tcPr>
            <w:tcW w:w="0" w:type="dxa"/>
            <w:vAlign w:val="bottom"/>
          </w:tcPr>
          <w:p>
            <w:pPr>
              <w:spacing w:after="0"/>
              <w:rPr>
                <w:sz w:val="1"/>
                <w:szCs w:val="1"/>
                <w:color w:val="auto"/>
              </w:rPr>
            </w:pPr>
          </w:p>
        </w:tc>
      </w:tr>
      <w:tr>
        <w:trPr>
          <w:trHeight w:val="221"/>
        </w:trPr>
        <w:tc>
          <w:tcPr>
            <w:tcW w:w="4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$6,070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$6,350</w:t>
            </w: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$6,159</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190"/>
        </w:trPr>
        <w:tc>
          <w:tcPr>
            <w:tcW w:w="4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Sales Growth</w:t>
            </w:r>
          </w:p>
        </w:tc>
        <w:tc>
          <w:tcPr>
            <w:tcW w:w="1240" w:type="dxa"/>
            <w:vAlign w:val="bottom"/>
          </w:tcPr>
          <w:p>
            <w:pPr>
              <w:jc w:val="right"/>
              <w:ind w:right="61"/>
              <w:spacing w:after="0"/>
              <w:rPr>
                <w:sz w:val="20"/>
                <w:szCs w:val="20"/>
                <w:color w:val="auto"/>
              </w:rPr>
            </w:pPr>
            <w:r>
              <w:rPr>
                <w:rFonts w:ascii="Arial" w:cs="Arial" w:eastAsia="Arial" w:hAnsi="Arial"/>
                <w:sz w:val="13"/>
                <w:szCs w:val="13"/>
                <w:color w:val="auto"/>
              </w:rPr>
              <w:t>(1.5) %</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158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4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Comparable sales</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(4.0)%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(6.5)%</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+500 bps</w:t>
            </w:r>
          </w:p>
        </w:tc>
        <w:tc>
          <w:tcPr>
            <w:tcW w:w="0" w:type="dxa"/>
            <w:vAlign w:val="bottom"/>
          </w:tcPr>
          <w:p>
            <w:pPr>
              <w:spacing w:after="0"/>
              <w:rPr>
                <w:sz w:val="1"/>
                <w:szCs w:val="1"/>
                <w:color w:val="auto"/>
              </w:rPr>
            </w:pPr>
          </w:p>
        </w:tc>
      </w:tr>
      <w:tr>
        <w:trPr>
          <w:trHeight w:val="486"/>
        </w:trPr>
        <w:tc>
          <w:tcPr>
            <w:tcW w:w="4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Gross margin rate</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34.3 %</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34.7 %</w:t>
            </w: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34.3 %</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 bps</w:t>
            </w:r>
          </w:p>
        </w:tc>
        <w:tc>
          <w:tcPr>
            <w:tcW w:w="0" w:type="dxa"/>
            <w:vAlign w:val="bottom"/>
          </w:tcPr>
          <w:p>
            <w:pPr>
              <w:spacing w:after="0"/>
              <w:rPr>
                <w:sz w:val="1"/>
                <w:szCs w:val="1"/>
                <w:color w:val="auto"/>
              </w:rPr>
            </w:pPr>
          </w:p>
        </w:tc>
      </w:tr>
      <w:tr>
        <w:trPr>
          <w:trHeight w:val="338"/>
        </w:trPr>
        <w:tc>
          <w:tcPr>
            <w:tcW w:w="4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$455</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$519</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486"/>
        </w:trPr>
        <w:tc>
          <w:tcPr>
            <w:tcW w:w="4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Earnings per common share, diluted</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$5.90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$6.70</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8"/>
        </w:trPr>
        <w:tc>
          <w:tcPr>
            <w:tcW w:w="4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Diluted weighted average common shares</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~77</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77.5</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7"/>
        </w:trPr>
        <w:tc>
          <w:tcPr>
            <w:tcW w:w="4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Capital Expenditures</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$225</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$208</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20.2 %</w:t>
            </w:r>
          </w:p>
        </w:tc>
        <w:tc>
          <w:tcPr>
            <w:tcW w:w="0" w:type="dxa"/>
            <w:vAlign w:val="bottom"/>
          </w:tcPr>
          <w:p>
            <w:pPr>
              <w:spacing w:after="0"/>
              <w:rPr>
                <w:sz w:val="1"/>
                <w:szCs w:val="1"/>
                <w:color w:val="auto"/>
              </w:rPr>
            </w:pPr>
          </w:p>
        </w:tc>
      </w:tr>
      <w:tr>
        <w:trPr>
          <w:trHeight w:val="338"/>
        </w:trPr>
        <w:tc>
          <w:tcPr>
            <w:tcW w:w="4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Adjusted free cash flow </w:t>
            </w:r>
            <w:r>
              <w:rPr>
                <w:rFonts w:ascii="Arial" w:cs="Arial" w:eastAsia="Arial" w:hAnsi="Arial"/>
                <w:sz w:val="8"/>
                <w:szCs w:val="8"/>
                <w:color w:val="auto"/>
              </w:rPr>
              <w:t>(1)</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$290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$330</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110"/>
        </w:trPr>
        <w:tc>
          <w:tcPr>
            <w:tcW w:w="4300" w:type="dxa"/>
            <w:vAlign w:val="bottom"/>
            <w:tcBorders>
              <w:left w:val="single" w:sz="8" w:color="auto"/>
              <w:bottom w:val="single" w:sz="8" w:color="auto"/>
              <w:right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-2232025</wp:posOffset>
            </wp:positionV>
            <wp:extent cx="149987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9870" cy="34290"/>
                    </a:xfrm>
                    <a:prstGeom prst="rect">
                      <a:avLst/>
                    </a:prstGeom>
                    <a:noFill/>
                  </pic:spPr>
                </pic:pic>
              </a:graphicData>
            </a:graphic>
          </wp:anchor>
        </w:drawing>
      </w:r>
    </w:p>
    <w:p>
      <w:pPr>
        <w:spacing w:after="0" w:line="300" w:lineRule="exact"/>
        <w:rPr>
          <w:sz w:val="20"/>
          <w:szCs w:val="20"/>
          <w:color w:val="auto"/>
        </w:rPr>
      </w:pPr>
    </w:p>
    <w:p>
      <w:pPr>
        <w:jc w:val="both"/>
        <w:ind w:left="660" w:right="1600" w:hanging="4"/>
        <w:spacing w:after="0"/>
        <w:tabs>
          <w:tab w:leader="none" w:pos="849" w:val="left"/>
        </w:tabs>
        <w:numPr>
          <w:ilvl w:val="0"/>
          <w:numId w:val="3"/>
        </w:numPr>
        <w:rPr>
          <w:rFonts w:ascii="Arial" w:cs="Arial" w:eastAsia="Arial" w:hAnsi="Arial"/>
          <w:sz w:val="13"/>
          <w:szCs w:val="13"/>
          <w:color w:val="auto"/>
        </w:rPr>
      </w:pPr>
      <w:r>
        <w:rPr>
          <w:rFonts w:ascii="Arial" w:cs="Arial" w:eastAsia="Arial" w:hAnsi="Arial"/>
          <w:sz w:val="13"/>
          <w:szCs w:val="13"/>
          <w:color w:val="auto"/>
        </w:rPr>
        <w:t>Adjusted free cash flow is a non-GAAP measure. We have not reconciled it to the most comparable GAAP measure because it is not possible to do so without unreasonable efforts given the uncertainty and potential variability of reconciling items, which are dependent on future events and often outside of management’s control and which could be significant. Because such items cannot be reasonably predicted with the level of precision required, we are unable to provide an estimate of the most closely comparable GAAP measure at this time.</w:t>
      </w:r>
    </w:p>
    <w:p>
      <w:pPr>
        <w:spacing w:after="0" w:line="225" w:lineRule="exact"/>
        <w:rPr>
          <w:rFonts w:ascii="Arial" w:cs="Arial" w:eastAsia="Arial" w:hAnsi="Arial"/>
          <w:sz w:val="13"/>
          <w:szCs w:val="13"/>
          <w:color w:val="auto"/>
        </w:rPr>
      </w:pPr>
    </w:p>
    <w:p>
      <w:pPr>
        <w:ind w:left="840" w:hanging="184"/>
        <w:spacing w:after="0"/>
        <w:tabs>
          <w:tab w:leader="none" w:pos="840" w:val="left"/>
        </w:tabs>
        <w:numPr>
          <w:ilvl w:val="0"/>
          <w:numId w:val="3"/>
        </w:numPr>
        <w:rPr>
          <w:rFonts w:ascii="Arial" w:cs="Arial" w:eastAsia="Arial" w:hAnsi="Arial"/>
          <w:sz w:val="13"/>
          <w:szCs w:val="13"/>
          <w:color w:val="auto"/>
        </w:rPr>
      </w:pPr>
      <w:r>
        <w:rPr>
          <w:rFonts w:ascii="Arial" w:cs="Arial" w:eastAsia="Arial" w:hAnsi="Arial"/>
          <w:sz w:val="13"/>
          <w:szCs w:val="13"/>
          <w:color w:val="auto"/>
        </w:rPr>
        <w:t>Fiscal 2023 net sales include approximately $73 million from having a 53rd week, which is approximately a 1% impact on 2024 sales growth.</w:t>
      </w:r>
    </w:p>
    <w:p>
      <w:pPr>
        <w:sectPr>
          <w:pgSz w:w="11900" w:h="16838" w:orient="portrait"/>
          <w:cols w:equalWidth="0" w:num="1">
            <w:col w:w="11240"/>
          </w:cols>
          <w:pgMar w:left="320" w:top="491" w:right="3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491"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Conference Call Info</w:t>
      </w:r>
    </w:p>
    <w:p>
      <w:pPr>
        <w:spacing w:after="0" w:line="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Academy will host a conference call today at 10:00 a.m. Eastern Time to discuss its financial results. The call will be webcast at </w:t>
      </w:r>
      <w:r>
        <w:rPr>
          <w:rFonts w:ascii="Arial" w:cs="Arial" w:eastAsia="Arial" w:hAnsi="Arial"/>
          <w:sz w:val="18"/>
          <w:szCs w:val="18"/>
          <w:u w:val="single" w:color="auto"/>
          <w:color w:val="0E32E1"/>
        </w:rPr>
        <w:t>investors.academy.com</w:t>
      </w:r>
      <w:r>
        <w:rPr>
          <w:rFonts w:ascii="Arial" w:cs="Arial" w:eastAsia="Arial" w:hAnsi="Arial"/>
          <w:sz w:val="18"/>
          <w:szCs w:val="18"/>
          <w:color w:val="000000"/>
        </w:rPr>
        <w:t>. The following information is provided for those who would like to participate in the conference call:</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1180" w:type="dxa"/>
            <w:vAlign w:val="bottom"/>
          </w:tcPr>
          <w:p>
            <w:pPr>
              <w:spacing w:after="0"/>
              <w:rPr>
                <w:sz w:val="20"/>
                <w:szCs w:val="20"/>
                <w:color w:val="auto"/>
              </w:rPr>
            </w:pPr>
            <w:r>
              <w:rPr>
                <w:rFonts w:ascii="Arial" w:cs="Arial" w:eastAsia="Arial" w:hAnsi="Arial"/>
                <w:sz w:val="18"/>
                <w:szCs w:val="18"/>
                <w:color w:val="auto"/>
              </w:rPr>
              <w:t>U.S. callers</w:t>
            </w:r>
          </w:p>
        </w:tc>
        <w:tc>
          <w:tcPr>
            <w:tcW w:w="1520" w:type="dxa"/>
            <w:vAlign w:val="bottom"/>
          </w:tcPr>
          <w:p>
            <w:pPr>
              <w:jc w:val="right"/>
              <w:spacing w:after="0"/>
              <w:rPr>
                <w:sz w:val="20"/>
                <w:szCs w:val="20"/>
                <w:color w:val="auto"/>
              </w:rPr>
            </w:pPr>
            <w:r>
              <w:rPr>
                <w:rFonts w:ascii="Arial" w:cs="Arial" w:eastAsia="Arial" w:hAnsi="Arial"/>
                <w:sz w:val="18"/>
                <w:szCs w:val="18"/>
                <w:color w:val="auto"/>
              </w:rPr>
              <w:t>1-877-407-3982</w:t>
            </w:r>
          </w:p>
        </w:tc>
      </w:tr>
    </w:tbl>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1040" w:type="dxa"/>
            <w:vAlign w:val="bottom"/>
          </w:tcPr>
          <w:p>
            <w:pPr>
              <w:spacing w:after="0"/>
              <w:rPr>
                <w:sz w:val="20"/>
                <w:szCs w:val="20"/>
                <w:color w:val="auto"/>
              </w:rPr>
            </w:pPr>
            <w:r>
              <w:rPr>
                <w:rFonts w:ascii="Arial" w:cs="Arial" w:eastAsia="Arial" w:hAnsi="Arial"/>
                <w:sz w:val="18"/>
                <w:szCs w:val="18"/>
                <w:color w:val="auto"/>
              </w:rPr>
              <w:t>Passcode</w:t>
            </w:r>
          </w:p>
        </w:tc>
        <w:tc>
          <w:tcPr>
            <w:tcW w:w="1060" w:type="dxa"/>
            <w:vAlign w:val="bottom"/>
          </w:tcPr>
          <w:p>
            <w:pPr>
              <w:jc w:val="right"/>
              <w:spacing w:after="0"/>
              <w:rPr>
                <w:sz w:val="20"/>
                <w:szCs w:val="20"/>
                <w:color w:val="auto"/>
              </w:rPr>
            </w:pPr>
            <w:r>
              <w:rPr>
                <w:rFonts w:ascii="Arial" w:cs="Arial" w:eastAsia="Arial" w:hAnsi="Arial"/>
                <w:sz w:val="18"/>
                <w:szCs w:val="18"/>
                <w:color w:val="auto"/>
              </w:rPr>
              <w:t>13744704</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conference call will be available for approximately 30 days on the Company's website.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Academy Sports + Outdoors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Academy is a leading full-line sporting goods and outdoor recreation retailer in the United States. Originally founded in 1938 as a family business in Texas, Academy has grown to 282 stores across 18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Adjusted EBITDA, Adjusted EBIT, Adjusted Net Income, Adjusted Earnings per Common Share, and Adjusted Free Cash Flow have been presented in this press release as supplemental measures of financial performance that are not required by, or presented in accordance with, generally accepted accounting principles (“GAAP”). The Company believes that the presentation of these non-GAAP measures is useful to investors as it provides additional information on comparisons between periods by excluding certain items that affect overall comparability. The Company uses these non-GAAP financial measures for business planning purposes, to consider underlying trends of its business, and in measuring its performance relative to others in the market, and believes presenting these measures also provides information to investors and others for understanding and evaluating trends in the Company’s operating results or measuring performance in the same manner as the Company’s management. Non-GAAP financial measures should be considered in addition to, and not as an alternative for, the Company’s reported results prepared in accordance with GAAP. The calculation of these non-GAAP financial measures may differ from similar measures reported by other companies and may not be comparable to other similarly titled measures. For additional information on these non-GAAP financial measures, please see our Annual Report for the fiscal year ended February 3, 2024 (the "Annual Report"), which may be updated from time to time in our periodic filings with the Securities and Exchange Commission (the "SEC"), which are accessible on the SEC's website at www.sec.gov.</w:t>
      </w:r>
    </w:p>
    <w:p>
      <w:pPr>
        <w:spacing w:after="0" w:line="216" w:lineRule="exact"/>
        <w:rPr>
          <w:sz w:val="20"/>
          <w:szCs w:val="20"/>
          <w:color w:val="auto"/>
        </w:rPr>
      </w:pPr>
    </w:p>
    <w:p>
      <w:pPr>
        <w:ind w:right="440"/>
        <w:spacing w:after="0" w:line="285" w:lineRule="auto"/>
        <w:rPr>
          <w:sz w:val="20"/>
          <w:szCs w:val="20"/>
          <w:color w:val="auto"/>
        </w:rPr>
      </w:pPr>
      <w:r>
        <w:rPr>
          <w:rFonts w:ascii="Arial" w:cs="Arial" w:eastAsia="Arial" w:hAnsi="Arial"/>
          <w:sz w:val="18"/>
          <w:szCs w:val="18"/>
          <w:i w:val="1"/>
          <w:iCs w:val="1"/>
          <w:color w:val="auto"/>
        </w:rPr>
        <w:t>See “Reconciliations of GAAP to Non-GAAP Financial Measures” below for reconciliations of non-GAAP financial measures used in this press release (other than Adjusted free cash flow) to their most directly comparable GAAP financial measures.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Forward-looking statements may incorporate words such as “believe,” “expect,” “forward,” “ahead,” “opportunities,” “plans,” “priorities,” “goals,” “future,” “short/long term,” “will,” “should,” or the negative version of these words or other comparable words. The forward-looking statements include, among other things, statements regarding the Company’s future performance, financial condition, and capital deployment, including intent, ability, payment, extent, and timing of capital expenditures, debt repayment, dividends, share repurchases, interest savings, and execution of the capital allocation plan, each of which is subject to various risks, assumptions, or changes in circumstances that are difficult to predict or quantify. Actual results may differ materially from these expectations due to changes in global, regional, or local economic, business, competitive, market, regulatory and other factors that could affect overall consumer spending or our industry, including the possible effects of ongoing macroeconomic challenges, inflation and increases in interest rates, or changes to the financial health of our customers, many of which are beyond Academy's control. These and other important factors that could cause actual results to differ materially from those in the forward-looking statements are set forth in Academy's filings with the SEC, including the Annual Report,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44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480" w:type="dxa"/>
            <w:vAlign w:val="bottom"/>
            <w:gridSpan w:val="3"/>
          </w:tcPr>
          <w:p>
            <w:pPr>
              <w:ind w:left="1000"/>
              <w:spacing w:after="0"/>
              <w:rPr>
                <w:sz w:val="20"/>
                <w:szCs w:val="20"/>
                <w:color w:val="auto"/>
              </w:rPr>
            </w:pPr>
            <w:r>
              <w:rPr>
                <w:rFonts w:ascii="Arial" w:cs="Arial" w:eastAsia="Arial" w:hAnsi="Arial"/>
                <w:sz w:val="18"/>
                <w:szCs w:val="18"/>
                <w:b w:val="1"/>
                <w:bCs w:val="1"/>
                <w:color w:val="auto"/>
              </w:rPr>
              <w:t>Media Contact</w:t>
            </w:r>
          </w:p>
        </w:tc>
      </w:tr>
      <w:tr>
        <w:trPr>
          <w:trHeight w:val="288"/>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 Hodges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Elise Hasbrook</w:t>
            </w:r>
          </w:p>
        </w:tc>
        <w:tc>
          <w:tcPr>
            <w:tcW w:w="1240" w:type="dxa"/>
            <w:vAlign w:val="bottom"/>
          </w:tcPr>
          <w:p>
            <w:pPr>
              <w:spacing w:after="0"/>
              <w:rPr>
                <w:sz w:val="24"/>
                <w:szCs w:val="24"/>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VP, Investor Relations</w:t>
            </w:r>
          </w:p>
        </w:tc>
        <w:tc>
          <w:tcPr>
            <w:tcW w:w="3480" w:type="dxa"/>
            <w:vAlign w:val="bottom"/>
            <w:gridSpan w:val="3"/>
          </w:tcPr>
          <w:p>
            <w:pPr>
              <w:ind w:left="1000"/>
              <w:spacing w:after="0"/>
              <w:rPr>
                <w:sz w:val="20"/>
                <w:szCs w:val="20"/>
                <w:color w:val="auto"/>
              </w:rPr>
            </w:pPr>
            <w:r>
              <w:rPr>
                <w:rFonts w:ascii="Arial" w:cs="Arial" w:eastAsia="Arial" w:hAnsi="Arial"/>
                <w:sz w:val="18"/>
                <w:szCs w:val="18"/>
                <w:color w:val="auto"/>
              </w:rPr>
              <w:t>VP, Communications</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281-646-5362</w:t>
            </w:r>
          </w:p>
        </w:tc>
        <w:tc>
          <w:tcPr>
            <w:tcW w:w="1860" w:type="dxa"/>
            <w:vAlign w:val="bottom"/>
          </w:tcPr>
          <w:p>
            <w:pPr>
              <w:spacing w:after="0"/>
              <w:rPr>
                <w:sz w:val="23"/>
                <w:szCs w:val="23"/>
                <w:color w:val="auto"/>
              </w:rPr>
            </w:pPr>
          </w:p>
        </w:tc>
        <w:tc>
          <w:tcPr>
            <w:tcW w:w="2240" w:type="dxa"/>
            <w:vAlign w:val="bottom"/>
            <w:gridSpan w:val="2"/>
          </w:tcPr>
          <w:p>
            <w:pPr>
              <w:ind w:left="1000"/>
              <w:spacing w:after="0"/>
              <w:rPr>
                <w:sz w:val="20"/>
                <w:szCs w:val="20"/>
                <w:color w:val="auto"/>
              </w:rPr>
            </w:pPr>
            <w:r>
              <w:rPr>
                <w:rFonts w:ascii="Arial" w:cs="Arial" w:eastAsia="Arial" w:hAnsi="Arial"/>
                <w:sz w:val="18"/>
                <w:szCs w:val="18"/>
                <w:color w:val="auto"/>
              </w:rPr>
              <w:t>281-944-6041</w:t>
            </w:r>
          </w:p>
        </w:tc>
        <w:tc>
          <w:tcPr>
            <w:tcW w:w="1240" w:type="dxa"/>
            <w:vAlign w:val="bottom"/>
          </w:tcPr>
          <w:p>
            <w:pPr>
              <w:spacing w:after="0"/>
              <w:rPr>
                <w:sz w:val="23"/>
                <w:szCs w:val="23"/>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Matt.hodges@academy.com</w:t>
            </w:r>
          </w:p>
        </w:tc>
        <w:tc>
          <w:tcPr>
            <w:tcW w:w="3480" w:type="dxa"/>
            <w:vAlign w:val="bottom"/>
            <w:gridSpan w:val="3"/>
          </w:tcPr>
          <w:p>
            <w:pPr>
              <w:ind w:left="1000"/>
              <w:spacing w:after="0"/>
              <w:rPr>
                <w:sz w:val="20"/>
                <w:szCs w:val="20"/>
                <w:color w:val="auto"/>
              </w:rPr>
            </w:pPr>
            <w:r>
              <w:rPr>
                <w:rFonts w:ascii="Arial" w:cs="Arial" w:eastAsia="Arial" w:hAnsi="Arial"/>
                <w:sz w:val="18"/>
                <w:szCs w:val="18"/>
                <w:color w:val="auto"/>
                <w:w w:val="99"/>
              </w:rPr>
              <w:t>Elise.hasbrook@academy.com</w:t>
            </w:r>
          </w:p>
        </w:tc>
      </w:tr>
      <w:tr>
        <w:trPr>
          <w:trHeight w:val="528"/>
        </w:trPr>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80" w:type="dxa"/>
            <w:vAlign w:val="bottom"/>
            <w:gridSpan w:val="3"/>
          </w:tcPr>
          <w:p>
            <w:pPr>
              <w:jc w:val="right"/>
              <w:ind w:right="1120"/>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0119"/>
          </w:cols>
          <w:pgMar w:left="340" w:top="466"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5"/>
          </w:tcPr>
          <w:p>
            <w:pPr>
              <w:ind w:left="900"/>
              <w:spacing w:after="0"/>
              <w:rPr>
                <w:sz w:val="20"/>
                <w:szCs w:val="20"/>
                <w:color w:val="auto"/>
              </w:rPr>
            </w:pPr>
            <w:r>
              <w:rPr>
                <w:rFonts w:ascii="Arial" w:cs="Arial" w:eastAsia="Arial" w:hAnsi="Arial"/>
                <w:sz w:val="16"/>
                <w:szCs w:val="16"/>
                <w:b w:val="1"/>
                <w:bCs w:val="1"/>
                <w:color w:val="auto"/>
              </w:rPr>
              <w:t>Fiscal Quarter Ended</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February 3, 2024</w:t>
            </w:r>
          </w:p>
        </w:tc>
        <w:tc>
          <w:tcPr>
            <w:tcW w:w="1740" w:type="dxa"/>
            <w:vAlign w:val="bottom"/>
            <w:gridSpan w:val="2"/>
          </w:tcPr>
          <w:p>
            <w:pPr>
              <w:ind w:left="60"/>
              <w:spacing w:after="0" w:line="173" w:lineRule="exact"/>
              <w:rPr>
                <w:sz w:val="20"/>
                <w:szCs w:val="20"/>
                <w:color w:val="auto"/>
              </w:rPr>
            </w:pPr>
            <w:r>
              <w:rPr>
                <w:rFonts w:ascii="Arial" w:cs="Arial" w:eastAsia="Arial" w:hAnsi="Arial"/>
                <w:sz w:val="16"/>
                <w:szCs w:val="16"/>
                <w:b w:val="1"/>
                <w:bCs w:val="1"/>
                <w:color w:val="auto"/>
              </w:rPr>
              <w:t>Percentage of Sales</w:t>
            </w:r>
          </w:p>
        </w:tc>
        <w:tc>
          <w:tcPr>
            <w:tcW w:w="180" w:type="dxa"/>
            <w:vAlign w:val="bottom"/>
          </w:tcPr>
          <w:p>
            <w:pPr>
              <w:spacing w:after="0"/>
              <w:rPr>
                <w:sz w:val="15"/>
                <w:szCs w:val="15"/>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January 28, 2023</w:t>
            </w:r>
          </w:p>
        </w:tc>
        <w:tc>
          <w:tcPr>
            <w:tcW w:w="1680" w:type="dxa"/>
            <w:vAlign w:val="bottom"/>
          </w:tcPr>
          <w:p>
            <w:pPr>
              <w:jc w:val="right"/>
              <w:ind w:right="1"/>
              <w:spacing w:after="0" w:line="173" w:lineRule="exact"/>
              <w:rPr>
                <w:sz w:val="20"/>
                <w:szCs w:val="20"/>
                <w:color w:val="auto"/>
              </w:rPr>
            </w:pPr>
            <w:r>
              <w:rPr>
                <w:rFonts w:ascii="Arial" w:cs="Arial" w:eastAsia="Arial" w:hAnsi="Arial"/>
                <w:sz w:val="16"/>
                <w:szCs w:val="16"/>
                <w:b w:val="1"/>
                <w:bCs w:val="1"/>
                <w:color w:val="auto"/>
              </w:rPr>
              <w:t>Percentage of Sales</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660" w:type="dxa"/>
            <w:vAlign w:val="bottom"/>
          </w:tcPr>
          <w:p>
            <w:pPr>
              <w:jc w:val="right"/>
              <w:ind w:right="681"/>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680" w:type="dxa"/>
            <w:vAlign w:val="bottom"/>
          </w:tcPr>
          <w:p>
            <w:pPr>
              <w:jc w:val="right"/>
              <w:ind w:right="701"/>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64"/>
        </w:trPr>
        <w:tc>
          <w:tcPr>
            <w:tcW w:w="4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1,794,828</w:t>
            </w:r>
          </w:p>
        </w:tc>
        <w:tc>
          <w:tcPr>
            <w:tcW w:w="8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1,746,503</w:t>
            </w:r>
          </w:p>
        </w:tc>
        <w:tc>
          <w:tcPr>
            <w:tcW w:w="8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1,197,819</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66.7 %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1,173,959</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67.2 %</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597,009</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33.3 %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572,544</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393,044</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367,744</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21.1 %</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203,965</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204,800</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0" w:type="dxa"/>
            <w:vAlign w:val="bottom"/>
          </w:tcPr>
          <w:p>
            <w:pPr>
              <w:spacing w:after="0"/>
              <w:rPr>
                <w:sz w:val="1"/>
                <w:szCs w:val="1"/>
                <w:color w:val="auto"/>
              </w:rPr>
            </w:pPr>
          </w:p>
        </w:tc>
      </w:tr>
      <w:tr>
        <w:trPr>
          <w:trHeight w:val="239"/>
        </w:trPr>
        <w:tc>
          <w:tcPr>
            <w:tcW w:w="40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12,578</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0.7 %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12,201</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retirement of debt</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1,525</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(21,395)</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(15,499)</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211,257</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206,135</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43,090</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48,482</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65"/>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168,167</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9.4 %</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157,653</w:t>
            </w:r>
          </w:p>
        </w:tc>
        <w:tc>
          <w:tcPr>
            <w:tcW w:w="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2.27</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2.03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74,219</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77,657</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76,035</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80,074</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Column may not add due to rounding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01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5"/>
          </w:tcPr>
          <w:p>
            <w:pPr>
              <w:ind w:left="1040"/>
              <w:spacing w:after="0"/>
              <w:rPr>
                <w:sz w:val="20"/>
                <w:szCs w:val="20"/>
                <w:color w:val="auto"/>
              </w:rPr>
            </w:pPr>
            <w:r>
              <w:rPr>
                <w:rFonts w:ascii="Arial" w:cs="Arial" w:eastAsia="Arial" w:hAnsi="Arial"/>
                <w:sz w:val="16"/>
                <w:szCs w:val="16"/>
                <w:b w:val="1"/>
                <w:bCs w:val="1"/>
                <w:color w:val="auto"/>
              </w:rPr>
              <w:t>Fiscal Year Ended</w:t>
            </w:r>
          </w:p>
        </w:tc>
        <w:tc>
          <w:tcPr>
            <w:tcW w:w="1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February 3, 2024</w:t>
            </w:r>
          </w:p>
        </w:tc>
        <w:tc>
          <w:tcPr>
            <w:tcW w:w="1800" w:type="dxa"/>
            <w:vAlign w:val="bottom"/>
            <w:gridSpan w:val="2"/>
          </w:tcPr>
          <w:p>
            <w:pPr>
              <w:ind w:left="80"/>
              <w:spacing w:after="0" w:line="173" w:lineRule="exact"/>
              <w:rPr>
                <w:sz w:val="20"/>
                <w:szCs w:val="20"/>
                <w:color w:val="auto"/>
              </w:rPr>
            </w:pPr>
            <w:r>
              <w:rPr>
                <w:rFonts w:ascii="Arial" w:cs="Arial" w:eastAsia="Arial" w:hAnsi="Arial"/>
                <w:sz w:val="16"/>
                <w:szCs w:val="16"/>
                <w:b w:val="1"/>
                <w:bCs w:val="1"/>
                <w:color w:val="auto"/>
              </w:rPr>
              <w:t>Percentage of Sales</w:t>
            </w:r>
          </w:p>
        </w:tc>
        <w:tc>
          <w:tcPr>
            <w:tcW w:w="180" w:type="dxa"/>
            <w:vAlign w:val="bottom"/>
          </w:tcPr>
          <w:p>
            <w:pPr>
              <w:spacing w:after="0"/>
              <w:rPr>
                <w:sz w:val="15"/>
                <w:szCs w:val="15"/>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January 28, 2023</w:t>
            </w:r>
          </w:p>
        </w:tc>
        <w:tc>
          <w:tcPr>
            <w:tcW w:w="1660" w:type="dxa"/>
            <w:vAlign w:val="bottom"/>
          </w:tcPr>
          <w:p>
            <w:pPr>
              <w:jc w:val="right"/>
              <w:spacing w:after="0" w:line="173" w:lineRule="exact"/>
              <w:rPr>
                <w:sz w:val="20"/>
                <w:szCs w:val="20"/>
                <w:color w:val="auto"/>
              </w:rPr>
            </w:pPr>
            <w:r>
              <w:rPr>
                <w:rFonts w:ascii="Arial" w:cs="Arial" w:eastAsia="Arial" w:hAnsi="Arial"/>
                <w:sz w:val="16"/>
                <w:szCs w:val="16"/>
                <w:b w:val="1"/>
                <w:bCs w:val="1"/>
                <w:color w:val="auto"/>
              </w:rPr>
              <w:t>Percentage of Sales</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720" w:type="dxa"/>
            <w:vAlign w:val="bottom"/>
          </w:tcPr>
          <w:p>
            <w:pPr>
              <w:jc w:val="right"/>
              <w:ind w:right="721"/>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660" w:type="dxa"/>
            <w:vAlign w:val="bottom"/>
          </w:tcPr>
          <w:p>
            <w:pPr>
              <w:jc w:val="right"/>
              <w:ind w:right="681"/>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64"/>
        </w:trPr>
        <w:tc>
          <w:tcPr>
            <w:tcW w:w="4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6,159,291</w:t>
            </w:r>
          </w:p>
        </w:tc>
        <w:tc>
          <w:tcPr>
            <w:tcW w:w="80" w:type="dxa"/>
            <w:vAlign w:val="bottom"/>
            <w:tcBorders>
              <w:top w:val="single" w:sz="8" w:color="CCEEFF"/>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6,395,073</w:t>
            </w:r>
          </w:p>
        </w:tc>
        <w:tc>
          <w:tcPr>
            <w:tcW w:w="8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4,049,080</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65.7 %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4,182,571</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65.4 %</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2,110,211</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34.3 %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2,212,502</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1,432,356</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1,365,953</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21.4 %</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677,855</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846,549</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0" w:type="dxa"/>
            <w:vAlign w:val="bottom"/>
          </w:tcPr>
          <w:p>
            <w:pPr>
              <w:spacing w:after="0"/>
              <w:rPr>
                <w:sz w:val="1"/>
                <w:szCs w:val="1"/>
                <w:color w:val="auto"/>
              </w:rPr>
            </w:pPr>
          </w:p>
        </w:tc>
      </w:tr>
      <w:tr>
        <w:trPr>
          <w:trHeight w:val="239"/>
        </w:trPr>
        <w:tc>
          <w:tcPr>
            <w:tcW w:w="40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46,051</w:t>
            </w:r>
          </w:p>
        </w:tc>
        <w:tc>
          <w:tcPr>
            <w:tcW w:w="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0.7 %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46,441</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retirement of debt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1,525</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(32,877)</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(20,175)</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663,156</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818,320</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143,966</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190,319</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65"/>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519,190</w:t>
            </w:r>
          </w:p>
        </w:tc>
        <w:tc>
          <w:tcPr>
            <w:tcW w:w="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8.4 %</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628,001</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6.89</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7.70</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6.70</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75,389</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81,590</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77,469</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83,895</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1"/>
          <w:szCs w:val="11"/>
          <w:color w:val="auto"/>
        </w:rPr>
        <w:t>Column may not add due to rounding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76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3, 2024</w:t>
            </w:r>
          </w:p>
        </w:tc>
        <w:tc>
          <w:tcPr>
            <w:tcW w:w="180" w:type="dxa"/>
            <w:vAlign w:val="bottom"/>
          </w:tcPr>
          <w:p>
            <w:pPr>
              <w:spacing w:after="0"/>
              <w:rPr>
                <w:sz w:val="19"/>
                <w:szCs w:val="19"/>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rPr>
              <w:t>January 28, 2023</w:t>
            </w:r>
          </w:p>
        </w:tc>
        <w:tc>
          <w:tcPr>
            <w:tcW w:w="0" w:type="dxa"/>
            <w:vAlign w:val="bottom"/>
          </w:tcPr>
          <w:p>
            <w:pPr>
              <w:spacing w:after="0"/>
              <w:rPr>
                <w:sz w:val="1"/>
                <w:szCs w:val="1"/>
                <w:color w:val="auto"/>
              </w:rPr>
            </w:pPr>
          </w:p>
        </w:tc>
      </w:tr>
      <w:tr>
        <w:trPr>
          <w:trHeight w:val="227"/>
        </w:trPr>
        <w:tc>
          <w:tcPr>
            <w:tcW w:w="7440" w:type="dxa"/>
            <w:vAlign w:val="bottom"/>
            <w:tcBorders>
              <w:top w:val="single" w:sz="8" w:color="CCEEFF"/>
            </w:tcBorders>
            <w:shd w:val="clear" w:color="auto" w:fill="CCEEFF"/>
          </w:tcPr>
          <w:p>
            <w:pPr>
              <w:ind w:left="336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347,920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337,145</w:t>
            </w:r>
          </w:p>
        </w:tc>
        <w:tc>
          <w:tcPr>
            <w:tcW w:w="0" w:type="dxa"/>
            <w:vAlign w:val="bottom"/>
          </w:tcPr>
          <w:p>
            <w:pPr>
              <w:spacing w:after="0"/>
              <w:rPr>
                <w:sz w:val="1"/>
                <w:szCs w:val="1"/>
                <w:color w:val="auto"/>
              </w:rPr>
            </w:pPr>
          </w:p>
        </w:tc>
      </w:tr>
      <w:tr>
        <w:trPr>
          <w:trHeight w:val="239"/>
        </w:trPr>
        <w:tc>
          <w:tcPr>
            <w:tcW w:w="7440" w:type="dxa"/>
            <w:vAlign w:val="bottom"/>
          </w:tcPr>
          <w:p>
            <w:pPr>
              <w:ind w:left="240"/>
              <w:spacing w:after="0"/>
              <w:rPr>
                <w:sz w:val="20"/>
                <w:szCs w:val="20"/>
                <w:color w:val="auto"/>
              </w:rPr>
            </w:pPr>
            <w:r>
              <w:rPr>
                <w:rFonts w:ascii="Arial" w:cs="Arial" w:eastAsia="Arial" w:hAnsi="Arial"/>
                <w:sz w:val="16"/>
                <w:szCs w:val="16"/>
                <w:color w:val="auto"/>
              </w:rPr>
              <w:t>Accounts receivable - less allowance for doubtful accounts of $2,217 and $2,004, respectively</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19,371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16,503</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Merchandise inventories, net</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1,194,159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1,283,517</w:t>
            </w:r>
          </w:p>
        </w:tc>
        <w:tc>
          <w:tcPr>
            <w:tcW w:w="0" w:type="dxa"/>
            <w:vAlign w:val="bottom"/>
          </w:tcPr>
          <w:p>
            <w:pPr>
              <w:spacing w:after="0"/>
              <w:rPr>
                <w:sz w:val="1"/>
                <w:szCs w:val="1"/>
                <w:color w:val="auto"/>
              </w:rPr>
            </w:pPr>
          </w:p>
        </w:tc>
      </w:tr>
      <w:tr>
        <w:trPr>
          <w:trHeight w:val="239"/>
        </w:trPr>
        <w:tc>
          <w:tcPr>
            <w:tcW w:w="7440" w:type="dxa"/>
            <w:vAlign w:val="bottom"/>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83,450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47,747</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Assets held for sale</w:t>
            </w:r>
          </w:p>
        </w:tc>
        <w:tc>
          <w:tcPr>
            <w:tcW w:w="1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0" w:type="dxa"/>
            <w:vAlign w:val="bottom"/>
          </w:tcPr>
          <w:p>
            <w:pPr>
              <w:spacing w:after="0"/>
              <w:rPr>
                <w:sz w:val="1"/>
                <w:szCs w:val="1"/>
                <w:color w:val="auto"/>
              </w:rPr>
            </w:pPr>
          </w:p>
        </w:tc>
      </w:tr>
      <w:tr>
        <w:trPr>
          <w:trHeight w:val="233"/>
        </w:trPr>
        <w:tc>
          <w:tcPr>
            <w:tcW w:w="744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1,644,900</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1,686,675</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PROPERTY AND EQUIPMENT, NET</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445,209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351,424</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RIGHT-OF-USE ASSETS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1,111,237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1,100,085</w:t>
            </w: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TRADE NAME</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578,236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577,716</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861,920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861,920</w:t>
            </w:r>
          </w:p>
        </w:tc>
        <w:tc>
          <w:tcPr>
            <w:tcW w:w="0" w:type="dxa"/>
            <w:vAlign w:val="bottom"/>
          </w:tcPr>
          <w:p>
            <w:pPr>
              <w:spacing w:after="0"/>
              <w:rPr>
                <w:sz w:val="1"/>
                <w:szCs w:val="1"/>
                <w:color w:val="auto"/>
              </w:rPr>
            </w:pPr>
          </w:p>
        </w:tc>
      </w:tr>
      <w:tr>
        <w:trPr>
          <w:trHeight w:val="23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35,211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17,619</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4,676,713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4,595,439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198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541,077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686,472</w:t>
            </w:r>
          </w:p>
        </w:tc>
        <w:tc>
          <w:tcPr>
            <w:tcW w:w="0" w:type="dxa"/>
            <w:vAlign w:val="bottom"/>
          </w:tcPr>
          <w:p>
            <w:pPr>
              <w:spacing w:after="0"/>
              <w:rPr>
                <w:sz w:val="1"/>
                <w:szCs w:val="1"/>
                <w:color w:val="auto"/>
              </w:rPr>
            </w:pPr>
          </w:p>
        </w:tc>
      </w:tr>
      <w:tr>
        <w:trPr>
          <w:trHeight w:val="239"/>
        </w:trPr>
        <w:tc>
          <w:tcPr>
            <w:tcW w:w="7440" w:type="dxa"/>
            <w:vAlign w:val="bottom"/>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217,932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240,169</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lease liabilities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117,849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109,075</w:t>
            </w:r>
          </w:p>
        </w:tc>
        <w:tc>
          <w:tcPr>
            <w:tcW w:w="0" w:type="dxa"/>
            <w:vAlign w:val="bottom"/>
          </w:tcPr>
          <w:p>
            <w:pPr>
              <w:spacing w:after="0"/>
              <w:rPr>
                <w:sz w:val="1"/>
                <w:szCs w:val="1"/>
                <w:color w:val="auto"/>
              </w:rPr>
            </w:pPr>
          </w:p>
        </w:tc>
      </w:tr>
      <w:tr>
        <w:trPr>
          <w:trHeight w:val="239"/>
        </w:trPr>
        <w:tc>
          <w:tcPr>
            <w:tcW w:w="7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Current maturities of long-term debt</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40"/>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879,858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1,038,716</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LONG-TERM DEBT, NET</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484,551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584,456</w:t>
            </w: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LONG-TERM LEASE LIABILITIES</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1,091,294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1,072,192</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LIABILITIES, NET</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254,796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259,043</w:t>
            </w:r>
          </w:p>
        </w:tc>
        <w:tc>
          <w:tcPr>
            <w:tcW w:w="0" w:type="dxa"/>
            <w:vAlign w:val="bottom"/>
          </w:tcPr>
          <w:p>
            <w:pPr>
              <w:spacing w:after="0"/>
              <w:rPr>
                <w:sz w:val="1"/>
                <w:szCs w:val="1"/>
                <w:color w:val="auto"/>
              </w:rPr>
            </w:pPr>
          </w:p>
        </w:tc>
      </w:tr>
      <w:tr>
        <w:trPr>
          <w:trHeight w:val="23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OTHER LONG-TERM LIABILITIES</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11,564</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12,726</w:t>
            </w: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2,722,063</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2,967,133</w:t>
            </w:r>
          </w:p>
        </w:tc>
        <w:tc>
          <w:tcPr>
            <w:tcW w:w="0" w:type="dxa"/>
            <w:vAlign w:val="bottom"/>
          </w:tcPr>
          <w:p>
            <w:pPr>
              <w:spacing w:after="0"/>
              <w:rPr>
                <w:sz w:val="1"/>
                <w:szCs w:val="1"/>
                <w:color w:val="auto"/>
              </w:rPr>
            </w:pPr>
          </w:p>
        </w:tc>
      </w:tr>
      <w:tr>
        <w:trPr>
          <w:trHeight w:val="200"/>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40"/>
              <w:spacing w:after="0"/>
              <w:rPr>
                <w:sz w:val="20"/>
                <w:szCs w:val="20"/>
                <w:color w:val="auto"/>
              </w:rPr>
            </w:pPr>
            <w:r>
              <w:rPr>
                <w:rFonts w:ascii="Arial" w:cs="Arial" w:eastAsia="Arial" w:hAnsi="Arial"/>
                <w:sz w:val="16"/>
                <w:szCs w:val="16"/>
                <w:color w:val="auto"/>
              </w:rPr>
              <w:t>Preferred stock, $0.01 par value, authorized 50,000,000 shares; none issued and outstanding</w:t>
            </w:r>
          </w:p>
        </w:tc>
        <w:tc>
          <w:tcPr>
            <w:tcW w:w="18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Common stock, $0.01 par value, authorized 300,000,000 shares; 74,349,927 and 76,711,720</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issued and outstanding as of February 3, 2024 and January 28, 2023, respectively</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39"/>
        </w:trPr>
        <w:tc>
          <w:tcPr>
            <w:tcW w:w="744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242,098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216,209</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1,711,809</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1,411,330</w:t>
            </w:r>
          </w:p>
        </w:tc>
        <w:tc>
          <w:tcPr>
            <w:tcW w:w="0" w:type="dxa"/>
            <w:vAlign w:val="bottom"/>
          </w:tcPr>
          <w:p>
            <w:pPr>
              <w:spacing w:after="0"/>
              <w:rPr>
                <w:sz w:val="1"/>
                <w:szCs w:val="1"/>
                <w:color w:val="auto"/>
              </w:rPr>
            </w:pPr>
          </w:p>
        </w:tc>
      </w:tr>
      <w:tr>
        <w:trPr>
          <w:trHeight w:val="233"/>
        </w:trPr>
        <w:tc>
          <w:tcPr>
            <w:tcW w:w="744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1,954,650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1,628,306</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4,676,713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4,595,439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5500"/>
              <w:spacing w:after="0"/>
              <w:rPr>
                <w:sz w:val="20"/>
                <w:szCs w:val="20"/>
                <w:color w:val="auto"/>
              </w:rPr>
            </w:pPr>
            <w:r>
              <w:rPr>
                <w:rFonts w:ascii="Arial" w:cs="Arial" w:eastAsia="Arial" w:hAnsi="Arial"/>
                <w:sz w:val="14"/>
                <w:szCs w:val="14"/>
                <w:color w:val="auto"/>
              </w:rPr>
              <w:t>7</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7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00" w:top="769" w:right="4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5"/>
          </w:tcPr>
          <w:p>
            <w:pPr>
              <w:ind w:left="960"/>
              <w:spacing w:after="0"/>
              <w:rPr>
                <w:sz w:val="20"/>
                <w:szCs w:val="20"/>
                <w:color w:val="auto"/>
              </w:rPr>
            </w:pPr>
            <w:r>
              <w:rPr>
                <w:rFonts w:ascii="Arial" w:cs="Arial" w:eastAsia="Arial" w:hAnsi="Arial"/>
                <w:sz w:val="16"/>
                <w:szCs w:val="16"/>
                <w:b w:val="1"/>
                <w:bCs w:val="1"/>
                <w:color w:val="auto"/>
              </w:rPr>
              <w:t>Fiscal Year Ended</w:t>
            </w:r>
          </w:p>
        </w:tc>
        <w:tc>
          <w:tcPr>
            <w:tcW w:w="0" w:type="dxa"/>
            <w:vAlign w:val="bottom"/>
          </w:tcPr>
          <w:p>
            <w:pPr>
              <w:spacing w:after="0"/>
              <w:rPr>
                <w:sz w:val="1"/>
                <w:szCs w:val="1"/>
                <w:color w:val="auto"/>
              </w:rPr>
            </w:pPr>
          </w:p>
        </w:tc>
      </w:tr>
      <w:tr>
        <w:trPr>
          <w:trHeight w:val="237"/>
        </w:trPr>
        <w:tc>
          <w:tcPr>
            <w:tcW w:w="7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3, 2024</w:t>
            </w:r>
          </w:p>
        </w:tc>
        <w:tc>
          <w:tcPr>
            <w:tcW w:w="16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28, 2023</w:t>
            </w:r>
          </w:p>
        </w:tc>
        <w:tc>
          <w:tcPr>
            <w:tcW w:w="0" w:type="dxa"/>
            <w:vAlign w:val="bottom"/>
          </w:tcPr>
          <w:p>
            <w:pPr>
              <w:spacing w:after="0"/>
              <w:rPr>
                <w:sz w:val="1"/>
                <w:szCs w:val="1"/>
                <w:color w:val="auto"/>
              </w:rPr>
            </w:pPr>
          </w:p>
        </w:tc>
      </w:tr>
      <w:tr>
        <w:trPr>
          <w:trHeight w:val="227"/>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519,190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628,001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110,936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106,762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Non-cash lease expense</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16,723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440"/>
              <w:spacing w:after="0"/>
              <w:rPr>
                <w:sz w:val="20"/>
                <w:szCs w:val="20"/>
                <w:color w:val="auto"/>
              </w:rPr>
            </w:pPr>
            <w:r>
              <w:rPr>
                <w:rFonts w:ascii="Arial" w:cs="Arial" w:eastAsia="Arial" w:hAnsi="Arial"/>
                <w:sz w:val="16"/>
                <w:szCs w:val="16"/>
                <w:color w:val="auto"/>
              </w:rPr>
              <w:t>Equity compensation</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24,377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21,175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Amortization of deferred loan, terminated interest rate swaps and other costs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4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(4,247)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41,831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Non-cash loss on early retirement of debt</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440"/>
              <w:spacing w:after="0"/>
              <w:rPr>
                <w:sz w:val="20"/>
                <w:szCs w:val="20"/>
                <w:color w:val="auto"/>
              </w:rPr>
            </w:pPr>
            <w:r>
              <w:rPr>
                <w:rFonts w:ascii="Arial" w:cs="Arial" w:eastAsia="Arial" w:hAnsi="Arial"/>
                <w:sz w:val="16"/>
                <w:szCs w:val="16"/>
                <w:color w:val="auto"/>
              </w:rPr>
              <w:t>Gain on disposal of property and equipment</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Changes in assets and liabilities: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66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(2,868)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Merchandise inventories, net</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89,358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(111,709)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66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(50,225)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(11,287)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noncurrent assets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66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(142,346)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(55,400)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(26,712)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(58,395)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66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17,640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(3,407)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2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535,779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552,005</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75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75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(207,770)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(108,304)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220"/>
              <w:spacing w:after="0"/>
              <w:rPr>
                <w:sz w:val="20"/>
                <w:szCs w:val="20"/>
                <w:color w:val="auto"/>
              </w:rPr>
            </w:pPr>
            <w:r>
              <w:rPr>
                <w:rFonts w:ascii="Arial" w:cs="Arial" w:eastAsia="Arial" w:hAnsi="Arial"/>
                <w:sz w:val="16"/>
                <w:szCs w:val="16"/>
                <w:color w:val="auto"/>
              </w:rPr>
              <w:t>Purchases of intangible assets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the sale of property and equipment</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52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(206,139)</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(108,806)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75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75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 of Term Loan</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16,636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21,249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 under employee stock purchase program</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5,484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(7,971)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 of common stock for retirement</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(202,796)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(489,475)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Dividends paid</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(27,218)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(24,633)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5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(318,865)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(592,052)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7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(148,853)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337,145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485,998</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347,920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337,145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4"/>
                <w:szCs w:val="14"/>
                <w:color w:val="auto"/>
              </w:rPr>
              <w:t>8</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2"/>
        </w:trPr>
        <w:tc>
          <w:tcPr>
            <w:tcW w:w="7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769"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define “Adjusted EBITDA” as net income (loss) before interest expense, net, income tax expense and depreciation, and amortization, and impairment, and other adjustments included in the table below. We define “Adjusted EBIT” as Adjusted EBITDA less depreciation and amortization. We describe these adjustments reconciling net income (loss) to Adjusted EBITDA and Adjusted EBIT in the following table.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Fiscal Quarter Ended</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Fiscal Year Ended</w:t>
            </w:r>
          </w:p>
        </w:tc>
      </w:tr>
      <w:tr>
        <w:trPr>
          <w:trHeight w:val="237"/>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3, 2024</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28, 2023</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3, 2024</w:t>
            </w:r>
          </w:p>
        </w:tc>
        <w:tc>
          <w:tcPr>
            <w:tcW w:w="140" w:type="dxa"/>
            <w:vAlign w:val="bottom"/>
          </w:tcPr>
          <w:p>
            <w:pPr>
              <w:spacing w:after="0"/>
              <w:rPr>
                <w:sz w:val="20"/>
                <w:szCs w:val="20"/>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b w:val="1"/>
                <w:bCs w:val="1"/>
                <w:color w:val="auto"/>
              </w:rPr>
              <w:t>January 28, 2023</w:t>
            </w:r>
          </w:p>
        </w:tc>
      </w:tr>
      <w:tr>
        <w:trPr>
          <w:trHeight w:val="24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168,167</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157,653</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519,190</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628,001</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12,578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12,201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46,051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46,441</w:t>
            </w:r>
          </w:p>
        </w:tc>
      </w:tr>
      <w:tr>
        <w:trPr>
          <w:trHeight w:val="24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43,090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48,482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143,966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190,319</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31,542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27,910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110,936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106,762</w:t>
            </w:r>
          </w:p>
        </w:tc>
      </w:tr>
      <w:tr>
        <w:trPr>
          <w:trHeight w:val="24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compensation (b)</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24,377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21,175</w:t>
            </w:r>
          </w:p>
        </w:tc>
      </w:tr>
      <w:tr>
        <w:trPr>
          <w:trHeight w:val="23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on early retirement of debt</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1,525</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1,963</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1,525</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1,963</w:t>
            </w:r>
          </w:p>
        </w:tc>
      </w:tr>
      <w:tr>
        <w:trPr>
          <w:trHeight w:val="236"/>
        </w:trPr>
        <w:tc>
          <w:tcPr>
            <w:tcW w:w="4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255,151</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253,898</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846,045</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994,661</w:t>
            </w:r>
          </w:p>
        </w:tc>
      </w:tr>
      <w:tr>
        <w:trPr>
          <w:trHeight w:val="237"/>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Depreciation and amortization</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(31,542)</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(27,910)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(110,936)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(106,762)</w:t>
            </w:r>
          </w:p>
        </w:tc>
      </w:tr>
      <w:tr>
        <w:trPr>
          <w:trHeight w:val="265"/>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EBIT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223,609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225,988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735,109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887,899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jc w:val="both"/>
        <w:ind w:left="400" w:right="20" w:hanging="374"/>
        <w:spacing w:after="0" w:line="254"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Net income for the fourth quarter and year ended February 3, 2024, includes a $15.9 million net gain relative to a credit card fee litigation settlement which occurred in the fourth quarter of 2023. Net income for the fourth quarter and year ended January 28, 2023, included a $7.2 million gain from a business interruption insurance recovery and a $3.7 million gain from the sale of a tariff relief litigation claim, both of which occurred in the fourth quarter of 2022. All of these items are included in their respective years within Other (income), net on the Consolidated Statements of Income in our Annual Report.</w:t>
      </w:r>
    </w:p>
    <w:p>
      <w:pPr>
        <w:spacing w:after="0" w:line="28" w:lineRule="exact"/>
        <w:rPr>
          <w:rFonts w:ascii="Arial" w:cs="Arial" w:eastAsia="Arial" w:hAnsi="Arial"/>
          <w:sz w:val="13"/>
          <w:szCs w:val="13"/>
          <w:color w:val="auto"/>
        </w:rPr>
      </w:pPr>
    </w:p>
    <w:p>
      <w:pPr>
        <w:ind w:left="400" w:right="20" w:hanging="374"/>
        <w:spacing w:after="0" w:line="264"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non-cash charges related to equity based compensation, which vary from period to period depending on certain factors such as the timing and valuation of awards, achievement of performance targets and equity award forfeitures.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01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Adjusted Net Income and Adjusted Earnings Per Common Share</w:t>
      </w:r>
    </w:p>
    <w:p>
      <w:pPr>
        <w:spacing w:after="0" w:line="66"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We define “Adjusted Net Income (Loss)” as net income (loss), plus other adjustments included in the table below, less the tax effect of these adjustments. We define “Adjusted Earnings per Common Share, Basic” as Adjusted Net Income divided by the basic weighted average common shares outstanding during the period and “Adjusted Earnings per Common Share, Diluted” as Adjusted Net Income divided by the diluted weighted average common shares outstanding during the period. We describe these adjustments reconciling net income (loss) to Adjusted Net Income (Loss) and Adjusted Earnings Per Share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Fiscal Quarter Ended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Fiscal Year Ended</w:t>
            </w:r>
          </w:p>
        </w:tc>
      </w:tr>
      <w:tr>
        <w:trPr>
          <w:trHeight w:val="236"/>
        </w:trPr>
        <w:tc>
          <w:tcPr>
            <w:tcW w:w="4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3, 2024</w:t>
            </w: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28, 2023</w:t>
            </w:r>
          </w:p>
        </w:tc>
        <w:tc>
          <w:tcPr>
            <w:tcW w:w="14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3, 2024</w:t>
            </w:r>
          </w:p>
        </w:tc>
        <w:tc>
          <w:tcPr>
            <w:tcW w:w="160" w:type="dxa"/>
            <w:vAlign w:val="bottom"/>
          </w:tcPr>
          <w:p>
            <w:pPr>
              <w:spacing w:after="0"/>
              <w:rPr>
                <w:sz w:val="20"/>
                <w:szCs w:val="20"/>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b w:val="1"/>
                <w:bCs w:val="1"/>
                <w:color w:val="auto"/>
              </w:rPr>
              <w:t>January 28, 2023</w:t>
            </w:r>
          </w:p>
        </w:tc>
      </w:tr>
      <w:tr>
        <w:trPr>
          <w:trHeight w:val="240"/>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168,167</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157,653</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519,190</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628,001</w:t>
            </w:r>
          </w:p>
        </w:tc>
      </w:tr>
      <w:tr>
        <w:trPr>
          <w:trHeight w:val="239"/>
        </w:trPr>
        <w:tc>
          <w:tcPr>
            <w:tcW w:w="4300" w:type="dxa"/>
            <w:vAlign w:val="bottom"/>
          </w:tcPr>
          <w:p>
            <w:pPr>
              <w:ind w:left="20"/>
              <w:spacing w:after="0"/>
              <w:rPr>
                <w:sz w:val="20"/>
                <w:szCs w:val="20"/>
                <w:color w:val="auto"/>
              </w:rPr>
            </w:pPr>
            <w:r>
              <w:rPr>
                <w:rFonts w:ascii="Arial" w:cs="Arial" w:eastAsia="Arial" w:hAnsi="Arial"/>
                <w:sz w:val="16"/>
                <w:szCs w:val="16"/>
                <w:color w:val="auto"/>
              </w:rPr>
              <w:t>Equity compensation (b)</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(1,751)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5,689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24,377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21,175</w:t>
            </w:r>
          </w:p>
        </w:tc>
      </w:tr>
      <w:tr>
        <w:trPr>
          <w:trHeight w:val="24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retirement of debt, net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w:t>
            </w:r>
          </w:p>
        </w:tc>
      </w:tr>
      <w:tr>
        <w:trPr>
          <w:trHeight w:val="239"/>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Tax effects of these adjustments (c)</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288</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(5,621)</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(5,382)</w:t>
            </w:r>
          </w:p>
        </w:tc>
      </w:tr>
      <w:tr>
        <w:trPr>
          <w:trHeight w:val="240"/>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Adjusted Net Income</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168,229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539,471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645,757</w:t>
            </w:r>
          </w:p>
        </w:tc>
      </w:tr>
      <w:tr>
        <w:trPr>
          <w:trHeight w:val="148"/>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39"/>
        </w:trPr>
        <w:tc>
          <w:tcPr>
            <w:tcW w:w="4300" w:type="dxa"/>
            <w:vAlign w:val="bottom"/>
          </w:tcPr>
          <w:p>
            <w:pPr>
              <w:ind w:left="240"/>
              <w:spacing w:after="0"/>
              <w:rPr>
                <w:sz w:val="20"/>
                <w:szCs w:val="20"/>
                <w:color w:val="auto"/>
              </w:rPr>
            </w:pPr>
            <w:r>
              <w:rPr>
                <w:rFonts w:ascii="Arial" w:cs="Arial" w:eastAsia="Arial" w:hAnsi="Arial"/>
                <w:sz w:val="16"/>
                <w:szCs w:val="16"/>
                <w:color w:val="auto"/>
              </w:rPr>
              <w:t>Basic</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2.27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6.89</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7.70</w:t>
            </w:r>
          </w:p>
        </w:tc>
      </w:tr>
      <w:tr>
        <w:trPr>
          <w:trHeight w:val="247"/>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r>
      <w:tr>
        <w:trPr>
          <w:trHeight w:val="235"/>
        </w:trPr>
        <w:tc>
          <w:tcPr>
            <w:tcW w:w="4300" w:type="dxa"/>
            <w:vAlign w:val="bottom"/>
          </w:tcPr>
          <w:p>
            <w:pPr>
              <w:ind w:left="20"/>
              <w:spacing w:after="0"/>
              <w:rPr>
                <w:sz w:val="20"/>
                <w:szCs w:val="20"/>
                <w:color w:val="auto"/>
              </w:rPr>
            </w:pPr>
            <w:r>
              <w:rPr>
                <w:rFonts w:ascii="Arial" w:cs="Arial" w:eastAsia="Arial" w:hAnsi="Arial"/>
                <w:sz w:val="16"/>
                <w:szCs w:val="16"/>
                <w:color w:val="auto"/>
              </w:rPr>
              <w:t>Adjusted Earnings per Share</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1"/>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r>
      <w:tr>
        <w:trPr>
          <w:trHeight w:val="239"/>
        </w:trPr>
        <w:tc>
          <w:tcPr>
            <w:tcW w:w="4300" w:type="dxa"/>
            <w:vAlign w:val="bottom"/>
          </w:tcPr>
          <w:p>
            <w:pPr>
              <w:ind w:left="240"/>
              <w:spacing w:after="0"/>
              <w:rPr>
                <w:sz w:val="20"/>
                <w:szCs w:val="20"/>
                <w:color w:val="auto"/>
              </w:rPr>
            </w:pPr>
            <w:r>
              <w:rPr>
                <w:rFonts w:ascii="Arial" w:cs="Arial" w:eastAsia="Arial" w:hAnsi="Arial"/>
                <w:sz w:val="16"/>
                <w:szCs w:val="16"/>
                <w:color w:val="auto"/>
              </w:rPr>
              <w:t>Diluted</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2.21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6.96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7.70</w:t>
            </w:r>
          </w:p>
        </w:tc>
      </w:tr>
      <w:tr>
        <w:trPr>
          <w:trHeight w:val="24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39"/>
        </w:trPr>
        <w:tc>
          <w:tcPr>
            <w:tcW w:w="4300" w:type="dxa"/>
            <w:vAlign w:val="bottom"/>
          </w:tcPr>
          <w:p>
            <w:pPr>
              <w:ind w:left="240"/>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74,219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77,657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75,389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81,590</w:t>
            </w:r>
          </w:p>
        </w:tc>
      </w:tr>
      <w:tr>
        <w:trPr>
          <w:trHeight w:val="247"/>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76,035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80,074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77,469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83,895</w:t>
            </w:r>
          </w:p>
        </w:tc>
      </w:tr>
    </w:tbl>
    <w:p>
      <w:pPr>
        <w:spacing w:after="0" w:line="117" w:lineRule="exact"/>
        <w:rPr>
          <w:sz w:val="20"/>
          <w:szCs w:val="20"/>
          <w:color w:val="auto"/>
        </w:rPr>
      </w:pPr>
    </w:p>
    <w:p>
      <w:pPr>
        <w:jc w:val="both"/>
        <w:ind w:left="400" w:right="20" w:hanging="374"/>
        <w:spacing w:after="0" w:line="254" w:lineRule="auto"/>
        <w:tabs>
          <w:tab w:leader="none" w:pos="400" w:val="left"/>
        </w:tabs>
        <w:numPr>
          <w:ilvl w:val="0"/>
          <w:numId w:val="7"/>
        </w:numPr>
        <w:rPr>
          <w:rFonts w:ascii="Arial" w:cs="Arial" w:eastAsia="Arial" w:hAnsi="Arial"/>
          <w:sz w:val="13"/>
          <w:szCs w:val="13"/>
          <w:color w:val="auto"/>
        </w:rPr>
      </w:pPr>
      <w:r>
        <w:rPr>
          <w:rFonts w:ascii="Arial" w:cs="Arial" w:eastAsia="Arial" w:hAnsi="Arial"/>
          <w:sz w:val="13"/>
          <w:szCs w:val="13"/>
          <w:color w:val="auto"/>
        </w:rPr>
        <w:t>Net income for the fourth quarter and year ended February 3, 2024, includes a $15.9 million net gain relative to a credit card fee litigation settlement which occurred in the fourth quarter of 2023. Net income for the fourth quarter and year ended January 28, 2023, included a $7.2 million gain from a business interruption insurance recovery and a $3.7 million gain from the sale of a tariff relief litigation claim, both of which occurred in the fourth quarter of 2022. All of these items are included in their respective years within Other (income), net on the Consolidated Statements of Income in our Annual Report.</w:t>
      </w:r>
    </w:p>
    <w:p>
      <w:pPr>
        <w:spacing w:after="0" w:line="28" w:lineRule="exact"/>
        <w:rPr>
          <w:rFonts w:ascii="Arial" w:cs="Arial" w:eastAsia="Arial" w:hAnsi="Arial"/>
          <w:sz w:val="13"/>
          <w:szCs w:val="13"/>
          <w:color w:val="auto"/>
        </w:rPr>
      </w:pPr>
    </w:p>
    <w:p>
      <w:pPr>
        <w:ind w:left="400" w:right="20" w:hanging="374"/>
        <w:spacing w:after="0" w:line="264" w:lineRule="auto"/>
        <w:tabs>
          <w:tab w:leader="none" w:pos="40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non-cash charges related to equity based compensation, which vary from period to period depending on certain factors such as the timing and valuation of awards, achievement of performance targets and equity award forfeitures.</w:t>
      </w:r>
    </w:p>
    <w:p>
      <w:pPr>
        <w:spacing w:after="0" w:line="22" w:lineRule="exact"/>
        <w:rPr>
          <w:rFonts w:ascii="Arial" w:cs="Arial" w:eastAsia="Arial" w:hAnsi="Arial"/>
          <w:sz w:val="13"/>
          <w:szCs w:val="13"/>
          <w:color w:val="auto"/>
        </w:rPr>
      </w:pPr>
    </w:p>
    <w:p>
      <w:pPr>
        <w:ind w:left="400" w:hanging="374"/>
        <w:spacing w:after="0"/>
        <w:tabs>
          <w:tab w:leader="none" w:pos="40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the tax effect of the total adjustments made to arrive at Adjusted Net Income at our historical tax rate.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define “Adjusted Free Cash Flow” as net cash provided by (used in) operating activities less net cash provided by (used in) investing activities. We describe these adjustments reconciling net cash provided by operating activities to Adjusted Free Cash Flow in the following table.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Fiscal Quarter Ended</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ind w:left="900"/>
              <w:spacing w:after="0"/>
              <w:rPr>
                <w:sz w:val="20"/>
                <w:szCs w:val="20"/>
                <w:color w:val="auto"/>
              </w:rPr>
            </w:pPr>
            <w:r>
              <w:rPr>
                <w:rFonts w:ascii="Arial" w:cs="Arial" w:eastAsia="Arial" w:hAnsi="Arial"/>
                <w:sz w:val="16"/>
                <w:szCs w:val="16"/>
                <w:b w:val="1"/>
                <w:bCs w:val="1"/>
                <w:color w:val="auto"/>
              </w:rPr>
              <w:t>Fiscal Year Ended</w:t>
            </w:r>
          </w:p>
        </w:tc>
      </w:tr>
      <w:tr>
        <w:trPr>
          <w:trHeight w:val="236"/>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3, 2024</w:t>
            </w:r>
          </w:p>
        </w:tc>
        <w:tc>
          <w:tcPr>
            <w:tcW w:w="18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28, 2023</w:t>
            </w:r>
          </w:p>
        </w:tc>
        <w:tc>
          <w:tcPr>
            <w:tcW w:w="16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3, 2024</w:t>
            </w:r>
          </w:p>
        </w:tc>
        <w:tc>
          <w:tcPr>
            <w:tcW w:w="160" w:type="dxa"/>
            <w:vAlign w:val="bottom"/>
          </w:tcPr>
          <w:p>
            <w:pPr>
              <w:spacing w:after="0"/>
              <w:rPr>
                <w:sz w:val="20"/>
                <w:szCs w:val="20"/>
                <w:color w:val="auto"/>
              </w:rPr>
            </w:pPr>
          </w:p>
        </w:tc>
        <w:tc>
          <w:tcPr>
            <w:tcW w:w="1580" w:type="dxa"/>
            <w:vAlign w:val="bottom"/>
          </w:tcPr>
          <w:p>
            <w:pPr>
              <w:ind w:left="60"/>
              <w:spacing w:after="0"/>
              <w:rPr>
                <w:sz w:val="20"/>
                <w:szCs w:val="20"/>
                <w:color w:val="auto"/>
              </w:rPr>
            </w:pPr>
            <w:r>
              <w:rPr>
                <w:rFonts w:ascii="Arial" w:cs="Arial" w:eastAsia="Arial" w:hAnsi="Arial"/>
                <w:sz w:val="16"/>
                <w:szCs w:val="16"/>
                <w:b w:val="1"/>
                <w:bCs w:val="1"/>
                <w:color w:val="auto"/>
              </w:rPr>
              <w:t>January 28, 2023</w:t>
            </w:r>
          </w:p>
        </w:tc>
      </w:tr>
      <w:tr>
        <w:trPr>
          <w:trHeight w:val="240"/>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234,737</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242,836</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b w:val="1"/>
                <w:bCs w:val="1"/>
                <w:color w:val="auto"/>
              </w:rPr>
              <w:t>535,779</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center"/>
              <w:ind w:left="759"/>
              <w:spacing w:after="0"/>
              <w:rPr>
                <w:sz w:val="20"/>
                <w:szCs w:val="20"/>
                <w:color w:val="auto"/>
              </w:rPr>
            </w:pPr>
            <w:r>
              <w:rPr>
                <w:rFonts w:ascii="Arial" w:cs="Arial" w:eastAsia="Arial" w:hAnsi="Arial"/>
                <w:sz w:val="16"/>
                <w:szCs w:val="16"/>
                <w:color w:val="auto"/>
              </w:rPr>
              <w:t>552,005</w:t>
            </w:r>
          </w:p>
        </w:tc>
      </w:tr>
      <w:tr>
        <w:trPr>
          <w:trHeight w:val="23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(55,948)</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(28,995)</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b w:val="1"/>
                <w:bCs w:val="1"/>
                <w:color w:val="auto"/>
              </w:rPr>
              <w:t>(206,139)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left="759"/>
              <w:spacing w:after="0"/>
              <w:rPr>
                <w:sz w:val="20"/>
                <w:szCs w:val="20"/>
                <w:color w:val="auto"/>
              </w:rPr>
            </w:pPr>
            <w:r>
              <w:rPr>
                <w:rFonts w:ascii="Arial" w:cs="Arial" w:eastAsia="Arial" w:hAnsi="Arial"/>
                <w:sz w:val="16"/>
                <w:szCs w:val="16"/>
                <w:color w:val="auto"/>
              </w:rPr>
              <w:t>(108,806)</w:t>
            </w:r>
          </w:p>
        </w:tc>
      </w:tr>
      <w:tr>
        <w:trPr>
          <w:trHeight w:val="265"/>
        </w:trPr>
        <w:tc>
          <w:tcPr>
            <w:tcW w:w="3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Free Cash Flow</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178,789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213,841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b w:val="1"/>
                <w:bCs w:val="1"/>
                <w:color w:val="auto"/>
              </w:rPr>
              <w:t>329,640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center"/>
              <w:ind w:left="759"/>
              <w:spacing w:after="0"/>
              <w:rPr>
                <w:sz w:val="20"/>
                <w:szCs w:val="20"/>
                <w:color w:val="auto"/>
              </w:rPr>
            </w:pPr>
            <w:r>
              <w:rPr>
                <w:rFonts w:ascii="Arial" w:cs="Arial" w:eastAsia="Arial" w:hAnsi="Arial"/>
                <w:sz w:val="16"/>
                <w:szCs w:val="16"/>
                <w:color w:val="auto"/>
              </w:rPr>
              <w:t>443,199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240"/>
      </w:cols>
      <w:pgMar w:left="320" w:top="7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2024-03-21T07:12:28Z</dcterms:created>
  <dcterms:modified xsi:type="dcterms:W3CDTF">2024-03-21T07:12:28Z</dcterms:modified>
</cp:coreProperties>
</file>