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6"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97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191135</wp:posOffset>
            </wp:positionV>
            <wp:extent cx="4251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40"/>
          <w:szCs w:val="40"/>
          <w:b w:val="1"/>
          <w:bCs w:val="1"/>
          <w:color w:val="auto"/>
        </w:rPr>
        <w:t>FORM SD</w:t>
      </w:r>
    </w:p>
    <w:p>
      <w:pPr>
        <w:spacing w:after="0" w:line="2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180975</wp:posOffset>
            </wp:positionV>
            <wp:extent cx="243459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459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tbl>
      <w:tblPr>
        <w:tblLayout w:type="fixed"/>
        <w:tblInd w:w="640" w:type="dxa"/>
        <w:tblCellMar>
          <w:top w:w="0" w:type="dxa"/>
          <w:left w:w="0" w:type="dxa"/>
          <w:bottom w:w="0" w:type="dxa"/>
          <w:right w:w="0" w:type="dxa"/>
        </w:tblCellMar>
      </w:tblPr>
      <w:tr>
        <w:trPr>
          <w:trHeight w:val="271"/>
        </w:trPr>
        <w:tc>
          <w:tcPr>
            <w:tcW w:w="3040" w:type="dxa"/>
            <w:vAlign w:val="bottom"/>
          </w:tcPr>
          <w:p>
            <w:pPr>
              <w:spacing w:after="0"/>
              <w:rPr>
                <w:sz w:val="23"/>
                <w:szCs w:val="23"/>
                <w:color w:val="auto"/>
              </w:rPr>
            </w:pPr>
          </w:p>
        </w:tc>
        <w:tc>
          <w:tcPr>
            <w:tcW w:w="6580" w:type="dxa"/>
            <w:vAlign w:val="bottom"/>
          </w:tcPr>
          <w:p>
            <w:pPr>
              <w:jc w:val="center"/>
              <w:ind w:right="2611"/>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tc>
      </w:tr>
      <w:tr>
        <w:trPr>
          <w:trHeight w:val="210"/>
        </w:trPr>
        <w:tc>
          <w:tcPr>
            <w:tcW w:w="3040" w:type="dxa"/>
            <w:vAlign w:val="bottom"/>
          </w:tcPr>
          <w:p>
            <w:pPr>
              <w:spacing w:after="0"/>
              <w:rPr>
                <w:sz w:val="18"/>
                <w:szCs w:val="18"/>
                <w:color w:val="auto"/>
              </w:rPr>
            </w:pPr>
          </w:p>
        </w:tc>
        <w:tc>
          <w:tcPr>
            <w:tcW w:w="6580" w:type="dxa"/>
            <w:vAlign w:val="bottom"/>
          </w:tcPr>
          <w:p>
            <w:pPr>
              <w:jc w:val="center"/>
              <w:ind w:right="259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743"/>
        </w:trPr>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5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001-39589</w:t>
            </w:r>
          </w:p>
        </w:tc>
      </w:tr>
      <w:tr>
        <w:trPr>
          <w:trHeight w:val="249"/>
        </w:trPr>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6580" w:type="dxa"/>
            <w:vAlign w:val="bottom"/>
          </w:tcPr>
          <w:p>
            <w:pPr>
              <w:jc w:val="center"/>
              <w:ind w:left="4491"/>
              <w:spacing w:after="0"/>
              <w:rPr>
                <w:sz w:val="20"/>
                <w:szCs w:val="20"/>
                <w:color w:val="auto"/>
              </w:rPr>
            </w:pPr>
            <w:r>
              <w:rPr>
                <w:rFonts w:ascii="Times New Roman" w:cs="Times New Roman" w:eastAsia="Times New Roman" w:hAnsi="Times New Roman"/>
                <w:sz w:val="18"/>
                <w:szCs w:val="18"/>
                <w:color w:val="auto"/>
              </w:rPr>
              <w:t>(Commission File Number)</w:t>
            </w:r>
          </w:p>
        </w:tc>
      </w:tr>
      <w:tr>
        <w:trPr>
          <w:trHeight w:val="526"/>
        </w:trPr>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1800 North Mason Road, Katy, Texas</w:t>
            </w:r>
          </w:p>
        </w:tc>
        <w:tc>
          <w:tcPr>
            <w:tcW w:w="65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77449</w:t>
            </w:r>
          </w:p>
        </w:tc>
      </w:tr>
      <w:tr>
        <w:trPr>
          <w:trHeight w:val="237"/>
        </w:trPr>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580" w:type="dxa"/>
            <w:vAlign w:val="bottom"/>
          </w:tcPr>
          <w:p>
            <w:pPr>
              <w:jc w:val="center"/>
              <w:ind w:left="4491"/>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32"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Brandy Treadway</w:t>
      </w:r>
    </w:p>
    <w:p>
      <w:pPr>
        <w:spacing w:after="0" w:line="5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Executive Vice President, Chief Legal Officer, and Corporate Secretary</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Academy Sports and Outdoors, Inc.</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4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(Name and telephone number, including area code,</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1496695</wp:posOffset>
            </wp:positionH>
            <wp:positionV relativeFrom="paragraph">
              <wp:posOffset>431800</wp:posOffset>
            </wp:positionV>
            <wp:extent cx="4037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to indicate the rule pursuant to which this form is being filed:</w:t>
      </w:r>
    </w:p>
    <w:p>
      <w:pPr>
        <w:spacing w:after="0" w:line="154" w:lineRule="exact"/>
        <w:rPr>
          <w:sz w:val="24"/>
          <w:szCs w:val="24"/>
          <w:color w:val="auto"/>
        </w:rPr>
      </w:pPr>
    </w:p>
    <w:p>
      <w:pPr>
        <w:ind w:left="560" w:right="820" w:hanging="355"/>
        <w:spacing w:after="0" w:line="333" w:lineRule="auto"/>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2025 to December 31, 2025. Rule 13q-1 under the Securities Exchange Act (17 CFR 240.13q-1) for the fiscal year ended ______.</w:t>
      </w:r>
    </w:p>
    <w:p>
      <w:pPr>
        <w:sectPr>
          <w:pgSz w:w="11900" w:h="16838" w:orient="portrait"/>
          <w:cols w:equalWidth="0" w:num="1">
            <w:col w:w="10260"/>
          </w:cols>
          <w:pgMar w:left="320" w:top="1440" w:right="1319" w:bottom="1440" w:gutter="0" w:footer="0" w:header="0"/>
        </w:sectPr>
      </w:pPr>
    </w:p>
    <w:bookmarkStart w:id="1" w:name="page2"/>
    <w:bookmarkEnd w:id="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Pursuant to Rule 13p-1 under the Securities Exchange Act of 1934, as amended (the “Exchange Act”), and Form SD, a Conflict Minerals Report (the “CMR”) is provided as Exhibit 1.01 to this Form SD. This Form SD, including the CMR, is publicly available on Academy’s investor relations website at investors.academy.com. However, the contents of that website are not incorporated by reference into, and are not otherwise a part of, this Form SD.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Conflict Minerals Report described in Item 1.01 is filed herewith as Exhibit 1.01 to this Form SD. See Item 3.01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No. Description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1.01</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Conflict Minerals Report as described in Items 1.01 and 1.02 of this Form SD.</w:t>
      </w:r>
    </w:p>
    <w:p>
      <w:pPr>
        <w:sectPr>
          <w:pgSz w:w="11900" w:h="16838" w:orient="portrait"/>
          <w:cols w:equalWidth="0" w:num="1">
            <w:col w:w="11200"/>
          </w:cols>
          <w:pgMar w:left="320" w:top="1440" w:right="379" w:bottom="1440" w:gutter="0" w:footer="0" w:header="0"/>
        </w:sectPr>
      </w:pPr>
    </w:p>
    <w:bookmarkStart w:id="2" w:name="page3"/>
    <w:bookmarkEnd w:id="2"/>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Exchange Act, the registrant has duly caused this report to be signed on its behalf by the duly authorized undersigned.</w:t>
      </w:r>
    </w:p>
    <w:p>
      <w:pPr>
        <w:spacing w:after="0" w:line="2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May 29, 2026</w:t>
      </w:r>
    </w:p>
    <w:p>
      <w:pPr>
        <w:spacing w:after="0" w:line="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By: /s/ Brandy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21590</wp:posOffset>
            </wp:positionV>
            <wp:extent cx="3780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Brandy Treadway</w:t>
      </w:r>
    </w:p>
    <w:p>
      <w:pPr>
        <w:spacing w:after="0" w:line="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Title: EVP, Chief Legal Officer and Corporate Secretary</w:t>
      </w:r>
    </w:p>
    <w:p>
      <w:pPr>
        <w:sectPr>
          <w:pgSz w:w="11900" w:h="16838" w:orient="portrait"/>
          <w:cols w:equalWidth="0" w:num="1">
            <w:col w:w="11100"/>
          </w:cols>
          <w:pgMar w:left="320" w:top="1440"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692150</wp:posOffset>
            </wp:positionV>
            <wp:extent cx="238315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accordance with Rule 13p-1 under the Securities Exchange Act of 1934, as amended</w:t>
      </w:r>
    </w:p>
    <w:p>
      <w:pPr>
        <w:spacing w:after="0" w:line="22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The information in this Conflict Minerals Report (“CMR”) of Academy Sports and Outdoors, Inc. (together with its subsidiaries, the “Company” or “Academy”) is for the calendar year ended December 31, 2025 and prepared in accordance with Rule 13p-1 under the Securities Exchange Act of 1934, as amended (“Rule 13p-1”), and Form SD (together with Rule 13p-1, the “Conflict Minerals Rules”). As used herein and consistent with the Conflict Minerals Rules, “3TG” or “Conflict Minerals” mean columbite-tantalite (coltan), cassiterite, gold, and wolframite, including their derivatives tin, tantalum and tungsten. Refer to the Conflict Minerals Rules for definitions of certain terms used in this CMR, unless otherwise defined herein.</w:t>
      </w: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Company Introduction/Overview</w:t>
      </w:r>
    </w:p>
    <w:p>
      <w:pPr>
        <w:spacing w:after="0" w:line="26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Based in Katy, Texas, the Company is a leading full-line sporting goods and outdoor recreation retailer in the United States. As of May 29, 2026, Academy operates more than 300 stores across 21 states, as well as a website and mobile app. Academy’s merchandise assortment focuses on key categories of outdoor, apparel, footwear, and sports and recreation through leading national brands and a portfolio of private label brands.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Most of the Company’s retail business is comprised of third-party branded merchandise purchased from independent suppliers who manufacture merchandise around the world. The Company also contracts third-party manufacturers to manufacture all of its private label merchandise, including hardgoods, apparel, footwear, and accessories (such third-party manufacturers, the “Suppliers,” and such private label merchandise made by the Suppliers, the “Merchandise”), which may contain 3TG metals. In accordance with the Conflict Minerals Rules, the Company undertook good faith efforts to determine whether any of the Merchandise contained Conflict Minerals necessary to the functionality or production of the merchandise that may have originated from the Democratic Republic of the Congo (“DRC”) or an adjoining country</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(together with the DRC, the “Covered Countries”).</w:t>
      </w:r>
    </w:p>
    <w:p>
      <w:pPr>
        <w:spacing w:after="0" w:line="13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Academy does not have a direct relationship with any smelters or refiners (“SORs”) that operate facilities used to process 3TG in the Merchandise, and it was not able to identify with reasonable certainty the specific facilities used by the Suppliers to process 3TG in the Merchandise. As a “downstream” company (as such term is defined in the Organisation for Economic Co-operation and Development’s Due Diligence Guidance for Responsible Supply Chains of Minerals from Conflict-Affected and High-Risk Areas and accompanying Supplements (the “OECD Guidance”)),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Academy relies on the Suppliers to provide accurate, reliable information about 3TG in its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The term “adjoining country” is defined for purposes of this CMR as a country that shares an internationally recognized border with the DRC (as of the date of this CMR).</w:t>
      </w:r>
    </w:p>
    <w:p>
      <w:pPr>
        <w:spacing w:after="0" w:line="55" w:lineRule="exact"/>
        <w:rPr>
          <w:sz w:val="20"/>
          <w:szCs w:val="20"/>
          <w:color w:val="auto"/>
        </w:rPr>
      </w:pPr>
    </w:p>
    <w:p>
      <w:pPr>
        <w:ind w:right="200" w:firstLine="8"/>
        <w:spacing w:after="0" w:line="180" w:lineRule="auto"/>
        <w:tabs>
          <w:tab w:leader="none" w:pos="13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OECD Due Diligence Guidance for Responsible Supply Chains of Minerals from Conflict-Affected and High-Risk Areas: Third Edition, OECD Publishing and accompanying Supplements: https://www.oecd.org/en/publications/2016/04/oecd-due-diligence-guidance-for-responsible-supply-chains-of-minerals-from-conflict-affected-and-high-risk-areas_g1g65996.html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Reasonable Country of Origin Inquiry</w:t>
      </w:r>
    </w:p>
    <w:p>
      <w:pPr>
        <w:spacing w:after="0" w:line="2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To implement its reasonable country of origin inquiry (“RCOI”), the Suppliers were engaged to complete a pre-sourcing survey to report information regarding the presence and sourcing of 3TG metals used in the Merchandise supplied to Academy, in order to determine whether a Supplier is in-scope. As required by the Conflict Minerals Rules, the Company conducted an RCOI of in-scope Suppliers for calendar year 2025. The Company’s in-scope Merchandise categories were limited to its private label merchandise, including hardgoods, apparel, footwear, and accessories. Third-party branded merchandise that the Company sells but does not contract to manufacture are out-of-scope for purposes of its compliance with the Conflict Minerals Rules. The Company has a policy relating to the responsible sourcing of Conflict Minerals (the “Conflict Minerals Policy”), and other requirements of the Suppliers in its Vendor Code of Conduct. The Suppliers are expected to provide 3TG sourcing information in accordance with our Conflict Minerals Policy and Vendor Code of Conduct, both of which are available on Academy’s investor relations website at investors.academy.com.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RCOI Supplier engagement was conducted as follows:</w:t>
      </w:r>
    </w:p>
    <w:p>
      <w:pPr>
        <w:spacing w:after="0" w:line="256" w:lineRule="exact"/>
        <w:rPr>
          <w:sz w:val="20"/>
          <w:szCs w:val="20"/>
          <w:color w:val="auto"/>
        </w:rPr>
      </w:pPr>
    </w:p>
    <w:p>
      <w:pPr>
        <w:ind w:left="660" w:right="220" w:hanging="328"/>
        <w:spacing w:after="0" w:line="267" w:lineRule="auto"/>
        <w:tabs>
          <w:tab w:leader="none" w:pos="6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introduction email was sent by the Company to the Suppliers describing the Company’s Conflict Mineral Compliance Program (“CMCP”) and identifying the Company’s third-party service provider (“Service Provider”) as a partner in the CMCP process.</w:t>
      </w:r>
    </w:p>
    <w:p>
      <w:pPr>
        <w:spacing w:after="0" w:line="1" w:lineRule="exact"/>
        <w:rPr>
          <w:rFonts w:ascii="Times New Roman" w:cs="Times New Roman" w:eastAsia="Times New Roman" w:hAnsi="Times New Roman"/>
          <w:sz w:val="19"/>
          <w:szCs w:val="19"/>
          <w:color w:val="auto"/>
        </w:rPr>
      </w:pPr>
    </w:p>
    <w:p>
      <w:pPr>
        <w:ind w:left="660" w:right="100" w:hanging="328"/>
        <w:spacing w:after="0" w:line="246"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follow-up email was sent by the Service Provider to the Suppliers containing a link to the RCOI survey maintained on the Service Provider’s platform.</w:t>
      </w:r>
    </w:p>
    <w:p>
      <w:pPr>
        <w:spacing w:after="0" w:line="1" w:lineRule="exact"/>
        <w:rPr>
          <w:rFonts w:ascii="Times New Roman" w:cs="Times New Roman" w:eastAsia="Times New Roman" w:hAnsi="Times New Roman"/>
          <w:sz w:val="20"/>
          <w:szCs w:val="20"/>
          <w:color w:val="auto"/>
        </w:rPr>
      </w:pPr>
    </w:p>
    <w:p>
      <w:pPr>
        <w:ind w:left="1300" w:right="360" w:hanging="320"/>
        <w:spacing w:after="0" w:line="261" w:lineRule="auto"/>
        <w:tabs>
          <w:tab w:leader="none" w:pos="1289"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Suppliers were provided with additional information about Academy’s CMCP, which utilized the Conflict-Free Sourcing Initiative’s Conflict Minerals Reporting Template (“CMRT”), version 6.5, including why the information was being collected, a review of how the information would be used, and how the information requested could be provided.</w:t>
      </w:r>
    </w:p>
    <w:p>
      <w:pPr>
        <w:spacing w:after="0" w:line="2" w:lineRule="exact"/>
        <w:rPr>
          <w:rFonts w:ascii="Times New Roman" w:cs="Times New Roman" w:eastAsia="Times New Roman" w:hAnsi="Times New Roman"/>
          <w:sz w:val="19"/>
          <w:szCs w:val="19"/>
          <w:color w:val="auto"/>
        </w:rPr>
      </w:pPr>
    </w:p>
    <w:p>
      <w:pPr>
        <w:ind w:left="1300" w:right="60" w:hanging="320"/>
        <w:spacing w:after="0" w:line="246" w:lineRule="auto"/>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Suppliers were introduced to the Service Provider’s Resource Center to increase Suppliers’ awareness of Academy’s CMCP, the supporting regulations, and frequently asked questions concerning 3TG tracing.</w:t>
      </w:r>
    </w:p>
    <w:p>
      <w:pPr>
        <w:spacing w:after="0" w:line="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seven reminder emails were sent to non-responsive Suppliers requesting completion of the survey.</w:t>
      </w:r>
    </w:p>
    <w:p>
      <w:pPr>
        <w:spacing w:after="0" w:line="6" w:lineRule="exact"/>
        <w:rPr>
          <w:rFonts w:ascii="Times New Roman" w:cs="Times New Roman" w:eastAsia="Times New Roman" w:hAnsi="Times New Roman"/>
          <w:sz w:val="20"/>
          <w:szCs w:val="20"/>
          <w:color w:val="auto"/>
        </w:rPr>
      </w:pPr>
    </w:p>
    <w:p>
      <w:pPr>
        <w:ind w:left="660" w:right="280" w:hanging="328"/>
        <w:spacing w:after="0" w:line="286" w:lineRule="auto"/>
        <w:tabs>
          <w:tab w:leader="none" w:pos="6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after these efforts, a Supplier still did not provide the requested information/survey completion, an escalation process was initiated. As needed, sourcing leads at the Company would escalate directly with these outstanding Suppliers to obtain a response.</w:t>
      </w:r>
    </w:p>
    <w:p>
      <w:pPr>
        <w:spacing w:after="0" w:line="18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The Company and Service Provider reviewed the Supplier responses and determined which Suppliers were deemed to be in-scope. Supplier responses deemed by the Company to be in-scope were evaluated for plausibility, consistency, and gaps in terms of which Merchandise were stated to contain or not contain necessary 3TG, as well as the origin of those materials.</w:t>
      </w:r>
    </w:p>
    <w:p>
      <w:pPr>
        <w:spacing w:after="0" w:line="1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Due Diligence Process</w:t>
      </w:r>
    </w:p>
    <w:p>
      <w:pPr>
        <w:spacing w:after="0" w:line="26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Company’s due diligence process is based on the framework provided by the OECD Guidance, specifically provided in Annex I “Five-Step Framework for Risk-Based Due Diligence in the Minerals Supply Chain”.</w:t>
      </w:r>
    </w:p>
    <w:p>
      <w:pPr>
        <w:spacing w:after="0" w:line="17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Academy does not have a direct relationship with any SORs. Therefore, our due diligence fact-finding was completed via communications with our Suppliers. Due diligence measures taken by the Company included the following: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09" w:right="359" w:bottom="1440" w:gutter="0" w:footer="0" w:header="0"/>
        </w:sectPr>
      </w:pPr>
    </w:p>
    <w:bookmarkStart w:id="5" w:name="page6"/>
    <w:bookmarkEnd w:id="5"/>
    <w:p>
      <w:pPr>
        <w:spacing w:after="0" w:line="216" w:lineRule="exact"/>
        <w:rPr>
          <w:sz w:val="20"/>
          <w:szCs w:val="20"/>
          <w:color w:val="auto"/>
        </w:rPr>
      </w:pPr>
    </w:p>
    <w:p>
      <w:pPr>
        <w:ind w:left="660" w:right="1520" w:hanging="328"/>
        <w:spacing w:after="0" w:line="258"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maintain the Conflict Minerals Policy, which is available on Academy’s investor relations website at investors.academy.com.</w:t>
      </w: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an internal team to support supply chain/vendor compliance due diligence.</w:t>
      </w:r>
    </w:p>
    <w:p>
      <w:pPr>
        <w:spacing w:after="0" w:line="6" w:lineRule="exact"/>
        <w:rPr>
          <w:rFonts w:ascii="Times New Roman" w:cs="Times New Roman" w:eastAsia="Times New Roman" w:hAnsi="Times New Roman"/>
          <w:sz w:val="20"/>
          <w:szCs w:val="20"/>
          <w:color w:val="auto"/>
        </w:rPr>
      </w:pPr>
    </w:p>
    <w:p>
      <w:pPr>
        <w:ind w:left="660" w:right="220" w:hanging="328"/>
        <w:spacing w:after="0" w:line="246"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implement a scoping guidance document prior to RCOI, in order to determine in-scope Suppliers, thus narrowing the field for further processing.</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Devise and maintain a risk management plan.</w:t>
      </w:r>
    </w:p>
    <w:p>
      <w:pPr>
        <w:spacing w:after="0" w:line="13" w:lineRule="exact"/>
        <w:rPr>
          <w:rFonts w:ascii="Times New Roman" w:cs="Times New Roman" w:eastAsia="Times New Roman" w:hAnsi="Times New Roman"/>
          <w:sz w:val="20"/>
          <w:szCs w:val="20"/>
          <w:color w:val="auto"/>
        </w:rPr>
      </w:pPr>
    </w:p>
    <w:p>
      <w:pPr>
        <w:ind w:left="660" w:right="100" w:hanging="328"/>
        <w:spacing w:after="0" w:line="246"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implementation of the risk management plan, monitor and track risk mitigation, report to senior management and evaluate Supplier relationships.</w:t>
      </w:r>
    </w:p>
    <w:p>
      <w:pPr>
        <w:spacing w:after="0" w:line="1" w:lineRule="exact"/>
        <w:rPr>
          <w:rFonts w:ascii="Times New Roman" w:cs="Times New Roman" w:eastAsia="Times New Roman" w:hAnsi="Times New Roman"/>
          <w:sz w:val="20"/>
          <w:szCs w:val="20"/>
          <w:color w:val="auto"/>
        </w:rPr>
      </w:pPr>
    </w:p>
    <w:p>
      <w:pPr>
        <w:ind w:left="660" w:right="320" w:hanging="328"/>
        <w:spacing w:after="0" w:line="246"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internal and external resources, implement internal process and contractual measures in order to strengthen engagement with Suppliers.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 the Conflict Minerals Policy and Vendor Code of Conduct in the Supplier on-boarding process.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training or provide resources for internal business partners responsible for Supplier on-boarding.</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a grievance mechanism.</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SORs in the supply chain (if any).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and refine strategic responses to supply chain/vendor compliance risk.</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on risk management to risk management leadership and senior leadership.</w:t>
      </w:r>
    </w:p>
    <w:p>
      <w:pPr>
        <w:spacing w:after="0" w:line="13" w:lineRule="exact"/>
        <w:rPr>
          <w:rFonts w:ascii="Times New Roman" w:cs="Times New Roman" w:eastAsia="Times New Roman" w:hAnsi="Times New Roman"/>
          <w:sz w:val="20"/>
          <w:szCs w:val="20"/>
          <w:color w:val="auto"/>
        </w:rPr>
      </w:pPr>
    </w:p>
    <w:p>
      <w:pPr>
        <w:jc w:val="both"/>
        <w:ind w:left="660" w:right="100" w:hanging="328"/>
        <w:spacing w:after="0" w:line="246"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risk management remediation procedures for non-compliant Suppliers, allowing Suppliers to find compliant SORs, and if, after a reasonable period of time, corrective action is not taken to the Company’s satisfaction, the relationship may be suspended or terminated.</w:t>
      </w:r>
    </w:p>
    <w:p>
      <w:pPr>
        <w:spacing w:after="0" w:line="1" w:lineRule="exact"/>
        <w:rPr>
          <w:rFonts w:ascii="Times New Roman" w:cs="Times New Roman" w:eastAsia="Times New Roman" w:hAnsi="Times New Roman"/>
          <w:sz w:val="20"/>
          <w:szCs w:val="20"/>
          <w:color w:val="auto"/>
        </w:rPr>
      </w:pPr>
    </w:p>
    <w:p>
      <w:pPr>
        <w:ind w:left="660" w:right="940" w:hanging="328"/>
        <w:spacing w:after="0" w:line="260"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annually on Form SD, including the CMR contained therein, available on Academy’s investor relations website at investors.academy.com.</w:t>
      </w:r>
    </w:p>
    <w:p>
      <w:pPr>
        <w:spacing w:after="0" w:line="19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RCOI/Due Diligence Results</w:t>
      </w: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Following the due diligence process described above, a total of 69 Suppliers were determined to be potentially in-scope and contacted as part of the RCOI process. 97% of the In-Scope Suppliers provided a CMRT with available smelter information for any 3TG used in their supply chain. Of the contacted Suppliers, 99% indicated that they do not use any Conflict Minerals in the Merchandise that they produce for the Company and were determined to be out of scope, while 1% indicated that one or more of the Conflict Minerals were necessary to the functionality or production of the Merchandise they supplied to Academy (the “In-Scope Suppliers”).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Based on the information obtained through the Company’s due diligence process, a certain supplier reported the presence of tin and tungsten in merchandise supplied to the Company. However, the supplier response received did not provide sufficient information to identify the SORs that processed the necessary Conflict Minerals contained in the Company’s Merchandise.</w:t>
      </w:r>
    </w:p>
    <w:p>
      <w:pPr>
        <w:spacing w:after="0" w:line="2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Accordingly, the Company was unable to determine the country of origin of the necessary Conflict Minerals contained in its Merchandise or whether such minerals may have directly or indirectly financed or benefited armed groups in the Democratic Republic of the Congo or adjoining countries.</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Company’s due diligence efforts were based on information received from suppliers and other available industry sources. As is common in complex supply chains, the Company relied on supplier representations and was limited in its ability to independently verify the completeness and accuracy of the information provided.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1440" w:right="399" w:bottom="1440" w:gutter="0" w:footer="0" w:header="0"/>
        </w:sectPr>
      </w:pPr>
    </w:p>
    <w:bookmarkStart w:id="6" w:name="page7"/>
    <w:bookmarkEnd w:id="6"/>
    <w:p>
      <w:pPr>
        <w:spacing w:after="0" w:line="21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We continue to engage with our Suppliers to obtain current, accurate and complete information about Conflict Minerals in their supply chains, using the CMRT. We also intend to encourage our Suppliers to engage with their SORs to ensure that they are Responsible Mineral Initiative’s Responsible Minerals Assurance Process, the London Bullion Market Association Responsible Gold Certification Process, and the Responsible Jewelry Council’s Chain-of-Custody Certification Process compliant.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Forward-Looking Statements</w:t>
      </w:r>
    </w:p>
    <w:p>
      <w:pPr>
        <w:spacing w:after="0" w:line="26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This CMR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w:t>
      </w:r>
    </w:p>
    <w:p>
      <w:pPr>
        <w:spacing w:after="0" w:line="2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in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(a) the continued implementation of satisfactory traceability and other compliance measures by direct and indirect suppliers on a timely basis or at all, (b) changes in the Conflict Minerals Rules and other political and regulatory developments relating to the sourcing of 3TG, whether in the DRC or the Covered Countries, the United States or elsewhere, and (c) set forth in Academy’s filings with the SEC, including the Annual Report, under the caption “Item 1A. Risk Factors,” as may be updated from time to time in our periodic filings with the SEC. Any forward-looking statement in this CMR speaks only as of the date of this CMR.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2026-05-29T07:44:05Z</dcterms:created>
  <dcterms:modified xsi:type="dcterms:W3CDTF">2026-05-29T07:44:05Z</dcterms:modified>
</cp:coreProperties>
</file>