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t>UNITED STATES</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5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2812415</wp:posOffset>
            </wp:positionH>
            <wp:positionV relativeFrom="paragraph">
              <wp:posOffset>139700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6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2812415</wp:posOffset>
            </wp:positionH>
            <wp:positionV relativeFrom="paragraph">
              <wp:posOffset>144145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6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17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February 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2512695</wp:posOffset>
            </wp:positionH>
            <wp:positionV relativeFrom="paragraph">
              <wp:posOffset>145415</wp:posOffset>
            </wp:positionV>
            <wp:extent cx="2057400" cy="1131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57400" cy="11315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Academy Sports and Outdoors, Inc.</w:t>
      </w:r>
    </w:p>
    <w:p>
      <w:pPr>
        <w:spacing w:after="0" w:line="9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2812415</wp:posOffset>
            </wp:positionH>
            <wp:positionV relativeFrom="paragraph">
              <wp:posOffset>140335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080"/>
          </w:cols>
          <w:pgMar w:left="340" w:top="743" w:right="479" w:bottom="1440" w:gutter="0" w:footer="0" w:header="0"/>
        </w:sectPr>
      </w:pPr>
    </w:p>
    <w:p>
      <w:pPr>
        <w:spacing w:after="0" w:line="200" w:lineRule="exact"/>
        <w:rPr>
          <w:sz w:val="24"/>
          <w:szCs w:val="24"/>
          <w:color w:val="auto"/>
        </w:rPr>
      </w:pPr>
    </w:p>
    <w:p>
      <w:pPr>
        <w:spacing w:after="0" w:line="213"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6"/>
          <w:szCs w:val="16"/>
          <w:b w:val="1"/>
          <w:bCs w:val="1"/>
          <w:color w:val="auto"/>
        </w:rPr>
        <w:t>001-39589</w:t>
      </w:r>
    </w:p>
    <w:p>
      <w:pPr>
        <w:spacing w:after="0" w:line="20" w:lineRule="exact"/>
        <w:rPr>
          <w:sz w:val="24"/>
          <w:szCs w:val="24"/>
          <w:color w:val="auto"/>
        </w:rPr>
      </w:pPr>
      <w:r>
        <w:rPr>
          <w:sz w:val="24"/>
          <w:szCs w:val="24"/>
          <w:color w:val="auto"/>
        </w:rPr>
        <w:br w:type="column"/>
      </w:r>
    </w:p>
    <w:p>
      <w:pPr>
        <w:spacing w:after="0" w:line="39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85-1800912</w:t>
      </w:r>
    </w:p>
    <w:p>
      <w:pPr>
        <w:spacing w:after="0" w:line="147" w:lineRule="exact"/>
        <w:rPr>
          <w:sz w:val="24"/>
          <w:szCs w:val="24"/>
          <w:color w:val="auto"/>
        </w:rPr>
      </w:pPr>
    </w:p>
    <w:p>
      <w:pPr>
        <w:sectPr>
          <w:pgSz w:w="11900" w:h="16838" w:orient="portrait"/>
          <w:cols w:equalWidth="0" w:num="3">
            <w:col w:w="4480" w:space="720"/>
            <w:col w:w="2680" w:space="720"/>
            <w:col w:w="2480"/>
          </w:cols>
          <w:pgMar w:left="340" w:top="743" w:right="479"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(Commission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w:t>
      </w:r>
    </w:p>
    <w:p>
      <w:pPr>
        <w:spacing w:after="0" w:line="127" w:lineRule="exact"/>
        <w:rPr>
          <w:sz w:val="24"/>
          <w:szCs w:val="24"/>
          <w:color w:val="auto"/>
        </w:rPr>
      </w:pPr>
    </w:p>
    <w:p>
      <w:pPr>
        <w:sectPr>
          <w:pgSz w:w="11900" w:h="16838" w:orient="portrait"/>
          <w:cols w:equalWidth="0" w:num="3">
            <w:col w:w="4400" w:space="720"/>
            <w:col w:w="2520" w:space="720"/>
            <w:col w:w="2720"/>
          </w:cols>
          <w:pgMar w:left="340" w:top="743" w:right="479" w:bottom="1440" w:gutter="0" w:footer="0" w:header="0"/>
          <w:type w:val="continuous"/>
        </w:sectPr>
      </w:pPr>
    </w:p>
    <w:p>
      <w:pPr>
        <w:ind w:left="1720"/>
        <w:spacing w:after="0"/>
        <w:rPr>
          <w:sz w:val="20"/>
          <w:szCs w:val="20"/>
          <w:color w:val="auto"/>
        </w:rPr>
      </w:pPr>
      <w:r>
        <w:rPr>
          <w:rFonts w:ascii="Times New Roman" w:cs="Times New Roman" w:eastAsia="Times New Roman" w:hAnsi="Times New Roman"/>
          <w:sz w:val="16"/>
          <w:szCs w:val="16"/>
          <w:color w:val="auto"/>
        </w:rPr>
        <w:t>incorporation )</w:t>
      </w:r>
    </w:p>
    <w:p>
      <w:pPr>
        <w:spacing w:after="0" w:line="20" w:lineRule="exact"/>
        <w:rPr>
          <w:sz w:val="24"/>
          <w:szCs w:val="24"/>
          <w:color w:val="auto"/>
        </w:rPr>
      </w:pPr>
      <w:r>
        <w:rPr>
          <w:sz w:val="24"/>
          <w:szCs w:val="24"/>
          <w:color w:val="auto"/>
        </w:rPr>
        <w:br w:type="column"/>
      </w:r>
    </w:p>
    <w:p>
      <w:pPr>
        <w:jc w:val="center"/>
        <w:ind w:right="1740"/>
        <w:spacing w:after="0"/>
        <w:rPr>
          <w:sz w:val="20"/>
          <w:szCs w:val="20"/>
          <w:color w:val="auto"/>
        </w:rPr>
      </w:pPr>
      <w:r>
        <w:rPr>
          <w:rFonts w:ascii="Times New Roman" w:cs="Times New Roman" w:eastAsia="Times New Roman" w:hAnsi="Times New Roman"/>
          <w:sz w:val="16"/>
          <w:szCs w:val="16"/>
          <w:color w:val="auto"/>
        </w:rPr>
        <w:t>File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152" w:lineRule="exact"/>
        <w:rPr>
          <w:sz w:val="24"/>
          <w:szCs w:val="24"/>
          <w:color w:val="auto"/>
        </w:rPr>
      </w:pPr>
    </w:p>
    <w:p>
      <w:pPr>
        <w:sectPr>
          <w:pgSz w:w="11900" w:h="16838" w:orient="portrait"/>
          <w:cols w:equalWidth="0" w:num="3">
            <w:col w:w="4540" w:space="720"/>
            <w:col w:w="2320" w:space="720"/>
            <w:col w:w="2780"/>
          </w:cols>
          <w:pgMar w:left="340" w:top="743" w:right="479" w:bottom="1440" w:gutter="0" w:footer="0" w:header="0"/>
          <w:type w:val="continuous"/>
        </w:sectPr>
      </w:pPr>
    </w:p>
    <w:p>
      <w:pPr>
        <w:ind w:left="4700"/>
        <w:spacing w:after="0"/>
        <w:rPr>
          <w:sz w:val="20"/>
          <w:szCs w:val="20"/>
          <w:color w:val="auto"/>
        </w:rPr>
      </w:pPr>
      <w:r>
        <w:rPr>
          <w:rFonts w:ascii="Times New Roman" w:cs="Times New Roman" w:eastAsia="Times New Roman" w:hAnsi="Times New Roman"/>
          <w:sz w:val="16"/>
          <w:szCs w:val="16"/>
          <w:b w:val="1"/>
          <w:bCs w:val="1"/>
          <w:color w:val="auto"/>
        </w:rPr>
        <w:t>1800 North Mason Road</w:t>
      </w:r>
    </w:p>
    <w:p>
      <w:pPr>
        <w:spacing w:after="0" w:line="59"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6"/>
          <w:szCs w:val="16"/>
          <w:b w:val="1"/>
          <w:bCs w:val="1"/>
          <w:color w:val="auto"/>
        </w:rPr>
        <w:t>Katy, Texas 77449</w:t>
      </w:r>
    </w:p>
    <w:p>
      <w:pPr>
        <w:spacing w:after="0" w:line="59"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 including Zip Code)</w:t>
      </w:r>
    </w:p>
    <w:p>
      <w:pPr>
        <w:spacing w:after="0" w:line="15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(281) 646-5200</w:t>
      </w:r>
    </w:p>
    <w:p>
      <w:pPr>
        <w:spacing w:after="0" w:line="1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(Registrant’s telephone number, including area code)</w:t>
      </w:r>
    </w:p>
    <w:p>
      <w:pPr>
        <w:spacing w:after="0" w:line="27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5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2812415</wp:posOffset>
            </wp:positionH>
            <wp:positionV relativeFrom="paragraph">
              <wp:posOffset>133350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080"/>
          </w:cols>
          <w:pgMar w:left="340" w:top="743" w:right="479" w:bottom="1440" w:gutter="0" w:footer="0" w:header="0"/>
          <w:type w:val="continuous"/>
        </w:sectPr>
      </w:pPr>
    </w:p>
    <w:p>
      <w:pPr>
        <w:spacing w:after="0" w:line="38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59"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53" w:lineRule="exact"/>
        <w:rPr>
          <w:sz w:val="24"/>
          <w:szCs w:val="24"/>
          <w:color w:val="auto"/>
        </w:rPr>
      </w:pPr>
    </w:p>
    <w:tbl>
      <w:tblPr>
        <w:tblLayout w:type="fixed"/>
        <w:tblInd w:w="76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08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1200" w:type="dxa"/>
            <w:vAlign w:val="bottom"/>
          </w:tcPr>
          <w:p>
            <w:pPr>
              <w:spacing w:after="0"/>
              <w:rPr>
                <w:sz w:val="16"/>
                <w:szCs w:val="16"/>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58"/>
        </w:trPr>
        <w:tc>
          <w:tcPr>
            <w:tcW w:w="4140" w:type="dxa"/>
            <w:vAlign w:val="bottom"/>
            <w:gridSpan w:val="3"/>
          </w:tcPr>
          <w:p>
            <w:pPr>
              <w:jc w:val="center"/>
              <w:ind w:right="1240"/>
              <w:spacing w:after="0"/>
              <w:rPr>
                <w:sz w:val="20"/>
                <w:szCs w:val="20"/>
                <w:color w:val="auto"/>
              </w:rPr>
            </w:pPr>
            <w:r>
              <w:rPr>
                <w:rFonts w:ascii="Times New Roman" w:cs="Times New Roman" w:eastAsia="Times New Roman" w:hAnsi="Times New Roman"/>
                <w:sz w:val="16"/>
                <w:szCs w:val="16"/>
                <w:b w:val="1"/>
                <w:bCs w:val="1"/>
                <w:color w:val="auto"/>
              </w:rPr>
              <w:t>Common Stock, $0.01 par value per share</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ASO</w:t>
            </w:r>
          </w:p>
        </w:tc>
        <w:tc>
          <w:tcPr>
            <w:tcW w:w="1200" w:type="dxa"/>
            <w:vAlign w:val="bottom"/>
          </w:tcPr>
          <w:p>
            <w:pPr>
              <w:spacing w:after="0"/>
              <w:rPr>
                <w:sz w:val="22"/>
                <w:szCs w:val="22"/>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bl>
    <w:p>
      <w:pPr>
        <w:spacing w:after="0" w:line="195" w:lineRule="exact"/>
        <w:rPr>
          <w:sz w:val="24"/>
          <w:szCs w:val="24"/>
          <w:color w:val="auto"/>
        </w:rPr>
      </w:pPr>
    </w:p>
    <w:p>
      <w:pPr>
        <w:spacing w:after="0" w:line="267"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90" w:lineRule="exact"/>
        <w:rPr>
          <w:sz w:val="24"/>
          <w:szCs w:val="24"/>
          <w:color w:val="auto"/>
        </w:rPr>
      </w:pPr>
    </w:p>
    <w:p>
      <w:pPr>
        <w:ind w:right="42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394970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90805</wp:posOffset>
            </wp:positionV>
            <wp:extent cx="7089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116205</wp:posOffset>
            </wp:positionV>
            <wp:extent cx="7089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080"/>
          </w:cols>
          <w:pgMar w:left="340" w:top="743" w:right="47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256"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auto"/>
        </w:rPr>
        <w:t>On February 1, 2024, Academy, Ltd., a Texas limited partnership (“Academy Ltd.”) and indirect subsidiary of Academy Sports and Outdoors, Inc. (the “Company”), utilized cash on hand to voluntarily prepay $100 million of outstanding borrowings under Academy, Ltd.'s senior secured term loan governed by the Second Amended and Restated Credit Agreement, dated November 6, 2020, among Academy, Ltd., as borrower, Credit Suisse AG, Cayman Islands Branch, as the administrative agent and collateral agent, the several lenders party thereto and the several other parties named therein, as amended (the “Term Loan”). Academy, Ltd. did not incur any prepayment penalties in connection with this prepayment. As a result of this prepayment, the remaining outstanding principal balance under the Term Loan is $91.75 million and, based on projected variable interest rates, the Company expects to realize an interest savings of approximately $29 million over the remaining duration of the Term Loan, including $8.5 million in fiscal 2024. This prepayment was made as part of the Company's comprehensive capital allocation plan, which also includes capital expenditures, quarterly cash dividends and share repurchases.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3"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Section 27A of the Securities Act of 1933, as amended, and Section 21E of the Securities Exchange Act of 1934, as amended. These forward-looking statements are based on the Company’s current expectations and are not guarantees of future performance. Forward-looking statements can generally be identify by the use of words such as “outlook,” “guidance,” “believes,” “expects,” “potential,” “continues,” “may,” “will,” “should,” “could,” “seeks,” “projects,” “predicts,” “intends,” “plans,” “estimates,” “anticipates” or the negative version of these words or other comparable words. The forward-looking statements include, among other things, statements regarding expectations of the Company's future performance, financial condition, and capital deployment, including intent, ability, payment, extent, and timing of capital expenditures, debt repayment, dividends, share repurchases, interest savings, and execution on the capital allocation plan, each of which is subject to various risks, assumptions, or changes in circumstances that are difficult to predict or quantify. The future declaration, timing, amount, and payment of dividends will be subject to the discretion and approval of the Company's Board of Directors (the “Board”), taking into account such considerations as the Board may deem relevant at the time, including, among others, the Company's results, financial condition and capital allocation plans. Actual results may differ materially from these expectations due to changes in global, regional, or local economic, business, competitive, market, regulatory and other factors, including ongoing inflation and continued increases in interest rates, many of which are beyond the Company’s control. Important factors that could cause actual results to differ materially from those in the forward-looking statements are set forth in the Company’s filings with the U.S. Securities and Exchange Commission (the “SEC”), including the Company’s Annual Report on Form 10-K, under the caption “Risk Factors,” as may be updated from time to time in our periodic filings with the SEC. Any forward-looking statement contained herein speaks only as of the date of this filing. The Company undertakes no obligation to publicly update or review any forward-looking statements, whether as a result of new information, future developments or otherwise,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879475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2" w:name="page3"/>
    <w:bookmarkEnd w:id="2"/>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333" w:lineRule="exact"/>
        <w:rPr>
          <w:sz w:val="20"/>
          <w:szCs w:val="20"/>
          <w:color w:val="auto"/>
        </w:rPr>
      </w:pPr>
    </w:p>
    <w:p>
      <w:pPr>
        <w:ind w:left="720"/>
        <w:spacing w:after="0"/>
        <w:tabs>
          <w:tab w:leader="none" w:pos="21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 of Exhibit</w:t>
      </w:r>
    </w:p>
    <w:p>
      <w:pPr>
        <w:spacing w:after="0" w:line="94" w:lineRule="exact"/>
        <w:rPr>
          <w:sz w:val="20"/>
          <w:szCs w:val="20"/>
          <w:color w:val="auto"/>
        </w:rPr>
      </w:pPr>
    </w:p>
    <w:p>
      <w:pPr>
        <w:ind w:left="2160" w:hanging="653"/>
        <w:spacing w:after="0"/>
        <w:tabs>
          <w:tab w:leader="none" w:pos="216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Cover Page Interactive Date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965835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3" w:name="page4"/>
    <w:bookmarkEnd w:id="3"/>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8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ACADEMY SPORTS AND OUTDOORS, INC.</w:t>
      </w:r>
    </w:p>
    <w:p>
      <w:pPr>
        <w:spacing w:after="0" w:line="200" w:lineRule="exact"/>
        <w:rPr>
          <w:sz w:val="20"/>
          <w:szCs w:val="20"/>
          <w:color w:val="auto"/>
        </w:rPr>
      </w:pPr>
    </w:p>
    <w:p>
      <w:pPr>
        <w:spacing w:after="0" w:line="228" w:lineRule="exact"/>
        <w:rPr>
          <w:sz w:val="20"/>
          <w:szCs w:val="20"/>
          <w:color w:val="auto"/>
        </w:rPr>
      </w:pPr>
    </w:p>
    <w:p>
      <w:pPr>
        <w:ind w:left="2840"/>
        <w:spacing w:after="0"/>
        <w:tabs>
          <w:tab w:leader="none" w:pos="6260" w:val="left"/>
          <w:tab w:leader="none" w:pos="6960" w:val="left"/>
          <w:tab w:leader="none" w:pos="7300" w:val="left"/>
        </w:tabs>
        <w:rPr>
          <w:sz w:val="20"/>
          <w:szCs w:val="20"/>
          <w:color w:val="auto"/>
        </w:rPr>
      </w:pPr>
      <w:r>
        <w:rPr>
          <w:rFonts w:ascii="Times New Roman" w:cs="Times New Roman" w:eastAsia="Times New Roman" w:hAnsi="Times New Roman"/>
          <w:sz w:val="18"/>
          <w:szCs w:val="18"/>
          <w:color w:val="auto"/>
        </w:rPr>
        <w:t>Date: February 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Rene G. Casares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34290</wp:posOffset>
            </wp:positionV>
            <wp:extent cx="27171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57" w:lineRule="exact"/>
        <w:rPr>
          <w:sz w:val="20"/>
          <w:szCs w:val="20"/>
          <w:color w:val="auto"/>
        </w:rPr>
      </w:pPr>
    </w:p>
    <w:p>
      <w:pPr>
        <w:ind w:left="6280"/>
        <w:spacing w:after="0"/>
        <w:tabs>
          <w:tab w:leader="none" w:pos="6960" w:val="left"/>
        </w:tabs>
        <w:rPr>
          <w:sz w:val="20"/>
          <w:szCs w:val="20"/>
          <w:color w:val="auto"/>
        </w:rPr>
      </w:pPr>
      <w:r>
        <w:rPr>
          <w:rFonts w:ascii="Times New Roman" w:cs="Times New Roman" w:eastAsia="Times New Roman" w:hAnsi="Times New Roman"/>
          <w:sz w:val="18"/>
          <w:szCs w:val="18"/>
          <w:color w:val="auto"/>
        </w:rPr>
        <w:t>Name:</w:t>
        <w:tab/>
        <w:t>Rene G. Casares</w:t>
      </w:r>
    </w:p>
    <w:p>
      <w:pPr>
        <w:spacing w:after="0" w:line="63" w:lineRule="exact"/>
        <w:rPr>
          <w:sz w:val="20"/>
          <w:szCs w:val="20"/>
          <w:color w:val="auto"/>
        </w:rPr>
      </w:pPr>
    </w:p>
    <w:p>
      <w:pPr>
        <w:ind w:left="6280"/>
        <w:spacing w:after="0"/>
        <w:tabs>
          <w:tab w:leader="none" w:pos="69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Senior Vice President, General Counsel and Secretary</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2024-02-01T15:22:53Z</dcterms:created>
  <dcterms:modified xsi:type="dcterms:W3CDTF">2024-02-01T15:22:53Z</dcterms:modified>
</cp:coreProperties>
</file>