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Harriman Sherry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7"/>
          <w:szCs w:val="17"/>
          <w:color w:val="0000FF"/>
        </w:rPr>
        <w:t>77449</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Academy Sports &amp; Outdoors,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ASO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6"/>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80" w:type="dxa"/>
            <w:vAlign w:val="bottom"/>
            <w:vMerge w:val="continue"/>
          </w:tcPr>
          <w:p>
            <w:pPr>
              <w:spacing w:after="0"/>
              <w:rPr>
                <w:sz w:val="7"/>
                <w:szCs w:val="7"/>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SVP, Logistics &amp; Supply Chain</w:t>
            </w:r>
          </w:p>
        </w:tc>
        <w:tc>
          <w:tcPr>
            <w:tcW w:w="0" w:type="dxa"/>
            <w:vAlign w:val="bottom"/>
          </w:tcPr>
          <w:p>
            <w:pPr>
              <w:spacing w:after="0"/>
              <w:rPr>
                <w:sz w:val="1"/>
                <w:szCs w:val="1"/>
                <w:color w:val="auto"/>
              </w:rPr>
            </w:pPr>
          </w:p>
        </w:tc>
      </w:tr>
      <w:tr>
        <w:trPr>
          <w:trHeight w:val="133"/>
        </w:trPr>
        <w:tc>
          <w:tcPr>
            <w:tcW w:w="2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12/08/2022</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980" w:type="dxa"/>
            <w:vAlign w:val="bottom"/>
            <w:gridSpan w:val="3"/>
            <w:vMerge w:val="continue"/>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460" w:space="3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12/08/2022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11,686</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55.26</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1,990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$55.21 to $55.385,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of Common Stock acquired under the Issuer's employee stock purchase plan.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Gary Holland, Attorney-in- </w:t>
      </w:r>
      <w:r>
        <w:rPr>
          <w:rFonts w:ascii="Times New Roman" w:cs="Times New Roman" w:eastAsia="Times New Roman" w:hAnsi="Times New Roman"/>
          <w:sz w:val="34"/>
          <w:szCs w:val="34"/>
          <w:color w:val="0000FF"/>
          <w:vertAlign w:val="subscript"/>
        </w:rPr>
        <w:t>12/09/2022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42532"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2022-12-09T16:33:42Z</dcterms:created>
  <dcterms:modified xsi:type="dcterms:W3CDTF">2022-12-09T16:33:42Z</dcterms:modified>
</cp:coreProperties>
</file>