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SECURITIES AND EXCHANGE COMMISSION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Washington, D.C. 20549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Notice of Effectiveness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23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Effectiveness 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January 27, 2021 4:00 P.M.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6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2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680" w:type="dxa"/>
            <w:vAlign w:val="bottom"/>
          </w:tcPr>
          <w:p>
            <w:pPr>
              <w:ind w:left="1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0001817358</w:t>
              </w:r>
            </w:hyperlink>
          </w:p>
        </w:tc>
      </w:tr>
      <w:tr>
        <w:trPr>
          <w:trHeight w:val="297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Academy Sports &amp; Outdoors, Inc.</w:t>
            </w:r>
          </w:p>
        </w:tc>
      </w:tr>
      <w:tr>
        <w:trPr>
          <w:trHeight w:val="297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680" w:type="dxa"/>
            <w:vAlign w:val="bottom"/>
          </w:tcPr>
          <w:p>
            <w:pPr>
              <w:ind w:left="1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333-252390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7358" TargetMode="External"/><Relationship Id="rId9" Type="http://schemas.openxmlformats.org/officeDocument/2006/relationships/hyperlink" Target="http://www.sec.gov/cgi-bin/browse-edgar?action=getcompany&amp;filenum=333-2523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2021-01-28T05:16:37Z</dcterms:created>
  <dcterms:modified xsi:type="dcterms:W3CDTF">2021-01-28T05:16:37Z</dcterms:modified>
</cp:coreProperties>
</file>