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25,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1"/>
          <w:szCs w:val="41"/>
          <w:b w:val="1"/>
          <w:bCs w:val="1"/>
          <w:color w:val="auto"/>
        </w:rPr>
        <w:t>Academy Sports and Outdoors, Inc.</w:t>
      </w:r>
    </w:p>
    <w:p>
      <w:pPr>
        <w:spacing w:after="0" w:line="7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85-1800912</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1800 North Mason Road</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Katy, Texas 77449</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65"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(281) 646-5200</w:t>
      </w:r>
    </w:p>
    <w:p>
      <w:pPr>
        <w:spacing w:after="0" w:line="23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3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8"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ASO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In connection with a potential registered offering of shares of common stock of Academy Sports and Outdoors, Inc. (the “Company”) by certain stockholders of the Company, the Company is disclosing selected preliminary, unaudited and estimated financial information for the nine-week period ended January 2, 2021, as set forth below.</w:t>
      </w:r>
    </w:p>
    <w:p>
      <w:pPr>
        <w:spacing w:after="0" w:line="18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The Company estimates that its comparable sales grew approximately 16.6% during the first nine weeks of the fourth quarter 2020 (from November 1, 2020 to January 2, 2021). This comparable sales increase was driven primarily by double digit sales growth in all of the Company’s merchandise categories. Additionally, the Company’s number of transactions, average ticket, units per transaction and average unit retails also increased during the period and contributed to this comparable sales increase. As of January 2, 2021, the Company operated 259 retail locations in 16 states.</w:t>
      </w:r>
    </w:p>
    <w:p>
      <w:pPr>
        <w:spacing w:after="0" w:line="15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This preliminary financial information is for the first nine weeks of the Company’s fourth quarter 2020 and the fourth quarter 2020 has not ended. The unaudited, estimated results for this nine-week period represent only a portion of the Company’s fourth quarter 2020, are preliminary, based upon the Company’s estimates and currently available information, and are subject to revision based upon, among other things, quarter-end closing procedures and/or adjustments, the completion of the Company’s interim consolidated financial statements and other operational procedures. This preliminary financial information should not be viewed as a substitute for full interim financial statements prepared in accordance with the generally accepted accounting principles in the United States and reviewed by the Company’s auditors. These preliminary results are not necessarily indicative of the results to be achieved for the thirteen-week period ending January 30, 2021 or any future period. The Company’s actual results may be materially different from its estimates, which should not be regarded as a representation by the Company or its management as to the Company’s actual results for the thirteen-week period ending January 30, 2021. Readers should not place undue reliance on these estimates. This preliminary financial data has been prepared by, and is the responsibility of, the Company’s management. Deloitte &amp; Touche LLP has not audited, reviewed, compiled or performed any procedures with respect to the accompanying preliminary financial data. Accordingly, Deloitte &amp; Touche LLP does not express an opinion or any other form of assurance with respect thereto.</w:t>
      </w:r>
    </w:p>
    <w:p>
      <w:pPr>
        <w:spacing w:after="0" w:line="17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information in this Item 7.01 is furnished solely pursuant to Item 7.01 of Form 8-K. Consequently, such information is not deemed “filed” for the purposes of Section 18 of the Securities Exchange Act of 1934, as amended (the “Exchange Act”), or otherwise subject to the liabilities of that section. Further, the information in this Item 7.01 shall not be deemed to be incorporated by reference into any of the Company’s filings under the Securities Act of 1933, as amended, or the Exchange Act, except as shall be expressly set forth by specific reference in such a filing.</w:t>
      </w:r>
    </w:p>
    <w:p>
      <w:pPr>
        <w:sectPr>
          <w:pgSz w:w="11900" w:h="16838" w:orient="portrait"/>
          <w:cols w:equalWidth="0" w:num="1">
            <w:col w:w="10960"/>
          </w:cols>
          <w:pgMar w:left="440" w:top="297"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20" w:type="dxa"/>
            <w:vAlign w:val="bottom"/>
            <w:gridSpan w:val="2"/>
          </w:tcPr>
          <w:p>
            <w:pPr>
              <w:ind w:left="5520"/>
              <w:spacing w:after="0"/>
              <w:rPr>
                <w:sz w:val="20"/>
                <w:szCs w:val="20"/>
                <w:color w:val="auto"/>
              </w:rPr>
            </w:pPr>
            <w:r>
              <w:rPr>
                <w:rFonts w:ascii="Arial" w:cs="Arial" w:eastAsia="Arial" w:hAnsi="Arial"/>
                <w:sz w:val="18"/>
                <w:szCs w:val="18"/>
                <w:color w:val="auto"/>
              </w:rPr>
              <w:t>Academy Sports and Outdoors, Inc.</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Date: January 25, 2021</w:t>
            </w:r>
          </w:p>
        </w:tc>
        <w:tc>
          <w:tcPr>
            <w:tcW w:w="4960" w:type="dxa"/>
            <w:vAlign w:val="bottom"/>
          </w:tcPr>
          <w:p>
            <w:pPr>
              <w:spacing w:after="0"/>
              <w:rPr>
                <w:sz w:val="20"/>
                <w:szCs w:val="20"/>
                <w:color w:val="auto"/>
              </w:rPr>
            </w:pPr>
          </w:p>
        </w:tc>
      </w:tr>
      <w:tr>
        <w:trPr>
          <w:trHeight w:val="432"/>
        </w:trPr>
        <w:tc>
          <w:tcPr>
            <w:tcW w:w="6060" w:type="dxa"/>
            <w:vAlign w:val="bottom"/>
          </w:tcPr>
          <w:p>
            <w:pPr>
              <w:ind w:left="55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Rene G. Casares</w:t>
            </w:r>
          </w:p>
        </w:tc>
      </w:tr>
      <w:tr>
        <w:trPr>
          <w:trHeight w:val="195"/>
        </w:trPr>
        <w:tc>
          <w:tcPr>
            <w:tcW w:w="6060" w:type="dxa"/>
            <w:vAlign w:val="bottom"/>
          </w:tcPr>
          <w:p>
            <w:pPr>
              <w:ind w:left="55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Rene G. Casares</w:t>
            </w:r>
          </w:p>
        </w:tc>
      </w:tr>
      <w:tr>
        <w:trPr>
          <w:trHeight w:val="230"/>
        </w:trPr>
        <w:tc>
          <w:tcPr>
            <w:tcW w:w="606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2021-01-25T15:27:29Z</dcterms:created>
  <dcterms:modified xsi:type="dcterms:W3CDTF">2021-01-25T15:27:29Z</dcterms:modified>
</cp:coreProperties>
</file>