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23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23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3430" cy="8255"/>
                    </a:xfrm>
                    <a:prstGeom prst="rect">
                      <a:avLst/>
                    </a:prstGeom>
                    <a:noFill/>
                  </pic:spPr>
                </pic:pic>
              </a:graphicData>
            </a:graphic>
          </wp:anchor>
        </w:drawing>
        <w:t>UNITED STATES</w:t>
      </w:r>
    </w:p>
    <w:p>
      <w:pPr>
        <w:spacing w:after="0" w:line="58"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spacing w:after="0" w:line="5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2692400</wp:posOffset>
            </wp:positionH>
            <wp:positionV relativeFrom="paragraph">
              <wp:posOffset>137160</wp:posOffset>
            </wp:positionV>
            <wp:extent cx="16973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362"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2692400</wp:posOffset>
            </wp:positionH>
            <wp:positionV relativeFrom="paragraph">
              <wp:posOffset>140335</wp:posOffset>
            </wp:positionV>
            <wp:extent cx="16973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368"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CURRENT REPORT</w:t>
      </w:r>
    </w:p>
    <w:p>
      <w:pPr>
        <w:spacing w:after="0" w:line="54"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19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Date of report (Date of earliest event reported): December 10,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2692400</wp:posOffset>
            </wp:positionH>
            <wp:positionV relativeFrom="paragraph">
              <wp:posOffset>148590</wp:posOffset>
            </wp:positionV>
            <wp:extent cx="16973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97355" cy="8255"/>
                    </a:xfrm>
                    <a:prstGeom prst="rect">
                      <a:avLst/>
                    </a:prstGeom>
                    <a:noFill/>
                  </pic:spPr>
                </pic:pic>
              </a:graphicData>
            </a:graphic>
          </wp:anchor>
        </w:drawing>
        <w:drawing>
          <wp:anchor simplePos="0" relativeHeight="251657728" behindDoc="1" locked="0" layoutInCell="0" allowOverlap="1">
            <wp:simplePos x="0" y="0"/>
            <wp:positionH relativeFrom="column">
              <wp:posOffset>2640965</wp:posOffset>
            </wp:positionH>
            <wp:positionV relativeFrom="paragraph">
              <wp:posOffset>268605</wp:posOffset>
            </wp:positionV>
            <wp:extent cx="1825625" cy="4457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5625" cy="4457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Academy Sports and Outdoors, Inc.</w:t>
      </w:r>
    </w:p>
    <w:p>
      <w:pPr>
        <w:spacing w:after="0" w:line="95"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2692400</wp:posOffset>
            </wp:positionH>
            <wp:positionV relativeFrom="paragraph">
              <wp:posOffset>129540</wp:posOffset>
            </wp:positionV>
            <wp:extent cx="16973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ectPr>
          <w:pgSz w:w="11900" w:h="16838" w:orient="portrait"/>
          <w:cols w:equalWidth="0" w:num="1">
            <w:col w:w="11160"/>
          </w:cols>
          <w:pgMar w:left="340" w:top="747" w:right="399" w:bottom="1440" w:gutter="0" w:footer="0" w:header="0"/>
        </w:sectPr>
      </w:pPr>
    </w:p>
    <w:p>
      <w:pPr>
        <w:spacing w:after="0" w:line="397" w:lineRule="exact"/>
        <w:rPr>
          <w:sz w:val="24"/>
          <w:szCs w:val="24"/>
          <w:color w:val="auto"/>
        </w:rPr>
      </w:pPr>
    </w:p>
    <w:p>
      <w:pPr>
        <w:ind w:left="1880"/>
        <w:spacing w:after="0"/>
        <w:rPr>
          <w:sz w:val="20"/>
          <w:szCs w:val="20"/>
          <w:color w:val="auto"/>
        </w:rPr>
      </w:pPr>
      <w:r>
        <w:rPr>
          <w:rFonts w:ascii="Arial" w:cs="Arial" w:eastAsia="Arial" w:hAnsi="Arial"/>
          <w:sz w:val="13"/>
          <w:szCs w:val="13"/>
          <w:b w:val="1"/>
          <w:bCs w:val="1"/>
          <w:color w:val="auto"/>
        </w:rPr>
        <w:t>Delaware</w:t>
      </w:r>
    </w:p>
    <w:p>
      <w:pPr>
        <w:spacing w:after="0" w:line="20" w:lineRule="exact"/>
        <w:rPr>
          <w:sz w:val="24"/>
          <w:szCs w:val="24"/>
          <w:color w:val="auto"/>
        </w:rPr>
      </w:pPr>
      <w:r>
        <w:rPr>
          <w:sz w:val="24"/>
          <w:szCs w:val="24"/>
          <w:color w:val="auto"/>
        </w:rPr>
        <w:br w:type="column"/>
      </w:r>
    </w:p>
    <w:p>
      <w:pPr>
        <w:spacing w:after="0" w:line="359" w:lineRule="exact"/>
        <w:rPr>
          <w:sz w:val="24"/>
          <w:szCs w:val="24"/>
          <w:color w:val="auto"/>
        </w:rPr>
      </w:pPr>
    </w:p>
    <w:p>
      <w:pPr>
        <w:jc w:val="center"/>
        <w:ind w:right="2120"/>
        <w:spacing w:after="0"/>
        <w:rPr>
          <w:sz w:val="20"/>
          <w:szCs w:val="20"/>
          <w:color w:val="auto"/>
        </w:rPr>
      </w:pPr>
      <w:r>
        <w:rPr>
          <w:rFonts w:ascii="Arial" w:cs="Arial" w:eastAsia="Arial" w:hAnsi="Arial"/>
          <w:sz w:val="14"/>
          <w:szCs w:val="14"/>
          <w:b w:val="1"/>
          <w:bCs w:val="1"/>
          <w:color w:val="auto"/>
        </w:rPr>
        <w:t>001-39589</w:t>
      </w:r>
    </w:p>
    <w:p>
      <w:pPr>
        <w:spacing w:after="0" w:line="20" w:lineRule="exact"/>
        <w:rPr>
          <w:sz w:val="24"/>
          <w:szCs w:val="24"/>
          <w:color w:val="auto"/>
        </w:rPr>
      </w:pPr>
      <w:r>
        <w:rPr>
          <w:sz w:val="24"/>
          <w:szCs w:val="24"/>
          <w:color w:val="auto"/>
        </w:rPr>
        <w:br w:type="column"/>
      </w:r>
    </w:p>
    <w:p>
      <w:pPr>
        <w:spacing w:after="0" w:line="377"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85-1800912</w:t>
      </w:r>
    </w:p>
    <w:p>
      <w:pPr>
        <w:spacing w:after="0" w:line="158" w:lineRule="exact"/>
        <w:rPr>
          <w:sz w:val="24"/>
          <w:szCs w:val="24"/>
          <w:color w:val="auto"/>
        </w:rPr>
      </w:pPr>
    </w:p>
    <w:p>
      <w:pPr>
        <w:sectPr>
          <w:pgSz w:w="11900" w:h="16838" w:orient="portrait"/>
          <w:cols w:equalWidth="0" w:num="3">
            <w:col w:w="4500" w:space="720"/>
            <w:col w:w="2820" w:space="720"/>
            <w:col w:w="2400"/>
          </w:cols>
          <w:pgMar w:left="340" w:top="747" w:right="399" w:bottom="1440" w:gutter="0" w:footer="0" w:header="0"/>
          <w:type w:val="continuous"/>
        </w:sectPr>
      </w:pPr>
    </w:p>
    <w:p>
      <w:pPr>
        <w:ind w:left="1180"/>
        <w:spacing w:after="0"/>
        <w:rPr>
          <w:sz w:val="20"/>
          <w:szCs w:val="20"/>
          <w:color w:val="auto"/>
        </w:rPr>
      </w:pPr>
      <w:r>
        <w:rPr>
          <w:rFonts w:ascii="Arial" w:cs="Arial" w:eastAsia="Arial" w:hAnsi="Arial"/>
          <w:sz w:val="15"/>
          <w:szCs w:val="15"/>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(Commission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(I.R.S. Employer</w:t>
      </w:r>
    </w:p>
    <w:p>
      <w:pPr>
        <w:spacing w:after="0" w:line="138" w:lineRule="exact"/>
        <w:rPr>
          <w:sz w:val="24"/>
          <w:szCs w:val="24"/>
          <w:color w:val="auto"/>
        </w:rPr>
      </w:pPr>
    </w:p>
    <w:p>
      <w:pPr>
        <w:sectPr>
          <w:pgSz w:w="11900" w:h="16838" w:orient="portrait"/>
          <w:cols w:equalWidth="0" w:num="3">
            <w:col w:w="4420" w:space="720"/>
            <w:col w:w="2640" w:space="720"/>
            <w:col w:w="2660"/>
          </w:cols>
          <w:pgMar w:left="340" w:top="747" w:right="399" w:bottom="1440" w:gutter="0" w:footer="0" w:header="0"/>
          <w:type w:val="continuous"/>
        </w:sectPr>
      </w:pPr>
    </w:p>
    <w:p>
      <w:pPr>
        <w:ind w:left="1660"/>
        <w:spacing w:after="0"/>
        <w:rPr>
          <w:sz w:val="20"/>
          <w:szCs w:val="20"/>
          <w:color w:val="auto"/>
        </w:rPr>
      </w:pPr>
      <w:r>
        <w:rPr>
          <w:rFonts w:ascii="Arial" w:cs="Arial" w:eastAsia="Arial" w:hAnsi="Arial"/>
          <w:sz w:val="15"/>
          <w:szCs w:val="15"/>
          <w:color w:val="auto"/>
        </w:rPr>
        <w:t>incorporation)</w:t>
      </w:r>
    </w:p>
    <w:p>
      <w:pPr>
        <w:spacing w:after="0" w:line="20" w:lineRule="exact"/>
        <w:rPr>
          <w:sz w:val="24"/>
          <w:szCs w:val="24"/>
          <w:color w:val="auto"/>
        </w:rPr>
      </w:pPr>
      <w:r>
        <w:rPr>
          <w:sz w:val="24"/>
          <w:szCs w:val="24"/>
          <w:color w:val="auto"/>
        </w:rPr>
        <w:br w:type="column"/>
      </w:r>
    </w:p>
    <w:p>
      <w:pPr>
        <w:jc w:val="center"/>
        <w:ind w:right="1880"/>
        <w:spacing w:after="0"/>
        <w:rPr>
          <w:sz w:val="20"/>
          <w:szCs w:val="20"/>
          <w:color w:val="auto"/>
        </w:rPr>
      </w:pPr>
      <w:r>
        <w:rPr>
          <w:rFonts w:ascii="Arial" w:cs="Arial" w:eastAsia="Arial" w:hAnsi="Arial"/>
          <w:sz w:val="15"/>
          <w:szCs w:val="15"/>
          <w:color w:val="auto"/>
        </w:rPr>
        <w:t>File No.)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Identification No.)</w:t>
      </w:r>
    </w:p>
    <w:p>
      <w:pPr>
        <w:spacing w:after="0" w:line="161" w:lineRule="exact"/>
        <w:rPr>
          <w:sz w:val="24"/>
          <w:szCs w:val="24"/>
          <w:color w:val="auto"/>
        </w:rPr>
      </w:pPr>
    </w:p>
    <w:p>
      <w:pPr>
        <w:sectPr>
          <w:pgSz w:w="11900" w:h="16838" w:orient="portrait"/>
          <w:cols w:equalWidth="0" w:num="3">
            <w:col w:w="4560" w:space="720"/>
            <w:col w:w="2460" w:space="720"/>
            <w:col w:w="2700"/>
          </w:cols>
          <w:pgMar w:left="340" w:top="747" w:right="399" w:bottom="1440" w:gutter="0" w:footer="0" w:header="0"/>
          <w:type w:val="continuous"/>
        </w:sectPr>
      </w:pPr>
    </w:p>
    <w:p>
      <w:pPr>
        <w:ind w:left="4740"/>
        <w:spacing w:after="0"/>
        <w:rPr>
          <w:sz w:val="20"/>
          <w:szCs w:val="20"/>
          <w:color w:val="auto"/>
        </w:rPr>
      </w:pPr>
      <w:r>
        <w:rPr>
          <w:rFonts w:ascii="Arial" w:cs="Arial" w:eastAsia="Arial" w:hAnsi="Arial"/>
          <w:sz w:val="16"/>
          <w:szCs w:val="16"/>
          <w:b w:val="1"/>
          <w:bCs w:val="1"/>
          <w:color w:val="auto"/>
        </w:rPr>
        <w:t>1800 North Mason Road</w:t>
      </w:r>
    </w:p>
    <w:p>
      <w:pPr>
        <w:spacing w:after="0" w:line="59" w:lineRule="exact"/>
        <w:rPr>
          <w:sz w:val="24"/>
          <w:szCs w:val="24"/>
          <w:color w:val="auto"/>
        </w:rPr>
      </w:pPr>
    </w:p>
    <w:p>
      <w:pPr>
        <w:ind w:left="4960"/>
        <w:spacing w:after="0"/>
        <w:rPr>
          <w:sz w:val="20"/>
          <w:szCs w:val="20"/>
          <w:color w:val="auto"/>
        </w:rPr>
      </w:pPr>
      <w:r>
        <w:rPr>
          <w:rFonts w:ascii="Arial" w:cs="Arial" w:eastAsia="Arial" w:hAnsi="Arial"/>
          <w:sz w:val="16"/>
          <w:szCs w:val="16"/>
          <w:b w:val="1"/>
          <w:bCs w:val="1"/>
          <w:color w:val="auto"/>
        </w:rPr>
        <w:t>Katy, Texas 77449</w:t>
      </w:r>
    </w:p>
    <w:p>
      <w:pPr>
        <w:spacing w:after="0" w:line="63" w:lineRule="exact"/>
        <w:rPr>
          <w:sz w:val="24"/>
          <w:szCs w:val="24"/>
          <w:color w:val="auto"/>
        </w:rPr>
      </w:pPr>
    </w:p>
    <w:p>
      <w:pPr>
        <w:ind w:left="3740"/>
        <w:spacing w:after="0"/>
        <w:rPr>
          <w:sz w:val="20"/>
          <w:szCs w:val="20"/>
          <w:color w:val="auto"/>
        </w:rPr>
      </w:pPr>
      <w:r>
        <w:rPr>
          <w:rFonts w:ascii="Arial" w:cs="Arial" w:eastAsia="Arial" w:hAnsi="Arial"/>
          <w:sz w:val="14"/>
          <w:szCs w:val="14"/>
          <w:i w:val="1"/>
          <w:iCs w:val="1"/>
          <w:color w:val="auto"/>
        </w:rPr>
        <w:t>(Address of principal executive offices, including Zip Code)</w:t>
      </w:r>
    </w:p>
    <w:p>
      <w:pPr>
        <w:spacing w:after="0" w:line="17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(281) 646-5200</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(Registrant’s telephone number, including area code)</w:t>
      </w:r>
    </w:p>
    <w:p>
      <w:pPr>
        <w:spacing w:after="0" w:line="27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Not Applicable</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2692400</wp:posOffset>
            </wp:positionH>
            <wp:positionV relativeFrom="paragraph">
              <wp:posOffset>144145</wp:posOffset>
            </wp:positionV>
            <wp:extent cx="16973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ectPr>
          <w:pgSz w:w="11900" w:h="16838" w:orient="portrait"/>
          <w:cols w:equalWidth="0" w:num="1">
            <w:col w:w="11160"/>
          </w:cols>
          <w:pgMar w:left="340" w:top="747" w:right="399" w:bottom="1440" w:gutter="0" w:footer="0" w:header="0"/>
          <w:type w:val="continuous"/>
        </w:sect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71" w:lineRule="exact"/>
        <w:rPr>
          <w:sz w:val="24"/>
          <w:szCs w:val="24"/>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59" w:lineRule="exact"/>
        <w:rPr>
          <w:rFonts w:ascii="MS PGothic" w:cs="MS PGothic" w:eastAsia="MS PGothic" w:hAnsi="MS PGothic"/>
          <w:sz w:val="16"/>
          <w:szCs w:val="16"/>
          <w:color w:val="auto"/>
        </w:rPr>
      </w:pPr>
    </w:p>
    <w:p>
      <w:pPr>
        <w:ind w:left="200" w:hanging="194"/>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59" w:lineRule="exact"/>
        <w:rPr>
          <w:rFonts w:ascii="MS PGothic" w:cs="MS PGothic" w:eastAsia="MS PGothic" w:hAnsi="MS PGothic"/>
          <w:sz w:val="16"/>
          <w:szCs w:val="16"/>
          <w:color w:val="auto"/>
        </w:rPr>
      </w:pPr>
    </w:p>
    <w:p>
      <w:pPr>
        <w:ind w:left="200" w:hanging="194"/>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59" w:lineRule="exact"/>
        <w:rPr>
          <w:rFonts w:ascii="MS PGothic" w:cs="MS PGothic" w:eastAsia="MS PGothic" w:hAnsi="MS PGothic"/>
          <w:sz w:val="16"/>
          <w:szCs w:val="16"/>
          <w:color w:val="auto"/>
        </w:rPr>
      </w:pPr>
    </w:p>
    <w:p>
      <w:pPr>
        <w:ind w:left="200" w:hanging="194"/>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5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51" w:lineRule="exact"/>
        <w:rPr>
          <w:sz w:val="24"/>
          <w:szCs w:val="24"/>
          <w:color w:val="auto"/>
        </w:rPr>
      </w:pPr>
    </w:p>
    <w:tbl>
      <w:tblPr>
        <w:tblLayout w:type="fixed"/>
        <w:tblInd w:w="660" w:type="dxa"/>
        <w:tblCellMar>
          <w:top w:w="0" w:type="dxa"/>
          <w:left w:w="0" w:type="dxa"/>
          <w:bottom w:w="0" w:type="dxa"/>
          <w:right w:w="0" w:type="dxa"/>
        </w:tblCellMar>
      </w:tblPr>
      <w:tr>
        <w:trPr>
          <w:trHeight w:val="184"/>
        </w:trPr>
        <w:tc>
          <w:tcPr>
            <w:tcW w:w="840" w:type="dxa"/>
            <w:vAlign w:val="bottom"/>
          </w:tcPr>
          <w:p>
            <w:pPr>
              <w:spacing w:after="0"/>
              <w:rPr>
                <w:sz w:val="16"/>
                <w:szCs w:val="16"/>
                <w:color w:val="auto"/>
              </w:rPr>
            </w:pPr>
          </w:p>
        </w:tc>
        <w:tc>
          <w:tcPr>
            <w:tcW w:w="3440" w:type="dxa"/>
            <w:vAlign w:val="bottom"/>
            <w:gridSpan w:val="2"/>
          </w:tcPr>
          <w:p>
            <w:pPr>
              <w:jc w:val="center"/>
              <w:ind w:right="2220"/>
              <w:spacing w:after="0"/>
              <w:rPr>
                <w:sz w:val="20"/>
                <w:szCs w:val="20"/>
                <w:color w:val="auto"/>
              </w:rPr>
            </w:pPr>
            <w:r>
              <w:rPr>
                <w:rFonts w:ascii="Arial" w:cs="Arial" w:eastAsia="Arial" w:hAnsi="Arial"/>
                <w:sz w:val="16"/>
                <w:szCs w:val="16"/>
                <w:b w:val="1"/>
                <w:bCs w:val="1"/>
                <w:color w:val="auto"/>
                <w:w w:val="88"/>
              </w:rPr>
              <w:t>Title of each class</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1"/>
              </w:rPr>
              <w:t>Trading Symbol(s)</w:t>
            </w:r>
          </w:p>
        </w:tc>
        <w:tc>
          <w:tcPr>
            <w:tcW w:w="4340" w:type="dxa"/>
            <w:vAlign w:val="bottom"/>
            <w:gridSpan w:val="2"/>
          </w:tcPr>
          <w:p>
            <w:pPr>
              <w:jc w:val="center"/>
              <w:ind w:left="1259"/>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0"/>
        </w:trPr>
        <w:tc>
          <w:tcPr>
            <w:tcW w:w="8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r>
      <w:tr>
        <w:trPr>
          <w:trHeight w:val="257"/>
        </w:trPr>
        <w:tc>
          <w:tcPr>
            <w:tcW w:w="4280" w:type="dxa"/>
            <w:vAlign w:val="bottom"/>
            <w:gridSpan w:val="3"/>
          </w:tcPr>
          <w:p>
            <w:pPr>
              <w:jc w:val="center"/>
              <w:ind w:right="1380"/>
              <w:spacing w:after="0"/>
              <w:rPr>
                <w:sz w:val="20"/>
                <w:szCs w:val="20"/>
                <w:color w:val="auto"/>
              </w:rPr>
            </w:pPr>
            <w:r>
              <w:rPr>
                <w:rFonts w:ascii="Arial" w:cs="Arial" w:eastAsia="Arial" w:hAnsi="Arial"/>
                <w:sz w:val="16"/>
                <w:szCs w:val="16"/>
                <w:b w:val="1"/>
                <w:bCs w:val="1"/>
                <w:color w:val="auto"/>
                <w:w w:val="91"/>
              </w:rPr>
              <w:t>Common Stock, $0.01 par value per share</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2"/>
              </w:rPr>
              <w:t>ASO</w:t>
            </w:r>
          </w:p>
        </w:tc>
        <w:tc>
          <w:tcPr>
            <w:tcW w:w="1340" w:type="dxa"/>
            <w:vAlign w:val="bottom"/>
          </w:tcPr>
          <w:p>
            <w:pPr>
              <w:spacing w:after="0"/>
              <w:rPr>
                <w:sz w:val="22"/>
                <w:szCs w:val="22"/>
                <w:color w:val="auto"/>
              </w:rPr>
            </w:pPr>
          </w:p>
        </w:tc>
        <w:tc>
          <w:tcPr>
            <w:tcW w:w="3000" w:type="dxa"/>
            <w:vAlign w:val="bottom"/>
          </w:tcPr>
          <w:p>
            <w:pPr>
              <w:jc w:val="center"/>
              <w:spacing w:after="0"/>
              <w:rPr>
                <w:sz w:val="20"/>
                <w:szCs w:val="20"/>
                <w:color w:val="auto"/>
              </w:rPr>
            </w:pPr>
            <w:r>
              <w:rPr>
                <w:rFonts w:ascii="Arial" w:cs="Arial" w:eastAsia="Arial" w:hAnsi="Arial"/>
                <w:sz w:val="16"/>
                <w:szCs w:val="16"/>
                <w:b w:val="1"/>
                <w:bCs w:val="1"/>
                <w:color w:val="auto"/>
                <w:w w:val="95"/>
              </w:rPr>
              <w:t>The Nasdaq Stock Market LLC</w:t>
            </w:r>
          </w:p>
        </w:tc>
      </w:tr>
    </w:tbl>
    <w:p>
      <w:pPr>
        <w:spacing w:after="0" w:line="199" w:lineRule="exact"/>
        <w:rPr>
          <w:sz w:val="24"/>
          <w:szCs w:val="24"/>
          <w:color w:val="auto"/>
        </w:rPr>
      </w:pPr>
    </w:p>
    <w:p>
      <w:pPr>
        <w:spacing w:after="0" w:line="262"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84" w:lineRule="exact"/>
        <w:rPr>
          <w:sz w:val="24"/>
          <w:szCs w:val="24"/>
          <w:color w:val="auto"/>
        </w:rPr>
      </w:pPr>
    </w:p>
    <w:p>
      <w:pPr>
        <w:ind w:right="50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391795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86995</wp:posOffset>
            </wp:positionV>
            <wp:extent cx="71234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343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113030</wp:posOffset>
            </wp:positionV>
            <wp:extent cx="71234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ectPr>
          <w:pgSz w:w="11900" w:h="16838" w:orient="portrait"/>
          <w:cols w:equalWidth="0" w:num="1">
            <w:col w:w="11160"/>
          </w:cols>
          <w:pgMar w:left="340" w:top="747" w:right="399" w:bottom="1440" w:gutter="0" w:footer="0" w:header="0"/>
          <w:type w:val="continuous"/>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43" w:lineRule="exact"/>
        <w:rPr>
          <w:sz w:val="20"/>
          <w:szCs w:val="20"/>
          <w:color w:val="auto"/>
        </w:rPr>
      </w:pPr>
    </w:p>
    <w:p>
      <w:pPr>
        <w:jc w:val="both"/>
        <w:ind w:firstLine="401"/>
        <w:spacing w:after="0" w:line="261" w:lineRule="auto"/>
        <w:rPr>
          <w:sz w:val="20"/>
          <w:szCs w:val="20"/>
          <w:color w:val="auto"/>
        </w:rPr>
      </w:pPr>
      <w:r>
        <w:rPr>
          <w:rFonts w:ascii="Arial" w:cs="Arial" w:eastAsia="Arial" w:hAnsi="Arial"/>
          <w:sz w:val="18"/>
          <w:szCs w:val="18"/>
          <w:color w:val="auto"/>
        </w:rPr>
        <w:t>On December 10, 2021, Academy Sports and Outdoors, Inc. (the “Company”) issued a press release announcing financial results for the quarter ended October 30, 2021. A copy of the release is furnished herewith as Exhibit 99.1 and incorporated by reference herein.</w:t>
      </w:r>
    </w:p>
    <w:p>
      <w:pPr>
        <w:spacing w:after="0" w:line="198" w:lineRule="exact"/>
        <w:rPr>
          <w:sz w:val="20"/>
          <w:szCs w:val="20"/>
          <w:color w:val="auto"/>
        </w:rPr>
      </w:pPr>
    </w:p>
    <w:p>
      <w:pPr>
        <w:jc w:val="both"/>
        <w:ind w:firstLine="401"/>
        <w:spacing w:after="0" w:line="241" w:lineRule="auto"/>
        <w:rPr>
          <w:sz w:val="20"/>
          <w:szCs w:val="20"/>
          <w:color w:val="auto"/>
        </w:rPr>
      </w:pPr>
      <w:r>
        <w:rPr>
          <w:rFonts w:ascii="Arial" w:cs="Arial" w:eastAsia="Arial" w:hAnsi="Arial"/>
          <w:sz w:val="18"/>
          <w:szCs w:val="18"/>
          <w:color w:val="auto"/>
        </w:rPr>
        <w:t>The information in this Current Report on Form 8-K, including exhibits, is being furnished to the U.S. Securities and Exchange Commission (the “SEC”) pursuant to Item 2.02 of Form 8-K and shall not be deemed to be “filed” for purposes of Section 18 of the Securities Exchange Act of 1934, as amended (the “Exchange Act”), or otherwise subject to the liabilities of that section, nor shall it be deemed incorporated by reference into any of the Company’s filings with the SEC under the Securities Act of 1933, as amended (the “Securities Act”), or the Exchange Act, except as shall be expressly set forth by specific reference in such a filing.</w:t>
      </w:r>
    </w:p>
    <w:p>
      <w:pPr>
        <w:spacing w:after="0" w:line="200" w:lineRule="exact"/>
        <w:rPr>
          <w:sz w:val="20"/>
          <w:szCs w:val="20"/>
          <w:color w:val="auto"/>
        </w:rPr>
      </w:pPr>
    </w:p>
    <w:p>
      <w:pPr>
        <w:spacing w:after="0" w:line="25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4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See the Exhibit Index immediately preceding the signature page hereto, which is incorporated herein by reference.</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1400" w:type="dxa"/>
            <w:vAlign w:val="bottom"/>
            <w:gridSpan w:val="3"/>
          </w:tcPr>
          <w:p>
            <w:pPr>
              <w:ind w:left="140"/>
              <w:spacing w:after="0"/>
              <w:rPr>
                <w:sz w:val="20"/>
                <w:szCs w:val="20"/>
                <w:color w:val="auto"/>
              </w:rPr>
            </w:pPr>
            <w:r>
              <w:rPr>
                <w:rFonts w:ascii="Arial" w:cs="Arial" w:eastAsia="Arial" w:hAnsi="Arial"/>
                <w:sz w:val="18"/>
                <w:szCs w:val="18"/>
                <w:b w:val="1"/>
                <w:bCs w:val="1"/>
                <w:color w:val="auto"/>
              </w:rPr>
              <w:t>Exhibit No.</w:t>
            </w:r>
          </w:p>
        </w:tc>
        <w:tc>
          <w:tcPr>
            <w:tcW w:w="9660" w:type="dxa"/>
            <w:vAlign w:val="bottom"/>
            <w:gridSpan w:val="2"/>
          </w:tcPr>
          <w:p>
            <w:pPr>
              <w:jc w:val="right"/>
              <w:ind w:right="4040"/>
              <w:spacing w:after="0"/>
              <w:rPr>
                <w:sz w:val="20"/>
                <w:szCs w:val="20"/>
                <w:color w:val="auto"/>
              </w:rPr>
            </w:pPr>
            <w:r>
              <w:rPr>
                <w:rFonts w:ascii="Arial" w:cs="Arial" w:eastAsia="Arial" w:hAnsi="Arial"/>
                <w:sz w:val="18"/>
                <w:szCs w:val="18"/>
                <w:b w:val="1"/>
                <w:bCs w:val="1"/>
                <w:color w:val="auto"/>
              </w:rPr>
              <w:t>Description of Exhibit</w:t>
            </w:r>
          </w:p>
        </w:tc>
      </w:tr>
      <w:tr>
        <w:trPr>
          <w:trHeight w:val="27"/>
        </w:trPr>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9660" w:type="dxa"/>
            <w:vAlign w:val="bottom"/>
            <w:gridSpan w:val="2"/>
          </w:tcPr>
          <w:p>
            <w:pPr>
              <w:spacing w:after="0"/>
              <w:rPr>
                <w:sz w:val="2"/>
                <w:szCs w:val="2"/>
                <w:color w:val="auto"/>
              </w:rPr>
            </w:pPr>
          </w:p>
        </w:tc>
      </w:tr>
      <w:tr>
        <w:trPr>
          <w:trHeight w:val="243"/>
        </w:trPr>
        <w:tc>
          <w:tcPr>
            <w:tcW w:w="180" w:type="dxa"/>
            <w:vAlign w:val="bottom"/>
            <w:tcBorders>
              <w:top w:val="single" w:sz="8" w:color="auto"/>
            </w:tcBorders>
            <w:shd w:val="clear" w:color="auto" w:fill="CCEEFF"/>
          </w:tcPr>
          <w:p>
            <w:pPr>
              <w:spacing w:after="0"/>
              <w:rPr>
                <w:sz w:val="21"/>
                <w:szCs w:val="21"/>
                <w:color w:val="auto"/>
              </w:rPr>
            </w:pPr>
          </w:p>
        </w:tc>
        <w:tc>
          <w:tcPr>
            <w:tcW w:w="1320" w:type="dxa"/>
            <w:vAlign w:val="bottom"/>
            <w:tcBorders>
              <w:top w:val="single" w:sz="8" w:color="auto"/>
            </w:tcBorders>
            <w:gridSpan w:val="2"/>
            <w:shd w:val="clear" w:color="auto" w:fill="CCEEFF"/>
          </w:tcPr>
          <w:p>
            <w:pPr>
              <w:spacing w:after="0" w:line="196" w:lineRule="exact"/>
              <w:rPr>
                <w:rFonts w:ascii="Arial" w:cs="Arial" w:eastAsia="Arial" w:hAnsi="Arial"/>
                <w:sz w:val="18"/>
                <w:szCs w:val="18"/>
                <w:color w:val="0000FF"/>
              </w:rPr>
            </w:pPr>
            <w:hyperlink w:anchor="page4">
              <w:r>
                <w:rPr>
                  <w:rFonts w:ascii="Arial" w:cs="Arial" w:eastAsia="Arial" w:hAnsi="Arial"/>
                  <w:sz w:val="18"/>
                  <w:szCs w:val="18"/>
                  <w:color w:val="0000FF"/>
                </w:rPr>
                <w:t>99.</w:t>
              </w:r>
              <w:r>
                <w:rPr>
                  <w:rFonts w:ascii="Arial" w:cs="Arial" w:eastAsia="Arial" w:hAnsi="Arial"/>
                  <w:sz w:val="18"/>
                  <w:szCs w:val="18"/>
                  <w:u w:val="single" w:color="auto"/>
                  <w:color w:val="0000FF"/>
                </w:rPr>
                <w:t>1</w:t>
              </w:r>
            </w:hyperlink>
          </w:p>
        </w:tc>
        <w:tc>
          <w:tcPr>
            <w:tcW w:w="80" w:type="dxa"/>
            <w:vAlign w:val="bottom"/>
            <w:tcBorders>
              <w:top w:val="single" w:sz="8" w:color="CCEEFF"/>
            </w:tcBorders>
            <w:shd w:val="clear" w:color="auto" w:fill="CCEEFF"/>
          </w:tcPr>
          <w:p>
            <w:pPr>
              <w:spacing w:after="0"/>
              <w:rPr>
                <w:sz w:val="21"/>
                <w:szCs w:val="21"/>
                <w:color w:val="auto"/>
              </w:rPr>
            </w:pPr>
          </w:p>
        </w:tc>
        <w:tc>
          <w:tcPr>
            <w:tcW w:w="9540" w:type="dxa"/>
            <w:vAlign w:val="bottom"/>
            <w:tcBorders>
              <w:top w:val="single" w:sz="8" w:color="auto"/>
            </w:tcBorders>
            <w:shd w:val="clear" w:color="auto" w:fill="CCEEFF"/>
          </w:tcPr>
          <w:p>
            <w:pPr>
              <w:jc w:val="right"/>
              <w:ind w:right="3830"/>
              <w:spacing w:after="0" w:line="196" w:lineRule="exact"/>
              <w:rPr>
                <w:sz w:val="20"/>
                <w:szCs w:val="20"/>
                <w:color w:val="auto"/>
              </w:rPr>
            </w:pPr>
            <w:r>
              <w:rPr>
                <w:rFonts w:ascii="Arial" w:cs="Arial" w:eastAsia="Arial" w:hAnsi="Arial"/>
                <w:sz w:val="18"/>
                <w:szCs w:val="18"/>
                <w:color w:val="auto"/>
                <w:w w:val="88"/>
              </w:rPr>
              <w:t>Academy Sports and Outdoors, Inc. Press Release, dated December 10, 2021.</w:t>
            </w:r>
          </w:p>
        </w:tc>
        <w:tc>
          <w:tcPr>
            <w:tcW w:w="120" w:type="dxa"/>
            <w:vAlign w:val="bottom"/>
          </w:tcPr>
          <w:p>
            <w:pPr>
              <w:spacing w:after="0"/>
              <w:rPr>
                <w:sz w:val="21"/>
                <w:szCs w:val="21"/>
                <w:color w:val="auto"/>
              </w:rPr>
            </w:pPr>
          </w:p>
        </w:tc>
      </w:tr>
      <w:tr>
        <w:trPr>
          <w:trHeight w:val="243"/>
        </w:trPr>
        <w:tc>
          <w:tcPr>
            <w:tcW w:w="180" w:type="dxa"/>
            <w:vAlign w:val="bottom"/>
            <w:tcBorders>
              <w:top w:val="single" w:sz="8" w:color="CCEEFF"/>
            </w:tcBorders>
          </w:tcPr>
          <w:p>
            <w:pPr>
              <w:spacing w:after="0"/>
              <w:rPr>
                <w:sz w:val="21"/>
                <w:szCs w:val="21"/>
                <w:color w:val="auto"/>
              </w:rPr>
            </w:pPr>
          </w:p>
        </w:tc>
        <w:tc>
          <w:tcPr>
            <w:tcW w:w="320" w:type="dxa"/>
            <w:vAlign w:val="bottom"/>
            <w:tcBorders>
              <w:top w:val="single" w:sz="8" w:color="0000FF"/>
            </w:tcBorders>
          </w:tcPr>
          <w:p>
            <w:pPr>
              <w:spacing w:after="0"/>
              <w:rPr>
                <w:sz w:val="20"/>
                <w:szCs w:val="20"/>
                <w:color w:val="auto"/>
              </w:rPr>
            </w:pPr>
            <w:r>
              <w:rPr>
                <w:rFonts w:ascii="Arial" w:cs="Arial" w:eastAsia="Arial" w:hAnsi="Arial"/>
                <w:sz w:val="18"/>
                <w:szCs w:val="18"/>
                <w:color w:val="auto"/>
                <w:w w:val="99"/>
              </w:rPr>
              <w:t>104</w:t>
            </w:r>
          </w:p>
        </w:tc>
        <w:tc>
          <w:tcPr>
            <w:tcW w:w="100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9540" w:type="dxa"/>
            <w:vAlign w:val="bottom"/>
            <w:tcBorders>
              <w:top w:val="single" w:sz="8" w:color="CCEEFF"/>
            </w:tcBorders>
          </w:tcPr>
          <w:p>
            <w:pPr>
              <w:jc w:val="right"/>
              <w:ind w:right="3610"/>
              <w:spacing w:after="0"/>
              <w:rPr>
                <w:sz w:val="20"/>
                <w:szCs w:val="20"/>
                <w:color w:val="auto"/>
              </w:rPr>
            </w:pPr>
            <w:r>
              <w:rPr>
                <w:rFonts w:ascii="Arial" w:cs="Arial" w:eastAsia="Arial" w:hAnsi="Arial"/>
                <w:sz w:val="18"/>
                <w:szCs w:val="18"/>
                <w:color w:val="auto"/>
                <w:w w:val="92"/>
              </w:rPr>
              <w:t>Cover Page Interactive Data File (embedded within the Inline XBRL document).</w:t>
            </w:r>
          </w:p>
        </w:tc>
        <w:tc>
          <w:tcPr>
            <w:tcW w:w="120" w:type="dxa"/>
            <w:vAlign w:val="bottom"/>
          </w:tcPr>
          <w:p>
            <w:pPr>
              <w:spacing w:after="0"/>
              <w:rPr>
                <w:sz w:val="21"/>
                <w:szCs w:val="21"/>
                <w:color w:val="auto"/>
              </w:rPr>
            </w:pPr>
          </w:p>
        </w:tc>
      </w:tr>
      <w:tr>
        <w:trPr>
          <w:trHeight w:val="1532"/>
        </w:trPr>
        <w:tc>
          <w:tcPr>
            <w:tcW w:w="1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5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on Form 8-K on its behalf by the undersigned, thereto duly authorized.</w:t>
      </w:r>
    </w:p>
    <w:p>
      <w:pPr>
        <w:spacing w:after="0" w:line="200" w:lineRule="exact"/>
        <w:rPr>
          <w:sz w:val="20"/>
          <w:szCs w:val="20"/>
          <w:color w:val="auto"/>
        </w:rPr>
      </w:pPr>
    </w:p>
    <w:p>
      <w:pPr>
        <w:spacing w:after="0" w:line="294"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ACADEMY SPORTS AND OUTDOORS, INC.</w:t>
      </w:r>
    </w:p>
    <w:p>
      <w:pPr>
        <w:spacing w:after="0" w:line="200" w:lineRule="exact"/>
        <w:rPr>
          <w:sz w:val="20"/>
          <w:szCs w:val="20"/>
          <w:color w:val="auto"/>
        </w:rPr>
      </w:pPr>
    </w:p>
    <w:p>
      <w:pPr>
        <w:spacing w:after="0" w:line="228" w:lineRule="exact"/>
        <w:rPr>
          <w:sz w:val="20"/>
          <w:szCs w:val="20"/>
          <w:color w:val="auto"/>
        </w:rPr>
      </w:pPr>
    </w:p>
    <w:p>
      <w:pPr>
        <w:ind w:left="2840"/>
        <w:spacing w:after="0"/>
        <w:tabs>
          <w:tab w:leader="none" w:pos="6260" w:val="left"/>
          <w:tab w:leader="none" w:pos="6960" w:val="left"/>
          <w:tab w:leader="none" w:pos="7300" w:val="left"/>
        </w:tabs>
        <w:rPr>
          <w:sz w:val="20"/>
          <w:szCs w:val="20"/>
          <w:color w:val="auto"/>
        </w:rPr>
      </w:pPr>
      <w:r>
        <w:rPr>
          <w:rFonts w:ascii="Arial" w:cs="Arial" w:eastAsia="Arial" w:hAnsi="Arial"/>
          <w:sz w:val="18"/>
          <w:szCs w:val="18"/>
          <w:color w:val="auto"/>
        </w:rPr>
        <w:t>Date: December 10,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Rene G. Casares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31750</wp:posOffset>
            </wp:positionV>
            <wp:extent cx="27171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17165" cy="8890"/>
                    </a:xfrm>
                    <a:prstGeom prst="rect">
                      <a:avLst/>
                    </a:prstGeom>
                    <a:noFill/>
                  </pic:spPr>
                </pic:pic>
              </a:graphicData>
            </a:graphic>
          </wp:anchor>
        </w:drawing>
      </w:r>
    </w:p>
    <w:p>
      <w:pPr>
        <w:spacing w:after="0" w:line="57" w:lineRule="exact"/>
        <w:rPr>
          <w:sz w:val="20"/>
          <w:szCs w:val="20"/>
          <w:color w:val="auto"/>
        </w:rPr>
      </w:pPr>
    </w:p>
    <w:p>
      <w:pPr>
        <w:ind w:left="6280"/>
        <w:spacing w:after="0"/>
        <w:tabs>
          <w:tab w:leader="none" w:pos="6960" w:val="left"/>
        </w:tabs>
        <w:rPr>
          <w:sz w:val="20"/>
          <w:szCs w:val="20"/>
          <w:color w:val="auto"/>
        </w:rPr>
      </w:pPr>
      <w:r>
        <w:rPr>
          <w:rFonts w:ascii="Arial" w:cs="Arial" w:eastAsia="Arial" w:hAnsi="Arial"/>
          <w:sz w:val="18"/>
          <w:szCs w:val="18"/>
          <w:color w:val="auto"/>
        </w:rPr>
        <w:t>Name:</w:t>
        <w:tab/>
        <w:t>Rene G. Casares</w:t>
      </w:r>
    </w:p>
    <w:p>
      <w:pPr>
        <w:spacing w:after="0" w:line="63" w:lineRule="exact"/>
        <w:rPr>
          <w:sz w:val="20"/>
          <w:szCs w:val="20"/>
          <w:color w:val="auto"/>
        </w:rPr>
      </w:pPr>
    </w:p>
    <w:p>
      <w:pPr>
        <w:ind w:left="6280"/>
        <w:spacing w:after="0"/>
        <w:tabs>
          <w:tab w:leader="none" w:pos="696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color w:val="auto"/>
        </w:rPr>
        <w:t>Senior Vice President, General Counsel and Secretary</w:t>
      </w:r>
    </w:p>
    <w:p>
      <w:pPr>
        <w:sectPr>
          <w:pgSz w:w="11900" w:h="16838" w:orient="portrait"/>
          <w:cols w:equalWidth="0" w:num="1">
            <w:col w:w="11240"/>
          </w:cols>
          <w:pgMar w:left="320" w:top="1417"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360045</wp:posOffset>
            </wp:positionV>
            <wp:extent cx="1971675" cy="4800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7167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Academy Sports + Outdoors Reports Record Third Quarter 2021 Results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 Raises FY 2021 Guidance</w:t>
      </w:r>
    </w:p>
    <w:p>
      <w:pPr>
        <w:spacing w:after="0" w:line="221" w:lineRule="exact"/>
        <w:rPr>
          <w:sz w:val="20"/>
          <w:szCs w:val="20"/>
          <w:color w:val="auto"/>
        </w:rPr>
      </w:pPr>
    </w:p>
    <w:p>
      <w:pPr>
        <w:jc w:val="center"/>
        <w:ind w:right="-339"/>
        <w:spacing w:after="0"/>
        <w:rPr>
          <w:sz w:val="20"/>
          <w:szCs w:val="20"/>
          <w:color w:val="auto"/>
        </w:rPr>
      </w:pPr>
      <w:r>
        <w:rPr>
          <w:rFonts w:ascii="Arial" w:cs="Arial" w:eastAsia="Arial" w:hAnsi="Arial"/>
          <w:sz w:val="18"/>
          <w:szCs w:val="18"/>
          <w:i w:val="1"/>
          <w:iCs w:val="1"/>
          <w:color w:val="auto"/>
        </w:rPr>
        <w:t>Net Sales Increased 18.1%; 39.1% Growth over Two Years</w:t>
      </w:r>
    </w:p>
    <w:p>
      <w:pPr>
        <w:spacing w:after="0" w:line="239" w:lineRule="exact"/>
        <w:rPr>
          <w:sz w:val="20"/>
          <w:szCs w:val="20"/>
          <w:color w:val="auto"/>
        </w:rPr>
      </w:pPr>
    </w:p>
    <w:p>
      <w:pPr>
        <w:jc w:val="center"/>
        <w:ind w:right="-339"/>
        <w:spacing w:after="0"/>
        <w:rPr>
          <w:sz w:val="20"/>
          <w:szCs w:val="20"/>
          <w:color w:val="auto"/>
        </w:rPr>
      </w:pPr>
      <w:r>
        <w:rPr>
          <w:rFonts w:ascii="Arial" w:cs="Arial" w:eastAsia="Arial" w:hAnsi="Arial"/>
          <w:sz w:val="18"/>
          <w:szCs w:val="18"/>
          <w:i w:val="1"/>
          <w:iCs w:val="1"/>
          <w:color w:val="auto"/>
        </w:rPr>
        <w:t>Pre-Tax Income Grew 251.6% to $205.3 million</w:t>
      </w:r>
    </w:p>
    <w:p>
      <w:pPr>
        <w:spacing w:after="0" w:line="239" w:lineRule="exact"/>
        <w:rPr>
          <w:sz w:val="20"/>
          <w:szCs w:val="20"/>
          <w:color w:val="auto"/>
        </w:rPr>
      </w:pPr>
    </w:p>
    <w:p>
      <w:pPr>
        <w:ind w:left="2140"/>
        <w:spacing w:after="0"/>
        <w:rPr>
          <w:sz w:val="20"/>
          <w:szCs w:val="20"/>
          <w:color w:val="auto"/>
        </w:rPr>
      </w:pPr>
      <w:r>
        <w:rPr>
          <w:rFonts w:ascii="Arial" w:cs="Arial" w:eastAsia="Arial" w:hAnsi="Arial"/>
          <w:sz w:val="18"/>
          <w:szCs w:val="18"/>
          <w:i w:val="1"/>
          <w:iCs w:val="1"/>
          <w:color w:val="auto"/>
        </w:rPr>
        <w:t>Company Raises Full Year Diluted GAAP EPS Range to $6.75 to $6.85 from $5.45 to $5.80</w:t>
      </w:r>
    </w:p>
    <w:p>
      <w:pPr>
        <w:spacing w:after="0" w:line="23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KATY, TEXAS (Globe Newswire — Dec. 10, 2021) </w:t>
      </w:r>
      <w:r>
        <w:rPr>
          <w:rFonts w:ascii="Arial" w:cs="Arial" w:eastAsia="Arial" w:hAnsi="Arial"/>
          <w:sz w:val="18"/>
          <w:szCs w:val="18"/>
          <w:color w:val="auto"/>
        </w:rPr>
        <w:t>– Academy Sports and Outdoors, Inc. (Nasdaq: ASO) ("Academy" or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today announced its financial results for the third quarter ended October 30, 2021. Unless otherwise indicated, comparisons are to the same period in the prior fiscal year.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Third Quarter 2021 Results</w:t>
      </w:r>
    </w:p>
    <w:p>
      <w:pPr>
        <w:spacing w:after="0" w:line="18"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For the third quarter, net sales increased 18.1% to a third quarter record of $1.59 billion. When compared to the third quarter of 2019, sales increased 39.1%. Comparable sales were 17.9% on top of 16.5% last year, making it the 9th consecutive quarter of positive comparable sales. The Company continued to benefit from the strategic initiatives implemented to improve merchandise planning and allocation, operations, customer service and supply chain. As a result of these actions and the continued strong consumer demand for sports and outdoors products, all four product divisions saw significant growth. E-commerce sales grew 25.9% compared to the prior year quarter and 146.6% compared to the third quarter of 2019.</w:t>
      </w:r>
    </w:p>
    <w:p>
      <w:pPr>
        <w:spacing w:after="0" w:line="231" w:lineRule="exact"/>
        <w:rPr>
          <w:sz w:val="20"/>
          <w:szCs w:val="20"/>
          <w:color w:val="auto"/>
        </w:rPr>
      </w:pPr>
    </w:p>
    <w:p>
      <w:pPr>
        <w:jc w:val="both"/>
        <w:spacing w:after="0"/>
        <w:rPr>
          <w:sz w:val="20"/>
          <w:szCs w:val="20"/>
          <w:color w:val="auto"/>
        </w:rPr>
      </w:pPr>
      <w:r>
        <w:rPr>
          <w:rFonts w:ascii="Arial" w:cs="Arial" w:eastAsia="Arial" w:hAnsi="Arial"/>
          <w:sz w:val="18"/>
          <w:szCs w:val="18"/>
          <w:color w:val="auto"/>
        </w:rPr>
        <w:t>Gross margin increased 27.3% to $560.8 million. The gross margin rate improved by 250 basis points to 35.2%. This growth was primarily driven by higher merchandise margins resulting from effective pricing and promotions management, a favorable product mix shift and fewer clearance sales.</w:t>
      </w:r>
    </w:p>
    <w:p>
      <w:pPr>
        <w:spacing w:after="0" w:line="230" w:lineRule="exact"/>
        <w:rPr>
          <w:sz w:val="20"/>
          <w:szCs w:val="20"/>
          <w:color w:val="auto"/>
        </w:rPr>
      </w:pPr>
    </w:p>
    <w:p>
      <w:pPr>
        <w:jc w:val="both"/>
        <w:spacing w:after="0"/>
        <w:rPr>
          <w:sz w:val="20"/>
          <w:szCs w:val="20"/>
          <w:color w:val="auto"/>
        </w:rPr>
      </w:pPr>
      <w:r>
        <w:rPr>
          <w:rFonts w:ascii="Arial" w:cs="Arial" w:eastAsia="Arial" w:hAnsi="Arial"/>
          <w:sz w:val="18"/>
          <w:szCs w:val="18"/>
          <w:color w:val="auto"/>
        </w:rPr>
        <w:t>Selling, general and administrative ("SG&amp;A") expenses were 21.6% of sales, a 500 basis point decrease. Compared to the third quarter of 2020 adjusted SG&amp;A, which excludes certain initial public offering costs, SG&amp;A leveraged 230 basis points, primarily attributable to workforce management, marketing cost efficiencies and leveraging expenses from the growth of comparable sales.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Pre-tax income increased 251.6% to $205.3 million compared to $58.4 million.</w:t>
      </w:r>
    </w:p>
    <w:p>
      <w:pPr>
        <w:spacing w:after="0" w:line="2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GAAP net income was $ 161.3 million compared to $59.6 million. Diluted earnings per share increased 132.4% to $1.72 compared to $0.74 per share last year. Pro forma adjusted net income, which excludes the impact of certain non-cash and extraordinary items, increased 122.6% to $164.1 million. Pro forma diluted earnings per share increased 92.3% to $1.75 compared to $0.91 per share.</w:t>
      </w:r>
    </w:p>
    <w:p>
      <w:pPr>
        <w:spacing w:after="0" w:line="205" w:lineRule="exact"/>
        <w:rPr>
          <w:sz w:val="20"/>
          <w:szCs w:val="20"/>
          <w:color w:val="auto"/>
        </w:rPr>
      </w:pPr>
    </w:p>
    <w:p>
      <w:pPr>
        <w:jc w:val="both"/>
        <w:spacing w:after="0" w:line="215" w:lineRule="auto"/>
        <w:rPr>
          <w:sz w:val="20"/>
          <w:szCs w:val="20"/>
          <w:color w:val="auto"/>
        </w:rPr>
      </w:pPr>
      <w:r>
        <w:rPr>
          <w:rFonts w:ascii="Arial" w:cs="Arial" w:eastAsia="Arial" w:hAnsi="Arial"/>
          <w:sz w:val="18"/>
          <w:szCs w:val="18"/>
          <w:color w:val="auto"/>
        </w:rPr>
        <w:t>"The Academy Sports + Outdoors team did a great job again delivering our 9</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consecutive quarterly sales and profit increase," said Ken Hicks, Chairman, President and Chief Executive Officer. "We are confident that our strong assortment and value offering, coupled with our great store service, enhanced omnichannel capabilities, and resilient supply chain will enable Academy to continue to achieve excellent results through this holiday season and beyond."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Year-to-Date 2021 Results</w:t>
      </w:r>
    </w:p>
    <w:p>
      <w:pPr>
        <w:spacing w:after="0" w:line="3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Year-to-date, net sales increased 21.3% to $4.96 billion, while comparable sales increased 21.2%. Year-to-date sales grew 43.5% compared to 2019. E-commerce sales declined 1.5% versus 2020 and increased 203.9% compared to 2019.</w:t>
      </w:r>
    </w:p>
    <w:p>
      <w:pPr>
        <w:spacing w:after="0" w:line="22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Gross margin increased 43.1% to $1.77 billion. The gross margin rate improved by 540 basis points to 35.6%. This growth was primarily driven by higher merchandise margins resulting from effective pricing and promotions management, strong inventory productivity, greater product localization, fewer clearance sales and a favorable product mix shift.</w:t>
      </w:r>
    </w:p>
    <w:p>
      <w:pPr>
        <w:spacing w:after="0" w:line="22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growth in gross profit and 210 basis points of expense leverage, resulted in a 208.5% increase in pre-tax income to $671.1 million compared to $217.6 million.</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GAAP net income increased 143.8% to $529.6 million compared to $217.2 million. Diluted earnings per share were $5.55 compared to $2.82 per share in the prior year to date. Pro forma adjusted net income, which excludes the impact of certain non-cash and extraordinary items, increased 173.8% to $571.2 million. Pro forma diluted earnings per share were $5.98 compared to $2.70 per share in the prior year to date.</w:t>
      </w:r>
    </w:p>
    <w:p>
      <w:pPr>
        <w:sectPr>
          <w:pgSz w:w="11900" w:h="16838" w:orient="portrait"/>
          <w:cols w:equalWidth="0" w:num="1">
            <w:col w:w="11240"/>
          </w:cols>
          <w:pgMar w:left="320" w:top="1093" w:right="339" w:bottom="1078" w:gutter="0" w:footer="0" w:header="0"/>
        </w:sect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40"/>
          </w:cols>
          <w:pgMar w:left="320" w:top="1093" w:right="339" w:bottom="1078"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Balance Sheet Update</w:t>
      </w:r>
    </w:p>
    <w:p>
      <w:pPr>
        <w:spacing w:after="0" w:line="18"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 of the end of the third quarter, the Company’s cash and cash equivalents totaled $401.3 million and the credit facility had no outstanding balance. Adjusted free cash flow was $84.4 million. Merchandise inventories were $1.3 billion, an increase of 22.4% compared to the prior year quarter and 18.9% higher than the second quarter of 2021.</w:t>
      </w:r>
    </w:p>
    <w:p>
      <w:pPr>
        <w:spacing w:after="0" w:line="23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previously reported, on September 14, 2021, Academy's largest shareholder ("KKR") sold its remaining ownership of the Company. As part of this event, Academy purchased 4.5 million shares for approximately $200 million. Additionally, during the quarter, the Company made open market purchases of 1.2 million shares for $50 million. Year-to-date, the Company has repurchased and retired 8.9 million shares of its common stock for approximately $350 million. As of October 31, 2021, the Company had approximately $254 million remaining under its share repurchase program.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2021 Outlook</w:t>
      </w:r>
    </w:p>
    <w:p>
      <w:pPr>
        <w:spacing w:after="0" w:line="4"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Michael Mullican, Executive Vice President and Chief Financial Officer said, “</w:t>
      </w:r>
      <w:r>
        <w:rPr>
          <w:rFonts w:ascii="Arial" w:cs="Arial" w:eastAsia="Arial" w:hAnsi="Arial"/>
          <w:sz w:val="18"/>
          <w:szCs w:val="18"/>
          <w:color w:val="313131"/>
        </w:rPr>
        <w:t>The ongoing successful execution of our strategic priorities has</w:t>
      </w:r>
      <w:r>
        <w:rPr>
          <w:rFonts w:ascii="Arial" w:cs="Arial" w:eastAsia="Arial" w:hAnsi="Arial"/>
          <w:sz w:val="18"/>
          <w:szCs w:val="18"/>
          <w:color w:val="auto"/>
        </w:rPr>
        <w:t xml:space="preserve"> </w:t>
      </w:r>
      <w:r>
        <w:rPr>
          <w:rFonts w:ascii="Arial" w:cs="Arial" w:eastAsia="Arial" w:hAnsi="Arial"/>
          <w:sz w:val="18"/>
          <w:szCs w:val="18"/>
          <w:color w:val="313131"/>
        </w:rPr>
        <w:t xml:space="preserve">allowed us to achieve yet another period of record-setting sales and profitability. </w:t>
      </w:r>
      <w:r>
        <w:rPr>
          <w:rFonts w:ascii="Arial" w:cs="Arial" w:eastAsia="Arial" w:hAnsi="Arial"/>
          <w:sz w:val="18"/>
          <w:szCs w:val="18"/>
          <w:color w:val="000000"/>
        </w:rPr>
        <w:t>In addition,</w:t>
      </w:r>
      <w:r>
        <w:rPr>
          <w:rFonts w:ascii="Arial" w:cs="Arial" w:eastAsia="Arial" w:hAnsi="Arial"/>
          <w:sz w:val="18"/>
          <w:szCs w:val="18"/>
          <w:color w:val="313131"/>
        </w:rPr>
        <w:t xml:space="preserve"> the strength of the entire Academy team was apparent as we were able to grow our inventory position in a challenging environment</w:t>
      </w:r>
      <w:r>
        <w:rPr>
          <w:rFonts w:ascii="Arial" w:cs="Arial" w:eastAsia="Arial" w:hAnsi="Arial"/>
          <w:sz w:val="18"/>
          <w:szCs w:val="18"/>
          <w:color w:val="000000"/>
        </w:rPr>
        <w:t>.</w:t>
      </w:r>
      <w:r>
        <w:rPr>
          <w:rFonts w:ascii="Arial" w:cs="Arial" w:eastAsia="Arial" w:hAnsi="Arial"/>
          <w:sz w:val="18"/>
          <w:szCs w:val="18"/>
          <w:color w:val="313131"/>
        </w:rPr>
        <w:t xml:space="preserve"> As our initiatives continue to mature, we believe the best days at Academy are still to come. In light of these exceptional results and expectations, we are raising our annual guidance."</w:t>
      </w:r>
    </w:p>
    <w:p>
      <w:pPr>
        <w:spacing w:after="0" w:line="22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Company is raising its fiscal 2021 guidance based on the strong third quarter performance, dynamic consumer trends and current visibility. The new guidance is as follows:</w:t>
      </w:r>
    </w:p>
    <w:p>
      <w:pPr>
        <w:spacing w:after="0" w:line="232" w:lineRule="exact"/>
        <w:rPr>
          <w:sz w:val="20"/>
          <w:szCs w:val="20"/>
          <w:color w:val="auto"/>
        </w:rPr>
      </w:pPr>
    </w:p>
    <w:tbl>
      <w:tblPr>
        <w:tblLayout w:type="fixed"/>
        <w:tblInd w:w="10" w:type="dxa"/>
        <w:tblCellMar>
          <w:top w:w="0" w:type="dxa"/>
          <w:left w:w="0" w:type="dxa"/>
          <w:bottom w:w="0" w:type="dxa"/>
          <w:right w:w="0" w:type="dxa"/>
        </w:tblCellMar>
      </w:tblPr>
      <w:tr>
        <w:trPr>
          <w:trHeight w:val="254"/>
        </w:trPr>
        <w:tc>
          <w:tcPr>
            <w:tcW w:w="3800" w:type="dxa"/>
            <w:vAlign w:val="bottom"/>
            <w:tcBorders>
              <w:top w:val="single" w:sz="8" w:color="auto"/>
              <w:left w:val="single" w:sz="8" w:color="auto"/>
              <w:right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136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2240" w:type="dxa"/>
            <w:vAlign w:val="bottom"/>
            <w:tcBorders>
              <w:top w:val="single" w:sz="8" w:color="auto"/>
              <w:right w:val="single" w:sz="8" w:color="auto"/>
            </w:tcBorders>
            <w:gridSpan w:val="2"/>
          </w:tcPr>
          <w:p>
            <w:pPr>
              <w:ind w:left="440"/>
              <w:spacing w:after="0"/>
              <w:rPr>
                <w:sz w:val="20"/>
                <w:szCs w:val="20"/>
                <w:color w:val="auto"/>
              </w:rPr>
            </w:pPr>
            <w:r>
              <w:rPr>
                <w:rFonts w:ascii="Arial" w:cs="Arial" w:eastAsia="Arial" w:hAnsi="Arial"/>
                <w:sz w:val="13"/>
                <w:szCs w:val="13"/>
                <w:color w:val="auto"/>
              </w:rPr>
              <w:t>% change(at mid-point)</w:t>
            </w:r>
          </w:p>
        </w:tc>
      </w:tr>
      <w:tr>
        <w:trPr>
          <w:trHeight w:val="227"/>
        </w:trPr>
        <w:tc>
          <w:tcPr>
            <w:tcW w:w="3800" w:type="dxa"/>
            <w:vAlign w:val="bottom"/>
            <w:tcBorders>
              <w:left w:val="single" w:sz="8" w:color="auto"/>
              <w:right w:val="single" w:sz="8" w:color="auto"/>
            </w:tcBorders>
          </w:tcPr>
          <w:p>
            <w:pPr>
              <w:spacing w:after="0"/>
              <w:rPr>
                <w:sz w:val="19"/>
                <w:szCs w:val="19"/>
                <w:color w:val="auto"/>
              </w:rPr>
            </w:pPr>
          </w:p>
        </w:tc>
        <w:tc>
          <w:tcPr>
            <w:tcW w:w="2460" w:type="dxa"/>
            <w:vAlign w:val="bottom"/>
            <w:gridSpan w:val="2"/>
          </w:tcPr>
          <w:p>
            <w:pPr>
              <w:jc w:val="center"/>
              <w:spacing w:after="0"/>
              <w:rPr>
                <w:sz w:val="20"/>
                <w:szCs w:val="20"/>
                <w:color w:val="auto"/>
              </w:rPr>
            </w:pPr>
            <w:r>
              <w:rPr>
                <w:rFonts w:ascii="Arial" w:cs="Arial" w:eastAsia="Arial" w:hAnsi="Arial"/>
                <w:sz w:val="16"/>
                <w:szCs w:val="16"/>
                <w:b w:val="1"/>
                <w:bCs w:val="1"/>
                <w:color w:val="auto"/>
              </w:rPr>
              <w:t>Updated Fiscal 2021(e)</w:t>
            </w:r>
          </w:p>
        </w:tc>
        <w:tc>
          <w:tcPr>
            <w:tcW w:w="1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60" w:type="dxa"/>
            <w:vAlign w:val="bottom"/>
            <w:tcBorders>
              <w:right w:val="single" w:sz="8" w:color="auto"/>
            </w:tcBorders>
          </w:tcPr>
          <w:p>
            <w:pPr>
              <w:spacing w:after="0"/>
              <w:rPr>
                <w:sz w:val="19"/>
                <w:szCs w:val="19"/>
                <w:color w:val="auto"/>
              </w:rPr>
            </w:pPr>
          </w:p>
        </w:tc>
      </w:tr>
      <w:tr>
        <w:trPr>
          <w:trHeight w:val="228"/>
        </w:trPr>
        <w:tc>
          <w:tcPr>
            <w:tcW w:w="3800" w:type="dxa"/>
            <w:vAlign w:val="bottom"/>
            <w:tcBorders>
              <w:left w:val="single" w:sz="8" w:color="auto"/>
              <w:right w:val="single" w:sz="8" w:color="auto"/>
            </w:tcBorders>
          </w:tcPr>
          <w:p>
            <w:pPr>
              <w:spacing w:after="0"/>
              <w:rPr>
                <w:sz w:val="19"/>
                <w:szCs w:val="19"/>
                <w:color w:val="auto"/>
              </w:rPr>
            </w:pPr>
          </w:p>
        </w:tc>
        <w:tc>
          <w:tcPr>
            <w:tcW w:w="24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Guidance</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2020</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2019</w:t>
            </w:r>
          </w:p>
        </w:tc>
        <w:tc>
          <w:tcPr>
            <w:tcW w:w="108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vs. 2020</w:t>
            </w:r>
          </w:p>
        </w:tc>
        <w:tc>
          <w:tcPr>
            <w:tcW w:w="116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6"/>
                <w:szCs w:val="16"/>
                <w:b w:val="1"/>
                <w:bCs w:val="1"/>
                <w:color w:val="auto"/>
              </w:rPr>
              <w:t>vs. 2019</w:t>
            </w:r>
          </w:p>
        </w:tc>
      </w:tr>
      <w:tr>
        <w:trPr>
          <w:trHeight w:val="236"/>
        </w:trPr>
        <w:tc>
          <w:tcPr>
            <w:tcW w:w="38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b w:val="1"/>
                <w:bCs w:val="1"/>
                <w:color w:val="auto"/>
              </w:rPr>
              <w:t>(in millions, except per share amounts)</w:t>
            </w:r>
          </w:p>
        </w:tc>
        <w:tc>
          <w:tcPr>
            <w:tcW w:w="120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6"/>
                <w:szCs w:val="16"/>
                <w:b w:val="1"/>
                <w:bCs w:val="1"/>
                <w:color w:val="auto"/>
              </w:rPr>
              <w:t>Low end</w:t>
            </w:r>
          </w:p>
        </w:tc>
        <w:tc>
          <w:tcPr>
            <w:tcW w:w="126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6"/>
                <w:szCs w:val="16"/>
                <w:b w:val="1"/>
                <w:bCs w:val="1"/>
                <w:color w:val="auto"/>
              </w:rPr>
              <w:t>High end</w:t>
            </w:r>
          </w:p>
        </w:tc>
        <w:tc>
          <w:tcPr>
            <w:tcW w:w="136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r>
      <w:tr>
        <w:trPr>
          <w:trHeight w:val="233"/>
        </w:trPr>
        <w:tc>
          <w:tcPr>
            <w:tcW w:w="38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Net Sales</w:t>
            </w:r>
          </w:p>
        </w:tc>
        <w:tc>
          <w:tcPr>
            <w:tcW w:w="1200" w:type="dxa"/>
            <w:vAlign w:val="bottom"/>
          </w:tcPr>
          <w:p>
            <w:pPr>
              <w:jc w:val="center"/>
              <w:spacing w:after="0"/>
              <w:rPr>
                <w:sz w:val="20"/>
                <w:szCs w:val="20"/>
                <w:color w:val="auto"/>
              </w:rPr>
            </w:pPr>
            <w:r>
              <w:rPr>
                <w:rFonts w:ascii="Arial" w:cs="Arial" w:eastAsia="Arial" w:hAnsi="Arial"/>
                <w:sz w:val="16"/>
                <w:szCs w:val="16"/>
                <w:color w:val="auto"/>
                <w:w w:val="98"/>
              </w:rPr>
              <w:t>$6,675</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$6,740</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$5,689</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$4,830</w:t>
            </w:r>
          </w:p>
        </w:tc>
        <w:tc>
          <w:tcPr>
            <w:tcW w:w="1080" w:type="dxa"/>
            <w:vAlign w:val="bottom"/>
          </w:tcPr>
          <w:p>
            <w:pPr>
              <w:jc w:val="center"/>
              <w:spacing w:after="0"/>
              <w:rPr>
                <w:sz w:val="20"/>
                <w:szCs w:val="20"/>
                <w:color w:val="auto"/>
              </w:rPr>
            </w:pPr>
            <w:r>
              <w:rPr>
                <w:rFonts w:ascii="Arial" w:cs="Arial" w:eastAsia="Arial" w:hAnsi="Arial"/>
                <w:sz w:val="16"/>
                <w:szCs w:val="16"/>
                <w:color w:val="auto"/>
              </w:rPr>
              <w:t>18%</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39%</w:t>
            </w:r>
          </w:p>
        </w:tc>
      </w:tr>
      <w:tr>
        <w:trPr>
          <w:trHeight w:val="158"/>
        </w:trPr>
        <w:tc>
          <w:tcPr>
            <w:tcW w:w="3800" w:type="dxa"/>
            <w:vAlign w:val="bottom"/>
            <w:tcBorders>
              <w:left w:val="single" w:sz="8" w:color="auto"/>
              <w:right w:val="single" w:sz="8" w:color="auto"/>
            </w:tcBorders>
            <w:shd w:val="clear" w:color="auto" w:fill="DBDBDB"/>
          </w:tcPr>
          <w:p>
            <w:pPr>
              <w:spacing w:after="0"/>
              <w:rPr>
                <w:sz w:val="13"/>
                <w:szCs w:val="13"/>
                <w:color w:val="auto"/>
              </w:rPr>
            </w:pPr>
          </w:p>
        </w:tc>
        <w:tc>
          <w:tcPr>
            <w:tcW w:w="1200" w:type="dxa"/>
            <w:vAlign w:val="bottom"/>
            <w:tcBorders>
              <w:right w:val="single" w:sz="8" w:color="DBDBDB"/>
            </w:tcBorders>
            <w:shd w:val="clear" w:color="auto" w:fill="DBDBDB"/>
          </w:tcPr>
          <w:p>
            <w:pPr>
              <w:spacing w:after="0"/>
              <w:rPr>
                <w:sz w:val="13"/>
                <w:szCs w:val="13"/>
                <w:color w:val="auto"/>
              </w:rPr>
            </w:pPr>
          </w:p>
        </w:tc>
        <w:tc>
          <w:tcPr>
            <w:tcW w:w="1260" w:type="dxa"/>
            <w:vAlign w:val="bottom"/>
            <w:tcBorders>
              <w:right w:val="single" w:sz="8" w:color="auto"/>
            </w:tcBorders>
            <w:shd w:val="clear" w:color="auto" w:fill="DBDBDB"/>
          </w:tcPr>
          <w:p>
            <w:pPr>
              <w:spacing w:after="0"/>
              <w:rPr>
                <w:sz w:val="13"/>
                <w:szCs w:val="13"/>
                <w:color w:val="auto"/>
              </w:rPr>
            </w:pPr>
          </w:p>
        </w:tc>
        <w:tc>
          <w:tcPr>
            <w:tcW w:w="1360" w:type="dxa"/>
            <w:vAlign w:val="bottom"/>
            <w:tcBorders>
              <w:right w:val="single" w:sz="8" w:color="auto"/>
            </w:tcBorders>
            <w:shd w:val="clear" w:color="auto" w:fill="DBDBDB"/>
          </w:tcPr>
          <w:p>
            <w:pPr>
              <w:spacing w:after="0"/>
              <w:rPr>
                <w:sz w:val="13"/>
                <w:szCs w:val="13"/>
                <w:color w:val="auto"/>
              </w:rPr>
            </w:pPr>
          </w:p>
        </w:tc>
        <w:tc>
          <w:tcPr>
            <w:tcW w:w="1260" w:type="dxa"/>
            <w:vAlign w:val="bottom"/>
            <w:tcBorders>
              <w:right w:val="single" w:sz="8" w:color="auto"/>
            </w:tcBorders>
            <w:shd w:val="clear" w:color="auto" w:fill="DBDBDB"/>
          </w:tcPr>
          <w:p>
            <w:pPr>
              <w:spacing w:after="0"/>
              <w:rPr>
                <w:sz w:val="13"/>
                <w:szCs w:val="13"/>
                <w:color w:val="auto"/>
              </w:rPr>
            </w:pPr>
          </w:p>
        </w:tc>
        <w:tc>
          <w:tcPr>
            <w:tcW w:w="1080" w:type="dxa"/>
            <w:vAlign w:val="bottom"/>
            <w:shd w:val="clear" w:color="auto" w:fill="DBDBDB"/>
          </w:tcPr>
          <w:p>
            <w:pPr>
              <w:spacing w:after="0"/>
              <w:rPr>
                <w:sz w:val="13"/>
                <w:szCs w:val="13"/>
                <w:color w:val="auto"/>
              </w:rPr>
            </w:pPr>
          </w:p>
        </w:tc>
        <w:tc>
          <w:tcPr>
            <w:tcW w:w="1160" w:type="dxa"/>
            <w:vAlign w:val="bottom"/>
            <w:tcBorders>
              <w:right w:val="single" w:sz="8" w:color="auto"/>
            </w:tcBorders>
            <w:shd w:val="clear" w:color="auto" w:fill="DBDBDB"/>
          </w:tcPr>
          <w:p>
            <w:pPr>
              <w:spacing w:after="0"/>
              <w:rPr>
                <w:sz w:val="13"/>
                <w:szCs w:val="13"/>
                <w:color w:val="auto"/>
              </w:rPr>
            </w:pPr>
          </w:p>
        </w:tc>
      </w:tr>
      <w:tr>
        <w:trPr>
          <w:trHeight w:val="233"/>
        </w:trPr>
        <w:tc>
          <w:tcPr>
            <w:tcW w:w="38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Comparable sales</w:t>
            </w:r>
          </w:p>
        </w:tc>
        <w:tc>
          <w:tcPr>
            <w:tcW w:w="1200" w:type="dxa"/>
            <w:vAlign w:val="bottom"/>
          </w:tcPr>
          <w:p>
            <w:pPr>
              <w:jc w:val="center"/>
              <w:spacing w:after="0"/>
              <w:rPr>
                <w:sz w:val="20"/>
                <w:szCs w:val="20"/>
                <w:color w:val="auto"/>
              </w:rPr>
            </w:pPr>
            <w:r>
              <w:rPr>
                <w:rFonts w:ascii="Arial" w:cs="Arial" w:eastAsia="Arial" w:hAnsi="Arial"/>
                <w:sz w:val="16"/>
                <w:szCs w:val="16"/>
                <w:color w:val="auto"/>
              </w:rPr>
              <w:t>17.0%</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18.0%</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16.1%</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(0.7)%</w:t>
            </w:r>
          </w:p>
        </w:tc>
        <w:tc>
          <w:tcPr>
            <w:tcW w:w="1080" w:type="dxa"/>
            <w:vAlign w:val="bottom"/>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r>
      <w:tr>
        <w:trPr>
          <w:trHeight w:val="253"/>
        </w:trPr>
        <w:tc>
          <w:tcPr>
            <w:tcW w:w="3800" w:type="dxa"/>
            <w:vAlign w:val="bottom"/>
            <w:tcBorders>
              <w:left w:val="single" w:sz="8" w:color="auto"/>
              <w:right w:val="single" w:sz="8" w:color="auto"/>
            </w:tcBorders>
            <w:shd w:val="clear" w:color="auto" w:fill="DBDBDB"/>
          </w:tcPr>
          <w:p>
            <w:pPr>
              <w:spacing w:after="0"/>
              <w:rPr>
                <w:sz w:val="21"/>
                <w:szCs w:val="21"/>
                <w:color w:val="auto"/>
              </w:rPr>
            </w:pPr>
          </w:p>
        </w:tc>
        <w:tc>
          <w:tcPr>
            <w:tcW w:w="1200" w:type="dxa"/>
            <w:vAlign w:val="bottom"/>
            <w:tcBorders>
              <w:right w:val="single" w:sz="8" w:color="DBDBDB"/>
            </w:tcBorders>
            <w:shd w:val="clear" w:color="auto" w:fill="DBDBDB"/>
          </w:tcPr>
          <w:p>
            <w:pPr>
              <w:spacing w:after="0"/>
              <w:rPr>
                <w:sz w:val="21"/>
                <w:szCs w:val="21"/>
                <w:color w:val="auto"/>
              </w:rPr>
            </w:pPr>
          </w:p>
        </w:tc>
        <w:tc>
          <w:tcPr>
            <w:tcW w:w="1260" w:type="dxa"/>
            <w:vAlign w:val="bottom"/>
            <w:tcBorders>
              <w:right w:val="single" w:sz="8" w:color="auto"/>
            </w:tcBorders>
            <w:shd w:val="clear" w:color="auto" w:fill="DBDBDB"/>
          </w:tcPr>
          <w:p>
            <w:pPr>
              <w:spacing w:after="0"/>
              <w:rPr>
                <w:sz w:val="21"/>
                <w:szCs w:val="21"/>
                <w:color w:val="auto"/>
              </w:rPr>
            </w:pPr>
          </w:p>
        </w:tc>
        <w:tc>
          <w:tcPr>
            <w:tcW w:w="1360" w:type="dxa"/>
            <w:vAlign w:val="bottom"/>
            <w:tcBorders>
              <w:right w:val="single" w:sz="8" w:color="auto"/>
            </w:tcBorders>
            <w:shd w:val="clear" w:color="auto" w:fill="DBDBDB"/>
          </w:tcPr>
          <w:p>
            <w:pPr>
              <w:spacing w:after="0"/>
              <w:rPr>
                <w:sz w:val="21"/>
                <w:szCs w:val="21"/>
                <w:color w:val="auto"/>
              </w:rPr>
            </w:pPr>
          </w:p>
        </w:tc>
        <w:tc>
          <w:tcPr>
            <w:tcW w:w="1260" w:type="dxa"/>
            <w:vAlign w:val="bottom"/>
            <w:tcBorders>
              <w:right w:val="single" w:sz="8" w:color="auto"/>
            </w:tcBorders>
            <w:shd w:val="clear" w:color="auto" w:fill="DBDBDB"/>
          </w:tcPr>
          <w:p>
            <w:pPr>
              <w:spacing w:after="0"/>
              <w:rPr>
                <w:sz w:val="21"/>
                <w:szCs w:val="21"/>
                <w:color w:val="auto"/>
              </w:rPr>
            </w:pPr>
          </w:p>
        </w:tc>
        <w:tc>
          <w:tcPr>
            <w:tcW w:w="1080" w:type="dxa"/>
            <w:vAlign w:val="bottom"/>
            <w:shd w:val="clear" w:color="auto" w:fill="DBDBDB"/>
          </w:tcPr>
          <w:p>
            <w:pPr>
              <w:spacing w:after="0"/>
              <w:rPr>
                <w:sz w:val="21"/>
                <w:szCs w:val="21"/>
                <w:color w:val="auto"/>
              </w:rPr>
            </w:pPr>
          </w:p>
        </w:tc>
        <w:tc>
          <w:tcPr>
            <w:tcW w:w="1160" w:type="dxa"/>
            <w:vAlign w:val="bottom"/>
            <w:tcBorders>
              <w:right w:val="single" w:sz="8" w:color="auto"/>
            </w:tcBorders>
            <w:shd w:val="clear" w:color="auto" w:fill="DBDBDB"/>
          </w:tcPr>
          <w:p>
            <w:pPr>
              <w:spacing w:after="0"/>
              <w:rPr>
                <w:sz w:val="21"/>
                <w:szCs w:val="21"/>
                <w:color w:val="auto"/>
              </w:rPr>
            </w:pPr>
          </w:p>
        </w:tc>
      </w:tr>
      <w:tr>
        <w:trPr>
          <w:trHeight w:val="233"/>
        </w:trPr>
        <w:tc>
          <w:tcPr>
            <w:tcW w:w="38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Income before taxes</w:t>
            </w:r>
          </w:p>
        </w:tc>
        <w:tc>
          <w:tcPr>
            <w:tcW w:w="1200" w:type="dxa"/>
            <w:vAlign w:val="bottom"/>
          </w:tcPr>
          <w:p>
            <w:pPr>
              <w:jc w:val="center"/>
              <w:spacing w:after="0"/>
              <w:rPr>
                <w:sz w:val="20"/>
                <w:szCs w:val="20"/>
                <w:color w:val="auto"/>
              </w:rPr>
            </w:pPr>
            <w:r>
              <w:rPr>
                <w:rFonts w:ascii="Arial" w:cs="Arial" w:eastAsia="Arial" w:hAnsi="Arial"/>
                <w:sz w:val="16"/>
                <w:szCs w:val="16"/>
                <w:color w:val="auto"/>
              </w:rPr>
              <w:t>$814</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$827</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$339</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$123</w:t>
            </w:r>
          </w:p>
        </w:tc>
        <w:tc>
          <w:tcPr>
            <w:tcW w:w="1080" w:type="dxa"/>
            <w:vAlign w:val="bottom"/>
          </w:tcPr>
          <w:p>
            <w:pPr>
              <w:jc w:val="center"/>
              <w:spacing w:after="0"/>
              <w:rPr>
                <w:sz w:val="20"/>
                <w:szCs w:val="20"/>
                <w:color w:val="auto"/>
              </w:rPr>
            </w:pPr>
            <w:r>
              <w:rPr>
                <w:rFonts w:ascii="Arial" w:cs="Arial" w:eastAsia="Arial" w:hAnsi="Arial"/>
                <w:sz w:val="16"/>
                <w:szCs w:val="16"/>
                <w:color w:val="auto"/>
              </w:rPr>
              <w:t>142%</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567%</w:t>
            </w:r>
          </w:p>
        </w:tc>
      </w:tr>
      <w:tr>
        <w:trPr>
          <w:trHeight w:val="158"/>
        </w:trPr>
        <w:tc>
          <w:tcPr>
            <w:tcW w:w="3800" w:type="dxa"/>
            <w:vAlign w:val="bottom"/>
            <w:tcBorders>
              <w:left w:val="single" w:sz="8" w:color="auto"/>
              <w:right w:val="single" w:sz="8" w:color="auto"/>
            </w:tcBorders>
            <w:shd w:val="clear" w:color="auto" w:fill="DBDBDB"/>
          </w:tcPr>
          <w:p>
            <w:pPr>
              <w:spacing w:after="0"/>
              <w:rPr>
                <w:sz w:val="13"/>
                <w:szCs w:val="13"/>
                <w:color w:val="auto"/>
              </w:rPr>
            </w:pPr>
          </w:p>
        </w:tc>
        <w:tc>
          <w:tcPr>
            <w:tcW w:w="1200" w:type="dxa"/>
            <w:vAlign w:val="bottom"/>
            <w:tcBorders>
              <w:right w:val="single" w:sz="8" w:color="DBDBDB"/>
            </w:tcBorders>
            <w:shd w:val="clear" w:color="auto" w:fill="DBDBDB"/>
          </w:tcPr>
          <w:p>
            <w:pPr>
              <w:spacing w:after="0"/>
              <w:rPr>
                <w:sz w:val="13"/>
                <w:szCs w:val="13"/>
                <w:color w:val="auto"/>
              </w:rPr>
            </w:pPr>
          </w:p>
        </w:tc>
        <w:tc>
          <w:tcPr>
            <w:tcW w:w="1260" w:type="dxa"/>
            <w:vAlign w:val="bottom"/>
            <w:tcBorders>
              <w:right w:val="single" w:sz="8" w:color="auto"/>
            </w:tcBorders>
            <w:shd w:val="clear" w:color="auto" w:fill="DBDBDB"/>
          </w:tcPr>
          <w:p>
            <w:pPr>
              <w:spacing w:after="0"/>
              <w:rPr>
                <w:sz w:val="13"/>
                <w:szCs w:val="13"/>
                <w:color w:val="auto"/>
              </w:rPr>
            </w:pPr>
          </w:p>
        </w:tc>
        <w:tc>
          <w:tcPr>
            <w:tcW w:w="1360" w:type="dxa"/>
            <w:vAlign w:val="bottom"/>
            <w:tcBorders>
              <w:right w:val="single" w:sz="8" w:color="auto"/>
            </w:tcBorders>
            <w:shd w:val="clear" w:color="auto" w:fill="DBDBDB"/>
          </w:tcPr>
          <w:p>
            <w:pPr>
              <w:spacing w:after="0"/>
              <w:rPr>
                <w:sz w:val="13"/>
                <w:szCs w:val="13"/>
                <w:color w:val="auto"/>
              </w:rPr>
            </w:pPr>
          </w:p>
        </w:tc>
        <w:tc>
          <w:tcPr>
            <w:tcW w:w="1260" w:type="dxa"/>
            <w:vAlign w:val="bottom"/>
            <w:tcBorders>
              <w:right w:val="single" w:sz="8" w:color="auto"/>
            </w:tcBorders>
            <w:shd w:val="clear" w:color="auto" w:fill="DBDBDB"/>
          </w:tcPr>
          <w:p>
            <w:pPr>
              <w:spacing w:after="0"/>
              <w:rPr>
                <w:sz w:val="13"/>
                <w:szCs w:val="13"/>
                <w:color w:val="auto"/>
              </w:rPr>
            </w:pPr>
          </w:p>
        </w:tc>
        <w:tc>
          <w:tcPr>
            <w:tcW w:w="1080" w:type="dxa"/>
            <w:vAlign w:val="bottom"/>
            <w:shd w:val="clear" w:color="auto" w:fill="DBDBDB"/>
          </w:tcPr>
          <w:p>
            <w:pPr>
              <w:spacing w:after="0"/>
              <w:rPr>
                <w:sz w:val="13"/>
                <w:szCs w:val="13"/>
                <w:color w:val="auto"/>
              </w:rPr>
            </w:pPr>
          </w:p>
        </w:tc>
        <w:tc>
          <w:tcPr>
            <w:tcW w:w="1160" w:type="dxa"/>
            <w:vAlign w:val="bottom"/>
            <w:tcBorders>
              <w:right w:val="single" w:sz="8" w:color="auto"/>
            </w:tcBorders>
            <w:shd w:val="clear" w:color="auto" w:fill="DBDBDB"/>
          </w:tcPr>
          <w:p>
            <w:pPr>
              <w:spacing w:after="0"/>
              <w:rPr>
                <w:sz w:val="13"/>
                <w:szCs w:val="13"/>
                <w:color w:val="auto"/>
              </w:rPr>
            </w:pPr>
          </w:p>
        </w:tc>
      </w:tr>
      <w:tr>
        <w:trPr>
          <w:trHeight w:val="233"/>
        </w:trPr>
        <w:tc>
          <w:tcPr>
            <w:tcW w:w="38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Net income *</w:t>
            </w:r>
          </w:p>
        </w:tc>
        <w:tc>
          <w:tcPr>
            <w:tcW w:w="1200" w:type="dxa"/>
            <w:vAlign w:val="bottom"/>
          </w:tcPr>
          <w:p>
            <w:pPr>
              <w:jc w:val="center"/>
              <w:spacing w:after="0"/>
              <w:rPr>
                <w:sz w:val="20"/>
                <w:szCs w:val="20"/>
                <w:color w:val="auto"/>
              </w:rPr>
            </w:pPr>
            <w:r>
              <w:rPr>
                <w:rFonts w:ascii="Arial" w:cs="Arial" w:eastAsia="Arial" w:hAnsi="Arial"/>
                <w:sz w:val="16"/>
                <w:szCs w:val="16"/>
                <w:color w:val="auto"/>
              </w:rPr>
              <w:t>$638</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$647</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$309</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$120</w:t>
            </w:r>
          </w:p>
        </w:tc>
        <w:tc>
          <w:tcPr>
            <w:tcW w:w="1080" w:type="dxa"/>
            <w:vAlign w:val="bottom"/>
          </w:tcPr>
          <w:p>
            <w:pPr>
              <w:jc w:val="center"/>
              <w:spacing w:after="0"/>
              <w:rPr>
                <w:sz w:val="20"/>
                <w:szCs w:val="20"/>
                <w:color w:val="auto"/>
              </w:rPr>
            </w:pPr>
            <w:r>
              <w:rPr>
                <w:rFonts w:ascii="Arial" w:cs="Arial" w:eastAsia="Arial" w:hAnsi="Arial"/>
                <w:sz w:val="16"/>
                <w:szCs w:val="16"/>
                <w:color w:val="auto"/>
              </w:rPr>
              <w:t>108%</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435%</w:t>
            </w:r>
          </w:p>
        </w:tc>
      </w:tr>
      <w:tr>
        <w:trPr>
          <w:trHeight w:val="253"/>
        </w:trPr>
        <w:tc>
          <w:tcPr>
            <w:tcW w:w="3800" w:type="dxa"/>
            <w:vAlign w:val="bottom"/>
            <w:tcBorders>
              <w:left w:val="single" w:sz="8" w:color="auto"/>
              <w:right w:val="single" w:sz="8" w:color="auto"/>
            </w:tcBorders>
            <w:shd w:val="clear" w:color="auto" w:fill="DBDBDB"/>
          </w:tcPr>
          <w:p>
            <w:pPr>
              <w:spacing w:after="0"/>
              <w:rPr>
                <w:sz w:val="21"/>
                <w:szCs w:val="21"/>
                <w:color w:val="auto"/>
              </w:rPr>
            </w:pPr>
          </w:p>
        </w:tc>
        <w:tc>
          <w:tcPr>
            <w:tcW w:w="1200" w:type="dxa"/>
            <w:vAlign w:val="bottom"/>
            <w:tcBorders>
              <w:right w:val="single" w:sz="8" w:color="DBDBDB"/>
            </w:tcBorders>
            <w:shd w:val="clear" w:color="auto" w:fill="DBDBDB"/>
          </w:tcPr>
          <w:p>
            <w:pPr>
              <w:spacing w:after="0"/>
              <w:rPr>
                <w:sz w:val="21"/>
                <w:szCs w:val="21"/>
                <w:color w:val="auto"/>
              </w:rPr>
            </w:pPr>
          </w:p>
        </w:tc>
        <w:tc>
          <w:tcPr>
            <w:tcW w:w="1260" w:type="dxa"/>
            <w:vAlign w:val="bottom"/>
            <w:tcBorders>
              <w:right w:val="single" w:sz="8" w:color="auto"/>
            </w:tcBorders>
            <w:shd w:val="clear" w:color="auto" w:fill="DBDBDB"/>
          </w:tcPr>
          <w:p>
            <w:pPr>
              <w:spacing w:after="0"/>
              <w:rPr>
                <w:sz w:val="21"/>
                <w:szCs w:val="21"/>
                <w:color w:val="auto"/>
              </w:rPr>
            </w:pPr>
          </w:p>
        </w:tc>
        <w:tc>
          <w:tcPr>
            <w:tcW w:w="1360" w:type="dxa"/>
            <w:vAlign w:val="bottom"/>
            <w:tcBorders>
              <w:right w:val="single" w:sz="8" w:color="auto"/>
            </w:tcBorders>
            <w:shd w:val="clear" w:color="auto" w:fill="DBDBDB"/>
          </w:tcPr>
          <w:p>
            <w:pPr>
              <w:spacing w:after="0"/>
              <w:rPr>
                <w:sz w:val="21"/>
                <w:szCs w:val="21"/>
                <w:color w:val="auto"/>
              </w:rPr>
            </w:pPr>
          </w:p>
        </w:tc>
        <w:tc>
          <w:tcPr>
            <w:tcW w:w="1260" w:type="dxa"/>
            <w:vAlign w:val="bottom"/>
            <w:tcBorders>
              <w:right w:val="single" w:sz="8" w:color="auto"/>
            </w:tcBorders>
            <w:shd w:val="clear" w:color="auto" w:fill="DBDBDB"/>
          </w:tcPr>
          <w:p>
            <w:pPr>
              <w:spacing w:after="0"/>
              <w:rPr>
                <w:sz w:val="21"/>
                <w:szCs w:val="21"/>
                <w:color w:val="auto"/>
              </w:rPr>
            </w:pPr>
          </w:p>
        </w:tc>
        <w:tc>
          <w:tcPr>
            <w:tcW w:w="1080" w:type="dxa"/>
            <w:vAlign w:val="bottom"/>
            <w:shd w:val="clear" w:color="auto" w:fill="DBDBDB"/>
          </w:tcPr>
          <w:p>
            <w:pPr>
              <w:spacing w:after="0"/>
              <w:rPr>
                <w:sz w:val="21"/>
                <w:szCs w:val="21"/>
                <w:color w:val="auto"/>
              </w:rPr>
            </w:pPr>
          </w:p>
        </w:tc>
        <w:tc>
          <w:tcPr>
            <w:tcW w:w="1160" w:type="dxa"/>
            <w:vAlign w:val="bottom"/>
            <w:tcBorders>
              <w:right w:val="single" w:sz="8" w:color="auto"/>
            </w:tcBorders>
            <w:shd w:val="clear" w:color="auto" w:fill="DBDBDB"/>
          </w:tcPr>
          <w:p>
            <w:pPr>
              <w:spacing w:after="0"/>
              <w:rPr>
                <w:sz w:val="21"/>
                <w:szCs w:val="21"/>
                <w:color w:val="auto"/>
              </w:rPr>
            </w:pPr>
          </w:p>
        </w:tc>
      </w:tr>
      <w:tr>
        <w:trPr>
          <w:trHeight w:val="233"/>
        </w:trPr>
        <w:tc>
          <w:tcPr>
            <w:tcW w:w="38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GAAP earnings per share-diluted</w:t>
            </w:r>
          </w:p>
        </w:tc>
        <w:tc>
          <w:tcPr>
            <w:tcW w:w="1200" w:type="dxa"/>
            <w:vAlign w:val="bottom"/>
          </w:tcPr>
          <w:p>
            <w:pPr>
              <w:jc w:val="center"/>
              <w:spacing w:after="0"/>
              <w:rPr>
                <w:sz w:val="20"/>
                <w:szCs w:val="20"/>
                <w:color w:val="auto"/>
              </w:rPr>
            </w:pPr>
            <w:r>
              <w:rPr>
                <w:rFonts w:ascii="Arial" w:cs="Arial" w:eastAsia="Arial" w:hAnsi="Arial"/>
                <w:sz w:val="16"/>
                <w:szCs w:val="16"/>
                <w:color w:val="auto"/>
                <w:w w:val="99"/>
              </w:rPr>
              <w:t>$6.75</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$6.85</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$3.79</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$1.60</w:t>
            </w:r>
          </w:p>
        </w:tc>
        <w:tc>
          <w:tcPr>
            <w:tcW w:w="1080" w:type="dxa"/>
            <w:vAlign w:val="bottom"/>
          </w:tcPr>
          <w:p>
            <w:pPr>
              <w:jc w:val="center"/>
              <w:spacing w:after="0"/>
              <w:rPr>
                <w:sz w:val="20"/>
                <w:szCs w:val="20"/>
                <w:color w:val="auto"/>
              </w:rPr>
            </w:pPr>
            <w:r>
              <w:rPr>
                <w:rFonts w:ascii="Arial" w:cs="Arial" w:eastAsia="Arial" w:hAnsi="Arial"/>
                <w:sz w:val="16"/>
                <w:szCs w:val="16"/>
                <w:color w:val="auto"/>
              </w:rPr>
              <w:t>79%</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325%</w:t>
            </w:r>
          </w:p>
        </w:tc>
      </w:tr>
      <w:tr>
        <w:trPr>
          <w:trHeight w:val="158"/>
        </w:trPr>
        <w:tc>
          <w:tcPr>
            <w:tcW w:w="3800" w:type="dxa"/>
            <w:vAlign w:val="bottom"/>
            <w:tcBorders>
              <w:left w:val="single" w:sz="8" w:color="auto"/>
              <w:right w:val="single" w:sz="8" w:color="auto"/>
            </w:tcBorders>
            <w:shd w:val="clear" w:color="auto" w:fill="DBDBDB"/>
          </w:tcPr>
          <w:p>
            <w:pPr>
              <w:spacing w:after="0"/>
              <w:rPr>
                <w:sz w:val="13"/>
                <w:szCs w:val="13"/>
                <w:color w:val="auto"/>
              </w:rPr>
            </w:pPr>
          </w:p>
        </w:tc>
        <w:tc>
          <w:tcPr>
            <w:tcW w:w="1200" w:type="dxa"/>
            <w:vAlign w:val="bottom"/>
            <w:tcBorders>
              <w:right w:val="single" w:sz="8" w:color="DBDBDB"/>
            </w:tcBorders>
            <w:shd w:val="clear" w:color="auto" w:fill="DBDBDB"/>
          </w:tcPr>
          <w:p>
            <w:pPr>
              <w:spacing w:after="0"/>
              <w:rPr>
                <w:sz w:val="13"/>
                <w:szCs w:val="13"/>
                <w:color w:val="auto"/>
              </w:rPr>
            </w:pPr>
          </w:p>
        </w:tc>
        <w:tc>
          <w:tcPr>
            <w:tcW w:w="1260" w:type="dxa"/>
            <w:vAlign w:val="bottom"/>
            <w:tcBorders>
              <w:right w:val="single" w:sz="8" w:color="auto"/>
            </w:tcBorders>
            <w:shd w:val="clear" w:color="auto" w:fill="DBDBDB"/>
          </w:tcPr>
          <w:p>
            <w:pPr>
              <w:spacing w:after="0"/>
              <w:rPr>
                <w:sz w:val="13"/>
                <w:szCs w:val="13"/>
                <w:color w:val="auto"/>
              </w:rPr>
            </w:pPr>
          </w:p>
        </w:tc>
        <w:tc>
          <w:tcPr>
            <w:tcW w:w="1360" w:type="dxa"/>
            <w:vAlign w:val="bottom"/>
            <w:tcBorders>
              <w:right w:val="single" w:sz="8" w:color="auto"/>
            </w:tcBorders>
            <w:shd w:val="clear" w:color="auto" w:fill="DBDBDB"/>
          </w:tcPr>
          <w:p>
            <w:pPr>
              <w:spacing w:after="0"/>
              <w:rPr>
                <w:sz w:val="13"/>
                <w:szCs w:val="13"/>
                <w:color w:val="auto"/>
              </w:rPr>
            </w:pPr>
          </w:p>
        </w:tc>
        <w:tc>
          <w:tcPr>
            <w:tcW w:w="1260" w:type="dxa"/>
            <w:vAlign w:val="bottom"/>
            <w:tcBorders>
              <w:right w:val="single" w:sz="8" w:color="auto"/>
            </w:tcBorders>
            <w:shd w:val="clear" w:color="auto" w:fill="DBDBDB"/>
          </w:tcPr>
          <w:p>
            <w:pPr>
              <w:spacing w:after="0"/>
              <w:rPr>
                <w:sz w:val="13"/>
                <w:szCs w:val="13"/>
                <w:color w:val="auto"/>
              </w:rPr>
            </w:pPr>
          </w:p>
        </w:tc>
        <w:tc>
          <w:tcPr>
            <w:tcW w:w="1080" w:type="dxa"/>
            <w:vAlign w:val="bottom"/>
            <w:shd w:val="clear" w:color="auto" w:fill="DBDBDB"/>
          </w:tcPr>
          <w:p>
            <w:pPr>
              <w:spacing w:after="0"/>
              <w:rPr>
                <w:sz w:val="13"/>
                <w:szCs w:val="13"/>
                <w:color w:val="auto"/>
              </w:rPr>
            </w:pPr>
          </w:p>
        </w:tc>
        <w:tc>
          <w:tcPr>
            <w:tcW w:w="1160" w:type="dxa"/>
            <w:vAlign w:val="bottom"/>
            <w:tcBorders>
              <w:right w:val="single" w:sz="8" w:color="auto"/>
            </w:tcBorders>
            <w:shd w:val="clear" w:color="auto" w:fill="DBDBDB"/>
          </w:tcPr>
          <w:p>
            <w:pPr>
              <w:spacing w:after="0"/>
              <w:rPr>
                <w:sz w:val="13"/>
                <w:szCs w:val="13"/>
                <w:color w:val="auto"/>
              </w:rPr>
            </w:pPr>
          </w:p>
        </w:tc>
      </w:tr>
      <w:tr>
        <w:trPr>
          <w:trHeight w:val="233"/>
        </w:trPr>
        <w:tc>
          <w:tcPr>
            <w:tcW w:w="38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Non-GAAP earnings per share-diluted</w:t>
            </w:r>
          </w:p>
        </w:tc>
        <w:tc>
          <w:tcPr>
            <w:tcW w:w="1200" w:type="dxa"/>
            <w:vAlign w:val="bottom"/>
          </w:tcPr>
          <w:p>
            <w:pPr>
              <w:jc w:val="center"/>
              <w:spacing w:after="0"/>
              <w:rPr>
                <w:sz w:val="20"/>
                <w:szCs w:val="20"/>
                <w:color w:val="auto"/>
              </w:rPr>
            </w:pPr>
            <w:r>
              <w:rPr>
                <w:rFonts w:ascii="Arial" w:cs="Arial" w:eastAsia="Arial" w:hAnsi="Arial"/>
                <w:sz w:val="16"/>
                <w:szCs w:val="16"/>
                <w:color w:val="auto"/>
                <w:w w:val="99"/>
              </w:rPr>
              <w:t>$7.21</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$7.31</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$3.83</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$1.02</w:t>
            </w:r>
          </w:p>
        </w:tc>
        <w:tc>
          <w:tcPr>
            <w:tcW w:w="1080" w:type="dxa"/>
            <w:vAlign w:val="bottom"/>
          </w:tcPr>
          <w:p>
            <w:pPr>
              <w:jc w:val="center"/>
              <w:spacing w:after="0"/>
              <w:rPr>
                <w:sz w:val="20"/>
                <w:szCs w:val="20"/>
                <w:color w:val="auto"/>
              </w:rPr>
            </w:pPr>
            <w:r>
              <w:rPr>
                <w:rFonts w:ascii="Arial" w:cs="Arial" w:eastAsia="Arial" w:hAnsi="Arial"/>
                <w:sz w:val="16"/>
                <w:szCs w:val="16"/>
                <w:color w:val="auto"/>
              </w:rPr>
              <w:t>90%</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612%</w:t>
            </w:r>
          </w:p>
        </w:tc>
      </w:tr>
      <w:tr>
        <w:trPr>
          <w:trHeight w:val="253"/>
        </w:trPr>
        <w:tc>
          <w:tcPr>
            <w:tcW w:w="3800" w:type="dxa"/>
            <w:vAlign w:val="bottom"/>
            <w:tcBorders>
              <w:left w:val="single" w:sz="8" w:color="auto"/>
              <w:right w:val="single" w:sz="8" w:color="auto"/>
            </w:tcBorders>
            <w:shd w:val="clear" w:color="auto" w:fill="DBDBDB"/>
          </w:tcPr>
          <w:p>
            <w:pPr>
              <w:spacing w:after="0"/>
              <w:rPr>
                <w:sz w:val="21"/>
                <w:szCs w:val="21"/>
                <w:color w:val="auto"/>
              </w:rPr>
            </w:pPr>
          </w:p>
        </w:tc>
        <w:tc>
          <w:tcPr>
            <w:tcW w:w="1200" w:type="dxa"/>
            <w:vAlign w:val="bottom"/>
            <w:tcBorders>
              <w:right w:val="single" w:sz="8" w:color="DBDBDB"/>
            </w:tcBorders>
            <w:shd w:val="clear" w:color="auto" w:fill="DBDBDB"/>
          </w:tcPr>
          <w:p>
            <w:pPr>
              <w:spacing w:after="0"/>
              <w:rPr>
                <w:sz w:val="21"/>
                <w:szCs w:val="21"/>
                <w:color w:val="auto"/>
              </w:rPr>
            </w:pPr>
          </w:p>
        </w:tc>
        <w:tc>
          <w:tcPr>
            <w:tcW w:w="1260" w:type="dxa"/>
            <w:vAlign w:val="bottom"/>
            <w:tcBorders>
              <w:right w:val="single" w:sz="8" w:color="auto"/>
            </w:tcBorders>
            <w:shd w:val="clear" w:color="auto" w:fill="DBDBDB"/>
          </w:tcPr>
          <w:p>
            <w:pPr>
              <w:spacing w:after="0"/>
              <w:rPr>
                <w:sz w:val="21"/>
                <w:szCs w:val="21"/>
                <w:color w:val="auto"/>
              </w:rPr>
            </w:pPr>
          </w:p>
        </w:tc>
        <w:tc>
          <w:tcPr>
            <w:tcW w:w="1360" w:type="dxa"/>
            <w:vAlign w:val="bottom"/>
            <w:tcBorders>
              <w:right w:val="single" w:sz="8" w:color="auto"/>
            </w:tcBorders>
            <w:shd w:val="clear" w:color="auto" w:fill="DBDBDB"/>
          </w:tcPr>
          <w:p>
            <w:pPr>
              <w:spacing w:after="0"/>
              <w:rPr>
                <w:sz w:val="21"/>
                <w:szCs w:val="21"/>
                <w:color w:val="auto"/>
              </w:rPr>
            </w:pPr>
          </w:p>
        </w:tc>
        <w:tc>
          <w:tcPr>
            <w:tcW w:w="1260" w:type="dxa"/>
            <w:vAlign w:val="bottom"/>
            <w:tcBorders>
              <w:right w:val="single" w:sz="8" w:color="auto"/>
            </w:tcBorders>
            <w:shd w:val="clear" w:color="auto" w:fill="DBDBDB"/>
          </w:tcPr>
          <w:p>
            <w:pPr>
              <w:spacing w:after="0"/>
              <w:rPr>
                <w:sz w:val="21"/>
                <w:szCs w:val="21"/>
                <w:color w:val="auto"/>
              </w:rPr>
            </w:pPr>
          </w:p>
        </w:tc>
        <w:tc>
          <w:tcPr>
            <w:tcW w:w="1080" w:type="dxa"/>
            <w:vAlign w:val="bottom"/>
            <w:shd w:val="clear" w:color="auto" w:fill="DBDBDB"/>
          </w:tcPr>
          <w:p>
            <w:pPr>
              <w:spacing w:after="0"/>
              <w:rPr>
                <w:sz w:val="21"/>
                <w:szCs w:val="21"/>
                <w:color w:val="auto"/>
              </w:rPr>
            </w:pPr>
          </w:p>
        </w:tc>
        <w:tc>
          <w:tcPr>
            <w:tcW w:w="1160" w:type="dxa"/>
            <w:vAlign w:val="bottom"/>
            <w:tcBorders>
              <w:right w:val="single" w:sz="8" w:color="auto"/>
            </w:tcBorders>
            <w:shd w:val="clear" w:color="auto" w:fill="DBDBDB"/>
          </w:tcPr>
          <w:p>
            <w:pPr>
              <w:spacing w:after="0"/>
              <w:rPr>
                <w:sz w:val="21"/>
                <w:szCs w:val="21"/>
                <w:color w:val="auto"/>
              </w:rPr>
            </w:pPr>
          </w:p>
        </w:tc>
      </w:tr>
      <w:tr>
        <w:trPr>
          <w:trHeight w:val="237"/>
        </w:trPr>
        <w:tc>
          <w:tcPr>
            <w:tcW w:w="38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Diluted weighted average shares outstanding</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94,500</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94,500</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81,431</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74,795</w:t>
            </w:r>
          </w:p>
        </w:tc>
        <w:tc>
          <w:tcPr>
            <w:tcW w:w="1080" w:type="dxa"/>
            <w:vAlign w:val="bottom"/>
            <w:tcBorders>
              <w:bottom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r>
    </w:tbl>
    <w:p>
      <w:pPr>
        <w:spacing w:after="0" w:line="91" w:lineRule="exact"/>
        <w:rPr>
          <w:sz w:val="20"/>
          <w:szCs w:val="20"/>
          <w:color w:val="auto"/>
        </w:rPr>
      </w:pPr>
    </w:p>
    <w:p>
      <w:pPr>
        <w:spacing w:after="0"/>
        <w:rPr>
          <w:sz w:val="20"/>
          <w:szCs w:val="20"/>
          <w:color w:val="auto"/>
        </w:rPr>
      </w:pPr>
      <w:r>
        <w:rPr>
          <w:rFonts w:ascii="Arial" w:cs="Arial" w:eastAsia="Arial" w:hAnsi="Arial"/>
          <w:sz w:val="11"/>
          <w:szCs w:val="11"/>
          <w:color w:val="auto"/>
        </w:rPr>
        <w:t>*Prior to October 1, 2020, the Company was treated as a flow through entity for U.S. income tax purposes and no federal income tax was recorded.</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The earnings per share estimate reflects a tax rate of 22.0% and does not include any potential future share repurchases.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 Info</w:t>
      </w:r>
    </w:p>
    <w:p>
      <w:pPr>
        <w:spacing w:after="0" w:line="18"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Academy will host a conference call today at 11:00 a.m. Eastern Time to discuss its financial results. Listeners may access the call by dialing 1-877-407-3982 (U.S.) or 1-201-493-6780 (International). The passcode is 13725072. A webcast of the call can be accessed at </w:t>
      </w:r>
      <w:r>
        <w:rPr>
          <w:rFonts w:ascii="Arial" w:cs="Arial" w:eastAsia="Arial" w:hAnsi="Arial"/>
          <w:sz w:val="18"/>
          <w:szCs w:val="18"/>
          <w:u w:val="single" w:color="auto"/>
          <w:color w:val="0E32E1"/>
        </w:rPr>
        <w:t>investors.academy.com</w:t>
      </w:r>
      <w:r>
        <w:rPr>
          <w:rFonts w:ascii="Arial" w:cs="Arial" w:eastAsia="Arial" w:hAnsi="Arial"/>
          <w:sz w:val="18"/>
          <w:szCs w:val="18"/>
          <w:color w:val="000000"/>
        </w:rPr>
        <w:t>.</w:t>
      </w:r>
    </w:p>
    <w:p>
      <w:pPr>
        <w:spacing w:after="0" w:line="23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 xml:space="preserve">A telephonic replay of the conference call will be available for approximately 30 days, by dialing 1-844-512-2921 (U.S.) or 1-412-317-6671 (International) and entering passcode 13725072. An archive of the webcast will be available at </w:t>
      </w:r>
      <w:r>
        <w:rPr>
          <w:rFonts w:ascii="Arial" w:cs="Arial" w:eastAsia="Arial" w:hAnsi="Arial"/>
          <w:sz w:val="18"/>
          <w:szCs w:val="18"/>
          <w:u w:val="single" w:color="auto"/>
          <w:color w:val="0E32E1"/>
        </w:rPr>
        <w:t>investors.academy.com</w:t>
      </w:r>
      <w:r>
        <w:rPr>
          <w:rFonts w:ascii="Arial" w:cs="Arial" w:eastAsia="Arial" w:hAnsi="Arial"/>
          <w:sz w:val="18"/>
          <w:szCs w:val="18"/>
          <w:color w:val="auto"/>
        </w:rPr>
        <w:t xml:space="preserve"> for 30 days.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40"/>
          </w:cols>
          <w:pgMar w:left="320" w:top="684"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auto"/>
        </w:rPr>
        <w:t>About Academy Sports + Outdoors</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Academy is a leading full-line sporting goods and outdoor recreation retailer in the United States. Originally founded in 1938 as a family business in Texas, Academy has grown to 259 stores across 16 contiguous states. Academy’s mission is to provide “Fun for All” and Academy fulfills this mission with a localized merchandising strategy and value proposition that strongly connects with a broad range of consumers. Academy’s product assortment focuses on key categories of outdoor, apparel, footwear and sports &amp; recreation through both leading national brands and a portfolio of 20 private label brands, which go well beyond traditional sporting goods and apparel offerings.</w:t>
      </w:r>
    </w:p>
    <w:p>
      <w:pPr>
        <w:spacing w:after="0" w:line="22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All references to "Academy," "Academy Sports + Outdoors," "we," "us," "our" or the "Company" in this press release refer to (1) prior to October 1, 2020 (the "IPO pricing date"), New Academy Holding Company, LLC, a Delaware limited liability company ("NAHC") and the prior parent holding company for our operations, and its consolidated subsidiaries; and (2) on and after the IPO pricing date, Academy Sports and Outdoors, Inc., a Delaware corporation ("ASO, Inc.") and the current parent holding company of our operations, and its consolidated subsidiaries.</w:t>
      </w:r>
    </w:p>
    <w:p>
      <w:pPr>
        <w:spacing w:after="0" w:line="22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On the IPO pricing date, we completed a series of reorganization transactions (the "Reorganization Transactions") that resulted in NAHC being contributed to ASO, Inc. by its members and becoming a wholly owned subsidiary of ASO, Inc. and one share of common stock of ASO, Inc. issued to then-existing members of NAHC for every 3.15 membership units of NAHC contributed to ASO, Inc. (the "Contribution Ratio"). Unless indicated otherwise, the information in this press release has been adjusted to give retrospective effect to the Contribution Ratio.</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Measures</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Adjusted EBITDA, Adjusted EBIT, Adjusted Net Income (Loss), Pro Forma Adjusted Net Income (Loss), Pro Forma Adjusted Earnings Per Share, Adjusted Selling, General and Administrative Expenses and Adjusted Free Cash Flow have been presented in this press release as supplemental measures of financial performance that are not required by, or presented in accordance with, generally accepted accounting principles (“GAAP”). These non-GAAP measures have limitations as analytical tools. For information on these limitations, as well as information on why management believes these non-GAAP measures are useful, please see our Annual Report for fiscal year 2020 filed on April 7, 2021 (the “Annual Report”), as such limitations and information may be updated from time to time in our periodic filings with the Securities and Exchange commission (the "SEC"), which are accessible on the SEC's website at </w:t>
      </w:r>
      <w:r>
        <w:rPr>
          <w:rFonts w:ascii="Arial" w:cs="Arial" w:eastAsia="Arial" w:hAnsi="Arial"/>
          <w:sz w:val="18"/>
          <w:szCs w:val="18"/>
          <w:u w:val="single" w:color="auto"/>
          <w:color w:val="0E32E1"/>
        </w:rPr>
        <w:t>www.sec.gov</w:t>
      </w:r>
      <w:r>
        <w:rPr>
          <w:rFonts w:ascii="Arial" w:cs="Arial" w:eastAsia="Arial" w:hAnsi="Arial"/>
          <w:sz w:val="18"/>
          <w:szCs w:val="18"/>
          <w:color w:val="auto"/>
        </w:rPr>
        <w:t>.</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We compensate for these limitations by primarily relying on our GAAP results in addition to using these non-GAAP measures supplementally.</w:t>
      </w:r>
    </w:p>
    <w:p>
      <w:pPr>
        <w:spacing w:after="0" w:line="221" w:lineRule="exact"/>
        <w:rPr>
          <w:sz w:val="20"/>
          <w:szCs w:val="20"/>
          <w:color w:val="auto"/>
        </w:rPr>
      </w:pPr>
    </w:p>
    <w:p>
      <w:pPr>
        <w:jc w:val="both"/>
        <w:spacing w:after="0" w:line="267" w:lineRule="auto"/>
        <w:rPr>
          <w:sz w:val="20"/>
          <w:szCs w:val="20"/>
          <w:color w:val="auto"/>
        </w:rPr>
      </w:pPr>
      <w:r>
        <w:rPr>
          <w:rFonts w:ascii="Arial" w:cs="Arial" w:eastAsia="Arial" w:hAnsi="Arial"/>
          <w:sz w:val="18"/>
          <w:szCs w:val="18"/>
          <w:i w:val="1"/>
          <w:iCs w:val="1"/>
          <w:color w:val="auto"/>
        </w:rPr>
        <w:t>See “Reconciliations of Non-GAAP to GAAP Financial Measures” below for reconciliations of non-GAAP financial measures used in this press release to their most directly comparable GAAP financial measures.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 Looking Statements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This press release contains forward-looking statements within the meaning of Section 27A of the Securities Act of 1933, as amended, and Section 21E of the Securities Exchange Act of 1934, as amended. These forward-looking statements are based on Academy's current expectations and are not guarantees of future performance. You can identify these forward-looking statements by the use of words such as “outlook,” “guidance,” “believes,” “expects,” “potential,” “continues,” “may,” “will,” “should,” “could,” “seeks,” “projects,” “predicts,” “intends,” “plans,” “estimates,” “anticipates” or the negative version of these words or other comparable words. The forward-looking statements are subject to various risks, uncertainties, assumptions or changes in circumstances that are difficult to predict or quantify. Actual results may differ materially from these expectations due to changes in global, regional or local economic, business, competitive, market, regulatory and other factors, many of which are beyond Academy's control. Important factors that could cause actual results to differ materially from those in the forward-looking statements are set forth in Academy's filings with the SEC, including the Annual Report, under the caption "Risk Factors," as may be updated from time to time in our periodic filings with the SEC. Any forward-looking statement in this press release speaks only as of the date of this release. Academy undertakes no obligation to publicly update or review any forward-looking statement, whether as a result of new information, future developments or otherwise, except as may be required by any applicable securities laws.</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280" w:type="dxa"/>
            <w:vAlign w:val="bottom"/>
            <w:gridSpan w:val="2"/>
          </w:tcPr>
          <w:p>
            <w:pPr>
              <w:spacing w:after="0"/>
              <w:rPr>
                <w:sz w:val="20"/>
                <w:szCs w:val="20"/>
                <w:color w:val="auto"/>
              </w:rPr>
            </w:pPr>
            <w:r>
              <w:rPr>
                <w:rFonts w:ascii="Arial" w:cs="Arial" w:eastAsia="Arial" w:hAnsi="Arial"/>
                <w:sz w:val="18"/>
                <w:szCs w:val="18"/>
                <w:b w:val="1"/>
                <w:bCs w:val="1"/>
                <w:color w:val="auto"/>
              </w:rPr>
              <w:t>Investor Contact</w:t>
            </w:r>
          </w:p>
        </w:tc>
        <w:tc>
          <w:tcPr>
            <w:tcW w:w="3480" w:type="dxa"/>
            <w:vAlign w:val="bottom"/>
            <w:gridSpan w:val="3"/>
          </w:tcPr>
          <w:p>
            <w:pPr>
              <w:ind w:left="1000"/>
              <w:spacing w:after="0"/>
              <w:rPr>
                <w:sz w:val="20"/>
                <w:szCs w:val="20"/>
                <w:color w:val="auto"/>
              </w:rPr>
            </w:pPr>
            <w:r>
              <w:rPr>
                <w:rFonts w:ascii="Arial" w:cs="Arial" w:eastAsia="Arial" w:hAnsi="Arial"/>
                <w:sz w:val="18"/>
                <w:szCs w:val="18"/>
                <w:b w:val="1"/>
                <w:bCs w:val="1"/>
                <w:color w:val="auto"/>
              </w:rPr>
              <w:t>Media Contact</w:t>
            </w:r>
          </w:p>
        </w:tc>
      </w:tr>
      <w:tr>
        <w:trPr>
          <w:trHeight w:val="283"/>
        </w:trPr>
        <w:tc>
          <w:tcPr>
            <w:tcW w:w="1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Matt Hodges</w:t>
            </w:r>
          </w:p>
        </w:tc>
        <w:tc>
          <w:tcPr>
            <w:tcW w:w="1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Elise Hasbrook</w:t>
            </w:r>
          </w:p>
        </w:tc>
        <w:tc>
          <w:tcPr>
            <w:tcW w:w="1240" w:type="dxa"/>
            <w:vAlign w:val="bottom"/>
          </w:tcPr>
          <w:p>
            <w:pPr>
              <w:spacing w:after="0"/>
              <w:rPr>
                <w:sz w:val="24"/>
                <w:szCs w:val="24"/>
                <w:color w:val="auto"/>
              </w:rPr>
            </w:pPr>
          </w:p>
        </w:tc>
      </w:tr>
      <w:tr>
        <w:trPr>
          <w:trHeight w:val="270"/>
        </w:trPr>
        <w:tc>
          <w:tcPr>
            <w:tcW w:w="3280" w:type="dxa"/>
            <w:vAlign w:val="bottom"/>
            <w:gridSpan w:val="2"/>
          </w:tcPr>
          <w:p>
            <w:pPr>
              <w:spacing w:after="0"/>
              <w:rPr>
                <w:sz w:val="20"/>
                <w:szCs w:val="20"/>
                <w:color w:val="auto"/>
              </w:rPr>
            </w:pPr>
            <w:r>
              <w:rPr>
                <w:rFonts w:ascii="Arial" w:cs="Arial" w:eastAsia="Arial" w:hAnsi="Arial"/>
                <w:sz w:val="18"/>
                <w:szCs w:val="18"/>
                <w:color w:val="auto"/>
              </w:rPr>
              <w:t>VP, Investor Relations</w:t>
            </w:r>
          </w:p>
        </w:tc>
        <w:tc>
          <w:tcPr>
            <w:tcW w:w="3480" w:type="dxa"/>
            <w:vAlign w:val="bottom"/>
            <w:gridSpan w:val="3"/>
          </w:tcPr>
          <w:p>
            <w:pPr>
              <w:ind w:left="1000"/>
              <w:spacing w:after="0"/>
              <w:rPr>
                <w:sz w:val="20"/>
                <w:szCs w:val="20"/>
                <w:color w:val="auto"/>
              </w:rPr>
            </w:pPr>
            <w:r>
              <w:rPr>
                <w:rFonts w:ascii="Arial" w:cs="Arial" w:eastAsia="Arial" w:hAnsi="Arial"/>
                <w:sz w:val="18"/>
                <w:szCs w:val="18"/>
                <w:color w:val="auto"/>
              </w:rPr>
              <w:t>VP, Communications</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281-646-5362</w:t>
            </w:r>
          </w:p>
        </w:tc>
        <w:tc>
          <w:tcPr>
            <w:tcW w:w="1860" w:type="dxa"/>
            <w:vAlign w:val="bottom"/>
          </w:tcPr>
          <w:p>
            <w:pPr>
              <w:spacing w:after="0"/>
              <w:rPr>
                <w:sz w:val="23"/>
                <w:szCs w:val="23"/>
                <w:color w:val="auto"/>
              </w:rPr>
            </w:pPr>
          </w:p>
        </w:tc>
        <w:tc>
          <w:tcPr>
            <w:tcW w:w="2240" w:type="dxa"/>
            <w:vAlign w:val="bottom"/>
            <w:gridSpan w:val="2"/>
          </w:tcPr>
          <w:p>
            <w:pPr>
              <w:ind w:left="1000"/>
              <w:spacing w:after="0"/>
              <w:rPr>
                <w:sz w:val="20"/>
                <w:szCs w:val="20"/>
                <w:color w:val="auto"/>
              </w:rPr>
            </w:pPr>
            <w:r>
              <w:rPr>
                <w:rFonts w:ascii="Arial" w:cs="Arial" w:eastAsia="Arial" w:hAnsi="Arial"/>
                <w:sz w:val="18"/>
                <w:szCs w:val="18"/>
                <w:color w:val="auto"/>
              </w:rPr>
              <w:t>281-944-6041</w:t>
            </w:r>
          </w:p>
        </w:tc>
        <w:tc>
          <w:tcPr>
            <w:tcW w:w="1240" w:type="dxa"/>
            <w:vAlign w:val="bottom"/>
          </w:tcPr>
          <w:p>
            <w:pPr>
              <w:spacing w:after="0"/>
              <w:rPr>
                <w:sz w:val="23"/>
                <w:szCs w:val="23"/>
                <w:color w:val="auto"/>
              </w:rPr>
            </w:pPr>
          </w:p>
        </w:tc>
      </w:tr>
      <w:tr>
        <w:trPr>
          <w:trHeight w:val="270"/>
        </w:trPr>
        <w:tc>
          <w:tcPr>
            <w:tcW w:w="3280" w:type="dxa"/>
            <w:vAlign w:val="bottom"/>
            <w:gridSpan w:val="2"/>
          </w:tcPr>
          <w:p>
            <w:pPr>
              <w:spacing w:after="0"/>
              <w:rPr>
                <w:sz w:val="20"/>
                <w:szCs w:val="20"/>
                <w:color w:val="auto"/>
              </w:rPr>
            </w:pPr>
            <w:r>
              <w:rPr>
                <w:rFonts w:ascii="Arial" w:cs="Arial" w:eastAsia="Arial" w:hAnsi="Arial"/>
                <w:sz w:val="18"/>
                <w:szCs w:val="18"/>
                <w:color w:val="auto"/>
              </w:rPr>
              <w:t>Matt.hodges@academy.com</w:t>
            </w:r>
          </w:p>
        </w:tc>
        <w:tc>
          <w:tcPr>
            <w:tcW w:w="3480" w:type="dxa"/>
            <w:vAlign w:val="bottom"/>
            <w:gridSpan w:val="3"/>
          </w:tcPr>
          <w:p>
            <w:pPr>
              <w:ind w:left="1000"/>
              <w:spacing w:after="0"/>
              <w:rPr>
                <w:sz w:val="20"/>
                <w:szCs w:val="20"/>
                <w:color w:val="auto"/>
              </w:rPr>
            </w:pPr>
            <w:r>
              <w:rPr>
                <w:rFonts w:ascii="Arial" w:cs="Arial" w:eastAsia="Arial" w:hAnsi="Arial"/>
                <w:sz w:val="18"/>
                <w:szCs w:val="18"/>
                <w:color w:val="auto"/>
                <w:w w:val="99"/>
              </w:rPr>
              <w:t>Elise.hasbrook@academy.com</w:t>
            </w:r>
          </w:p>
        </w:tc>
      </w:tr>
      <w:tr>
        <w:trPr>
          <w:trHeight w:val="541"/>
        </w:trPr>
        <w:tc>
          <w:tcPr>
            <w:tcW w:w="14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480" w:type="dxa"/>
            <w:vAlign w:val="bottom"/>
            <w:gridSpan w:val="3"/>
          </w:tcPr>
          <w:p>
            <w:pPr>
              <w:jc w:val="right"/>
              <w:ind w:right="1120"/>
              <w:spacing w:after="0"/>
              <w:rPr>
                <w:sz w:val="20"/>
                <w:szCs w:val="20"/>
                <w:color w:val="auto"/>
              </w:rPr>
            </w:pPr>
            <w:r>
              <w:rPr>
                <w:rFonts w:ascii="Arial" w:cs="Arial" w:eastAsia="Arial" w:hAnsi="Arial"/>
                <w:sz w:val="14"/>
                <w:szCs w:val="14"/>
                <w:color w:val="auto"/>
              </w:rPr>
              <w:t>3</w:t>
            </w:r>
          </w:p>
        </w:tc>
      </w:tr>
    </w:tbl>
    <w:p>
      <w:pPr>
        <w:sectPr>
          <w:pgSz w:w="11900" w:h="16838" w:orient="portrait"/>
          <w:cols w:equalWidth="0" w:num="1">
            <w:col w:w="11240"/>
          </w:cols>
          <w:pgMar w:left="320" w:top="44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ACADEMY SPORTS AND OUTDOORS,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620" w:type="dxa"/>
            <w:vAlign w:val="bottom"/>
            <w:tcBorders>
              <w:bottom w:val="single" w:sz="8" w:color="auto"/>
            </w:tcBorders>
            <w:gridSpan w:val="5"/>
          </w:tcPr>
          <w:p>
            <w:pPr>
              <w:ind w:left="860"/>
              <w:spacing w:after="0"/>
              <w:rPr>
                <w:sz w:val="20"/>
                <w:szCs w:val="20"/>
                <w:color w:val="auto"/>
              </w:rPr>
            </w:pPr>
            <w:r>
              <w:rPr>
                <w:rFonts w:ascii="Arial" w:cs="Arial" w:eastAsia="Arial" w:hAnsi="Arial"/>
                <w:sz w:val="16"/>
                <w:szCs w:val="16"/>
                <w:b w:val="1"/>
                <w:bCs w:val="1"/>
                <w:color w:val="auto"/>
              </w:rPr>
              <w:t>Thirteen Weeks Ended</w:t>
            </w:r>
          </w:p>
        </w:tc>
        <w:tc>
          <w:tcPr>
            <w:tcW w:w="16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October 30, 2021</w:t>
            </w:r>
          </w:p>
        </w:tc>
        <w:tc>
          <w:tcPr>
            <w:tcW w:w="1740" w:type="dxa"/>
            <w:vAlign w:val="bottom"/>
            <w:gridSpan w:val="2"/>
          </w:tcPr>
          <w:p>
            <w:pPr>
              <w:ind w:left="60"/>
              <w:spacing w:after="0" w:line="175" w:lineRule="exact"/>
              <w:rPr>
                <w:sz w:val="20"/>
                <w:szCs w:val="20"/>
                <w:color w:val="auto"/>
              </w:rPr>
            </w:pPr>
            <w:r>
              <w:rPr>
                <w:rFonts w:ascii="Arial" w:cs="Arial" w:eastAsia="Arial" w:hAnsi="Arial"/>
                <w:sz w:val="16"/>
                <w:szCs w:val="16"/>
                <w:b w:val="1"/>
                <w:bCs w:val="1"/>
                <w:color w:val="auto"/>
              </w:rPr>
              <w:t>Percentage of Sales</w:t>
            </w:r>
          </w:p>
        </w:tc>
        <w:tc>
          <w:tcPr>
            <w:tcW w:w="180" w:type="dxa"/>
            <w:vAlign w:val="bottom"/>
          </w:tcPr>
          <w:p>
            <w:pPr>
              <w:spacing w:after="0"/>
              <w:rPr>
                <w:sz w:val="15"/>
                <w:szCs w:val="15"/>
                <w:color w:val="auto"/>
              </w:rPr>
            </w:pPr>
          </w:p>
        </w:tc>
        <w:tc>
          <w:tcPr>
            <w:tcW w:w="170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October 31, 2020</w:t>
            </w:r>
          </w:p>
        </w:tc>
        <w:tc>
          <w:tcPr>
            <w:tcW w:w="1680" w:type="dxa"/>
            <w:vAlign w:val="bottom"/>
          </w:tcPr>
          <w:p>
            <w:pPr>
              <w:jc w:val="right"/>
              <w:ind w:right="1"/>
              <w:spacing w:after="0" w:line="175" w:lineRule="exact"/>
              <w:rPr>
                <w:sz w:val="20"/>
                <w:szCs w:val="20"/>
                <w:color w:val="auto"/>
              </w:rPr>
            </w:pPr>
            <w:r>
              <w:rPr>
                <w:rFonts w:ascii="Arial" w:cs="Arial" w:eastAsia="Arial" w:hAnsi="Arial"/>
                <w:sz w:val="16"/>
                <w:szCs w:val="16"/>
                <w:b w:val="1"/>
                <w:bCs w:val="1"/>
                <w:color w:val="auto"/>
              </w:rPr>
              <w:t>Percentage of Sales</w:t>
            </w:r>
          </w:p>
        </w:tc>
        <w:tc>
          <w:tcPr>
            <w:tcW w:w="0" w:type="dxa"/>
            <w:vAlign w:val="bottom"/>
          </w:tcPr>
          <w:p>
            <w:pPr>
              <w:spacing w:after="0"/>
              <w:rPr>
                <w:sz w:val="1"/>
                <w:szCs w:val="1"/>
                <w:color w:val="auto"/>
              </w:rPr>
            </w:pPr>
          </w:p>
        </w:tc>
      </w:tr>
      <w:tr>
        <w:trPr>
          <w:trHeight w:val="183"/>
        </w:trPr>
        <w:tc>
          <w:tcPr>
            <w:tcW w:w="4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gridSpan w:val="2"/>
            <w:vMerge w:val="continue"/>
          </w:tcPr>
          <w:p>
            <w:pPr>
              <w:spacing w:after="0"/>
              <w:rPr>
                <w:sz w:val="15"/>
                <w:szCs w:val="15"/>
                <w:color w:val="auto"/>
              </w:rPr>
            </w:pPr>
          </w:p>
        </w:tc>
        <w:tc>
          <w:tcPr>
            <w:tcW w:w="1660" w:type="dxa"/>
            <w:vAlign w:val="bottom"/>
          </w:tcPr>
          <w:p>
            <w:pPr>
              <w:jc w:val="right"/>
              <w:ind w:right="681"/>
              <w:spacing w:after="0"/>
              <w:rPr>
                <w:sz w:val="20"/>
                <w:szCs w:val="20"/>
                <w:color w:val="auto"/>
              </w:rPr>
            </w:pPr>
            <w:r>
              <w:rPr>
                <w:rFonts w:ascii="Arial" w:cs="Arial" w:eastAsia="Arial" w:hAnsi="Arial"/>
                <w:sz w:val="11"/>
                <w:szCs w:val="11"/>
                <w:b w:val="1"/>
                <w:bCs w:val="1"/>
                <w:color w:val="auto"/>
              </w:rPr>
              <w:t>(1)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gridSpan w:val="2"/>
            <w:vMerge w:val="continue"/>
          </w:tcPr>
          <w:p>
            <w:pPr>
              <w:spacing w:after="0"/>
              <w:rPr>
                <w:sz w:val="15"/>
                <w:szCs w:val="15"/>
                <w:color w:val="auto"/>
              </w:rPr>
            </w:pPr>
          </w:p>
        </w:tc>
        <w:tc>
          <w:tcPr>
            <w:tcW w:w="1680" w:type="dxa"/>
            <w:vAlign w:val="bottom"/>
          </w:tcPr>
          <w:p>
            <w:pPr>
              <w:jc w:val="right"/>
              <w:ind w:right="701"/>
              <w:spacing w:after="0"/>
              <w:rPr>
                <w:sz w:val="20"/>
                <w:szCs w:val="20"/>
                <w:color w:val="auto"/>
              </w:rPr>
            </w:pPr>
            <w:r>
              <w:rPr>
                <w:rFonts w:ascii="Arial" w:cs="Arial" w:eastAsia="Arial" w:hAnsi="Arial"/>
                <w:sz w:val="11"/>
                <w:szCs w:val="11"/>
                <w:b w:val="1"/>
                <w:bCs w:val="1"/>
                <w:color w:val="auto"/>
              </w:rPr>
              <w:t>(1)</w:t>
            </w:r>
          </w:p>
        </w:tc>
        <w:tc>
          <w:tcPr>
            <w:tcW w:w="0" w:type="dxa"/>
            <w:vAlign w:val="bottom"/>
          </w:tcPr>
          <w:p>
            <w:pPr>
              <w:spacing w:after="0"/>
              <w:rPr>
                <w:sz w:val="1"/>
                <w:szCs w:val="1"/>
                <w:color w:val="auto"/>
              </w:rPr>
            </w:pPr>
          </w:p>
        </w:tc>
      </w:tr>
      <w:tr>
        <w:trPr>
          <w:trHeight w:val="243"/>
        </w:trPr>
        <w:tc>
          <w:tcPr>
            <w:tcW w:w="4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1,592,795</w:t>
            </w:r>
          </w:p>
        </w:tc>
        <w:tc>
          <w:tcPr>
            <w:tcW w:w="80" w:type="dxa"/>
            <w:vAlign w:val="bottom"/>
            <w:tcBorders>
              <w:top w:val="single" w:sz="8" w:color="CCEEFF"/>
            </w:tcBorders>
            <w:shd w:val="clear" w:color="auto" w:fill="CCEEFF"/>
          </w:tcPr>
          <w:p>
            <w:pPr>
              <w:spacing w:after="0"/>
              <w:rPr>
                <w:sz w:val="21"/>
                <w:szCs w:val="21"/>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100.0 %</w:t>
            </w:r>
          </w:p>
        </w:tc>
        <w:tc>
          <w:tcPr>
            <w:tcW w:w="8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1,349,076</w:t>
            </w:r>
          </w:p>
        </w:tc>
        <w:tc>
          <w:tcPr>
            <w:tcW w:w="80" w:type="dxa"/>
            <w:vAlign w:val="bottom"/>
            <w:tcBorders>
              <w:top w:val="single" w:sz="8" w:color="CCEEFF"/>
            </w:tcBorders>
            <w:shd w:val="clear" w:color="auto" w:fill="CCEEFF"/>
          </w:tcPr>
          <w:p>
            <w:pPr>
              <w:spacing w:after="0"/>
              <w:rPr>
                <w:sz w:val="21"/>
                <w:szCs w:val="21"/>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37"/>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goods sold</w:t>
            </w: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1,031,957</w:t>
            </w:r>
          </w:p>
        </w:tc>
        <w:tc>
          <w:tcPr>
            <w:tcW w:w="80" w:type="dxa"/>
            <w:vAlign w:val="bottom"/>
            <w:tcBorders>
              <w:bottom w:val="single" w:sz="8" w:color="CCEEFF"/>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64.8 %</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908,565</w:t>
            </w:r>
          </w:p>
        </w:tc>
        <w:tc>
          <w:tcPr>
            <w:tcW w:w="8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67.3 %</w:t>
            </w:r>
          </w:p>
        </w:tc>
        <w:tc>
          <w:tcPr>
            <w:tcW w:w="0" w:type="dxa"/>
            <w:vAlign w:val="bottom"/>
          </w:tcPr>
          <w:p>
            <w:pPr>
              <w:spacing w:after="0"/>
              <w:rPr>
                <w:sz w:val="1"/>
                <w:szCs w:val="1"/>
                <w:color w:val="auto"/>
              </w:rPr>
            </w:pPr>
          </w:p>
        </w:tc>
      </w:tr>
      <w:tr>
        <w:trPr>
          <w:trHeight w:val="243"/>
        </w:trPr>
        <w:tc>
          <w:tcPr>
            <w:tcW w:w="4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Gross margin</w:t>
            </w: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560,838</w:t>
            </w:r>
          </w:p>
        </w:tc>
        <w:tc>
          <w:tcPr>
            <w:tcW w:w="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35.2 %</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440,511</w:t>
            </w:r>
          </w:p>
        </w:tc>
        <w:tc>
          <w:tcPr>
            <w:tcW w:w="8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32.7 %</w:t>
            </w:r>
          </w:p>
        </w:tc>
        <w:tc>
          <w:tcPr>
            <w:tcW w:w="0" w:type="dxa"/>
            <w:vAlign w:val="bottom"/>
          </w:tcPr>
          <w:p>
            <w:pPr>
              <w:spacing w:after="0"/>
              <w:rPr>
                <w:sz w:val="1"/>
                <w:szCs w:val="1"/>
                <w:color w:val="auto"/>
              </w:rPr>
            </w:pPr>
          </w:p>
        </w:tc>
      </w:tr>
      <w:tr>
        <w:trPr>
          <w:trHeight w:val="236"/>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344,725</w:t>
            </w:r>
          </w:p>
        </w:tc>
        <w:tc>
          <w:tcPr>
            <w:tcW w:w="80" w:type="dxa"/>
            <w:vAlign w:val="bottom"/>
            <w:tcBorders>
              <w:bottom w:val="single" w:sz="8" w:color="CCEEFF"/>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21.6 %</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358,955</w:t>
            </w:r>
          </w:p>
        </w:tc>
        <w:tc>
          <w:tcPr>
            <w:tcW w:w="8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26.6 %</w:t>
            </w:r>
          </w:p>
        </w:tc>
        <w:tc>
          <w:tcPr>
            <w:tcW w:w="0" w:type="dxa"/>
            <w:vAlign w:val="bottom"/>
          </w:tcPr>
          <w:p>
            <w:pPr>
              <w:spacing w:after="0"/>
              <w:rPr>
                <w:sz w:val="1"/>
                <w:szCs w:val="1"/>
                <w:color w:val="auto"/>
              </w:rPr>
            </w:pPr>
          </w:p>
        </w:tc>
      </w:tr>
      <w:tr>
        <w:trPr>
          <w:trHeight w:val="243"/>
        </w:trPr>
        <w:tc>
          <w:tcPr>
            <w:tcW w:w="4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Operating income</w:t>
            </w: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216,113</w:t>
            </w:r>
          </w:p>
        </w:tc>
        <w:tc>
          <w:tcPr>
            <w:tcW w:w="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13.6 %</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81,556</w:t>
            </w:r>
          </w:p>
        </w:tc>
        <w:tc>
          <w:tcPr>
            <w:tcW w:w="8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6.0 %</w:t>
            </w:r>
          </w:p>
        </w:tc>
        <w:tc>
          <w:tcPr>
            <w:tcW w:w="0" w:type="dxa"/>
            <w:vAlign w:val="bottom"/>
          </w:tcPr>
          <w:p>
            <w:pPr>
              <w:spacing w:after="0"/>
              <w:rPr>
                <w:sz w:val="1"/>
                <w:szCs w:val="1"/>
                <w:color w:val="auto"/>
              </w:rPr>
            </w:pPr>
          </w:p>
        </w:tc>
      </w:tr>
      <w:tr>
        <w:trPr>
          <w:trHeight w:val="233"/>
        </w:trPr>
        <w:tc>
          <w:tcPr>
            <w:tcW w:w="408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b w:val="1"/>
                <w:bCs w:val="1"/>
                <w:color w:val="auto"/>
              </w:rPr>
              <w:t>11,424</w:t>
            </w:r>
          </w:p>
        </w:tc>
        <w:tc>
          <w:tcPr>
            <w:tcW w:w="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6"/>
                <w:szCs w:val="16"/>
                <w:b w:val="1"/>
                <w:bCs w:val="1"/>
                <w:color w:val="auto"/>
              </w:rPr>
              <w:t>0.7 %</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22,399</w:t>
            </w:r>
          </w:p>
        </w:tc>
        <w:tc>
          <w:tcPr>
            <w:tcW w:w="8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1.7 %</w:t>
            </w:r>
          </w:p>
        </w:tc>
        <w:tc>
          <w:tcPr>
            <w:tcW w:w="0" w:type="dxa"/>
            <w:vAlign w:val="bottom"/>
          </w:tcPr>
          <w:p>
            <w:pPr>
              <w:spacing w:after="0"/>
              <w:rPr>
                <w:sz w:val="1"/>
                <w:szCs w:val="1"/>
                <w:color w:val="auto"/>
              </w:rPr>
            </w:pPr>
          </w:p>
        </w:tc>
      </w:tr>
      <w:tr>
        <w:trPr>
          <w:trHeight w:val="246"/>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18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(614)</w:t>
            </w:r>
          </w:p>
        </w:tc>
        <w:tc>
          <w:tcPr>
            <w:tcW w:w="80" w:type="dxa"/>
            <w:vAlign w:val="bottom"/>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0.0 %</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764</w:t>
            </w:r>
          </w:p>
        </w:tc>
        <w:tc>
          <w:tcPr>
            <w:tcW w:w="80" w:type="dxa"/>
            <w:vAlign w:val="bottom"/>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0" w:type="dxa"/>
            <w:vAlign w:val="bottom"/>
          </w:tcPr>
          <w:p>
            <w:pPr>
              <w:spacing w:after="0"/>
              <w:rPr>
                <w:sz w:val="1"/>
                <w:szCs w:val="1"/>
                <w:color w:val="auto"/>
              </w:rPr>
            </w:pPr>
          </w:p>
        </w:tc>
      </w:tr>
      <w:tr>
        <w:trPr>
          <w:trHeight w:val="233"/>
        </w:trPr>
        <w:tc>
          <w:tcPr>
            <w:tcW w:w="4080" w:type="dxa"/>
            <w:vAlign w:val="bottom"/>
          </w:tcPr>
          <w:p>
            <w:pPr>
              <w:ind w:left="240"/>
              <w:spacing w:after="0"/>
              <w:rPr>
                <w:sz w:val="20"/>
                <w:szCs w:val="20"/>
                <w:color w:val="auto"/>
              </w:rPr>
            </w:pPr>
            <w:r>
              <w:rPr>
                <w:rFonts w:ascii="Arial" w:cs="Arial" w:eastAsia="Arial" w:hAnsi="Arial"/>
                <w:sz w:val="16"/>
                <w:szCs w:val="16"/>
                <w:color w:val="auto"/>
              </w:rPr>
              <w:t>Income before income taxes</w:t>
            </w: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b w:val="1"/>
                <w:bCs w:val="1"/>
                <w:color w:val="auto"/>
              </w:rPr>
              <w:t>205,303</w:t>
            </w:r>
          </w:p>
        </w:tc>
        <w:tc>
          <w:tcPr>
            <w:tcW w:w="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6"/>
                <w:szCs w:val="16"/>
                <w:b w:val="1"/>
                <w:bCs w:val="1"/>
                <w:color w:val="auto"/>
              </w:rPr>
              <w:t>12.9 %</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58,393</w:t>
            </w:r>
          </w:p>
        </w:tc>
        <w:tc>
          <w:tcPr>
            <w:tcW w:w="8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4.3 %</w:t>
            </w:r>
          </w:p>
        </w:tc>
        <w:tc>
          <w:tcPr>
            <w:tcW w:w="0" w:type="dxa"/>
            <w:vAlign w:val="bottom"/>
          </w:tcPr>
          <w:p>
            <w:pPr>
              <w:spacing w:after="0"/>
              <w:rPr>
                <w:sz w:val="1"/>
                <w:szCs w:val="1"/>
                <w:color w:val="auto"/>
              </w:rPr>
            </w:pPr>
          </w:p>
        </w:tc>
      </w:tr>
      <w:tr>
        <w:trPr>
          <w:trHeight w:val="246"/>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(benefit) expense</w:t>
            </w:r>
          </w:p>
        </w:tc>
        <w:tc>
          <w:tcPr>
            <w:tcW w:w="18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43,998</w:t>
            </w:r>
          </w:p>
        </w:tc>
        <w:tc>
          <w:tcPr>
            <w:tcW w:w="80" w:type="dxa"/>
            <w:vAlign w:val="bottom"/>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2.8 %</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(1,193)</w:t>
            </w:r>
          </w:p>
        </w:tc>
        <w:tc>
          <w:tcPr>
            <w:tcW w:w="80" w:type="dxa"/>
            <w:vAlign w:val="bottom"/>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43"/>
        </w:trPr>
        <w:tc>
          <w:tcPr>
            <w:tcW w:w="4080" w:type="dxa"/>
            <w:vAlign w:val="bottom"/>
          </w:tcPr>
          <w:p>
            <w:pPr>
              <w:ind w:left="240"/>
              <w:spacing w:after="0"/>
              <w:rPr>
                <w:sz w:val="20"/>
                <w:szCs w:val="20"/>
                <w:color w:val="auto"/>
              </w:rPr>
            </w:pPr>
            <w:r>
              <w:rPr>
                <w:rFonts w:ascii="Arial" w:cs="Arial" w:eastAsia="Arial" w:hAnsi="Arial"/>
                <w:sz w:val="16"/>
                <w:szCs w:val="16"/>
                <w:color w:val="auto"/>
              </w:rPr>
              <w:t>Net income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161,305</w:t>
            </w:r>
          </w:p>
        </w:tc>
        <w:tc>
          <w:tcPr>
            <w:tcW w:w="80" w:type="dxa"/>
            <w:vAlign w:val="bottom"/>
          </w:tcPr>
          <w:p>
            <w:pPr>
              <w:spacing w:after="0"/>
              <w:rPr>
                <w:sz w:val="21"/>
                <w:szCs w:val="21"/>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10.1 %</w:t>
            </w:r>
          </w:p>
        </w:tc>
        <w:tc>
          <w:tcPr>
            <w:tcW w:w="8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59,586</w:t>
            </w:r>
          </w:p>
        </w:tc>
        <w:tc>
          <w:tcPr>
            <w:tcW w:w="80" w:type="dxa"/>
            <w:vAlign w:val="bottom"/>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4.4 %</w:t>
            </w:r>
          </w:p>
        </w:tc>
        <w:tc>
          <w:tcPr>
            <w:tcW w:w="0" w:type="dxa"/>
            <w:vAlign w:val="bottom"/>
          </w:tcPr>
          <w:p>
            <w:pPr>
              <w:spacing w:after="0"/>
              <w:rPr>
                <w:sz w:val="1"/>
                <w:szCs w:val="1"/>
                <w:color w:val="auto"/>
              </w:rPr>
            </w:pP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080" w:type="dxa"/>
            <w:vAlign w:val="bottom"/>
          </w:tcPr>
          <w:p>
            <w:pPr>
              <w:ind w:left="20"/>
              <w:spacing w:after="0"/>
              <w:rPr>
                <w:sz w:val="20"/>
                <w:szCs w:val="20"/>
                <w:color w:val="auto"/>
              </w:rPr>
            </w:pPr>
            <w:r>
              <w:rPr>
                <w:rFonts w:ascii="Arial" w:cs="Arial" w:eastAsia="Arial" w:hAnsi="Arial"/>
                <w:sz w:val="16"/>
                <w:szCs w:val="16"/>
                <w:color w:val="auto"/>
              </w:rPr>
              <w:t>Earnings Per Common Share:</w:t>
            </w:r>
          </w:p>
        </w:tc>
        <w:tc>
          <w:tcPr>
            <w:tcW w:w="1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Basic</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1.77</w:t>
            </w:r>
          </w:p>
        </w:tc>
        <w:tc>
          <w:tcPr>
            <w:tcW w:w="8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0.78</w:t>
            </w:r>
          </w:p>
        </w:tc>
        <w:tc>
          <w:tcPr>
            <w:tcW w:w="8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080" w:type="dxa"/>
            <w:vAlign w:val="bottom"/>
          </w:tcPr>
          <w:p>
            <w:pPr>
              <w:ind w:left="240"/>
              <w:spacing w:after="0"/>
              <w:rPr>
                <w:sz w:val="20"/>
                <w:szCs w:val="20"/>
                <w:color w:val="auto"/>
              </w:rPr>
            </w:pPr>
            <w:r>
              <w:rPr>
                <w:rFonts w:ascii="Arial" w:cs="Arial" w:eastAsia="Arial" w:hAnsi="Arial"/>
                <w:sz w:val="16"/>
                <w:szCs w:val="16"/>
                <w:color w:val="auto"/>
              </w:rPr>
              <w:t>Diluted</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600" w:type="dxa"/>
            <w:vAlign w:val="bottom"/>
          </w:tcPr>
          <w:p>
            <w:pPr>
              <w:jc w:val="right"/>
              <w:spacing w:after="0"/>
              <w:rPr>
                <w:sz w:val="20"/>
                <w:szCs w:val="20"/>
                <w:color w:val="auto"/>
              </w:rPr>
            </w:pPr>
            <w:r>
              <w:rPr>
                <w:rFonts w:ascii="Arial" w:cs="Arial" w:eastAsia="Arial" w:hAnsi="Arial"/>
                <w:sz w:val="16"/>
                <w:szCs w:val="16"/>
                <w:b w:val="1"/>
                <w:bCs w:val="1"/>
                <w:color w:val="auto"/>
              </w:rPr>
              <w:t>1.72</w:t>
            </w:r>
          </w:p>
        </w:tc>
        <w:tc>
          <w:tcPr>
            <w:tcW w:w="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0.74</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6"/>
        </w:trPr>
        <w:tc>
          <w:tcPr>
            <w:tcW w:w="40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3"/>
        </w:trPr>
        <w:tc>
          <w:tcPr>
            <w:tcW w:w="4080" w:type="dxa"/>
            <w:vAlign w:val="bottom"/>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1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Basic</w:t>
            </w: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91,140</w:t>
            </w:r>
          </w:p>
        </w:tc>
        <w:tc>
          <w:tcPr>
            <w:tcW w:w="8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76,771</w:t>
            </w:r>
          </w:p>
        </w:tc>
        <w:tc>
          <w:tcPr>
            <w:tcW w:w="8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080" w:type="dxa"/>
            <w:vAlign w:val="bottom"/>
          </w:tcPr>
          <w:p>
            <w:pPr>
              <w:ind w:left="240"/>
              <w:spacing w:after="0"/>
              <w:rPr>
                <w:sz w:val="20"/>
                <w:szCs w:val="20"/>
                <w:color w:val="auto"/>
              </w:rPr>
            </w:pPr>
            <w:r>
              <w:rPr>
                <w:rFonts w:ascii="Arial" w:cs="Arial" w:eastAsia="Arial" w:hAnsi="Arial"/>
                <w:sz w:val="16"/>
                <w:szCs w:val="16"/>
                <w:color w:val="auto"/>
              </w:rPr>
              <w:t>Diluted</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6"/>
                <w:szCs w:val="16"/>
                <w:b w:val="1"/>
                <w:bCs w:val="1"/>
                <w:color w:val="auto"/>
              </w:rPr>
              <w:t>93,844</w:t>
            </w:r>
          </w:p>
        </w:tc>
        <w:tc>
          <w:tcPr>
            <w:tcW w:w="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80,714</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180" w:hanging="172"/>
        <w:spacing w:after="0"/>
        <w:tabs>
          <w:tab w:leader="none" w:pos="180" w:val="left"/>
        </w:tabs>
        <w:numPr>
          <w:ilvl w:val="0"/>
          <w:numId w:val="2"/>
        </w:numPr>
        <w:rPr>
          <w:rFonts w:ascii="Arial" w:cs="Arial" w:eastAsia="Arial" w:hAnsi="Arial"/>
          <w:sz w:val="21"/>
          <w:szCs w:val="21"/>
          <w:color w:val="auto"/>
          <w:vertAlign w:val="superscript"/>
        </w:rPr>
      </w:pPr>
      <w:r>
        <w:rPr>
          <w:rFonts w:ascii="Arial" w:cs="Arial" w:eastAsia="Arial" w:hAnsi="Arial"/>
          <w:sz w:val="13"/>
          <w:szCs w:val="13"/>
          <w:color w:val="auto"/>
        </w:rPr>
        <w:t>Column may not add due to rounding</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40"/>
          </w:cols>
          <w:pgMar w:left="320" w:top="1008"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ACADEMY SPORTS AND OUTDOORS,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660" w:type="dxa"/>
            <w:vAlign w:val="bottom"/>
            <w:tcBorders>
              <w:bottom w:val="single" w:sz="8" w:color="auto"/>
            </w:tcBorders>
            <w:gridSpan w:val="5"/>
          </w:tcPr>
          <w:p>
            <w:pPr>
              <w:ind w:left="760"/>
              <w:spacing w:after="0"/>
              <w:rPr>
                <w:sz w:val="20"/>
                <w:szCs w:val="20"/>
                <w:color w:val="auto"/>
              </w:rPr>
            </w:pPr>
            <w:r>
              <w:rPr>
                <w:rFonts w:ascii="Arial" w:cs="Arial" w:eastAsia="Arial" w:hAnsi="Arial"/>
                <w:sz w:val="16"/>
                <w:szCs w:val="16"/>
                <w:b w:val="1"/>
                <w:bCs w:val="1"/>
                <w:color w:val="auto"/>
              </w:rPr>
              <w:t>Thirty-Nine Weeks Ended</w:t>
            </w:r>
          </w:p>
        </w:tc>
        <w:tc>
          <w:tcPr>
            <w:tcW w:w="16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October 30, 2021</w:t>
            </w:r>
          </w:p>
        </w:tc>
        <w:tc>
          <w:tcPr>
            <w:tcW w:w="1800" w:type="dxa"/>
            <w:vAlign w:val="bottom"/>
            <w:gridSpan w:val="2"/>
          </w:tcPr>
          <w:p>
            <w:pPr>
              <w:ind w:left="80"/>
              <w:spacing w:after="0" w:line="175" w:lineRule="exact"/>
              <w:rPr>
                <w:sz w:val="20"/>
                <w:szCs w:val="20"/>
                <w:color w:val="auto"/>
              </w:rPr>
            </w:pPr>
            <w:r>
              <w:rPr>
                <w:rFonts w:ascii="Arial" w:cs="Arial" w:eastAsia="Arial" w:hAnsi="Arial"/>
                <w:sz w:val="16"/>
                <w:szCs w:val="16"/>
                <w:b w:val="1"/>
                <w:bCs w:val="1"/>
                <w:color w:val="auto"/>
              </w:rPr>
              <w:t>Percentage of Sales</w:t>
            </w:r>
          </w:p>
        </w:tc>
        <w:tc>
          <w:tcPr>
            <w:tcW w:w="180" w:type="dxa"/>
            <w:vAlign w:val="bottom"/>
          </w:tcPr>
          <w:p>
            <w:pPr>
              <w:spacing w:after="0"/>
              <w:rPr>
                <w:sz w:val="15"/>
                <w:szCs w:val="15"/>
                <w:color w:val="auto"/>
              </w:rPr>
            </w:pPr>
          </w:p>
        </w:tc>
        <w:tc>
          <w:tcPr>
            <w:tcW w:w="168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October 31, 2020</w:t>
            </w:r>
          </w:p>
        </w:tc>
        <w:tc>
          <w:tcPr>
            <w:tcW w:w="1660" w:type="dxa"/>
            <w:vAlign w:val="bottom"/>
          </w:tcPr>
          <w:p>
            <w:pPr>
              <w:jc w:val="right"/>
              <w:spacing w:after="0" w:line="175" w:lineRule="exact"/>
              <w:rPr>
                <w:sz w:val="20"/>
                <w:szCs w:val="20"/>
                <w:color w:val="auto"/>
              </w:rPr>
            </w:pPr>
            <w:r>
              <w:rPr>
                <w:rFonts w:ascii="Arial" w:cs="Arial" w:eastAsia="Arial" w:hAnsi="Arial"/>
                <w:sz w:val="16"/>
                <w:szCs w:val="16"/>
                <w:b w:val="1"/>
                <w:bCs w:val="1"/>
                <w:color w:val="auto"/>
              </w:rPr>
              <w:t>Percentage of Sales</w:t>
            </w:r>
          </w:p>
        </w:tc>
        <w:tc>
          <w:tcPr>
            <w:tcW w:w="0" w:type="dxa"/>
            <w:vAlign w:val="bottom"/>
          </w:tcPr>
          <w:p>
            <w:pPr>
              <w:spacing w:after="0"/>
              <w:rPr>
                <w:sz w:val="1"/>
                <w:szCs w:val="1"/>
                <w:color w:val="auto"/>
              </w:rPr>
            </w:pPr>
          </w:p>
        </w:tc>
      </w:tr>
      <w:tr>
        <w:trPr>
          <w:trHeight w:val="183"/>
        </w:trPr>
        <w:tc>
          <w:tcPr>
            <w:tcW w:w="4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1720" w:type="dxa"/>
            <w:vAlign w:val="bottom"/>
          </w:tcPr>
          <w:p>
            <w:pPr>
              <w:jc w:val="right"/>
              <w:ind w:right="721"/>
              <w:spacing w:after="0"/>
              <w:rPr>
                <w:sz w:val="20"/>
                <w:szCs w:val="20"/>
                <w:color w:val="auto"/>
              </w:rPr>
            </w:pPr>
            <w:r>
              <w:rPr>
                <w:rFonts w:ascii="Arial" w:cs="Arial" w:eastAsia="Arial" w:hAnsi="Arial"/>
                <w:sz w:val="11"/>
                <w:szCs w:val="11"/>
                <w:b w:val="1"/>
                <w:bCs w:val="1"/>
                <w:color w:val="auto"/>
              </w:rPr>
              <w:t>(1)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gridSpan w:val="2"/>
            <w:vMerge w:val="continue"/>
          </w:tcPr>
          <w:p>
            <w:pPr>
              <w:spacing w:after="0"/>
              <w:rPr>
                <w:sz w:val="15"/>
                <w:szCs w:val="15"/>
                <w:color w:val="auto"/>
              </w:rPr>
            </w:pPr>
          </w:p>
        </w:tc>
        <w:tc>
          <w:tcPr>
            <w:tcW w:w="1660" w:type="dxa"/>
            <w:vAlign w:val="bottom"/>
          </w:tcPr>
          <w:p>
            <w:pPr>
              <w:jc w:val="right"/>
              <w:ind w:right="681"/>
              <w:spacing w:after="0"/>
              <w:rPr>
                <w:sz w:val="20"/>
                <w:szCs w:val="20"/>
                <w:color w:val="auto"/>
              </w:rPr>
            </w:pPr>
            <w:r>
              <w:rPr>
                <w:rFonts w:ascii="Arial" w:cs="Arial" w:eastAsia="Arial" w:hAnsi="Arial"/>
                <w:sz w:val="11"/>
                <w:szCs w:val="11"/>
                <w:b w:val="1"/>
                <w:bCs w:val="1"/>
                <w:color w:val="auto"/>
              </w:rPr>
              <w:t>(1)</w:t>
            </w:r>
          </w:p>
        </w:tc>
        <w:tc>
          <w:tcPr>
            <w:tcW w:w="0" w:type="dxa"/>
            <w:vAlign w:val="bottom"/>
          </w:tcPr>
          <w:p>
            <w:pPr>
              <w:spacing w:after="0"/>
              <w:rPr>
                <w:sz w:val="1"/>
                <w:szCs w:val="1"/>
                <w:color w:val="auto"/>
              </w:rPr>
            </w:pPr>
          </w:p>
        </w:tc>
      </w:tr>
      <w:tr>
        <w:trPr>
          <w:trHeight w:val="243"/>
        </w:trPr>
        <w:tc>
          <w:tcPr>
            <w:tcW w:w="4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4,964,658</w:t>
            </w:r>
          </w:p>
        </w:tc>
        <w:tc>
          <w:tcPr>
            <w:tcW w:w="80" w:type="dxa"/>
            <w:vAlign w:val="bottom"/>
            <w:tcBorders>
              <w:top w:val="single" w:sz="8" w:color="CCEEFF"/>
            </w:tcBorders>
            <w:shd w:val="clear" w:color="auto" w:fill="CCEEFF"/>
          </w:tcPr>
          <w:p>
            <w:pPr>
              <w:spacing w:after="0"/>
              <w:rPr>
                <w:sz w:val="21"/>
                <w:szCs w:val="21"/>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100.0 %</w:t>
            </w:r>
          </w:p>
        </w:tc>
        <w:tc>
          <w:tcPr>
            <w:tcW w:w="8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4,091,797</w:t>
            </w:r>
          </w:p>
        </w:tc>
        <w:tc>
          <w:tcPr>
            <w:tcW w:w="80" w:type="dxa"/>
            <w:vAlign w:val="bottom"/>
            <w:tcBorders>
              <w:top w:val="single" w:sz="8" w:color="CCEEFF"/>
            </w:tcBorders>
            <w:shd w:val="clear" w:color="auto" w:fill="CCEEFF"/>
          </w:tcPr>
          <w:p>
            <w:pPr>
              <w:spacing w:after="0"/>
              <w:rPr>
                <w:sz w:val="21"/>
                <w:szCs w:val="21"/>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36"/>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goods sold</w:t>
            </w:r>
          </w:p>
        </w:tc>
        <w:tc>
          <w:tcPr>
            <w:tcW w:w="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3,197,623</w:t>
            </w:r>
          </w:p>
        </w:tc>
        <w:tc>
          <w:tcPr>
            <w:tcW w:w="80" w:type="dxa"/>
            <w:vAlign w:val="bottom"/>
            <w:tcBorders>
              <w:bottom w:val="single" w:sz="8" w:color="CCEEFF"/>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64.4 %</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2,856,840</w:t>
            </w:r>
          </w:p>
        </w:tc>
        <w:tc>
          <w:tcPr>
            <w:tcW w:w="80" w:type="dxa"/>
            <w:vAlign w:val="bottom"/>
            <w:tcBorders>
              <w:bottom w:val="single" w:sz="8" w:color="CCEEFF"/>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69.8 %</w:t>
            </w:r>
          </w:p>
        </w:tc>
        <w:tc>
          <w:tcPr>
            <w:tcW w:w="0" w:type="dxa"/>
            <w:vAlign w:val="bottom"/>
          </w:tcPr>
          <w:p>
            <w:pPr>
              <w:spacing w:after="0"/>
              <w:rPr>
                <w:sz w:val="1"/>
                <w:szCs w:val="1"/>
                <w:color w:val="auto"/>
              </w:rPr>
            </w:pPr>
          </w:p>
        </w:tc>
      </w:tr>
      <w:tr>
        <w:trPr>
          <w:trHeight w:val="243"/>
        </w:trPr>
        <w:tc>
          <w:tcPr>
            <w:tcW w:w="4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Gross margin</w:t>
            </w: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1,767,035</w:t>
            </w:r>
          </w:p>
        </w:tc>
        <w:tc>
          <w:tcPr>
            <w:tcW w:w="8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35.6 %</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1,234,957</w:t>
            </w:r>
          </w:p>
        </w:tc>
        <w:tc>
          <w:tcPr>
            <w:tcW w:w="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30.2 %</w:t>
            </w:r>
          </w:p>
        </w:tc>
        <w:tc>
          <w:tcPr>
            <w:tcW w:w="0" w:type="dxa"/>
            <w:vAlign w:val="bottom"/>
          </w:tcPr>
          <w:p>
            <w:pPr>
              <w:spacing w:after="0"/>
              <w:rPr>
                <w:sz w:val="1"/>
                <w:szCs w:val="1"/>
                <w:color w:val="auto"/>
              </w:rPr>
            </w:pPr>
          </w:p>
        </w:tc>
      </w:tr>
      <w:tr>
        <w:trPr>
          <w:trHeight w:val="237"/>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1,057,290</w:t>
            </w:r>
          </w:p>
        </w:tc>
        <w:tc>
          <w:tcPr>
            <w:tcW w:w="80" w:type="dxa"/>
            <w:vAlign w:val="bottom"/>
            <w:tcBorders>
              <w:bottom w:val="single" w:sz="8" w:color="CCEEFF"/>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21.3 %</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955,591</w:t>
            </w:r>
          </w:p>
        </w:tc>
        <w:tc>
          <w:tcPr>
            <w:tcW w:w="80" w:type="dxa"/>
            <w:vAlign w:val="bottom"/>
            <w:tcBorders>
              <w:bottom w:val="single" w:sz="8" w:color="CCEEFF"/>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23.4 %</w:t>
            </w:r>
          </w:p>
        </w:tc>
        <w:tc>
          <w:tcPr>
            <w:tcW w:w="0" w:type="dxa"/>
            <w:vAlign w:val="bottom"/>
          </w:tcPr>
          <w:p>
            <w:pPr>
              <w:spacing w:after="0"/>
              <w:rPr>
                <w:sz w:val="1"/>
                <w:szCs w:val="1"/>
                <w:color w:val="auto"/>
              </w:rPr>
            </w:pPr>
          </w:p>
        </w:tc>
      </w:tr>
      <w:tr>
        <w:trPr>
          <w:trHeight w:val="243"/>
        </w:trPr>
        <w:tc>
          <w:tcPr>
            <w:tcW w:w="4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Operating income</w:t>
            </w: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709,745</w:t>
            </w:r>
          </w:p>
        </w:tc>
        <w:tc>
          <w:tcPr>
            <w:tcW w:w="8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14.3 %</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279,366</w:t>
            </w:r>
          </w:p>
        </w:tc>
        <w:tc>
          <w:tcPr>
            <w:tcW w:w="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6.8 %</w:t>
            </w:r>
          </w:p>
        </w:tc>
        <w:tc>
          <w:tcPr>
            <w:tcW w:w="0" w:type="dxa"/>
            <w:vAlign w:val="bottom"/>
          </w:tcPr>
          <w:p>
            <w:pPr>
              <w:spacing w:after="0"/>
              <w:rPr>
                <w:sz w:val="1"/>
                <w:szCs w:val="1"/>
                <w:color w:val="auto"/>
              </w:rPr>
            </w:pPr>
          </w:p>
        </w:tc>
      </w:tr>
      <w:tr>
        <w:trPr>
          <w:trHeight w:val="233"/>
        </w:trPr>
        <w:tc>
          <w:tcPr>
            <w:tcW w:w="408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1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38,130</w:t>
            </w:r>
          </w:p>
        </w:tc>
        <w:tc>
          <w:tcPr>
            <w:tcW w:w="8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6"/>
                <w:szCs w:val="16"/>
                <w:b w:val="1"/>
                <w:bCs w:val="1"/>
                <w:color w:val="auto"/>
              </w:rPr>
              <w:t>0.8 %</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70,487</w:t>
            </w:r>
          </w:p>
        </w:tc>
        <w:tc>
          <w:tcPr>
            <w:tcW w:w="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1.7 %</w:t>
            </w:r>
          </w:p>
        </w:tc>
        <w:tc>
          <w:tcPr>
            <w:tcW w:w="0" w:type="dxa"/>
            <w:vAlign w:val="bottom"/>
          </w:tcPr>
          <w:p>
            <w:pPr>
              <w:spacing w:after="0"/>
              <w:rPr>
                <w:sz w:val="1"/>
                <w:szCs w:val="1"/>
                <w:color w:val="auto"/>
              </w:rPr>
            </w:pPr>
          </w:p>
        </w:tc>
      </w:tr>
      <w:tr>
        <w:trPr>
          <w:trHeight w:val="253"/>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 loss on early retirement of debt, net</w:t>
            </w: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2,239</w:t>
            </w:r>
          </w:p>
        </w:tc>
        <w:tc>
          <w:tcPr>
            <w:tcW w:w="8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0.0 %</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(7,831)</w:t>
            </w:r>
          </w:p>
        </w:tc>
        <w:tc>
          <w:tcPr>
            <w:tcW w:w="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36"/>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(income), net</w:t>
            </w:r>
          </w:p>
        </w:tc>
        <w:tc>
          <w:tcPr>
            <w:tcW w:w="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(1,746)</w:t>
            </w:r>
          </w:p>
        </w:tc>
        <w:tc>
          <w:tcPr>
            <w:tcW w:w="80" w:type="dxa"/>
            <w:vAlign w:val="bottom"/>
            <w:tcBorders>
              <w:bottom w:val="single" w:sz="8" w:color="CCEEFF"/>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0.0 %</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(857)</w:t>
            </w:r>
          </w:p>
        </w:tc>
        <w:tc>
          <w:tcPr>
            <w:tcW w:w="80" w:type="dxa"/>
            <w:vAlign w:val="bottom"/>
            <w:tcBorders>
              <w:bottom w:val="single" w:sz="8" w:color="CCEEFF"/>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0.0 %</w:t>
            </w:r>
          </w:p>
        </w:tc>
        <w:tc>
          <w:tcPr>
            <w:tcW w:w="0" w:type="dxa"/>
            <w:vAlign w:val="bottom"/>
          </w:tcPr>
          <w:p>
            <w:pPr>
              <w:spacing w:after="0"/>
              <w:rPr>
                <w:sz w:val="1"/>
                <w:szCs w:val="1"/>
                <w:color w:val="auto"/>
              </w:rPr>
            </w:pPr>
          </w:p>
        </w:tc>
      </w:tr>
      <w:tr>
        <w:trPr>
          <w:trHeight w:val="243"/>
        </w:trPr>
        <w:tc>
          <w:tcPr>
            <w:tcW w:w="4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Income before income taxes</w:t>
            </w: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671,122</w:t>
            </w:r>
          </w:p>
        </w:tc>
        <w:tc>
          <w:tcPr>
            <w:tcW w:w="8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13.5 %</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217,567</w:t>
            </w:r>
          </w:p>
        </w:tc>
        <w:tc>
          <w:tcPr>
            <w:tcW w:w="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5.3 %</w:t>
            </w:r>
          </w:p>
        </w:tc>
        <w:tc>
          <w:tcPr>
            <w:tcW w:w="0" w:type="dxa"/>
            <w:vAlign w:val="bottom"/>
          </w:tcPr>
          <w:p>
            <w:pPr>
              <w:spacing w:after="0"/>
              <w:rPr>
                <w:sz w:val="1"/>
                <w:szCs w:val="1"/>
                <w:color w:val="auto"/>
              </w:rPr>
            </w:pPr>
          </w:p>
        </w:tc>
      </w:tr>
      <w:tr>
        <w:trPr>
          <w:trHeight w:val="237"/>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141,511</w:t>
            </w:r>
          </w:p>
        </w:tc>
        <w:tc>
          <w:tcPr>
            <w:tcW w:w="80" w:type="dxa"/>
            <w:vAlign w:val="bottom"/>
            <w:tcBorders>
              <w:bottom w:val="single" w:sz="8" w:color="CCEEFF"/>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2.9 %</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325</w:t>
            </w:r>
          </w:p>
        </w:tc>
        <w:tc>
          <w:tcPr>
            <w:tcW w:w="80" w:type="dxa"/>
            <w:vAlign w:val="bottom"/>
            <w:tcBorders>
              <w:bottom w:val="single" w:sz="8" w:color="CCEEFF"/>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0.0 %</w:t>
            </w:r>
          </w:p>
        </w:tc>
        <w:tc>
          <w:tcPr>
            <w:tcW w:w="0" w:type="dxa"/>
            <w:vAlign w:val="bottom"/>
          </w:tcPr>
          <w:p>
            <w:pPr>
              <w:spacing w:after="0"/>
              <w:rPr>
                <w:sz w:val="1"/>
                <w:szCs w:val="1"/>
                <w:color w:val="auto"/>
              </w:rPr>
            </w:pPr>
          </w:p>
        </w:tc>
      </w:tr>
      <w:tr>
        <w:trPr>
          <w:trHeight w:val="268"/>
        </w:trPr>
        <w:tc>
          <w:tcPr>
            <w:tcW w:w="40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Net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529,611</w:t>
            </w:r>
          </w:p>
        </w:tc>
        <w:tc>
          <w:tcPr>
            <w:tcW w:w="8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10.7 %</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217,242</w:t>
            </w:r>
          </w:p>
        </w:tc>
        <w:tc>
          <w:tcPr>
            <w:tcW w:w="8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5.3 %</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Per Common Share:</w:t>
            </w: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080" w:type="dxa"/>
            <w:vAlign w:val="bottom"/>
          </w:tcPr>
          <w:p>
            <w:pPr>
              <w:ind w:left="240"/>
              <w:spacing w:after="0"/>
              <w:rPr>
                <w:sz w:val="20"/>
                <w:szCs w:val="20"/>
                <w:color w:val="auto"/>
              </w:rPr>
            </w:pPr>
            <w:r>
              <w:rPr>
                <w:rFonts w:ascii="Arial" w:cs="Arial" w:eastAsia="Arial" w:hAnsi="Arial"/>
                <w:sz w:val="16"/>
                <w:szCs w:val="16"/>
                <w:color w:val="auto"/>
              </w:rPr>
              <w:t>Basic</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5.76</w:t>
            </w:r>
          </w:p>
        </w:tc>
        <w:tc>
          <w:tcPr>
            <w:tcW w:w="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2.94</w:t>
            </w:r>
          </w:p>
        </w:tc>
        <w:tc>
          <w:tcPr>
            <w:tcW w:w="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5.55</w:t>
            </w:r>
          </w:p>
        </w:tc>
        <w:tc>
          <w:tcPr>
            <w:tcW w:w="8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w:t>
            </w:r>
          </w:p>
        </w:tc>
        <w:tc>
          <w:tcPr>
            <w:tcW w:w="8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080" w:type="dxa"/>
            <w:vAlign w:val="bottom"/>
          </w:tcPr>
          <w:p>
            <w:pPr>
              <w:ind w:left="240"/>
              <w:spacing w:after="0"/>
              <w:rPr>
                <w:sz w:val="20"/>
                <w:szCs w:val="20"/>
                <w:color w:val="auto"/>
              </w:rPr>
            </w:pPr>
            <w:r>
              <w:rPr>
                <w:rFonts w:ascii="Arial" w:cs="Arial" w:eastAsia="Arial" w:hAnsi="Arial"/>
                <w:sz w:val="16"/>
                <w:szCs w:val="16"/>
                <w:color w:val="auto"/>
              </w:rPr>
              <w:t>Basic</w:t>
            </w:r>
          </w:p>
        </w:tc>
        <w:tc>
          <w:tcPr>
            <w:tcW w:w="1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91,951</w:t>
            </w:r>
          </w:p>
        </w:tc>
        <w:tc>
          <w:tcPr>
            <w:tcW w:w="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73,908</w:t>
            </w:r>
          </w:p>
        </w:tc>
        <w:tc>
          <w:tcPr>
            <w:tcW w:w="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95,504</w:t>
            </w:r>
          </w:p>
        </w:tc>
        <w:tc>
          <w:tcPr>
            <w:tcW w:w="8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77,171</w:t>
            </w:r>
          </w:p>
        </w:tc>
        <w:tc>
          <w:tcPr>
            <w:tcW w:w="8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34" w:lineRule="exact"/>
        <w:rPr>
          <w:sz w:val="20"/>
          <w:szCs w:val="20"/>
          <w:color w:val="auto"/>
        </w:rPr>
      </w:pPr>
    </w:p>
    <w:p>
      <w:pPr>
        <w:ind w:left="160" w:hanging="152"/>
        <w:spacing w:after="0"/>
        <w:tabs>
          <w:tab w:leader="none" w:pos="160" w:val="left"/>
        </w:tabs>
        <w:numPr>
          <w:ilvl w:val="0"/>
          <w:numId w:val="3"/>
        </w:numPr>
        <w:rPr>
          <w:rFonts w:ascii="Arial" w:cs="Arial" w:eastAsia="Arial" w:hAnsi="Arial"/>
          <w:sz w:val="18"/>
          <w:szCs w:val="18"/>
          <w:color w:val="auto"/>
          <w:vertAlign w:val="superscript"/>
        </w:rPr>
      </w:pPr>
      <w:r>
        <w:rPr>
          <w:rFonts w:ascii="Arial" w:cs="Arial" w:eastAsia="Arial" w:hAnsi="Arial"/>
          <w:sz w:val="11"/>
          <w:szCs w:val="11"/>
          <w:color w:val="auto"/>
        </w:rPr>
        <w:t>Column may not add due to rounding</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40"/>
          </w:cols>
          <w:pgMar w:left="320" w:top="765"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ACADEMY SPORTS AND OUTDOORS,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gridSpan w:val="2"/>
          </w:tcPr>
          <w:p>
            <w:pPr>
              <w:ind w:left="40"/>
              <w:spacing w:after="0"/>
              <w:rPr>
                <w:sz w:val="20"/>
                <w:szCs w:val="20"/>
                <w:color w:val="auto"/>
              </w:rPr>
            </w:pPr>
            <w:r>
              <w:rPr>
                <w:rFonts w:ascii="Arial" w:cs="Arial" w:eastAsia="Arial" w:hAnsi="Arial"/>
                <w:sz w:val="16"/>
                <w:szCs w:val="16"/>
                <w:b w:val="1"/>
                <w:bCs w:val="1"/>
                <w:color w:val="auto"/>
              </w:rPr>
              <w:t>October 30, 2021</w:t>
            </w:r>
          </w:p>
        </w:tc>
        <w:tc>
          <w:tcPr>
            <w:tcW w:w="140" w:type="dxa"/>
            <w:vAlign w:val="bottom"/>
          </w:tcPr>
          <w:p>
            <w:pPr>
              <w:spacing w:after="0"/>
              <w:rPr>
                <w:sz w:val="19"/>
                <w:szCs w:val="19"/>
                <w:color w:val="auto"/>
              </w:rPr>
            </w:pPr>
          </w:p>
        </w:tc>
        <w:tc>
          <w:tcPr>
            <w:tcW w:w="1580" w:type="dxa"/>
            <w:vAlign w:val="bottom"/>
            <w:gridSpan w:val="2"/>
          </w:tcPr>
          <w:p>
            <w:pPr>
              <w:ind w:left="20"/>
              <w:spacing w:after="0"/>
              <w:rPr>
                <w:sz w:val="20"/>
                <w:szCs w:val="20"/>
                <w:color w:val="auto"/>
              </w:rPr>
            </w:pPr>
            <w:r>
              <w:rPr>
                <w:rFonts w:ascii="Arial" w:cs="Arial" w:eastAsia="Arial" w:hAnsi="Arial"/>
                <w:sz w:val="16"/>
                <w:szCs w:val="16"/>
                <w:b w:val="1"/>
                <w:bCs w:val="1"/>
                <w:color w:val="auto"/>
              </w:rPr>
              <w:t>January 30, 2021</w:t>
            </w:r>
          </w:p>
        </w:tc>
        <w:tc>
          <w:tcPr>
            <w:tcW w:w="140" w:type="dxa"/>
            <w:vAlign w:val="bottom"/>
          </w:tcPr>
          <w:p>
            <w:pPr>
              <w:spacing w:after="0"/>
              <w:rPr>
                <w:sz w:val="19"/>
                <w:szCs w:val="19"/>
                <w:color w:val="auto"/>
              </w:rPr>
            </w:pPr>
          </w:p>
        </w:tc>
        <w:tc>
          <w:tcPr>
            <w:tcW w:w="1480" w:type="dxa"/>
            <w:vAlign w:val="bottom"/>
          </w:tcPr>
          <w:p>
            <w:pPr>
              <w:jc w:val="right"/>
              <w:ind w:right="79"/>
              <w:spacing w:after="0"/>
              <w:rPr>
                <w:sz w:val="20"/>
                <w:szCs w:val="20"/>
                <w:color w:val="auto"/>
              </w:rPr>
            </w:pPr>
            <w:r>
              <w:rPr>
                <w:rFonts w:ascii="Arial" w:cs="Arial" w:eastAsia="Arial" w:hAnsi="Arial"/>
                <w:sz w:val="16"/>
                <w:szCs w:val="16"/>
                <w:b w:val="1"/>
                <w:bCs w:val="1"/>
                <w:color w:val="auto"/>
              </w:rPr>
              <w:t>October 31, 2020</w:t>
            </w:r>
          </w:p>
        </w:tc>
        <w:tc>
          <w:tcPr>
            <w:tcW w:w="0" w:type="dxa"/>
            <w:vAlign w:val="bottom"/>
          </w:tcPr>
          <w:p>
            <w:pPr>
              <w:spacing w:after="0"/>
              <w:rPr>
                <w:sz w:val="1"/>
                <w:szCs w:val="1"/>
                <w:color w:val="auto"/>
              </w:rPr>
            </w:pPr>
          </w:p>
        </w:tc>
      </w:tr>
      <w:tr>
        <w:trPr>
          <w:trHeight w:val="229"/>
        </w:trPr>
        <w:tc>
          <w:tcPr>
            <w:tcW w:w="6140" w:type="dxa"/>
            <w:vAlign w:val="bottom"/>
            <w:tcBorders>
              <w:top w:val="single" w:sz="8" w:color="CCEEFF"/>
            </w:tcBorders>
            <w:shd w:val="clear" w:color="auto" w:fill="CCEEFF"/>
          </w:tcPr>
          <w:p>
            <w:pPr>
              <w:ind w:left="2700"/>
              <w:spacing w:after="0"/>
              <w:rPr>
                <w:sz w:val="20"/>
                <w:szCs w:val="20"/>
                <w:color w:val="auto"/>
              </w:rPr>
            </w:pPr>
            <w:r>
              <w:rPr>
                <w:rFonts w:ascii="Arial" w:cs="Arial" w:eastAsia="Arial" w:hAnsi="Arial"/>
                <w:sz w:val="16"/>
                <w:szCs w:val="16"/>
                <w:b w:val="1"/>
                <w:bCs w:val="1"/>
                <w:color w:val="auto"/>
              </w:rPr>
              <w:t>ASSETS</w:t>
            </w:r>
          </w:p>
        </w:tc>
        <w:tc>
          <w:tcPr>
            <w:tcW w:w="14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614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1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61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401,297</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377,604</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869,725</w:t>
            </w:r>
          </w:p>
        </w:tc>
        <w:tc>
          <w:tcPr>
            <w:tcW w:w="0" w:type="dxa"/>
            <w:vAlign w:val="bottom"/>
          </w:tcPr>
          <w:p>
            <w:pPr>
              <w:spacing w:after="0"/>
              <w:rPr>
                <w:sz w:val="1"/>
                <w:szCs w:val="1"/>
                <w:color w:val="auto"/>
              </w:rPr>
            </w:pPr>
          </w:p>
        </w:tc>
      </w:tr>
      <w:tr>
        <w:trPr>
          <w:trHeight w:val="218"/>
        </w:trPr>
        <w:tc>
          <w:tcPr>
            <w:tcW w:w="6140" w:type="dxa"/>
            <w:vAlign w:val="bottom"/>
          </w:tcPr>
          <w:p>
            <w:pPr>
              <w:ind w:left="240"/>
              <w:spacing w:after="0"/>
              <w:rPr>
                <w:sz w:val="20"/>
                <w:szCs w:val="20"/>
                <w:color w:val="auto"/>
              </w:rPr>
            </w:pPr>
            <w:r>
              <w:rPr>
                <w:rFonts w:ascii="Arial" w:cs="Arial" w:eastAsia="Arial" w:hAnsi="Arial"/>
                <w:sz w:val="16"/>
                <w:szCs w:val="16"/>
                <w:color w:val="auto"/>
              </w:rPr>
              <w:t>Accounts receivable - less allowance for doubtful accounts of $1,139, $1,172</w:t>
            </w:r>
          </w:p>
        </w:tc>
        <w:tc>
          <w:tcPr>
            <w:tcW w:w="140" w:type="dxa"/>
            <w:vAlign w:val="bottom"/>
          </w:tcPr>
          <w:p>
            <w:pPr>
              <w:spacing w:after="0"/>
              <w:rPr>
                <w:sz w:val="18"/>
                <w:szCs w:val="18"/>
                <w:color w:val="auto"/>
              </w:rPr>
            </w:pPr>
          </w:p>
        </w:tc>
        <w:tc>
          <w:tcPr>
            <w:tcW w:w="15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12,368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140" w:type="dxa"/>
            <w:vAlign w:val="bottom"/>
          </w:tcPr>
          <w:p>
            <w:pPr>
              <w:ind w:left="240"/>
              <w:spacing w:after="0"/>
              <w:rPr>
                <w:sz w:val="20"/>
                <w:szCs w:val="20"/>
                <w:color w:val="auto"/>
              </w:rPr>
            </w:pPr>
            <w:r>
              <w:rPr>
                <w:rFonts w:ascii="Arial" w:cs="Arial" w:eastAsia="Arial" w:hAnsi="Arial"/>
                <w:sz w:val="16"/>
                <w:szCs w:val="16"/>
                <w:color w:val="auto"/>
              </w:rPr>
              <w:t>and $1,286, respectively</w:t>
            </w:r>
          </w:p>
        </w:tc>
        <w:tc>
          <w:tcPr>
            <w:tcW w:w="140" w:type="dxa"/>
            <w:vAlign w:val="bottom"/>
          </w:tcPr>
          <w:p>
            <w:pPr>
              <w:spacing w:after="0"/>
              <w:rPr>
                <w:sz w:val="17"/>
                <w:szCs w:val="17"/>
                <w:color w:val="auto"/>
              </w:rPr>
            </w:pPr>
          </w:p>
        </w:tc>
        <w:tc>
          <w:tcPr>
            <w:tcW w:w="15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17,306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11,908</w:t>
            </w:r>
          </w:p>
        </w:tc>
        <w:tc>
          <w:tcPr>
            <w:tcW w:w="0" w:type="dxa"/>
            <w:vAlign w:val="bottom"/>
          </w:tcPr>
          <w:p>
            <w:pPr>
              <w:spacing w:after="0"/>
              <w:rPr>
                <w:sz w:val="1"/>
                <w:szCs w:val="1"/>
                <w:color w:val="auto"/>
              </w:rPr>
            </w:pPr>
          </w:p>
        </w:tc>
      </w:tr>
      <w:tr>
        <w:trPr>
          <w:trHeight w:val="253"/>
        </w:trPr>
        <w:tc>
          <w:tcPr>
            <w:tcW w:w="61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Merchandise inventories, net</w:t>
            </w:r>
          </w:p>
        </w:tc>
        <w:tc>
          <w:tcPr>
            <w:tcW w:w="1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1,325,979</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990,034</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1,082,907</w:t>
            </w:r>
          </w:p>
        </w:tc>
        <w:tc>
          <w:tcPr>
            <w:tcW w:w="0" w:type="dxa"/>
            <w:vAlign w:val="bottom"/>
          </w:tcPr>
          <w:p>
            <w:pPr>
              <w:spacing w:after="0"/>
              <w:rPr>
                <w:sz w:val="1"/>
                <w:szCs w:val="1"/>
                <w:color w:val="auto"/>
              </w:rPr>
            </w:pPr>
          </w:p>
        </w:tc>
      </w:tr>
      <w:tr>
        <w:trPr>
          <w:trHeight w:val="233"/>
        </w:trPr>
        <w:tc>
          <w:tcPr>
            <w:tcW w:w="6140" w:type="dxa"/>
            <w:vAlign w:val="bottom"/>
          </w:tcPr>
          <w:p>
            <w:pPr>
              <w:ind w:left="240"/>
              <w:spacing w:after="0"/>
              <w:rPr>
                <w:sz w:val="20"/>
                <w:szCs w:val="20"/>
                <w:color w:val="auto"/>
              </w:rPr>
            </w:pPr>
            <w:r>
              <w:rPr>
                <w:rFonts w:ascii="Arial" w:cs="Arial" w:eastAsia="Arial" w:hAnsi="Arial"/>
                <w:sz w:val="16"/>
                <w:szCs w:val="16"/>
                <w:color w:val="auto"/>
              </w:rPr>
              <w:t>Prepaid expenses and other current assets</w:t>
            </w:r>
          </w:p>
        </w:tc>
        <w:tc>
          <w:tcPr>
            <w:tcW w:w="1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44,491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28,313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25,789</w:t>
            </w:r>
          </w:p>
        </w:tc>
        <w:tc>
          <w:tcPr>
            <w:tcW w:w="0" w:type="dxa"/>
            <w:vAlign w:val="bottom"/>
          </w:tcPr>
          <w:p>
            <w:pPr>
              <w:spacing w:after="0"/>
              <w:rPr>
                <w:sz w:val="1"/>
                <w:szCs w:val="1"/>
                <w:color w:val="auto"/>
              </w:rPr>
            </w:pPr>
          </w:p>
        </w:tc>
      </w:tr>
      <w:tr>
        <w:trPr>
          <w:trHeight w:val="246"/>
        </w:trPr>
        <w:tc>
          <w:tcPr>
            <w:tcW w:w="61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Assets held for sale</w:t>
            </w:r>
          </w:p>
        </w:tc>
        <w:tc>
          <w:tcPr>
            <w:tcW w:w="14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1,763</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1,763</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1,763</w:t>
            </w:r>
          </w:p>
        </w:tc>
        <w:tc>
          <w:tcPr>
            <w:tcW w:w="0" w:type="dxa"/>
            <w:vAlign w:val="bottom"/>
          </w:tcPr>
          <w:p>
            <w:pPr>
              <w:spacing w:after="0"/>
              <w:rPr>
                <w:sz w:val="1"/>
                <w:szCs w:val="1"/>
                <w:color w:val="auto"/>
              </w:rPr>
            </w:pPr>
          </w:p>
        </w:tc>
      </w:tr>
      <w:tr>
        <w:trPr>
          <w:trHeight w:val="233"/>
        </w:trPr>
        <w:tc>
          <w:tcPr>
            <w:tcW w:w="6140" w:type="dxa"/>
            <w:vAlign w:val="bottom"/>
          </w:tcPr>
          <w:p>
            <w:pPr>
              <w:ind w:left="460"/>
              <w:spacing w:after="0"/>
              <w:rPr>
                <w:sz w:val="20"/>
                <w:szCs w:val="20"/>
                <w:color w:val="auto"/>
              </w:rPr>
            </w:pPr>
            <w:r>
              <w:rPr>
                <w:rFonts w:ascii="Arial" w:cs="Arial" w:eastAsia="Arial" w:hAnsi="Arial"/>
                <w:sz w:val="16"/>
                <w:szCs w:val="16"/>
                <w:b w:val="1"/>
                <w:bCs w:val="1"/>
                <w:color w:val="auto"/>
              </w:rPr>
              <w:t>Total current assets</w:t>
            </w:r>
          </w:p>
        </w:tc>
        <w:tc>
          <w:tcPr>
            <w:tcW w:w="1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1,785,898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1,415,020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1,992,092</w:t>
            </w:r>
          </w:p>
        </w:tc>
        <w:tc>
          <w:tcPr>
            <w:tcW w:w="0" w:type="dxa"/>
            <w:vAlign w:val="bottom"/>
          </w:tcPr>
          <w:p>
            <w:pPr>
              <w:spacing w:after="0"/>
              <w:rPr>
                <w:sz w:val="1"/>
                <w:szCs w:val="1"/>
                <w:color w:val="auto"/>
              </w:rPr>
            </w:pPr>
          </w:p>
        </w:tc>
      </w:tr>
      <w:tr>
        <w:trPr>
          <w:trHeight w:val="226"/>
        </w:trPr>
        <w:tc>
          <w:tcPr>
            <w:tcW w:w="6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6140" w:type="dxa"/>
            <w:vAlign w:val="bottom"/>
          </w:tcPr>
          <w:p>
            <w:pPr>
              <w:ind w:left="20"/>
              <w:spacing w:after="0"/>
              <w:rPr>
                <w:sz w:val="20"/>
                <w:szCs w:val="20"/>
                <w:color w:val="auto"/>
              </w:rPr>
            </w:pPr>
            <w:r>
              <w:rPr>
                <w:rFonts w:ascii="Arial" w:cs="Arial" w:eastAsia="Arial" w:hAnsi="Arial"/>
                <w:sz w:val="16"/>
                <w:szCs w:val="16"/>
                <w:b w:val="1"/>
                <w:bCs w:val="1"/>
                <w:color w:val="auto"/>
              </w:rPr>
              <w:t>PROPERTY AND EQUIPMENT, NET</w:t>
            </w:r>
          </w:p>
        </w:tc>
        <w:tc>
          <w:tcPr>
            <w:tcW w:w="1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358,110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378,260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382,620</w:t>
            </w:r>
          </w:p>
        </w:tc>
        <w:tc>
          <w:tcPr>
            <w:tcW w:w="0" w:type="dxa"/>
            <w:vAlign w:val="bottom"/>
          </w:tcPr>
          <w:p>
            <w:pPr>
              <w:spacing w:after="0"/>
              <w:rPr>
                <w:sz w:val="1"/>
                <w:szCs w:val="1"/>
                <w:color w:val="auto"/>
              </w:rPr>
            </w:pPr>
          </w:p>
        </w:tc>
      </w:tr>
      <w:tr>
        <w:trPr>
          <w:trHeight w:val="253"/>
        </w:trPr>
        <w:tc>
          <w:tcPr>
            <w:tcW w:w="6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RIGHT-OF-USE ASSETS</w:t>
            </w:r>
          </w:p>
        </w:tc>
        <w:tc>
          <w:tcPr>
            <w:tcW w:w="1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1,087,407</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1,143,699</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1,163,361</w:t>
            </w:r>
          </w:p>
        </w:tc>
        <w:tc>
          <w:tcPr>
            <w:tcW w:w="0" w:type="dxa"/>
            <w:vAlign w:val="bottom"/>
          </w:tcPr>
          <w:p>
            <w:pPr>
              <w:spacing w:after="0"/>
              <w:rPr>
                <w:sz w:val="1"/>
                <w:szCs w:val="1"/>
                <w:color w:val="auto"/>
              </w:rPr>
            </w:pPr>
          </w:p>
        </w:tc>
      </w:tr>
      <w:tr>
        <w:trPr>
          <w:trHeight w:val="233"/>
        </w:trPr>
        <w:tc>
          <w:tcPr>
            <w:tcW w:w="6140" w:type="dxa"/>
            <w:vAlign w:val="bottom"/>
          </w:tcPr>
          <w:p>
            <w:pPr>
              <w:ind w:left="20"/>
              <w:spacing w:after="0"/>
              <w:rPr>
                <w:sz w:val="20"/>
                <w:szCs w:val="20"/>
                <w:color w:val="auto"/>
              </w:rPr>
            </w:pPr>
            <w:r>
              <w:rPr>
                <w:rFonts w:ascii="Arial" w:cs="Arial" w:eastAsia="Arial" w:hAnsi="Arial"/>
                <w:sz w:val="16"/>
                <w:szCs w:val="16"/>
                <w:b w:val="1"/>
                <w:bCs w:val="1"/>
                <w:color w:val="auto"/>
              </w:rPr>
              <w:t>TRADE NAME</w:t>
            </w:r>
          </w:p>
        </w:tc>
        <w:tc>
          <w:tcPr>
            <w:tcW w:w="1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577,144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577,000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577,000</w:t>
            </w:r>
          </w:p>
        </w:tc>
        <w:tc>
          <w:tcPr>
            <w:tcW w:w="0" w:type="dxa"/>
            <w:vAlign w:val="bottom"/>
          </w:tcPr>
          <w:p>
            <w:pPr>
              <w:spacing w:after="0"/>
              <w:rPr>
                <w:sz w:val="1"/>
                <w:szCs w:val="1"/>
                <w:color w:val="auto"/>
              </w:rPr>
            </w:pPr>
          </w:p>
        </w:tc>
      </w:tr>
      <w:tr>
        <w:trPr>
          <w:trHeight w:val="253"/>
        </w:trPr>
        <w:tc>
          <w:tcPr>
            <w:tcW w:w="6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GOODWILL</w:t>
            </w:r>
          </w:p>
        </w:tc>
        <w:tc>
          <w:tcPr>
            <w:tcW w:w="1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861,920</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861,920</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861,920</w:t>
            </w:r>
          </w:p>
        </w:tc>
        <w:tc>
          <w:tcPr>
            <w:tcW w:w="0" w:type="dxa"/>
            <w:vAlign w:val="bottom"/>
          </w:tcPr>
          <w:p>
            <w:pPr>
              <w:spacing w:after="0"/>
              <w:rPr>
                <w:sz w:val="1"/>
                <w:szCs w:val="1"/>
                <w:color w:val="auto"/>
              </w:rPr>
            </w:pPr>
          </w:p>
        </w:tc>
      </w:tr>
      <w:tr>
        <w:trPr>
          <w:trHeight w:val="237"/>
        </w:trPr>
        <w:tc>
          <w:tcPr>
            <w:tcW w:w="61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OTHER NONCURRENT ASSETS</w:t>
            </w:r>
          </w:p>
        </w:tc>
        <w:tc>
          <w:tcPr>
            <w:tcW w:w="1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5,516</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8,583</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4,923</w:t>
            </w:r>
          </w:p>
        </w:tc>
        <w:tc>
          <w:tcPr>
            <w:tcW w:w="0" w:type="dxa"/>
            <w:vAlign w:val="bottom"/>
          </w:tcPr>
          <w:p>
            <w:pPr>
              <w:spacing w:after="0"/>
              <w:rPr>
                <w:sz w:val="1"/>
                <w:szCs w:val="1"/>
                <w:color w:val="auto"/>
              </w:rPr>
            </w:pPr>
          </w:p>
        </w:tc>
      </w:tr>
      <w:tr>
        <w:trPr>
          <w:trHeight w:val="268"/>
        </w:trPr>
        <w:tc>
          <w:tcPr>
            <w:tcW w:w="61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b w:val="1"/>
                <w:bCs w:val="1"/>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4,675,995</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4,384,482</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4,981,916</w:t>
            </w:r>
          </w:p>
        </w:tc>
        <w:tc>
          <w:tcPr>
            <w:tcW w:w="0" w:type="dxa"/>
            <w:vAlign w:val="bottom"/>
          </w:tcPr>
          <w:p>
            <w:pPr>
              <w:spacing w:after="0"/>
              <w:rPr>
                <w:sz w:val="1"/>
                <w:szCs w:val="1"/>
                <w:color w:val="auto"/>
              </w:rPr>
            </w:pP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140" w:type="dxa"/>
            <w:vAlign w:val="bottom"/>
            <w:shd w:val="clear" w:color="auto" w:fill="CCEEFF"/>
          </w:tcPr>
          <w:p>
            <w:pPr>
              <w:ind w:left="800"/>
              <w:spacing w:after="0"/>
              <w:rPr>
                <w:sz w:val="20"/>
                <w:szCs w:val="20"/>
                <w:color w:val="auto"/>
              </w:rPr>
            </w:pPr>
            <w:r>
              <w:rPr>
                <w:rFonts w:ascii="Arial" w:cs="Arial" w:eastAsia="Arial" w:hAnsi="Arial"/>
                <w:sz w:val="16"/>
                <w:szCs w:val="16"/>
                <w:b w:val="1"/>
                <w:bCs w:val="1"/>
                <w:color w:val="auto"/>
              </w:rPr>
              <w:t>LIABILITIES AND STOCKHOLDERS' / PARTNERS' EQUITY</w:t>
            </w:r>
          </w:p>
        </w:tc>
        <w:tc>
          <w:tcPr>
            <w:tcW w:w="14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6140" w:type="dxa"/>
            <w:vAlign w:val="bottom"/>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1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61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Accounts payable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919,196</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791,404</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868,879</w:t>
            </w:r>
          </w:p>
        </w:tc>
        <w:tc>
          <w:tcPr>
            <w:tcW w:w="0" w:type="dxa"/>
            <w:vAlign w:val="bottom"/>
          </w:tcPr>
          <w:p>
            <w:pPr>
              <w:spacing w:after="0"/>
              <w:rPr>
                <w:sz w:val="1"/>
                <w:szCs w:val="1"/>
                <w:color w:val="auto"/>
              </w:rPr>
            </w:pPr>
          </w:p>
        </w:tc>
      </w:tr>
      <w:tr>
        <w:trPr>
          <w:trHeight w:val="233"/>
        </w:trPr>
        <w:tc>
          <w:tcPr>
            <w:tcW w:w="6140" w:type="dxa"/>
            <w:vAlign w:val="bottom"/>
          </w:tcPr>
          <w:p>
            <w:pPr>
              <w:ind w:left="240"/>
              <w:spacing w:after="0"/>
              <w:rPr>
                <w:sz w:val="20"/>
                <w:szCs w:val="20"/>
                <w:color w:val="auto"/>
              </w:rPr>
            </w:pPr>
            <w:r>
              <w:rPr>
                <w:rFonts w:ascii="Arial" w:cs="Arial" w:eastAsia="Arial" w:hAnsi="Arial"/>
                <w:sz w:val="16"/>
                <w:szCs w:val="16"/>
                <w:color w:val="auto"/>
              </w:rPr>
              <w:t>Accrued expenses and other current liabilities</w:t>
            </w:r>
          </w:p>
        </w:tc>
        <w:tc>
          <w:tcPr>
            <w:tcW w:w="1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304,488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291,351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274,612</w:t>
            </w:r>
          </w:p>
        </w:tc>
        <w:tc>
          <w:tcPr>
            <w:tcW w:w="0" w:type="dxa"/>
            <w:vAlign w:val="bottom"/>
          </w:tcPr>
          <w:p>
            <w:pPr>
              <w:spacing w:after="0"/>
              <w:rPr>
                <w:sz w:val="1"/>
                <w:szCs w:val="1"/>
                <w:color w:val="auto"/>
              </w:rPr>
            </w:pPr>
          </w:p>
        </w:tc>
      </w:tr>
      <w:tr>
        <w:trPr>
          <w:trHeight w:val="253"/>
        </w:trPr>
        <w:tc>
          <w:tcPr>
            <w:tcW w:w="61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Current lease liabilities</w:t>
            </w:r>
          </w:p>
        </w:tc>
        <w:tc>
          <w:tcPr>
            <w:tcW w:w="1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86,701</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80,338</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79,361</w:t>
            </w:r>
          </w:p>
        </w:tc>
        <w:tc>
          <w:tcPr>
            <w:tcW w:w="0" w:type="dxa"/>
            <w:vAlign w:val="bottom"/>
          </w:tcPr>
          <w:p>
            <w:pPr>
              <w:spacing w:after="0"/>
              <w:rPr>
                <w:sz w:val="1"/>
                <w:szCs w:val="1"/>
                <w:color w:val="auto"/>
              </w:rPr>
            </w:pPr>
          </w:p>
        </w:tc>
      </w:tr>
      <w:tr>
        <w:trPr>
          <w:trHeight w:val="236"/>
        </w:trPr>
        <w:tc>
          <w:tcPr>
            <w:tcW w:w="61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Current maturities of long-term debt</w:t>
            </w:r>
          </w:p>
        </w:tc>
        <w:tc>
          <w:tcPr>
            <w:tcW w:w="1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3,000</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4,000</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18,250</w:t>
            </w:r>
          </w:p>
        </w:tc>
        <w:tc>
          <w:tcPr>
            <w:tcW w:w="0" w:type="dxa"/>
            <w:vAlign w:val="bottom"/>
          </w:tcPr>
          <w:p>
            <w:pPr>
              <w:spacing w:after="0"/>
              <w:rPr>
                <w:sz w:val="1"/>
                <w:szCs w:val="1"/>
                <w:color w:val="auto"/>
              </w:rPr>
            </w:pPr>
          </w:p>
        </w:tc>
      </w:tr>
      <w:tr>
        <w:trPr>
          <w:trHeight w:val="243"/>
        </w:trPr>
        <w:tc>
          <w:tcPr>
            <w:tcW w:w="6140" w:type="dxa"/>
            <w:vAlign w:val="bottom"/>
            <w:shd w:val="clear" w:color="auto" w:fill="CCEEFF"/>
          </w:tcPr>
          <w:p>
            <w:pPr>
              <w:ind w:left="460"/>
              <w:spacing w:after="0"/>
              <w:rPr>
                <w:sz w:val="20"/>
                <w:szCs w:val="20"/>
                <w:color w:val="auto"/>
              </w:rPr>
            </w:pPr>
            <w:r>
              <w:rPr>
                <w:rFonts w:ascii="Arial" w:cs="Arial" w:eastAsia="Arial" w:hAnsi="Arial"/>
                <w:sz w:val="16"/>
                <w:szCs w:val="16"/>
                <w:b w:val="1"/>
                <w:bCs w:val="1"/>
                <w:color w:val="auto"/>
              </w:rPr>
              <w:t>Total current liabilities</w:t>
            </w:r>
          </w:p>
        </w:tc>
        <w:tc>
          <w:tcPr>
            <w:tcW w:w="1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1,313,385</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1,167,093</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1,241,102</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LONG-TERM DEBT, NET</w:t>
            </w:r>
          </w:p>
        </w:tc>
        <w:tc>
          <w:tcPr>
            <w:tcW w:w="1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683,845</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781,489</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1,408,885</w:t>
            </w:r>
          </w:p>
        </w:tc>
        <w:tc>
          <w:tcPr>
            <w:tcW w:w="0" w:type="dxa"/>
            <w:vAlign w:val="bottom"/>
          </w:tcPr>
          <w:p>
            <w:pPr>
              <w:spacing w:after="0"/>
              <w:rPr>
                <w:sz w:val="1"/>
                <w:szCs w:val="1"/>
                <w:color w:val="auto"/>
              </w:rPr>
            </w:pPr>
          </w:p>
        </w:tc>
      </w:tr>
      <w:tr>
        <w:trPr>
          <w:trHeight w:val="233"/>
        </w:trPr>
        <w:tc>
          <w:tcPr>
            <w:tcW w:w="6140" w:type="dxa"/>
            <w:vAlign w:val="bottom"/>
          </w:tcPr>
          <w:p>
            <w:pPr>
              <w:ind w:left="20"/>
              <w:spacing w:after="0"/>
              <w:rPr>
                <w:sz w:val="20"/>
                <w:szCs w:val="20"/>
                <w:color w:val="auto"/>
              </w:rPr>
            </w:pPr>
            <w:r>
              <w:rPr>
                <w:rFonts w:ascii="Arial" w:cs="Arial" w:eastAsia="Arial" w:hAnsi="Arial"/>
                <w:sz w:val="16"/>
                <w:szCs w:val="16"/>
                <w:b w:val="1"/>
                <w:bCs w:val="1"/>
                <w:color w:val="auto"/>
              </w:rPr>
              <w:t>LONG-TERM LEASE LIABILITIES</w:t>
            </w:r>
          </w:p>
        </w:tc>
        <w:tc>
          <w:tcPr>
            <w:tcW w:w="1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1,088,142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1,150,088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1,171,420</w:t>
            </w:r>
          </w:p>
        </w:tc>
        <w:tc>
          <w:tcPr>
            <w:tcW w:w="0" w:type="dxa"/>
            <w:vAlign w:val="bottom"/>
          </w:tcPr>
          <w:p>
            <w:pPr>
              <w:spacing w:after="0"/>
              <w:rPr>
                <w:sz w:val="1"/>
                <w:szCs w:val="1"/>
                <w:color w:val="auto"/>
              </w:rPr>
            </w:pPr>
          </w:p>
        </w:tc>
      </w:tr>
      <w:tr>
        <w:trPr>
          <w:trHeight w:val="253"/>
        </w:trPr>
        <w:tc>
          <w:tcPr>
            <w:tcW w:w="6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DEFERRED TAX LIABILITIES, NET</w:t>
            </w:r>
          </w:p>
        </w:tc>
        <w:tc>
          <w:tcPr>
            <w:tcW w:w="1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188,243</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138,703</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132,701</w:t>
            </w:r>
          </w:p>
        </w:tc>
        <w:tc>
          <w:tcPr>
            <w:tcW w:w="0" w:type="dxa"/>
            <w:vAlign w:val="bottom"/>
          </w:tcPr>
          <w:p>
            <w:pPr>
              <w:spacing w:after="0"/>
              <w:rPr>
                <w:sz w:val="1"/>
                <w:szCs w:val="1"/>
                <w:color w:val="auto"/>
              </w:rPr>
            </w:pPr>
          </w:p>
        </w:tc>
      </w:tr>
      <w:tr>
        <w:trPr>
          <w:trHeight w:val="237"/>
        </w:trPr>
        <w:tc>
          <w:tcPr>
            <w:tcW w:w="61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OTHER LONG-TERM LIABILITIES</w:t>
            </w:r>
          </w:p>
        </w:tc>
        <w:tc>
          <w:tcPr>
            <w:tcW w:w="1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26,386</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35,126</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43,244</w:t>
            </w:r>
          </w:p>
        </w:tc>
        <w:tc>
          <w:tcPr>
            <w:tcW w:w="0" w:type="dxa"/>
            <w:vAlign w:val="bottom"/>
          </w:tcPr>
          <w:p>
            <w:pPr>
              <w:spacing w:after="0"/>
              <w:rPr>
                <w:sz w:val="1"/>
                <w:szCs w:val="1"/>
                <w:color w:val="auto"/>
              </w:rPr>
            </w:pPr>
          </w:p>
        </w:tc>
      </w:tr>
      <w:tr>
        <w:trPr>
          <w:trHeight w:val="236"/>
        </w:trPr>
        <w:tc>
          <w:tcPr>
            <w:tcW w:w="6140" w:type="dxa"/>
            <w:vAlign w:val="bottom"/>
            <w:shd w:val="clear" w:color="auto" w:fill="CCEEFF"/>
          </w:tcPr>
          <w:p>
            <w:pPr>
              <w:ind w:left="460"/>
              <w:spacing w:after="0"/>
              <w:rPr>
                <w:sz w:val="20"/>
                <w:szCs w:val="20"/>
                <w:color w:val="auto"/>
              </w:rPr>
            </w:pPr>
            <w:r>
              <w:rPr>
                <w:rFonts w:ascii="Arial" w:cs="Arial" w:eastAsia="Arial" w:hAnsi="Arial"/>
                <w:sz w:val="16"/>
                <w:szCs w:val="16"/>
                <w:b w:val="1"/>
                <w:bCs w:val="1"/>
                <w:color w:val="auto"/>
              </w:rPr>
              <w:t>Total liabilities</w:t>
            </w:r>
          </w:p>
        </w:tc>
        <w:tc>
          <w:tcPr>
            <w:tcW w:w="14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3,300,001</w:t>
            </w:r>
          </w:p>
        </w:tc>
        <w:tc>
          <w:tcPr>
            <w:tcW w:w="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3,272,499</w:t>
            </w:r>
          </w:p>
        </w:tc>
        <w:tc>
          <w:tcPr>
            <w:tcW w:w="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3,997,352</w:t>
            </w:r>
          </w:p>
        </w:tc>
        <w:tc>
          <w:tcPr>
            <w:tcW w:w="0" w:type="dxa"/>
            <w:vAlign w:val="bottom"/>
          </w:tcPr>
          <w:p>
            <w:pPr>
              <w:spacing w:after="0"/>
              <w:rPr>
                <w:sz w:val="1"/>
                <w:szCs w:val="1"/>
                <w:color w:val="auto"/>
              </w:rPr>
            </w:pPr>
          </w:p>
        </w:tc>
      </w:tr>
      <w:tr>
        <w:trPr>
          <w:trHeight w:val="203"/>
        </w:trPr>
        <w:tc>
          <w:tcPr>
            <w:tcW w:w="6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COMMITMENTS AND CONTINGENCIES</w:t>
            </w:r>
          </w:p>
        </w:tc>
        <w:tc>
          <w:tcPr>
            <w:tcW w:w="14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REDEEMABLE MEMBERSHIP UNITS</w:t>
            </w:r>
          </w:p>
        </w:tc>
        <w:tc>
          <w:tcPr>
            <w:tcW w:w="14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STOCKHOLDERS' / PARTNERS' EQUITY :</w:t>
            </w:r>
          </w:p>
        </w:tc>
        <w:tc>
          <w:tcPr>
            <w:tcW w:w="14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6140" w:type="dxa"/>
            <w:vAlign w:val="bottom"/>
          </w:tcPr>
          <w:p>
            <w:pPr>
              <w:ind w:left="240"/>
              <w:spacing w:after="0"/>
              <w:rPr>
                <w:sz w:val="20"/>
                <w:szCs w:val="20"/>
                <w:color w:val="auto"/>
              </w:rPr>
            </w:pPr>
            <w:r>
              <w:rPr>
                <w:rFonts w:ascii="Arial" w:cs="Arial" w:eastAsia="Arial" w:hAnsi="Arial"/>
                <w:sz w:val="16"/>
                <w:szCs w:val="16"/>
                <w:color w:val="auto"/>
              </w:rPr>
              <w:t>Preferred stock, $0.01 par value, authorized 50,000,000 shares; none issued</w:t>
            </w:r>
          </w:p>
        </w:tc>
        <w:tc>
          <w:tcPr>
            <w:tcW w:w="140" w:type="dxa"/>
            <w:vAlign w:val="bottom"/>
          </w:tcPr>
          <w:p>
            <w:pPr>
              <w:spacing w:after="0"/>
              <w:rPr>
                <w:sz w:val="18"/>
                <w:szCs w:val="18"/>
                <w:color w:val="auto"/>
              </w:rPr>
            </w:pPr>
          </w:p>
        </w:tc>
        <w:tc>
          <w:tcPr>
            <w:tcW w:w="1580" w:type="dxa"/>
            <w:vAlign w:val="bottom"/>
            <w:gridSpan w:val="2"/>
            <w:vMerge w:val="restart"/>
          </w:tcPr>
          <w:p>
            <w:pPr>
              <w:jc w:val="right"/>
              <w:ind w:right="16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140" w:type="dxa"/>
            <w:vAlign w:val="bottom"/>
          </w:tcPr>
          <w:p>
            <w:pPr>
              <w:ind w:left="240"/>
              <w:spacing w:after="0"/>
              <w:rPr>
                <w:sz w:val="20"/>
                <w:szCs w:val="20"/>
                <w:color w:val="auto"/>
              </w:rPr>
            </w:pPr>
            <w:r>
              <w:rPr>
                <w:rFonts w:ascii="Arial" w:cs="Arial" w:eastAsia="Arial" w:hAnsi="Arial"/>
                <w:sz w:val="16"/>
                <w:szCs w:val="16"/>
                <w:color w:val="auto"/>
              </w:rPr>
              <w:t>and outstanding</w:t>
            </w:r>
          </w:p>
        </w:tc>
        <w:tc>
          <w:tcPr>
            <w:tcW w:w="140" w:type="dxa"/>
            <w:vAlign w:val="bottom"/>
          </w:tcPr>
          <w:p>
            <w:pPr>
              <w:spacing w:after="0"/>
              <w:rPr>
                <w:sz w:val="17"/>
                <w:szCs w:val="17"/>
                <w:color w:val="auto"/>
              </w:rPr>
            </w:pPr>
          </w:p>
        </w:tc>
        <w:tc>
          <w:tcPr>
            <w:tcW w:w="15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8"/>
        </w:trPr>
        <w:tc>
          <w:tcPr>
            <w:tcW w:w="61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Common stock, $0.01 par value, authorized 300,000,000 shares; 88,164,878;</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61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91,114,475; and 88,103,975 issued and outstanding as of October 30, 2021,</w:t>
            </w:r>
          </w:p>
        </w:tc>
        <w:tc>
          <w:tcPr>
            <w:tcW w:w="140" w:type="dxa"/>
            <w:vAlign w:val="bottom"/>
            <w:shd w:val="clear" w:color="auto" w:fill="CCEEFF"/>
          </w:tcPr>
          <w:p>
            <w:pPr>
              <w:spacing w:after="0"/>
              <w:rPr>
                <w:sz w:val="16"/>
                <w:szCs w:val="16"/>
                <w:color w:val="auto"/>
              </w:rPr>
            </w:pP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882</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1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January 30, 2021, and October 31, 2020, respectively.</w:t>
            </w:r>
          </w:p>
        </w:tc>
        <w:tc>
          <w:tcPr>
            <w:tcW w:w="140" w:type="dxa"/>
            <w:vAlign w:val="bottom"/>
            <w:shd w:val="clear" w:color="auto" w:fill="CCEEFF"/>
          </w:tcPr>
          <w:p>
            <w:pPr>
              <w:spacing w:after="0"/>
              <w:rPr>
                <w:sz w:val="18"/>
                <w:szCs w:val="18"/>
                <w:color w:val="auto"/>
              </w:rPr>
            </w:pPr>
          </w:p>
        </w:tc>
        <w:tc>
          <w:tcPr>
            <w:tcW w:w="15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881</w:t>
            </w:r>
          </w:p>
        </w:tc>
        <w:tc>
          <w:tcPr>
            <w:tcW w:w="0" w:type="dxa"/>
            <w:vAlign w:val="bottom"/>
          </w:tcPr>
          <w:p>
            <w:pPr>
              <w:spacing w:after="0"/>
              <w:rPr>
                <w:sz w:val="1"/>
                <w:szCs w:val="1"/>
                <w:color w:val="auto"/>
              </w:rPr>
            </w:pPr>
          </w:p>
        </w:tc>
      </w:tr>
      <w:tr>
        <w:trPr>
          <w:trHeight w:val="233"/>
        </w:trPr>
        <w:tc>
          <w:tcPr>
            <w:tcW w:w="6140" w:type="dxa"/>
            <w:vAlign w:val="bottom"/>
          </w:tcPr>
          <w:p>
            <w:pPr>
              <w:ind w:left="240"/>
              <w:spacing w:after="0"/>
              <w:rPr>
                <w:sz w:val="20"/>
                <w:szCs w:val="20"/>
                <w:color w:val="auto"/>
              </w:rPr>
            </w:pPr>
            <w:r>
              <w:rPr>
                <w:rFonts w:ascii="Arial" w:cs="Arial" w:eastAsia="Arial" w:hAnsi="Arial"/>
                <w:sz w:val="16"/>
                <w:szCs w:val="16"/>
                <w:color w:val="auto"/>
              </w:rPr>
              <w:t>Additional paid-in capital</w:t>
            </w:r>
          </w:p>
        </w:tc>
        <w:tc>
          <w:tcPr>
            <w:tcW w:w="1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188,329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127,228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93,064</w:t>
            </w:r>
          </w:p>
        </w:tc>
        <w:tc>
          <w:tcPr>
            <w:tcW w:w="0" w:type="dxa"/>
            <w:vAlign w:val="bottom"/>
          </w:tcPr>
          <w:p>
            <w:pPr>
              <w:spacing w:after="0"/>
              <w:rPr>
                <w:sz w:val="1"/>
                <w:szCs w:val="1"/>
                <w:color w:val="auto"/>
              </w:rPr>
            </w:pPr>
          </w:p>
        </w:tc>
      </w:tr>
      <w:tr>
        <w:trPr>
          <w:trHeight w:val="253"/>
        </w:trPr>
        <w:tc>
          <w:tcPr>
            <w:tcW w:w="61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Retained earnings</w:t>
            </w:r>
          </w:p>
        </w:tc>
        <w:tc>
          <w:tcPr>
            <w:tcW w:w="1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1,188,271</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987,168</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895,646</w:t>
            </w:r>
          </w:p>
        </w:tc>
        <w:tc>
          <w:tcPr>
            <w:tcW w:w="0" w:type="dxa"/>
            <w:vAlign w:val="bottom"/>
          </w:tcPr>
          <w:p>
            <w:pPr>
              <w:spacing w:after="0"/>
              <w:rPr>
                <w:sz w:val="1"/>
                <w:szCs w:val="1"/>
                <w:color w:val="auto"/>
              </w:rPr>
            </w:pPr>
          </w:p>
        </w:tc>
      </w:tr>
      <w:tr>
        <w:trPr>
          <w:trHeight w:val="236"/>
        </w:trPr>
        <w:tc>
          <w:tcPr>
            <w:tcW w:w="61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Accumulated other comprehensive loss</w:t>
            </w:r>
          </w:p>
        </w:tc>
        <w:tc>
          <w:tcPr>
            <w:tcW w:w="1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(1,488)</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(3,324)</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(5,027)</w:t>
            </w:r>
          </w:p>
        </w:tc>
        <w:tc>
          <w:tcPr>
            <w:tcW w:w="0" w:type="dxa"/>
            <w:vAlign w:val="bottom"/>
          </w:tcPr>
          <w:p>
            <w:pPr>
              <w:spacing w:after="0"/>
              <w:rPr>
                <w:sz w:val="1"/>
                <w:szCs w:val="1"/>
                <w:color w:val="auto"/>
              </w:rPr>
            </w:pPr>
          </w:p>
        </w:tc>
      </w:tr>
      <w:tr>
        <w:trPr>
          <w:trHeight w:val="237"/>
        </w:trPr>
        <w:tc>
          <w:tcPr>
            <w:tcW w:w="6140" w:type="dxa"/>
            <w:vAlign w:val="bottom"/>
            <w:shd w:val="clear" w:color="auto" w:fill="CCEEFF"/>
          </w:tcPr>
          <w:p>
            <w:pPr>
              <w:ind w:left="460"/>
              <w:spacing w:after="0"/>
              <w:rPr>
                <w:sz w:val="20"/>
                <w:szCs w:val="20"/>
                <w:color w:val="auto"/>
              </w:rPr>
            </w:pPr>
            <w:r>
              <w:rPr>
                <w:rFonts w:ascii="Arial" w:cs="Arial" w:eastAsia="Arial" w:hAnsi="Arial"/>
                <w:sz w:val="16"/>
                <w:szCs w:val="16"/>
                <w:b w:val="1"/>
                <w:bCs w:val="1"/>
                <w:color w:val="auto"/>
              </w:rPr>
              <w:t>Stockholders' / partners' equity</w:t>
            </w:r>
          </w:p>
        </w:tc>
        <w:tc>
          <w:tcPr>
            <w:tcW w:w="14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1,375,994</w:t>
            </w:r>
          </w:p>
        </w:tc>
        <w:tc>
          <w:tcPr>
            <w:tcW w:w="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1,111,983</w:t>
            </w:r>
          </w:p>
        </w:tc>
        <w:tc>
          <w:tcPr>
            <w:tcW w:w="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984,564</w:t>
            </w:r>
          </w:p>
        </w:tc>
        <w:tc>
          <w:tcPr>
            <w:tcW w:w="0" w:type="dxa"/>
            <w:vAlign w:val="bottom"/>
          </w:tcPr>
          <w:p>
            <w:pPr>
              <w:spacing w:after="0"/>
              <w:rPr>
                <w:sz w:val="1"/>
                <w:szCs w:val="1"/>
                <w:color w:val="auto"/>
              </w:rPr>
            </w:pPr>
          </w:p>
        </w:tc>
      </w:tr>
      <w:tr>
        <w:trPr>
          <w:trHeight w:val="243"/>
        </w:trPr>
        <w:tc>
          <w:tcPr>
            <w:tcW w:w="6140" w:type="dxa"/>
            <w:vAlign w:val="bottom"/>
          </w:tcPr>
          <w:p>
            <w:pPr>
              <w:ind w:left="460"/>
              <w:spacing w:after="0"/>
              <w:rPr>
                <w:sz w:val="20"/>
                <w:szCs w:val="20"/>
                <w:color w:val="auto"/>
              </w:rPr>
            </w:pPr>
            <w:r>
              <w:rPr>
                <w:rFonts w:ascii="Arial" w:cs="Arial" w:eastAsia="Arial" w:hAnsi="Arial"/>
                <w:sz w:val="16"/>
                <w:szCs w:val="16"/>
                <w:b w:val="1"/>
                <w:bCs w:val="1"/>
                <w:color w:val="auto"/>
              </w:rPr>
              <w:t>Total liabilities and stockholders' / partners'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4,675,995</w:t>
            </w:r>
          </w:p>
        </w:tc>
        <w:tc>
          <w:tcPr>
            <w:tcW w:w="8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4,384,482</w:t>
            </w:r>
          </w:p>
        </w:tc>
        <w:tc>
          <w:tcPr>
            <w:tcW w:w="8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4,981,916</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340" w:top="765" w:right="359" w:bottom="1440" w:gutter="0" w:footer="0" w:header="0"/>
        </w:sectPr>
      </w:pP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00"/>
          </w:cols>
          <w:pgMar w:left="340" w:top="765" w:right="35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ACADEMY SPORTS AND OUTDOORS,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420" w:type="dxa"/>
            <w:vAlign w:val="bottom"/>
            <w:tcBorders>
              <w:bottom w:val="single" w:sz="8" w:color="auto"/>
            </w:tcBorders>
            <w:gridSpan w:val="4"/>
          </w:tcPr>
          <w:p>
            <w:pPr>
              <w:jc w:val="right"/>
              <w:ind w:right="739"/>
              <w:spacing w:after="0"/>
              <w:rPr>
                <w:sz w:val="20"/>
                <w:szCs w:val="20"/>
                <w:color w:val="auto"/>
              </w:rPr>
            </w:pPr>
            <w:r>
              <w:rPr>
                <w:rFonts w:ascii="Arial" w:cs="Arial" w:eastAsia="Arial" w:hAnsi="Arial"/>
                <w:sz w:val="16"/>
                <w:szCs w:val="16"/>
                <w:b w:val="1"/>
                <w:bCs w:val="1"/>
                <w:color w:val="auto"/>
              </w:rPr>
              <w:t>Thirty-Nine Weeks Ended</w:t>
            </w:r>
          </w:p>
        </w:tc>
      </w:tr>
      <w:tr>
        <w:trPr>
          <w:trHeight w:val="236"/>
        </w:trPr>
        <w:tc>
          <w:tcPr>
            <w:tcW w:w="7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gridSpan w:val="2"/>
          </w:tcPr>
          <w:p>
            <w:pPr>
              <w:ind w:left="60"/>
              <w:spacing w:after="0"/>
              <w:rPr>
                <w:sz w:val="20"/>
                <w:szCs w:val="20"/>
                <w:color w:val="auto"/>
              </w:rPr>
            </w:pPr>
            <w:r>
              <w:rPr>
                <w:rFonts w:ascii="Arial" w:cs="Arial" w:eastAsia="Arial" w:hAnsi="Arial"/>
                <w:sz w:val="16"/>
                <w:szCs w:val="16"/>
                <w:b w:val="1"/>
                <w:bCs w:val="1"/>
                <w:color w:val="auto"/>
              </w:rPr>
              <w:t>October 30, 2021</w:t>
            </w:r>
          </w:p>
        </w:tc>
        <w:tc>
          <w:tcPr>
            <w:tcW w:w="180" w:type="dxa"/>
            <w:vAlign w:val="bottom"/>
          </w:tcPr>
          <w:p>
            <w:pPr>
              <w:spacing w:after="0"/>
              <w:rPr>
                <w:sz w:val="20"/>
                <w:szCs w:val="20"/>
                <w:color w:val="auto"/>
              </w:rPr>
            </w:pPr>
          </w:p>
        </w:tc>
        <w:tc>
          <w:tcPr>
            <w:tcW w:w="1580" w:type="dxa"/>
            <w:vAlign w:val="bottom"/>
          </w:tcPr>
          <w:p>
            <w:pPr>
              <w:jc w:val="right"/>
              <w:ind w:right="159"/>
              <w:spacing w:after="0"/>
              <w:rPr>
                <w:sz w:val="20"/>
                <w:szCs w:val="20"/>
                <w:color w:val="auto"/>
              </w:rPr>
            </w:pPr>
            <w:r>
              <w:rPr>
                <w:rFonts w:ascii="Arial" w:cs="Arial" w:eastAsia="Arial" w:hAnsi="Arial"/>
                <w:sz w:val="16"/>
                <w:szCs w:val="16"/>
                <w:b w:val="1"/>
                <w:bCs w:val="1"/>
                <w:color w:val="auto"/>
              </w:rPr>
              <w:t>October 31, 2020</w:t>
            </w:r>
          </w:p>
        </w:tc>
      </w:tr>
      <w:tr>
        <w:trPr>
          <w:trHeight w:val="230"/>
        </w:trPr>
        <w:tc>
          <w:tcPr>
            <w:tcW w:w="7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16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r>
      <w:tr>
        <w:trPr>
          <w:trHeight w:val="233"/>
        </w:trPr>
        <w:tc>
          <w:tcPr>
            <w:tcW w:w="7420" w:type="dxa"/>
            <w:vAlign w:val="bottom"/>
          </w:tcPr>
          <w:p>
            <w:pPr>
              <w:ind w:left="240"/>
              <w:spacing w:after="0"/>
              <w:rPr>
                <w:sz w:val="20"/>
                <w:szCs w:val="20"/>
                <w:color w:val="auto"/>
              </w:rPr>
            </w:pPr>
            <w:r>
              <w:rPr>
                <w:rFonts w:ascii="Arial" w:cs="Arial" w:eastAsia="Arial" w:hAnsi="Arial"/>
                <w:sz w:val="16"/>
                <w:szCs w:val="16"/>
                <w:color w:val="auto"/>
              </w:rPr>
              <w:t>Net income</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529,611</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217,242</w:t>
            </w:r>
          </w:p>
        </w:tc>
      </w:tr>
      <w:tr>
        <w:trPr>
          <w:trHeight w:val="253"/>
        </w:trPr>
        <w:tc>
          <w:tcPr>
            <w:tcW w:w="74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6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r>
      <w:tr>
        <w:trPr>
          <w:trHeight w:val="233"/>
        </w:trPr>
        <w:tc>
          <w:tcPr>
            <w:tcW w:w="7420" w:type="dxa"/>
            <w:vAlign w:val="bottom"/>
          </w:tcPr>
          <w:p>
            <w:pPr>
              <w:ind w:left="460"/>
              <w:spacing w:after="0"/>
              <w:rPr>
                <w:sz w:val="20"/>
                <w:szCs w:val="20"/>
                <w:color w:val="auto"/>
              </w:rPr>
            </w:pPr>
            <w:r>
              <w:rPr>
                <w:rFonts w:ascii="Arial" w:cs="Arial" w:eastAsia="Arial" w:hAnsi="Arial"/>
                <w:sz w:val="16"/>
                <w:szCs w:val="16"/>
                <w:color w:val="auto"/>
              </w:rPr>
              <w:t>Depreciation and amortization</w:t>
            </w:r>
          </w:p>
        </w:tc>
        <w:tc>
          <w:tcPr>
            <w:tcW w:w="1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77,767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79,718</w:t>
            </w:r>
          </w:p>
        </w:tc>
      </w:tr>
      <w:tr>
        <w:trPr>
          <w:trHeight w:val="253"/>
        </w:trPr>
        <w:tc>
          <w:tcPr>
            <w:tcW w:w="74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Non-cash lease expense</w:t>
            </w:r>
          </w:p>
        </w:tc>
        <w:tc>
          <w:tcPr>
            <w:tcW w:w="16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708</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14,870</w:t>
            </w:r>
          </w:p>
        </w:tc>
      </w:tr>
      <w:tr>
        <w:trPr>
          <w:trHeight w:val="233"/>
        </w:trPr>
        <w:tc>
          <w:tcPr>
            <w:tcW w:w="7420" w:type="dxa"/>
            <w:vAlign w:val="bottom"/>
          </w:tcPr>
          <w:p>
            <w:pPr>
              <w:ind w:left="460"/>
              <w:spacing w:after="0"/>
              <w:rPr>
                <w:sz w:val="20"/>
                <w:szCs w:val="20"/>
                <w:color w:val="auto"/>
              </w:rPr>
            </w:pPr>
            <w:r>
              <w:rPr>
                <w:rFonts w:ascii="Arial" w:cs="Arial" w:eastAsia="Arial" w:hAnsi="Arial"/>
                <w:sz w:val="16"/>
                <w:szCs w:val="16"/>
                <w:color w:val="auto"/>
              </w:rPr>
              <w:t>Equity compensation</w:t>
            </w:r>
          </w:p>
        </w:tc>
        <w:tc>
          <w:tcPr>
            <w:tcW w:w="1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36,126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27,049</w:t>
            </w:r>
          </w:p>
        </w:tc>
      </w:tr>
      <w:tr>
        <w:trPr>
          <w:trHeight w:val="253"/>
        </w:trPr>
        <w:tc>
          <w:tcPr>
            <w:tcW w:w="74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Amortization of terminated interest rate swaps, deferred loan and other costs</w:t>
            </w:r>
          </w:p>
        </w:tc>
        <w:tc>
          <w:tcPr>
            <w:tcW w:w="16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4,787</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2,734</w:t>
            </w:r>
          </w:p>
        </w:tc>
      </w:tr>
      <w:tr>
        <w:trPr>
          <w:trHeight w:val="233"/>
        </w:trPr>
        <w:tc>
          <w:tcPr>
            <w:tcW w:w="7420" w:type="dxa"/>
            <w:vAlign w:val="bottom"/>
          </w:tcPr>
          <w:p>
            <w:pPr>
              <w:ind w:left="460"/>
              <w:spacing w:after="0"/>
              <w:rPr>
                <w:sz w:val="20"/>
                <w:szCs w:val="20"/>
                <w:color w:val="auto"/>
              </w:rPr>
            </w:pPr>
            <w:r>
              <w:rPr>
                <w:rFonts w:ascii="Arial" w:cs="Arial" w:eastAsia="Arial" w:hAnsi="Arial"/>
                <w:sz w:val="16"/>
                <w:szCs w:val="16"/>
                <w:color w:val="auto"/>
              </w:rPr>
              <w:t>Loss on swaps from debt refinancing</w:t>
            </w:r>
          </w:p>
        </w:tc>
        <w:tc>
          <w:tcPr>
            <w:tcW w:w="160" w:type="dxa"/>
            <w:vAlign w:val="bottom"/>
          </w:tcPr>
          <w:p>
            <w:pPr>
              <w:spacing w:after="0"/>
              <w:rPr>
                <w:sz w:val="20"/>
                <w:szCs w:val="20"/>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1,330</w:t>
            </w:r>
          </w:p>
        </w:tc>
      </w:tr>
      <w:tr>
        <w:trPr>
          <w:trHeight w:val="253"/>
        </w:trPr>
        <w:tc>
          <w:tcPr>
            <w:tcW w:w="74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Deferred income taxes</w:t>
            </w:r>
          </w:p>
        </w:tc>
        <w:tc>
          <w:tcPr>
            <w:tcW w:w="16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48,991</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(11,739)</w:t>
            </w:r>
          </w:p>
        </w:tc>
      </w:tr>
      <w:tr>
        <w:trPr>
          <w:trHeight w:val="233"/>
        </w:trPr>
        <w:tc>
          <w:tcPr>
            <w:tcW w:w="7420" w:type="dxa"/>
            <w:vAlign w:val="bottom"/>
          </w:tcPr>
          <w:p>
            <w:pPr>
              <w:ind w:left="460"/>
              <w:spacing w:after="0"/>
              <w:rPr>
                <w:sz w:val="20"/>
                <w:szCs w:val="20"/>
                <w:color w:val="auto"/>
              </w:rPr>
            </w:pPr>
            <w:r>
              <w:rPr>
                <w:rFonts w:ascii="Arial" w:cs="Arial" w:eastAsia="Arial" w:hAnsi="Arial"/>
                <w:sz w:val="16"/>
                <w:szCs w:val="16"/>
                <w:color w:val="auto"/>
              </w:rPr>
              <w:t>Non-cash (gain) loss on early retirement of debt, net</w:t>
            </w:r>
          </w:p>
        </w:tc>
        <w:tc>
          <w:tcPr>
            <w:tcW w:w="1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2,239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(7,831)</w:t>
            </w:r>
          </w:p>
        </w:tc>
      </w:tr>
      <w:tr>
        <w:trPr>
          <w:trHeight w:val="253"/>
        </w:trPr>
        <w:tc>
          <w:tcPr>
            <w:tcW w:w="74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Casualty loss</w:t>
            </w:r>
          </w:p>
        </w:tc>
        <w:tc>
          <w:tcPr>
            <w:tcW w:w="16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r>
      <w:tr>
        <w:trPr>
          <w:trHeight w:val="233"/>
        </w:trPr>
        <w:tc>
          <w:tcPr>
            <w:tcW w:w="7420" w:type="dxa"/>
            <w:vAlign w:val="bottom"/>
          </w:tcPr>
          <w:p>
            <w:pPr>
              <w:ind w:left="460"/>
              <w:spacing w:after="0"/>
              <w:rPr>
                <w:sz w:val="20"/>
                <w:szCs w:val="20"/>
                <w:color w:val="auto"/>
              </w:rPr>
            </w:pPr>
            <w:r>
              <w:rPr>
                <w:rFonts w:ascii="Arial" w:cs="Arial" w:eastAsia="Arial" w:hAnsi="Arial"/>
                <w:sz w:val="16"/>
                <w:szCs w:val="16"/>
                <w:color w:val="auto"/>
              </w:rPr>
              <w:t>Changes in assets and liabilities:</w:t>
            </w:r>
          </w:p>
        </w:tc>
        <w:tc>
          <w:tcPr>
            <w:tcW w:w="1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53"/>
        </w:trPr>
        <w:tc>
          <w:tcPr>
            <w:tcW w:w="74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Accounts receivable, net</w:t>
            </w:r>
          </w:p>
        </w:tc>
        <w:tc>
          <w:tcPr>
            <w:tcW w:w="16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4,938</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2,121</w:t>
            </w:r>
          </w:p>
        </w:tc>
      </w:tr>
      <w:tr>
        <w:trPr>
          <w:trHeight w:val="233"/>
        </w:trPr>
        <w:tc>
          <w:tcPr>
            <w:tcW w:w="7420" w:type="dxa"/>
            <w:vAlign w:val="bottom"/>
          </w:tcPr>
          <w:p>
            <w:pPr>
              <w:ind w:left="680"/>
              <w:spacing w:after="0"/>
              <w:rPr>
                <w:sz w:val="20"/>
                <w:szCs w:val="20"/>
                <w:color w:val="auto"/>
              </w:rPr>
            </w:pPr>
            <w:r>
              <w:rPr>
                <w:rFonts w:ascii="Arial" w:cs="Arial" w:eastAsia="Arial" w:hAnsi="Arial"/>
                <w:sz w:val="16"/>
                <w:szCs w:val="16"/>
                <w:color w:val="auto"/>
              </w:rPr>
              <w:t>Merchandise inventories, net</w:t>
            </w:r>
          </w:p>
        </w:tc>
        <w:tc>
          <w:tcPr>
            <w:tcW w:w="1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(335,945)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16,727</w:t>
            </w:r>
          </w:p>
        </w:tc>
      </w:tr>
      <w:tr>
        <w:trPr>
          <w:trHeight w:val="253"/>
        </w:trPr>
        <w:tc>
          <w:tcPr>
            <w:tcW w:w="74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(16,177)</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(1,151)</w:t>
            </w:r>
          </w:p>
        </w:tc>
      </w:tr>
      <w:tr>
        <w:trPr>
          <w:trHeight w:val="233"/>
        </w:trPr>
        <w:tc>
          <w:tcPr>
            <w:tcW w:w="7420" w:type="dxa"/>
            <w:vAlign w:val="bottom"/>
          </w:tcPr>
          <w:p>
            <w:pPr>
              <w:ind w:left="680"/>
              <w:spacing w:after="0"/>
              <w:rPr>
                <w:sz w:val="20"/>
                <w:szCs w:val="20"/>
                <w:color w:val="auto"/>
              </w:rPr>
            </w:pPr>
            <w:r>
              <w:rPr>
                <w:rFonts w:ascii="Arial" w:cs="Arial" w:eastAsia="Arial" w:hAnsi="Arial"/>
                <w:sz w:val="16"/>
                <w:szCs w:val="16"/>
                <w:color w:val="auto"/>
              </w:rPr>
              <w:t>Other noncurrent assets</w:t>
            </w:r>
          </w:p>
        </w:tc>
        <w:tc>
          <w:tcPr>
            <w:tcW w:w="1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2,207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245</w:t>
            </w:r>
          </w:p>
        </w:tc>
      </w:tr>
      <w:tr>
        <w:trPr>
          <w:trHeight w:val="253"/>
        </w:trPr>
        <w:tc>
          <w:tcPr>
            <w:tcW w:w="74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Accounts payable</w:t>
            </w:r>
          </w:p>
        </w:tc>
        <w:tc>
          <w:tcPr>
            <w:tcW w:w="16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128,743</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439,682</w:t>
            </w:r>
          </w:p>
        </w:tc>
      </w:tr>
      <w:tr>
        <w:trPr>
          <w:trHeight w:val="233"/>
        </w:trPr>
        <w:tc>
          <w:tcPr>
            <w:tcW w:w="7420" w:type="dxa"/>
            <w:vAlign w:val="bottom"/>
          </w:tcPr>
          <w:p>
            <w:pPr>
              <w:ind w:left="680"/>
              <w:spacing w:after="0"/>
              <w:rPr>
                <w:sz w:val="20"/>
                <w:szCs w:val="20"/>
                <w:color w:val="auto"/>
              </w:rPr>
            </w:pPr>
            <w:r>
              <w:rPr>
                <w:rFonts w:ascii="Arial" w:cs="Arial" w:eastAsia="Arial" w:hAnsi="Arial"/>
                <w:sz w:val="16"/>
                <w:szCs w:val="16"/>
                <w:color w:val="auto"/>
              </w:rPr>
              <w:t>Accrued expenses and other current liabilities</w:t>
            </w:r>
          </w:p>
        </w:tc>
        <w:tc>
          <w:tcPr>
            <w:tcW w:w="1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34,683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44,733</w:t>
            </w:r>
          </w:p>
        </w:tc>
      </w:tr>
      <w:tr>
        <w:trPr>
          <w:trHeight w:val="253"/>
        </w:trPr>
        <w:tc>
          <w:tcPr>
            <w:tcW w:w="74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Income taxes payable</w:t>
            </w:r>
          </w:p>
        </w:tc>
        <w:tc>
          <w:tcPr>
            <w:tcW w:w="16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(1,830)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9,590</w:t>
            </w:r>
          </w:p>
        </w:tc>
      </w:tr>
      <w:tr>
        <w:trPr>
          <w:trHeight w:val="237"/>
        </w:trPr>
        <w:tc>
          <w:tcPr>
            <w:tcW w:w="742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Other long-term liabilities</w:t>
            </w:r>
          </w:p>
        </w:tc>
        <w:tc>
          <w:tcPr>
            <w:tcW w:w="1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(1,785)</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21,784</w:t>
            </w:r>
          </w:p>
        </w:tc>
      </w:tr>
      <w:tr>
        <w:trPr>
          <w:trHeight w:val="236"/>
        </w:trPr>
        <w:tc>
          <w:tcPr>
            <w:tcW w:w="7420" w:type="dxa"/>
            <w:vAlign w:val="bottom"/>
            <w:shd w:val="clear" w:color="auto" w:fill="CCEEFF"/>
          </w:tcPr>
          <w:p>
            <w:pPr>
              <w:ind w:left="900"/>
              <w:spacing w:after="0"/>
              <w:rPr>
                <w:sz w:val="20"/>
                <w:szCs w:val="20"/>
                <w:color w:val="auto"/>
              </w:rPr>
            </w:pPr>
            <w:r>
              <w:rPr>
                <w:rFonts w:ascii="Arial" w:cs="Arial" w:eastAsia="Arial" w:hAnsi="Arial"/>
                <w:sz w:val="16"/>
                <w:szCs w:val="16"/>
                <w:color w:val="auto"/>
              </w:rPr>
              <w:t>Net cash provided by operating activities</w:t>
            </w:r>
          </w:p>
        </w:tc>
        <w:tc>
          <w:tcPr>
            <w:tcW w:w="16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515,063</w:t>
            </w:r>
          </w:p>
        </w:tc>
        <w:tc>
          <w:tcPr>
            <w:tcW w:w="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857,218</w:t>
            </w:r>
          </w:p>
        </w:tc>
      </w:tr>
      <w:tr>
        <w:trPr>
          <w:trHeight w:val="203"/>
        </w:trPr>
        <w:tc>
          <w:tcPr>
            <w:tcW w:w="7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43"/>
        </w:trPr>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16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r>
      <w:tr>
        <w:trPr>
          <w:trHeight w:val="233"/>
        </w:trPr>
        <w:tc>
          <w:tcPr>
            <w:tcW w:w="7420" w:type="dxa"/>
            <w:vAlign w:val="bottom"/>
          </w:tcPr>
          <w:p>
            <w:pPr>
              <w:ind w:left="240"/>
              <w:spacing w:after="0"/>
              <w:rPr>
                <w:sz w:val="20"/>
                <w:szCs w:val="20"/>
                <w:color w:val="auto"/>
              </w:rPr>
            </w:pPr>
            <w:r>
              <w:rPr>
                <w:rFonts w:ascii="Arial" w:cs="Arial" w:eastAsia="Arial" w:hAnsi="Arial"/>
                <w:sz w:val="16"/>
                <w:szCs w:val="16"/>
                <w:color w:val="auto"/>
              </w:rPr>
              <w:t>Capital expenditures</w:t>
            </w:r>
          </w:p>
        </w:tc>
        <w:tc>
          <w:tcPr>
            <w:tcW w:w="1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(58,567)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(21,915)</w:t>
            </w:r>
          </w:p>
        </w:tc>
      </w:tr>
      <w:tr>
        <w:trPr>
          <w:trHeight w:val="253"/>
        </w:trPr>
        <w:tc>
          <w:tcPr>
            <w:tcW w:w="74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Purchases of intangible assets</w:t>
            </w:r>
          </w:p>
        </w:tc>
        <w:tc>
          <w:tcPr>
            <w:tcW w:w="16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(144)</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6"/>
        </w:trPr>
        <w:tc>
          <w:tcPr>
            <w:tcW w:w="7420" w:type="dxa"/>
            <w:vAlign w:val="bottom"/>
          </w:tcPr>
          <w:p>
            <w:pPr>
              <w:ind w:left="240"/>
              <w:spacing w:after="0"/>
              <w:rPr>
                <w:sz w:val="20"/>
                <w:szCs w:val="20"/>
                <w:color w:val="auto"/>
              </w:rPr>
            </w:pPr>
            <w:r>
              <w:rPr>
                <w:rFonts w:ascii="Arial" w:cs="Arial" w:eastAsia="Arial" w:hAnsi="Arial"/>
                <w:sz w:val="16"/>
                <w:szCs w:val="16"/>
                <w:color w:val="auto"/>
              </w:rPr>
              <w:t>Notes receivable from member</w:t>
            </w:r>
          </w:p>
        </w:tc>
        <w:tc>
          <w:tcPr>
            <w:tcW w:w="160" w:type="dxa"/>
            <w:vAlign w:val="bottom"/>
          </w:tcPr>
          <w:p>
            <w:pPr>
              <w:spacing w:after="0"/>
              <w:rPr>
                <w:sz w:val="20"/>
                <w:szCs w:val="20"/>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8,125</w:t>
            </w:r>
          </w:p>
        </w:tc>
      </w:tr>
      <w:tr>
        <w:trPr>
          <w:trHeight w:val="237"/>
        </w:trPr>
        <w:tc>
          <w:tcPr>
            <w:tcW w:w="7420" w:type="dxa"/>
            <w:vAlign w:val="bottom"/>
            <w:tcBorders>
              <w:top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Net cash used in investing activities</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(58,711)</w:t>
            </w:r>
          </w:p>
        </w:tc>
        <w:tc>
          <w:tcPr>
            <w:tcW w:w="8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(13,790)</w:t>
            </w:r>
          </w:p>
        </w:tc>
      </w:tr>
      <w:tr>
        <w:trPr>
          <w:trHeight w:val="203"/>
        </w:trPr>
        <w:tc>
          <w:tcPr>
            <w:tcW w:w="7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43"/>
        </w:trPr>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16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r>
      <w:tr>
        <w:trPr>
          <w:trHeight w:val="233"/>
        </w:trPr>
        <w:tc>
          <w:tcPr>
            <w:tcW w:w="7420" w:type="dxa"/>
            <w:vAlign w:val="bottom"/>
          </w:tcPr>
          <w:p>
            <w:pPr>
              <w:ind w:left="240"/>
              <w:spacing w:after="0"/>
              <w:rPr>
                <w:sz w:val="20"/>
                <w:szCs w:val="20"/>
                <w:color w:val="auto"/>
              </w:rPr>
            </w:pPr>
            <w:r>
              <w:rPr>
                <w:rFonts w:ascii="Arial" w:cs="Arial" w:eastAsia="Arial" w:hAnsi="Arial"/>
                <w:sz w:val="16"/>
                <w:szCs w:val="16"/>
                <w:color w:val="auto"/>
              </w:rPr>
              <w:t>Proceeds from ABL Facility</w:t>
            </w:r>
          </w:p>
        </w:tc>
        <w:tc>
          <w:tcPr>
            <w:tcW w:w="160" w:type="dxa"/>
            <w:vAlign w:val="bottom"/>
          </w:tcPr>
          <w:p>
            <w:pPr>
              <w:spacing w:after="0"/>
              <w:rPr>
                <w:sz w:val="20"/>
                <w:szCs w:val="20"/>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500,000</w:t>
            </w:r>
          </w:p>
        </w:tc>
      </w:tr>
      <w:tr>
        <w:trPr>
          <w:trHeight w:val="253"/>
        </w:trPr>
        <w:tc>
          <w:tcPr>
            <w:tcW w:w="74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Repayment of ABL Facility</w:t>
            </w:r>
          </w:p>
        </w:tc>
        <w:tc>
          <w:tcPr>
            <w:tcW w:w="16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w:t>
            </w:r>
          </w:p>
        </w:tc>
      </w:tr>
      <w:tr>
        <w:trPr>
          <w:trHeight w:val="233"/>
        </w:trPr>
        <w:tc>
          <w:tcPr>
            <w:tcW w:w="7420" w:type="dxa"/>
            <w:vAlign w:val="bottom"/>
          </w:tcPr>
          <w:p>
            <w:pPr>
              <w:ind w:left="240"/>
              <w:spacing w:after="0"/>
              <w:rPr>
                <w:sz w:val="20"/>
                <w:szCs w:val="20"/>
                <w:color w:val="auto"/>
              </w:rPr>
            </w:pPr>
            <w:r>
              <w:rPr>
                <w:rFonts w:ascii="Arial" w:cs="Arial" w:eastAsia="Arial" w:hAnsi="Arial"/>
                <w:sz w:val="16"/>
                <w:szCs w:val="16"/>
                <w:color w:val="auto"/>
              </w:rPr>
              <w:t>Repayment of Term Loan</w:t>
            </w:r>
          </w:p>
        </w:tc>
        <w:tc>
          <w:tcPr>
            <w:tcW w:w="1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(101,500)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(29,653)</w:t>
            </w:r>
          </w:p>
        </w:tc>
      </w:tr>
      <w:tr>
        <w:trPr>
          <w:trHeight w:val="253"/>
        </w:trPr>
        <w:tc>
          <w:tcPr>
            <w:tcW w:w="74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Debt issuance fees</w:t>
            </w:r>
          </w:p>
        </w:tc>
        <w:tc>
          <w:tcPr>
            <w:tcW w:w="16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(927)</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w:t>
            </w:r>
          </w:p>
        </w:tc>
      </w:tr>
      <w:tr>
        <w:trPr>
          <w:trHeight w:val="233"/>
        </w:trPr>
        <w:tc>
          <w:tcPr>
            <w:tcW w:w="7420" w:type="dxa"/>
            <w:vAlign w:val="bottom"/>
          </w:tcPr>
          <w:p>
            <w:pPr>
              <w:ind w:left="240"/>
              <w:spacing w:after="0"/>
              <w:rPr>
                <w:sz w:val="20"/>
                <w:szCs w:val="20"/>
                <w:color w:val="auto"/>
              </w:rPr>
            </w:pPr>
            <w:r>
              <w:rPr>
                <w:rFonts w:ascii="Arial" w:cs="Arial" w:eastAsia="Arial" w:hAnsi="Arial"/>
                <w:sz w:val="16"/>
                <w:szCs w:val="16"/>
                <w:color w:val="auto"/>
              </w:rPr>
              <w:t>Share-Based Award Payments</w:t>
            </w:r>
          </w:p>
        </w:tc>
        <w:tc>
          <w:tcPr>
            <w:tcW w:w="1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(11,214)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(20,724)</w:t>
            </w:r>
          </w:p>
        </w:tc>
      </w:tr>
      <w:tr>
        <w:trPr>
          <w:trHeight w:val="253"/>
        </w:trPr>
        <w:tc>
          <w:tcPr>
            <w:tcW w:w="74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Distribution</w:t>
            </w:r>
          </w:p>
        </w:tc>
        <w:tc>
          <w:tcPr>
            <w:tcW w:w="16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(257,000)</w:t>
            </w:r>
          </w:p>
        </w:tc>
      </w:tr>
      <w:tr>
        <w:trPr>
          <w:trHeight w:val="233"/>
        </w:trPr>
        <w:tc>
          <w:tcPr>
            <w:tcW w:w="7420" w:type="dxa"/>
            <w:vAlign w:val="bottom"/>
          </w:tcPr>
          <w:p>
            <w:pPr>
              <w:ind w:left="240"/>
              <w:spacing w:after="0"/>
              <w:rPr>
                <w:sz w:val="20"/>
                <w:szCs w:val="20"/>
                <w:color w:val="auto"/>
              </w:rPr>
            </w:pPr>
            <w:r>
              <w:rPr>
                <w:rFonts w:ascii="Arial" w:cs="Arial" w:eastAsia="Arial" w:hAnsi="Arial"/>
                <w:sz w:val="16"/>
                <w:szCs w:val="16"/>
                <w:color w:val="auto"/>
              </w:rPr>
              <w:t>Proceeds from issuance of common stock, net of Offering Costs</w:t>
            </w:r>
          </w:p>
        </w:tc>
        <w:tc>
          <w:tcPr>
            <w:tcW w:w="160" w:type="dxa"/>
            <w:vAlign w:val="bottom"/>
          </w:tcPr>
          <w:p>
            <w:pPr>
              <w:spacing w:after="0"/>
              <w:rPr>
                <w:sz w:val="20"/>
                <w:szCs w:val="20"/>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184,882</w:t>
            </w:r>
          </w:p>
        </w:tc>
      </w:tr>
      <w:tr>
        <w:trPr>
          <w:trHeight w:val="253"/>
        </w:trPr>
        <w:tc>
          <w:tcPr>
            <w:tcW w:w="74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Proceeds from exercise of stock options</w:t>
            </w:r>
          </w:p>
        </w:tc>
        <w:tc>
          <w:tcPr>
            <w:tcW w:w="16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41,292</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7420" w:type="dxa"/>
            <w:vAlign w:val="bottom"/>
          </w:tcPr>
          <w:p>
            <w:pPr>
              <w:ind w:left="240"/>
              <w:spacing w:after="0"/>
              <w:rPr>
                <w:sz w:val="20"/>
                <w:szCs w:val="20"/>
                <w:color w:val="auto"/>
              </w:rPr>
            </w:pPr>
            <w:r>
              <w:rPr>
                <w:rFonts w:ascii="Arial" w:cs="Arial" w:eastAsia="Arial" w:hAnsi="Arial"/>
                <w:sz w:val="16"/>
                <w:szCs w:val="16"/>
                <w:color w:val="auto"/>
              </w:rPr>
              <w:t>Proceeds from issuance of common stock under employee stock purchase program</w:t>
            </w:r>
          </w:p>
        </w:tc>
        <w:tc>
          <w:tcPr>
            <w:tcW w:w="1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945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3"/>
        </w:trPr>
        <w:tc>
          <w:tcPr>
            <w:tcW w:w="74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Taxes paid related to net share settlement of equity awards</w:t>
            </w:r>
          </w:p>
        </w:tc>
        <w:tc>
          <w:tcPr>
            <w:tcW w:w="16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(15,418)</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7420" w:type="dxa"/>
            <w:vAlign w:val="bottom"/>
          </w:tcPr>
          <w:p>
            <w:pPr>
              <w:ind w:left="240"/>
              <w:spacing w:after="0"/>
              <w:rPr>
                <w:sz w:val="20"/>
                <w:szCs w:val="20"/>
                <w:color w:val="auto"/>
              </w:rPr>
            </w:pPr>
            <w:r>
              <w:rPr>
                <w:rFonts w:ascii="Arial" w:cs="Arial" w:eastAsia="Arial" w:hAnsi="Arial"/>
                <w:sz w:val="16"/>
                <w:szCs w:val="16"/>
                <w:color w:val="auto"/>
              </w:rPr>
              <w:t>Repurchase of common stock for retirement</w:t>
            </w:r>
          </w:p>
        </w:tc>
        <w:tc>
          <w:tcPr>
            <w:tcW w:w="1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(345,837)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6"/>
        </w:trPr>
        <w:tc>
          <w:tcPr>
            <w:tcW w:w="74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Repurchase of Redeemable Membership Units</w:t>
            </w:r>
          </w:p>
        </w:tc>
        <w:tc>
          <w:tcPr>
            <w:tcW w:w="16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r>
      <w:tr>
        <w:trPr>
          <w:trHeight w:val="236"/>
        </w:trPr>
        <w:tc>
          <w:tcPr>
            <w:tcW w:w="7420" w:type="dxa"/>
            <w:vAlign w:val="bottom"/>
            <w:tcBorders>
              <w:bottom w:val="single" w:sz="8" w:color="CCEEFF"/>
            </w:tcBorders>
          </w:tcPr>
          <w:p>
            <w:pPr>
              <w:ind w:left="900"/>
              <w:spacing w:after="0"/>
              <w:rPr>
                <w:sz w:val="20"/>
                <w:szCs w:val="20"/>
                <w:color w:val="auto"/>
              </w:rPr>
            </w:pPr>
            <w:r>
              <w:rPr>
                <w:rFonts w:ascii="Arial" w:cs="Arial" w:eastAsia="Arial" w:hAnsi="Arial"/>
                <w:sz w:val="16"/>
                <w:szCs w:val="16"/>
                <w:color w:val="auto"/>
              </w:rPr>
              <w:t>Net cash used in financing activities</w:t>
            </w:r>
          </w:p>
        </w:tc>
        <w:tc>
          <w:tcPr>
            <w:tcW w:w="160" w:type="dxa"/>
            <w:vAlign w:val="bottom"/>
            <w:tcBorders>
              <w:top w:val="single" w:sz="8" w:color="auto"/>
              <w:bottom w:val="single" w:sz="8" w:color="auto"/>
            </w:tcBorders>
          </w:tcPr>
          <w:p>
            <w:pPr>
              <w:spacing w:after="0"/>
              <w:rPr>
                <w:sz w:val="20"/>
                <w:szCs w:val="20"/>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(432,659)</w:t>
            </w:r>
          </w:p>
        </w:tc>
        <w:tc>
          <w:tcPr>
            <w:tcW w:w="8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(123,088)</w:t>
            </w:r>
          </w:p>
        </w:tc>
      </w:tr>
      <w:tr>
        <w:trPr>
          <w:trHeight w:val="203"/>
        </w:trPr>
        <w:tc>
          <w:tcPr>
            <w:tcW w:w="7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233"/>
        </w:trPr>
        <w:tc>
          <w:tcPr>
            <w:tcW w:w="7420" w:type="dxa"/>
            <w:vAlign w:val="bottom"/>
          </w:tcPr>
          <w:p>
            <w:pPr>
              <w:ind w:left="20"/>
              <w:spacing w:after="0"/>
              <w:rPr>
                <w:sz w:val="20"/>
                <w:szCs w:val="20"/>
                <w:color w:val="auto"/>
              </w:rPr>
            </w:pPr>
            <w:r>
              <w:rPr>
                <w:rFonts w:ascii="Arial" w:cs="Arial" w:eastAsia="Arial" w:hAnsi="Arial"/>
                <w:sz w:val="16"/>
                <w:szCs w:val="16"/>
                <w:color w:val="auto"/>
              </w:rPr>
              <w:t>NET INCREASE IN CASH AND CASH EQUIVALENTS</w:t>
            </w:r>
          </w:p>
        </w:tc>
        <w:tc>
          <w:tcPr>
            <w:tcW w:w="1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23,693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720,340</w:t>
            </w:r>
          </w:p>
        </w:tc>
      </w:tr>
      <w:tr>
        <w:trPr>
          <w:trHeight w:val="246"/>
        </w:trPr>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16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377,604</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149,385</w:t>
            </w:r>
          </w:p>
        </w:tc>
      </w:tr>
      <w:tr>
        <w:trPr>
          <w:trHeight w:val="243"/>
        </w:trPr>
        <w:tc>
          <w:tcPr>
            <w:tcW w:w="7420" w:type="dxa"/>
            <w:vAlign w:val="bottom"/>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401,297</w:t>
            </w:r>
          </w:p>
        </w:tc>
        <w:tc>
          <w:tcPr>
            <w:tcW w:w="8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869,725</w:t>
            </w:r>
          </w:p>
        </w:tc>
      </w:tr>
      <w:tr>
        <w:trPr>
          <w:trHeight w:val="21"/>
        </w:trPr>
        <w:tc>
          <w:tcPr>
            <w:tcW w:w="7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000"/>
          </w:cols>
          <w:pgMar w:left="440" w:top="765" w:right="459" w:bottom="1440" w:gutter="0" w:footer="0" w:header="0"/>
        </w:sect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000"/>
          </w:cols>
          <w:pgMar w:left="440" w:top="765" w:right="45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ACADEMY SPORTS AND OUTDOORS,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RECONCILIATIONS OF NON-GAAP TO GAAP FINANCIAL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 and Adjusted EBIT</w:t>
      </w:r>
    </w:p>
    <w:p>
      <w:pPr>
        <w:spacing w:after="0" w:line="18" w:lineRule="exact"/>
        <w:rPr>
          <w:sz w:val="20"/>
          <w:szCs w:val="20"/>
          <w:color w:val="auto"/>
        </w:rPr>
      </w:pPr>
    </w:p>
    <w:p>
      <w:pPr>
        <w:jc w:val="both"/>
        <w:ind w:firstLine="324"/>
        <w:spacing w:after="0" w:line="222" w:lineRule="auto"/>
        <w:rPr>
          <w:sz w:val="20"/>
          <w:szCs w:val="20"/>
          <w:color w:val="auto"/>
        </w:rPr>
      </w:pPr>
      <w:r>
        <w:rPr>
          <w:rFonts w:ascii="Arial" w:cs="Arial" w:eastAsia="Arial" w:hAnsi="Arial"/>
          <w:sz w:val="18"/>
          <w:szCs w:val="18"/>
          <w:color w:val="auto"/>
        </w:rPr>
        <w:t>We define “Adjusted EBITDA” as net income (loss) before interest expense, net, income tax expense and depreciation and amortization, further adjusted to exclude consulting fees, private equity sponsor monitoring fees, equity compensation expense, (gain) loss on early retirement of debt, net, severance and executive transition costs, costs related to the COVID-19 pandemic, payroll taxes associated with a vesting event, as a result of a secondary offering, of certain time and performance-based equity awards, both of which occurred in May 2021 (the “2021 Vesting Event”) and other adjustments. We define “Adjusted EBIT” as net income (loss) before interest expense, net, and income tax expense, further adjusted to exclude consulting fees, private equity sponsor monitoring fees, equity compensation expense, (gain) loss on early retirement of debt, net, severance and executive transition costs, costs related to the COVID-19 pandemic, payroll taxes associated with the 2021 Vesting Event and other adjustments. We describe these adjustments reconciling net income (loss) to Adjusted EBITDA and Adjusted EBIT in the following table.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280" w:type="dxa"/>
            <w:vAlign w:val="bottom"/>
            <w:tcBorders>
              <w:bottom w:val="single" w:sz="8" w:color="auto"/>
            </w:tcBorders>
            <w:gridSpan w:val="4"/>
          </w:tcPr>
          <w:p>
            <w:pPr>
              <w:jc w:val="right"/>
              <w:ind w:right="759"/>
              <w:spacing w:after="0"/>
              <w:rPr>
                <w:sz w:val="20"/>
                <w:szCs w:val="20"/>
                <w:color w:val="auto"/>
              </w:rPr>
            </w:pPr>
            <w:r>
              <w:rPr>
                <w:rFonts w:ascii="Arial" w:cs="Arial" w:eastAsia="Arial" w:hAnsi="Arial"/>
                <w:sz w:val="16"/>
                <w:szCs w:val="16"/>
                <w:b w:val="1"/>
                <w:bCs w:val="1"/>
                <w:color w:val="auto"/>
              </w:rPr>
              <w:t>Thirteen Weeks Ended</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260" w:type="dxa"/>
            <w:vAlign w:val="bottom"/>
            <w:tcBorders>
              <w:bottom w:val="single" w:sz="8" w:color="auto"/>
            </w:tcBorders>
            <w:gridSpan w:val="4"/>
          </w:tcPr>
          <w:p>
            <w:pPr>
              <w:jc w:val="right"/>
              <w:ind w:right="659"/>
              <w:spacing w:after="0"/>
              <w:rPr>
                <w:sz w:val="20"/>
                <w:szCs w:val="20"/>
                <w:color w:val="auto"/>
              </w:rPr>
            </w:pPr>
            <w:r>
              <w:rPr>
                <w:rFonts w:ascii="Arial" w:cs="Arial" w:eastAsia="Arial" w:hAnsi="Arial"/>
                <w:sz w:val="16"/>
                <w:szCs w:val="16"/>
                <w:b w:val="1"/>
                <w:bCs w:val="1"/>
                <w:color w:val="auto"/>
              </w:rPr>
              <w:t>Thirty-Nine Weeks Ended</w:t>
            </w:r>
          </w:p>
        </w:tc>
      </w:tr>
      <w:tr>
        <w:trPr>
          <w:trHeight w:val="237"/>
        </w:trPr>
        <w:tc>
          <w:tcPr>
            <w:tcW w:w="4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gridSpan w:val="2"/>
          </w:tcPr>
          <w:p>
            <w:pPr>
              <w:ind w:left="40"/>
              <w:spacing w:after="0"/>
              <w:rPr>
                <w:sz w:val="20"/>
                <w:szCs w:val="20"/>
                <w:color w:val="auto"/>
              </w:rPr>
            </w:pPr>
            <w:r>
              <w:rPr>
                <w:rFonts w:ascii="Arial" w:cs="Arial" w:eastAsia="Arial" w:hAnsi="Arial"/>
                <w:sz w:val="16"/>
                <w:szCs w:val="16"/>
                <w:b w:val="1"/>
                <w:bCs w:val="1"/>
                <w:color w:val="auto"/>
              </w:rPr>
              <w:t>October 30, 2021</w:t>
            </w:r>
          </w:p>
        </w:tc>
        <w:tc>
          <w:tcPr>
            <w:tcW w:w="160" w:type="dxa"/>
            <w:vAlign w:val="bottom"/>
          </w:tcPr>
          <w:p>
            <w:pPr>
              <w:spacing w:after="0"/>
              <w:rPr>
                <w:sz w:val="20"/>
                <w:szCs w:val="20"/>
                <w:color w:val="auto"/>
              </w:rPr>
            </w:pPr>
          </w:p>
        </w:tc>
        <w:tc>
          <w:tcPr>
            <w:tcW w:w="1600" w:type="dxa"/>
            <w:vAlign w:val="bottom"/>
            <w:gridSpan w:val="2"/>
          </w:tcPr>
          <w:p>
            <w:pPr>
              <w:ind w:left="40"/>
              <w:spacing w:after="0"/>
              <w:rPr>
                <w:sz w:val="20"/>
                <w:szCs w:val="20"/>
                <w:color w:val="auto"/>
              </w:rPr>
            </w:pPr>
            <w:r>
              <w:rPr>
                <w:rFonts w:ascii="Arial" w:cs="Arial" w:eastAsia="Arial" w:hAnsi="Arial"/>
                <w:sz w:val="16"/>
                <w:szCs w:val="16"/>
                <w:b w:val="1"/>
                <w:bCs w:val="1"/>
                <w:color w:val="auto"/>
              </w:rPr>
              <w:t>October 31, 2020</w:t>
            </w:r>
          </w:p>
        </w:tc>
        <w:tc>
          <w:tcPr>
            <w:tcW w:w="160" w:type="dxa"/>
            <w:vAlign w:val="bottom"/>
          </w:tcPr>
          <w:p>
            <w:pPr>
              <w:spacing w:after="0"/>
              <w:rPr>
                <w:sz w:val="20"/>
                <w:szCs w:val="20"/>
                <w:color w:val="auto"/>
              </w:rPr>
            </w:pPr>
          </w:p>
        </w:tc>
        <w:tc>
          <w:tcPr>
            <w:tcW w:w="1600" w:type="dxa"/>
            <w:vAlign w:val="bottom"/>
            <w:gridSpan w:val="2"/>
          </w:tcPr>
          <w:p>
            <w:pPr>
              <w:ind w:left="40"/>
              <w:spacing w:after="0"/>
              <w:rPr>
                <w:sz w:val="20"/>
                <w:szCs w:val="20"/>
                <w:color w:val="auto"/>
              </w:rPr>
            </w:pPr>
            <w:r>
              <w:rPr>
                <w:rFonts w:ascii="Arial" w:cs="Arial" w:eastAsia="Arial" w:hAnsi="Arial"/>
                <w:sz w:val="16"/>
                <w:szCs w:val="16"/>
                <w:b w:val="1"/>
                <w:bCs w:val="1"/>
                <w:color w:val="auto"/>
              </w:rPr>
              <w:t>October 30, 2021</w:t>
            </w:r>
          </w:p>
        </w:tc>
        <w:tc>
          <w:tcPr>
            <w:tcW w:w="140" w:type="dxa"/>
            <w:vAlign w:val="bottom"/>
          </w:tcPr>
          <w:p>
            <w:pPr>
              <w:spacing w:after="0"/>
              <w:rPr>
                <w:sz w:val="20"/>
                <w:szCs w:val="20"/>
                <w:color w:val="auto"/>
              </w:rPr>
            </w:pPr>
          </w:p>
        </w:tc>
        <w:tc>
          <w:tcPr>
            <w:tcW w:w="1520" w:type="dxa"/>
            <w:vAlign w:val="bottom"/>
          </w:tcPr>
          <w:p>
            <w:pPr>
              <w:jc w:val="right"/>
              <w:ind w:right="99"/>
              <w:spacing w:after="0"/>
              <w:rPr>
                <w:sz w:val="20"/>
                <w:szCs w:val="20"/>
                <w:color w:val="auto"/>
              </w:rPr>
            </w:pPr>
            <w:r>
              <w:rPr>
                <w:rFonts w:ascii="Arial" w:cs="Arial" w:eastAsia="Arial" w:hAnsi="Arial"/>
                <w:sz w:val="16"/>
                <w:szCs w:val="16"/>
                <w:b w:val="1"/>
                <w:bCs w:val="1"/>
                <w:color w:val="auto"/>
              </w:rPr>
              <w:t>October 31, 2020</w:t>
            </w:r>
          </w:p>
        </w:tc>
      </w:tr>
      <w:tr>
        <w:trPr>
          <w:trHeight w:val="243"/>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161,305</w:t>
            </w:r>
          </w:p>
        </w:tc>
        <w:tc>
          <w:tcPr>
            <w:tcW w:w="8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59,586</w:t>
            </w:r>
          </w:p>
        </w:tc>
        <w:tc>
          <w:tcPr>
            <w:tcW w:w="8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529,611</w:t>
            </w:r>
          </w:p>
        </w:tc>
        <w:tc>
          <w:tcPr>
            <w:tcW w:w="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217,242</w:t>
            </w:r>
          </w:p>
        </w:tc>
      </w:tr>
      <w:tr>
        <w:trPr>
          <w:trHeight w:val="233"/>
        </w:trPr>
        <w:tc>
          <w:tcPr>
            <w:tcW w:w="432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11,424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22,399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38,130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70,487</w:t>
            </w:r>
          </w:p>
        </w:tc>
      </w:tr>
      <w:tr>
        <w:trPr>
          <w:trHeight w:val="253"/>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14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43,998</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(1,193)</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141,511</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w:t>
            </w:r>
          </w:p>
        </w:tc>
      </w:tr>
      <w:tr>
        <w:trPr>
          <w:trHeight w:val="233"/>
        </w:trPr>
        <w:tc>
          <w:tcPr>
            <w:tcW w:w="432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26,459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25,567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77,767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79,718</w:t>
            </w:r>
          </w:p>
        </w:tc>
      </w:tr>
      <w:tr>
        <w:trPr>
          <w:trHeight w:val="253"/>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Consulting fees (a)</w:t>
            </w:r>
          </w:p>
        </w:tc>
        <w:tc>
          <w:tcPr>
            <w:tcW w:w="14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w:t>
            </w:r>
          </w:p>
        </w:tc>
      </w:tr>
      <w:tr>
        <w:trPr>
          <w:trHeight w:val="233"/>
        </w:trPr>
        <w:tc>
          <w:tcPr>
            <w:tcW w:w="4320" w:type="dxa"/>
            <w:vAlign w:val="bottom"/>
          </w:tcPr>
          <w:p>
            <w:pPr>
              <w:ind w:left="20"/>
              <w:spacing w:after="0"/>
              <w:rPr>
                <w:sz w:val="20"/>
                <w:szCs w:val="20"/>
                <w:color w:val="auto"/>
              </w:rPr>
            </w:pPr>
            <w:r>
              <w:rPr>
                <w:rFonts w:ascii="Arial" w:cs="Arial" w:eastAsia="Arial" w:hAnsi="Arial"/>
                <w:sz w:val="16"/>
                <w:szCs w:val="16"/>
                <w:color w:val="auto"/>
              </w:rPr>
              <w:t>Private equity sponsor monitoring fee (b)</w:t>
            </w:r>
          </w:p>
        </w:tc>
        <w:tc>
          <w:tcPr>
            <w:tcW w:w="140" w:type="dxa"/>
            <w:vAlign w:val="bottom"/>
          </w:tcPr>
          <w:p>
            <w:pPr>
              <w:spacing w:after="0"/>
              <w:rPr>
                <w:sz w:val="20"/>
                <w:szCs w:val="20"/>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12,953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14,793</w:t>
            </w:r>
          </w:p>
        </w:tc>
      </w:tr>
      <w:tr>
        <w:trPr>
          <w:trHeight w:val="253"/>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compensation (c)</w:t>
            </w:r>
          </w:p>
        </w:tc>
        <w:tc>
          <w:tcPr>
            <w:tcW w:w="14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2,921</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23,359</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36,126</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27,049</w:t>
            </w:r>
          </w:p>
        </w:tc>
      </w:tr>
      <w:tr>
        <w:trPr>
          <w:trHeight w:val="233"/>
        </w:trPr>
        <w:tc>
          <w:tcPr>
            <w:tcW w:w="4320" w:type="dxa"/>
            <w:vAlign w:val="bottom"/>
          </w:tcPr>
          <w:p>
            <w:pPr>
              <w:ind w:left="20"/>
              <w:spacing w:after="0"/>
              <w:rPr>
                <w:sz w:val="20"/>
                <w:szCs w:val="20"/>
                <w:color w:val="auto"/>
              </w:rPr>
            </w:pPr>
            <w:r>
              <w:rPr>
                <w:rFonts w:ascii="Arial" w:cs="Arial" w:eastAsia="Arial" w:hAnsi="Arial"/>
                <w:sz w:val="16"/>
                <w:szCs w:val="16"/>
                <w:color w:val="auto"/>
              </w:rPr>
              <w:t>(Gain) loss on early retirement of debt, net</w:t>
            </w:r>
          </w:p>
        </w:tc>
        <w:tc>
          <w:tcPr>
            <w:tcW w:w="140" w:type="dxa"/>
            <w:vAlign w:val="bottom"/>
          </w:tcPr>
          <w:p>
            <w:pPr>
              <w:spacing w:after="0"/>
              <w:rPr>
                <w:sz w:val="20"/>
                <w:szCs w:val="20"/>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20"/>
                <w:szCs w:val="20"/>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2,239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(7,831)</w:t>
            </w:r>
          </w:p>
        </w:tc>
      </w:tr>
      <w:tr>
        <w:trPr>
          <w:trHeight w:val="253"/>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Severance and executive transition costs (d)</w:t>
            </w:r>
          </w:p>
        </w:tc>
        <w:tc>
          <w:tcPr>
            <w:tcW w:w="14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4,137</w:t>
            </w:r>
          </w:p>
        </w:tc>
      </w:tr>
      <w:tr>
        <w:trPr>
          <w:trHeight w:val="233"/>
        </w:trPr>
        <w:tc>
          <w:tcPr>
            <w:tcW w:w="4320" w:type="dxa"/>
            <w:vAlign w:val="bottom"/>
          </w:tcPr>
          <w:p>
            <w:pPr>
              <w:ind w:left="20"/>
              <w:spacing w:after="0"/>
              <w:rPr>
                <w:sz w:val="20"/>
                <w:szCs w:val="20"/>
                <w:color w:val="auto"/>
              </w:rPr>
            </w:pPr>
            <w:r>
              <w:rPr>
                <w:rFonts w:ascii="Arial" w:cs="Arial" w:eastAsia="Arial" w:hAnsi="Arial"/>
                <w:sz w:val="16"/>
                <w:szCs w:val="16"/>
                <w:color w:val="auto"/>
              </w:rPr>
              <w:t>Costs related to the COVID-19 pandemic (e)</w:t>
            </w:r>
          </w:p>
        </w:tc>
        <w:tc>
          <w:tcPr>
            <w:tcW w:w="140" w:type="dxa"/>
            <w:vAlign w:val="bottom"/>
          </w:tcPr>
          <w:p>
            <w:pPr>
              <w:spacing w:after="0"/>
              <w:rPr>
                <w:sz w:val="20"/>
                <w:szCs w:val="20"/>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20"/>
                <w:szCs w:val="20"/>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17,632</w:t>
            </w:r>
          </w:p>
        </w:tc>
      </w:tr>
      <w:tr>
        <w:trPr>
          <w:trHeight w:val="253"/>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Payroll taxes associated with the 2021 Vesting Event (f)</w:t>
            </w:r>
          </w:p>
        </w:tc>
        <w:tc>
          <w:tcPr>
            <w:tcW w:w="14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15,418</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(g)</w:t>
            </w:r>
          </w:p>
        </w:tc>
        <w:tc>
          <w:tcPr>
            <w:tcW w:w="1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595</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2,965</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1,309</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4,894</w:t>
            </w:r>
          </w:p>
        </w:tc>
      </w:tr>
      <w:tr>
        <w:trPr>
          <w:trHeight w:val="236"/>
        </w:trPr>
        <w:tc>
          <w:tcPr>
            <w:tcW w:w="43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Adjusted 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246,702</w:t>
            </w:r>
          </w:p>
        </w:tc>
        <w:tc>
          <w:tcPr>
            <w:tcW w:w="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145,738</w:t>
            </w:r>
          </w:p>
        </w:tc>
        <w:tc>
          <w:tcPr>
            <w:tcW w:w="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842,111</w:t>
            </w:r>
          </w:p>
        </w:tc>
        <w:tc>
          <w:tcPr>
            <w:tcW w:w="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428,640</w:t>
            </w:r>
          </w:p>
        </w:tc>
      </w:tr>
      <w:tr>
        <w:trPr>
          <w:trHeight w:val="237"/>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Depreciation and amortization</w:t>
            </w:r>
          </w:p>
        </w:tc>
        <w:tc>
          <w:tcPr>
            <w:tcW w:w="1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(26,459)</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(25,567)</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(77,767)</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(79,718)</w:t>
            </w:r>
          </w:p>
        </w:tc>
      </w:tr>
      <w:tr>
        <w:trPr>
          <w:trHeight w:val="241"/>
        </w:trPr>
        <w:tc>
          <w:tcPr>
            <w:tcW w:w="43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Adjusted EBIT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220,243</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120,171</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764,344</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348,922</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400" w:hanging="374"/>
        <w:spacing w:after="0"/>
        <w:tabs>
          <w:tab w:leader="none" w:pos="400" w:val="left"/>
        </w:tabs>
        <w:numPr>
          <w:ilvl w:val="0"/>
          <w:numId w:val="4"/>
        </w:numPr>
        <w:rPr>
          <w:rFonts w:ascii="Arial" w:cs="Arial" w:eastAsia="Arial" w:hAnsi="Arial"/>
          <w:sz w:val="13"/>
          <w:szCs w:val="13"/>
          <w:color w:val="auto"/>
        </w:rPr>
      </w:pPr>
      <w:r>
        <w:rPr>
          <w:rFonts w:ascii="Arial" w:cs="Arial" w:eastAsia="Arial" w:hAnsi="Arial"/>
          <w:sz w:val="13"/>
          <w:szCs w:val="13"/>
          <w:color w:val="auto"/>
        </w:rPr>
        <w:t>Represents outside consulting fees associated with our strategic cost savings and business optimization initiatives.</w:t>
      </w:r>
    </w:p>
    <w:p>
      <w:pPr>
        <w:spacing w:after="0" w:line="53" w:lineRule="exact"/>
        <w:rPr>
          <w:rFonts w:ascii="Arial" w:cs="Arial" w:eastAsia="Arial" w:hAnsi="Arial"/>
          <w:sz w:val="13"/>
          <w:szCs w:val="13"/>
          <w:color w:val="auto"/>
        </w:rPr>
      </w:pPr>
    </w:p>
    <w:p>
      <w:pPr>
        <w:ind w:left="400" w:hanging="374"/>
        <w:spacing w:after="0"/>
        <w:tabs>
          <w:tab w:leader="none" w:pos="400" w:val="left"/>
        </w:tabs>
        <w:numPr>
          <w:ilvl w:val="0"/>
          <w:numId w:val="4"/>
        </w:numPr>
        <w:rPr>
          <w:rFonts w:ascii="Arial" w:cs="Arial" w:eastAsia="Arial" w:hAnsi="Arial"/>
          <w:sz w:val="13"/>
          <w:szCs w:val="13"/>
          <w:color w:val="auto"/>
        </w:rPr>
      </w:pPr>
      <w:r>
        <w:rPr>
          <w:rFonts w:ascii="Arial" w:cs="Arial" w:eastAsia="Arial" w:hAnsi="Arial"/>
          <w:sz w:val="13"/>
          <w:szCs w:val="13"/>
          <w:color w:val="auto"/>
        </w:rPr>
        <w:t>Represents our contractual payments under a monitoring agreement ("Monitoring Agreement") with our former private equity sponsor Kohlberg Kravis Roberts &amp; Co. L.P.</w:t>
      </w:r>
    </w:p>
    <w:p>
      <w:pPr>
        <w:spacing w:after="0" w:line="53" w:lineRule="exact"/>
        <w:rPr>
          <w:rFonts w:ascii="Arial" w:cs="Arial" w:eastAsia="Arial" w:hAnsi="Arial"/>
          <w:sz w:val="13"/>
          <w:szCs w:val="13"/>
          <w:color w:val="auto"/>
        </w:rPr>
      </w:pPr>
    </w:p>
    <w:p>
      <w:pPr>
        <w:ind w:left="400" w:right="20" w:hanging="374"/>
        <w:spacing w:after="0" w:line="242" w:lineRule="auto"/>
        <w:tabs>
          <w:tab w:leader="none" w:pos="400" w:val="left"/>
        </w:tabs>
        <w:numPr>
          <w:ilvl w:val="0"/>
          <w:numId w:val="4"/>
        </w:numPr>
        <w:rPr>
          <w:rFonts w:ascii="Arial" w:cs="Arial" w:eastAsia="Arial" w:hAnsi="Arial"/>
          <w:sz w:val="13"/>
          <w:szCs w:val="13"/>
          <w:color w:val="auto"/>
        </w:rPr>
      </w:pPr>
      <w:r>
        <w:rPr>
          <w:rFonts w:ascii="Arial" w:cs="Arial" w:eastAsia="Arial" w:hAnsi="Arial"/>
          <w:sz w:val="13"/>
          <w:szCs w:val="13"/>
          <w:color w:val="auto"/>
        </w:rPr>
        <w:t>Represents non-cash charges related to equity based compensation, which vary from period to period depending on certain factors such as the 2021 Vesting Event, timing and valuation of awards, achievement of performance targets and equity award forfeitures.</w:t>
      </w:r>
    </w:p>
    <w:p>
      <w:pPr>
        <w:spacing w:after="0" w:line="49" w:lineRule="exact"/>
        <w:rPr>
          <w:rFonts w:ascii="Arial" w:cs="Arial" w:eastAsia="Arial" w:hAnsi="Arial"/>
          <w:sz w:val="13"/>
          <w:szCs w:val="13"/>
          <w:color w:val="auto"/>
        </w:rPr>
      </w:pPr>
    </w:p>
    <w:p>
      <w:pPr>
        <w:ind w:left="400" w:hanging="374"/>
        <w:spacing w:after="0"/>
        <w:tabs>
          <w:tab w:leader="none" w:pos="400" w:val="left"/>
        </w:tabs>
        <w:numPr>
          <w:ilvl w:val="0"/>
          <w:numId w:val="4"/>
        </w:numPr>
        <w:rPr>
          <w:rFonts w:ascii="Arial" w:cs="Arial" w:eastAsia="Arial" w:hAnsi="Arial"/>
          <w:sz w:val="13"/>
          <w:szCs w:val="13"/>
          <w:color w:val="auto"/>
        </w:rPr>
      </w:pPr>
      <w:r>
        <w:rPr>
          <w:rFonts w:ascii="Arial" w:cs="Arial" w:eastAsia="Arial" w:hAnsi="Arial"/>
          <w:sz w:val="13"/>
          <w:szCs w:val="13"/>
          <w:color w:val="auto"/>
        </w:rPr>
        <w:t>Represents severance costs associated with executive leadership changes and enterprise-wide organizational changes.</w:t>
      </w:r>
    </w:p>
    <w:p>
      <w:pPr>
        <w:spacing w:after="0" w:line="53" w:lineRule="exact"/>
        <w:rPr>
          <w:rFonts w:ascii="Arial" w:cs="Arial" w:eastAsia="Arial" w:hAnsi="Arial"/>
          <w:sz w:val="13"/>
          <w:szCs w:val="13"/>
          <w:color w:val="auto"/>
        </w:rPr>
      </w:pPr>
    </w:p>
    <w:p>
      <w:pPr>
        <w:jc w:val="both"/>
        <w:ind w:left="400" w:right="20" w:hanging="374"/>
        <w:spacing w:after="0"/>
        <w:tabs>
          <w:tab w:leader="none" w:pos="400" w:val="left"/>
        </w:tabs>
        <w:numPr>
          <w:ilvl w:val="0"/>
          <w:numId w:val="4"/>
        </w:numPr>
        <w:rPr>
          <w:rFonts w:ascii="Arial" w:cs="Arial" w:eastAsia="Arial" w:hAnsi="Arial"/>
          <w:sz w:val="13"/>
          <w:szCs w:val="13"/>
          <w:color w:val="auto"/>
        </w:rPr>
      </w:pPr>
      <w:r>
        <w:rPr>
          <w:rFonts w:ascii="Arial" w:cs="Arial" w:eastAsia="Arial" w:hAnsi="Arial"/>
          <w:sz w:val="13"/>
          <w:szCs w:val="13"/>
          <w:color w:val="auto"/>
        </w:rPr>
        <w:t>Represents costs incurred during the thirty-nine weeks ended October 31, 2020, as a result of the COVID-19 pandemic, including temporary wage premiums, additional sick time, costs of additional cleaning supplies and third party cleaning services for the stores, corporate office and distribution centers, accelerated freight costs associated with shifting our inventory purchase earlier in the year to maintain stock, and legal fees associated with consulting in local jurisdictions. These costs were no longer added back beginning in the third quarter of 2020.</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(f)</w:t>
      </w:r>
    </w:p>
    <w:p>
      <w:pPr>
        <w:ind w:left="400"/>
        <w:spacing w:after="0"/>
        <w:rPr>
          <w:sz w:val="20"/>
          <w:szCs w:val="20"/>
          <w:color w:val="auto"/>
        </w:rPr>
      </w:pPr>
      <w:r>
        <w:rPr>
          <w:rFonts w:ascii="Arial" w:cs="Arial" w:eastAsia="Arial" w:hAnsi="Arial"/>
          <w:sz w:val="13"/>
          <w:szCs w:val="13"/>
          <w:color w:val="auto"/>
        </w:rPr>
        <w:t>Represents cash expenses related to taxes on equity-based compensation resulting from the 2021 Vesting Event.</w:t>
      </w:r>
    </w:p>
    <w:p>
      <w:pPr>
        <w:spacing w:after="0" w:line="26" w:lineRule="exact"/>
        <w:rPr>
          <w:sz w:val="20"/>
          <w:szCs w:val="20"/>
          <w:color w:val="auto"/>
        </w:rPr>
      </w:pPr>
    </w:p>
    <w:p>
      <w:pPr>
        <w:jc w:val="both"/>
        <w:ind w:left="400" w:right="20" w:hanging="374"/>
        <w:spacing w:after="0" w:line="211" w:lineRule="auto"/>
        <w:tabs>
          <w:tab w:leader="none" w:pos="400" w:val="left"/>
        </w:tabs>
        <w:numPr>
          <w:ilvl w:val="0"/>
          <w:numId w:val="5"/>
        </w:numPr>
        <w:rPr>
          <w:rFonts w:ascii="Arial" w:cs="Arial" w:eastAsia="Arial" w:hAnsi="Arial"/>
          <w:sz w:val="13"/>
          <w:szCs w:val="13"/>
          <w:color w:val="auto"/>
        </w:rPr>
      </w:pPr>
      <w:r>
        <w:rPr>
          <w:rFonts w:ascii="Arial" w:cs="Arial" w:eastAsia="Arial" w:hAnsi="Arial"/>
          <w:sz w:val="13"/>
          <w:szCs w:val="13"/>
          <w:color w:val="auto"/>
        </w:rPr>
        <w:t>Other adjustments include (representing deductions or additions to Adjusted EBITDA and Adjusted EBIT) amounts that management believes are not representative of our operating performance, including investment income, installation costs for energy savings associated with our profitability initiatives, legal fees associated with our distribution to NAHC's members and our omnibus incentive plan, store exit costs and other costs associated with strategic cost savings and business optimization initiatives.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40"/>
          </w:cols>
          <w:pgMar w:left="320" w:top="1008"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Adjusted Net Income, Pro Forma Adjusted Net Income and Pro Forma Adjusted Earnings Per Share</w:t>
      </w:r>
    </w:p>
    <w:p>
      <w:pPr>
        <w:spacing w:after="0" w:line="250"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6"/>
          <w:szCs w:val="16"/>
          <w:color w:val="auto"/>
        </w:rPr>
        <w:t>We define “Adjusted Net Income (Loss)” as net income (loss), plus consulting fees, private equity sponsor monitoring fees, equity compensation expense, (gain) loss on early retirement of debt, net, severance and executive transition costs, costs related to the COVID-19 pandemic, payroll taxes associated with the 2021 Vesting Event and other adjustments, less the tax effect of these adjustments. We define “Pro Forma Adjusted Net Income (Loss)” as Adjusted Net Income (Loss) less the retroactive tax effect of Adjusted Net Income at our estimated effective tax rate of approximately 25% for periods prior to October 1, 2020, the effective date of our conversion to a C-Corporation. We define “Pro Forma Adjusted Earnings per Common Share, Basic” as Pro Forma Adjusted Net Income divided by the basic weighted average common shares outstanding during the period and “Pro Forma Adjusted Earnings per Common Share, Diluted” as Pro Forma Adjusted Net Income divided by the diluted weighted average common shares outstanding during the period. We describe these adjustments reconciling net income (loss) to Adjusted Net Income (Loss), Pro Forma Adjusted Net Income (Loss), and Pro Forma Adjusted Earnings Per Share in the following table.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280" w:type="dxa"/>
            <w:vAlign w:val="bottom"/>
            <w:tcBorders>
              <w:bottom w:val="single" w:sz="8" w:color="auto"/>
            </w:tcBorders>
            <w:gridSpan w:val="4"/>
          </w:tcPr>
          <w:p>
            <w:pPr>
              <w:jc w:val="right"/>
              <w:ind w:right="759"/>
              <w:spacing w:after="0"/>
              <w:rPr>
                <w:sz w:val="20"/>
                <w:szCs w:val="20"/>
                <w:color w:val="auto"/>
              </w:rPr>
            </w:pPr>
            <w:r>
              <w:rPr>
                <w:rFonts w:ascii="Arial" w:cs="Arial" w:eastAsia="Arial" w:hAnsi="Arial"/>
                <w:sz w:val="16"/>
                <w:szCs w:val="16"/>
                <w:b w:val="1"/>
                <w:bCs w:val="1"/>
                <w:color w:val="auto"/>
              </w:rPr>
              <w:t>Thirteen Weeks Ended</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280" w:type="dxa"/>
            <w:vAlign w:val="bottom"/>
            <w:tcBorders>
              <w:bottom w:val="single" w:sz="8" w:color="auto"/>
            </w:tcBorders>
            <w:gridSpan w:val="4"/>
          </w:tcPr>
          <w:p>
            <w:pPr>
              <w:jc w:val="right"/>
              <w:ind w:right="659"/>
              <w:spacing w:after="0"/>
              <w:rPr>
                <w:sz w:val="20"/>
                <w:szCs w:val="20"/>
                <w:color w:val="auto"/>
              </w:rPr>
            </w:pPr>
            <w:r>
              <w:rPr>
                <w:rFonts w:ascii="Arial" w:cs="Arial" w:eastAsia="Arial" w:hAnsi="Arial"/>
                <w:sz w:val="16"/>
                <w:szCs w:val="16"/>
                <w:b w:val="1"/>
                <w:bCs w:val="1"/>
                <w:color w:val="auto"/>
              </w:rPr>
              <w:t>Thirty-Nine Weeks Ended</w:t>
            </w:r>
          </w:p>
        </w:tc>
      </w:tr>
      <w:tr>
        <w:trPr>
          <w:trHeight w:val="237"/>
        </w:trPr>
        <w:tc>
          <w:tcPr>
            <w:tcW w:w="4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gridSpan w:val="2"/>
          </w:tcPr>
          <w:p>
            <w:pPr>
              <w:ind w:left="40"/>
              <w:spacing w:after="0"/>
              <w:rPr>
                <w:sz w:val="20"/>
                <w:szCs w:val="20"/>
                <w:color w:val="auto"/>
              </w:rPr>
            </w:pPr>
            <w:r>
              <w:rPr>
                <w:rFonts w:ascii="Arial" w:cs="Arial" w:eastAsia="Arial" w:hAnsi="Arial"/>
                <w:sz w:val="16"/>
                <w:szCs w:val="16"/>
                <w:b w:val="1"/>
                <w:bCs w:val="1"/>
                <w:color w:val="auto"/>
              </w:rPr>
              <w:t>October 30, 2021</w:t>
            </w:r>
          </w:p>
        </w:tc>
        <w:tc>
          <w:tcPr>
            <w:tcW w:w="140" w:type="dxa"/>
            <w:vAlign w:val="bottom"/>
          </w:tcPr>
          <w:p>
            <w:pPr>
              <w:spacing w:after="0"/>
              <w:rPr>
                <w:sz w:val="20"/>
                <w:szCs w:val="20"/>
                <w:color w:val="auto"/>
              </w:rPr>
            </w:pPr>
          </w:p>
        </w:tc>
        <w:tc>
          <w:tcPr>
            <w:tcW w:w="1620" w:type="dxa"/>
            <w:vAlign w:val="bottom"/>
            <w:gridSpan w:val="2"/>
          </w:tcPr>
          <w:p>
            <w:pPr>
              <w:ind w:left="40"/>
              <w:spacing w:after="0"/>
              <w:rPr>
                <w:sz w:val="20"/>
                <w:szCs w:val="20"/>
                <w:color w:val="auto"/>
              </w:rPr>
            </w:pPr>
            <w:r>
              <w:rPr>
                <w:rFonts w:ascii="Arial" w:cs="Arial" w:eastAsia="Arial" w:hAnsi="Arial"/>
                <w:sz w:val="16"/>
                <w:szCs w:val="16"/>
                <w:b w:val="1"/>
                <w:bCs w:val="1"/>
                <w:color w:val="auto"/>
              </w:rPr>
              <w:t>October 31, 2020</w:t>
            </w:r>
          </w:p>
        </w:tc>
        <w:tc>
          <w:tcPr>
            <w:tcW w:w="140" w:type="dxa"/>
            <w:vAlign w:val="bottom"/>
          </w:tcPr>
          <w:p>
            <w:pPr>
              <w:spacing w:after="0"/>
              <w:rPr>
                <w:sz w:val="20"/>
                <w:szCs w:val="20"/>
                <w:color w:val="auto"/>
              </w:rPr>
            </w:pPr>
          </w:p>
        </w:tc>
        <w:tc>
          <w:tcPr>
            <w:tcW w:w="1600" w:type="dxa"/>
            <w:vAlign w:val="bottom"/>
            <w:gridSpan w:val="2"/>
          </w:tcPr>
          <w:p>
            <w:pPr>
              <w:ind w:left="40"/>
              <w:spacing w:after="0"/>
              <w:rPr>
                <w:sz w:val="20"/>
                <w:szCs w:val="20"/>
                <w:color w:val="auto"/>
              </w:rPr>
            </w:pPr>
            <w:r>
              <w:rPr>
                <w:rFonts w:ascii="Arial" w:cs="Arial" w:eastAsia="Arial" w:hAnsi="Arial"/>
                <w:sz w:val="16"/>
                <w:szCs w:val="16"/>
                <w:b w:val="1"/>
                <w:bCs w:val="1"/>
                <w:color w:val="auto"/>
              </w:rPr>
              <w:t>October 30, 2021</w:t>
            </w:r>
          </w:p>
        </w:tc>
        <w:tc>
          <w:tcPr>
            <w:tcW w:w="160" w:type="dxa"/>
            <w:vAlign w:val="bottom"/>
          </w:tcPr>
          <w:p>
            <w:pPr>
              <w:spacing w:after="0"/>
              <w:rPr>
                <w:sz w:val="20"/>
                <w:szCs w:val="20"/>
                <w:color w:val="auto"/>
              </w:rPr>
            </w:pPr>
          </w:p>
        </w:tc>
        <w:tc>
          <w:tcPr>
            <w:tcW w:w="1520" w:type="dxa"/>
            <w:vAlign w:val="bottom"/>
          </w:tcPr>
          <w:p>
            <w:pPr>
              <w:jc w:val="right"/>
              <w:ind w:right="99"/>
              <w:spacing w:after="0"/>
              <w:rPr>
                <w:sz w:val="20"/>
                <w:szCs w:val="20"/>
                <w:color w:val="auto"/>
              </w:rPr>
            </w:pPr>
            <w:r>
              <w:rPr>
                <w:rFonts w:ascii="Arial" w:cs="Arial" w:eastAsia="Arial" w:hAnsi="Arial"/>
                <w:sz w:val="16"/>
                <w:szCs w:val="16"/>
                <w:b w:val="1"/>
                <w:bCs w:val="1"/>
                <w:color w:val="auto"/>
              </w:rPr>
              <w:t>October 31, 2020</w:t>
            </w:r>
          </w:p>
        </w:tc>
      </w:tr>
      <w:tr>
        <w:trPr>
          <w:trHeight w:val="243"/>
        </w:trPr>
        <w:tc>
          <w:tcPr>
            <w:tcW w:w="4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161,305</w:t>
            </w:r>
          </w:p>
        </w:tc>
        <w:tc>
          <w:tcPr>
            <w:tcW w:w="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59,586</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529,611</w:t>
            </w:r>
          </w:p>
        </w:tc>
        <w:tc>
          <w:tcPr>
            <w:tcW w:w="8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217,242</w:t>
            </w:r>
          </w:p>
        </w:tc>
      </w:tr>
      <w:tr>
        <w:trPr>
          <w:trHeight w:val="233"/>
        </w:trPr>
        <w:tc>
          <w:tcPr>
            <w:tcW w:w="4300" w:type="dxa"/>
            <w:vAlign w:val="bottom"/>
          </w:tcPr>
          <w:p>
            <w:pPr>
              <w:ind w:left="20"/>
              <w:spacing w:after="0"/>
              <w:rPr>
                <w:sz w:val="20"/>
                <w:szCs w:val="20"/>
                <w:color w:val="auto"/>
              </w:rPr>
            </w:pPr>
            <w:r>
              <w:rPr>
                <w:rFonts w:ascii="Arial" w:cs="Arial" w:eastAsia="Arial" w:hAnsi="Arial"/>
                <w:sz w:val="16"/>
                <w:szCs w:val="16"/>
                <w:color w:val="auto"/>
              </w:rPr>
              <w:t>Consulting fees (a)</w:t>
            </w:r>
          </w:p>
        </w:tc>
        <w:tc>
          <w:tcPr>
            <w:tcW w:w="140" w:type="dxa"/>
            <w:vAlign w:val="bottom"/>
          </w:tcPr>
          <w:p>
            <w:pPr>
              <w:spacing w:after="0"/>
              <w:rPr>
                <w:sz w:val="20"/>
                <w:szCs w:val="20"/>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194</w:t>
            </w:r>
          </w:p>
        </w:tc>
      </w:tr>
      <w:tr>
        <w:trPr>
          <w:trHeight w:val="253"/>
        </w:trPr>
        <w:tc>
          <w:tcPr>
            <w:tcW w:w="4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Private equity sponsor monitoring fee (b)</w:t>
            </w:r>
          </w:p>
        </w:tc>
        <w:tc>
          <w:tcPr>
            <w:tcW w:w="14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12,953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14,793</w:t>
            </w:r>
          </w:p>
        </w:tc>
      </w:tr>
      <w:tr>
        <w:trPr>
          <w:trHeight w:val="233"/>
        </w:trPr>
        <w:tc>
          <w:tcPr>
            <w:tcW w:w="4300" w:type="dxa"/>
            <w:vAlign w:val="bottom"/>
          </w:tcPr>
          <w:p>
            <w:pPr>
              <w:ind w:left="20"/>
              <w:spacing w:after="0"/>
              <w:rPr>
                <w:sz w:val="20"/>
                <w:szCs w:val="20"/>
                <w:color w:val="auto"/>
              </w:rPr>
            </w:pPr>
            <w:r>
              <w:rPr>
                <w:rFonts w:ascii="Arial" w:cs="Arial" w:eastAsia="Arial" w:hAnsi="Arial"/>
                <w:sz w:val="16"/>
                <w:szCs w:val="16"/>
                <w:color w:val="auto"/>
              </w:rPr>
              <w:t>Equity compensation (c)</w:t>
            </w:r>
          </w:p>
        </w:tc>
        <w:tc>
          <w:tcPr>
            <w:tcW w:w="1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b w:val="1"/>
                <w:bCs w:val="1"/>
                <w:color w:val="auto"/>
              </w:rPr>
              <w:t>2,921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23,359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36,126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27,049</w:t>
            </w:r>
          </w:p>
        </w:tc>
      </w:tr>
      <w:tr>
        <w:trPr>
          <w:trHeight w:val="253"/>
        </w:trPr>
        <w:tc>
          <w:tcPr>
            <w:tcW w:w="4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 loss on early retirement of debt, net</w:t>
            </w:r>
          </w:p>
        </w:tc>
        <w:tc>
          <w:tcPr>
            <w:tcW w:w="14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2,239</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(7,831)</w:t>
            </w:r>
          </w:p>
        </w:tc>
      </w:tr>
      <w:tr>
        <w:trPr>
          <w:trHeight w:val="233"/>
        </w:trPr>
        <w:tc>
          <w:tcPr>
            <w:tcW w:w="4300" w:type="dxa"/>
            <w:vAlign w:val="bottom"/>
          </w:tcPr>
          <w:p>
            <w:pPr>
              <w:ind w:left="20"/>
              <w:spacing w:after="0"/>
              <w:rPr>
                <w:sz w:val="20"/>
                <w:szCs w:val="20"/>
                <w:color w:val="auto"/>
              </w:rPr>
            </w:pPr>
            <w:r>
              <w:rPr>
                <w:rFonts w:ascii="Arial" w:cs="Arial" w:eastAsia="Arial" w:hAnsi="Arial"/>
                <w:sz w:val="16"/>
                <w:szCs w:val="16"/>
                <w:color w:val="auto"/>
              </w:rPr>
              <w:t>Severance and executive transition costs (d)</w:t>
            </w:r>
          </w:p>
        </w:tc>
        <w:tc>
          <w:tcPr>
            <w:tcW w:w="140" w:type="dxa"/>
            <w:vAlign w:val="bottom"/>
          </w:tcPr>
          <w:p>
            <w:pPr>
              <w:spacing w:after="0"/>
              <w:rPr>
                <w:sz w:val="20"/>
                <w:szCs w:val="20"/>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20"/>
                <w:szCs w:val="20"/>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4,137</w:t>
            </w:r>
          </w:p>
        </w:tc>
      </w:tr>
      <w:tr>
        <w:trPr>
          <w:trHeight w:val="253"/>
        </w:trPr>
        <w:tc>
          <w:tcPr>
            <w:tcW w:w="4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Costs related to the COVID-19 pandemic (e)</w:t>
            </w:r>
          </w:p>
        </w:tc>
        <w:tc>
          <w:tcPr>
            <w:tcW w:w="14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17,632</w:t>
            </w:r>
          </w:p>
        </w:tc>
      </w:tr>
      <w:tr>
        <w:trPr>
          <w:trHeight w:val="233"/>
        </w:trPr>
        <w:tc>
          <w:tcPr>
            <w:tcW w:w="4300" w:type="dxa"/>
            <w:vAlign w:val="bottom"/>
          </w:tcPr>
          <w:p>
            <w:pPr>
              <w:ind w:left="20"/>
              <w:spacing w:after="0"/>
              <w:rPr>
                <w:sz w:val="20"/>
                <w:szCs w:val="20"/>
                <w:color w:val="auto"/>
              </w:rPr>
            </w:pPr>
            <w:r>
              <w:rPr>
                <w:rFonts w:ascii="Arial" w:cs="Arial" w:eastAsia="Arial" w:hAnsi="Arial"/>
                <w:sz w:val="16"/>
                <w:szCs w:val="16"/>
                <w:color w:val="auto"/>
              </w:rPr>
              <w:t>Payroll taxes associated with the 2021 Vesting Event (f)</w:t>
            </w:r>
          </w:p>
        </w:tc>
        <w:tc>
          <w:tcPr>
            <w:tcW w:w="140" w:type="dxa"/>
            <w:vAlign w:val="bottom"/>
          </w:tcPr>
          <w:p>
            <w:pPr>
              <w:spacing w:after="0"/>
              <w:rPr>
                <w:sz w:val="20"/>
                <w:szCs w:val="20"/>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20"/>
                <w:szCs w:val="20"/>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15,418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3"/>
        </w:trPr>
        <w:tc>
          <w:tcPr>
            <w:tcW w:w="4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(g)</w:t>
            </w:r>
          </w:p>
        </w:tc>
        <w:tc>
          <w:tcPr>
            <w:tcW w:w="14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595</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1,309</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4,894</w:t>
            </w:r>
          </w:p>
        </w:tc>
      </w:tr>
      <w:tr>
        <w:trPr>
          <w:trHeight w:val="237"/>
        </w:trPr>
        <w:tc>
          <w:tcPr>
            <w:tcW w:w="4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Tax effects of these adjustments (h)</w:t>
            </w:r>
          </w:p>
        </w:tc>
        <w:tc>
          <w:tcPr>
            <w:tcW w:w="1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(686)</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(13,487)</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w:t>
            </w:r>
          </w:p>
        </w:tc>
      </w:tr>
      <w:tr>
        <w:trPr>
          <w:trHeight w:val="243"/>
        </w:trPr>
        <w:tc>
          <w:tcPr>
            <w:tcW w:w="43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Adjusted Net Income</w:t>
            </w:r>
          </w:p>
        </w:tc>
        <w:tc>
          <w:tcPr>
            <w:tcW w:w="14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164,135</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98,894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571,216</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278,001</w:t>
            </w:r>
          </w:p>
        </w:tc>
      </w:tr>
      <w:tr>
        <w:trPr>
          <w:trHeight w:val="237"/>
        </w:trPr>
        <w:tc>
          <w:tcPr>
            <w:tcW w:w="4300" w:type="dxa"/>
            <w:vAlign w:val="bottom"/>
          </w:tcPr>
          <w:p>
            <w:pPr>
              <w:ind w:left="20"/>
              <w:spacing w:after="0"/>
              <w:rPr>
                <w:sz w:val="20"/>
                <w:szCs w:val="20"/>
                <w:color w:val="auto"/>
              </w:rPr>
            </w:pPr>
            <w:r>
              <w:rPr>
                <w:rFonts w:ascii="Arial" w:cs="Arial" w:eastAsia="Arial" w:hAnsi="Arial"/>
                <w:sz w:val="16"/>
                <w:szCs w:val="16"/>
                <w:color w:val="auto"/>
              </w:rPr>
              <w:t>Estimated tax effect of change to C-Corporation status (i)</w:t>
            </w:r>
          </w:p>
        </w:tc>
        <w:tc>
          <w:tcPr>
            <w:tcW w:w="140" w:type="dxa"/>
            <w:vAlign w:val="bottom"/>
          </w:tcPr>
          <w:p>
            <w:pPr>
              <w:spacing w:after="0"/>
              <w:rPr>
                <w:sz w:val="20"/>
                <w:szCs w:val="20"/>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(25,147)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(69,410)</w:t>
            </w:r>
          </w:p>
        </w:tc>
      </w:tr>
      <w:tr>
        <w:trPr>
          <w:trHeight w:val="268"/>
        </w:trPr>
        <w:tc>
          <w:tcPr>
            <w:tcW w:w="430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Pro Forma Adjusted Net Income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164,135</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73,747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571,216</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208,591</w:t>
            </w: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r>
        <w:trPr>
          <w:trHeight w:val="95"/>
        </w:trPr>
        <w:tc>
          <w:tcPr>
            <w:tcW w:w="4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520" w:type="dxa"/>
            <w:vAlign w:val="bottom"/>
          </w:tcPr>
          <w:p>
            <w:pPr>
              <w:spacing w:after="0"/>
              <w:rPr>
                <w:sz w:val="8"/>
                <w:szCs w:val="8"/>
                <w:color w:val="auto"/>
              </w:rPr>
            </w:pPr>
          </w:p>
        </w:tc>
      </w:tr>
      <w:tr>
        <w:trPr>
          <w:trHeight w:val="243"/>
        </w:trPr>
        <w:tc>
          <w:tcPr>
            <w:tcW w:w="4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 Forma Adjusted Earnings per Share</w:t>
            </w:r>
          </w:p>
        </w:tc>
        <w:tc>
          <w:tcPr>
            <w:tcW w:w="14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r>
      <w:tr>
        <w:trPr>
          <w:trHeight w:val="233"/>
        </w:trPr>
        <w:tc>
          <w:tcPr>
            <w:tcW w:w="4300" w:type="dxa"/>
            <w:vAlign w:val="bottom"/>
          </w:tcPr>
          <w:p>
            <w:pPr>
              <w:ind w:left="240"/>
              <w:spacing w:after="0"/>
              <w:rPr>
                <w:sz w:val="20"/>
                <w:szCs w:val="20"/>
                <w:color w:val="auto"/>
              </w:rPr>
            </w:pPr>
            <w:r>
              <w:rPr>
                <w:rFonts w:ascii="Arial" w:cs="Arial" w:eastAsia="Arial" w:hAnsi="Arial"/>
                <w:sz w:val="16"/>
                <w:szCs w:val="16"/>
                <w:color w:val="auto"/>
              </w:rPr>
              <w:t>Basic</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b w:val="1"/>
                <w:bCs w:val="1"/>
                <w:color w:val="auto"/>
              </w:rPr>
              <w:t>1.80</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0.96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6.21</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2.82</w:t>
            </w:r>
          </w:p>
        </w:tc>
      </w:tr>
      <w:tr>
        <w:trPr>
          <w:trHeight w:val="253"/>
        </w:trPr>
        <w:tc>
          <w:tcPr>
            <w:tcW w:w="43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1.75</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5.98</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w:t>
            </w:r>
          </w:p>
        </w:tc>
      </w:tr>
      <w:tr>
        <w:trPr>
          <w:trHeight w:val="233"/>
        </w:trPr>
        <w:tc>
          <w:tcPr>
            <w:tcW w:w="4300" w:type="dxa"/>
            <w:vAlign w:val="bottom"/>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53"/>
        </w:trPr>
        <w:tc>
          <w:tcPr>
            <w:tcW w:w="43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Basic</w:t>
            </w:r>
          </w:p>
        </w:tc>
        <w:tc>
          <w:tcPr>
            <w:tcW w:w="14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91,140</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76,771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91,951</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73,908</w:t>
            </w:r>
          </w:p>
        </w:tc>
      </w:tr>
      <w:tr>
        <w:trPr>
          <w:trHeight w:val="224"/>
        </w:trPr>
        <w:tc>
          <w:tcPr>
            <w:tcW w:w="4300" w:type="dxa"/>
            <w:vAlign w:val="bottom"/>
          </w:tcPr>
          <w:p>
            <w:pPr>
              <w:ind w:left="240"/>
              <w:spacing w:after="0"/>
              <w:rPr>
                <w:sz w:val="20"/>
                <w:szCs w:val="20"/>
                <w:color w:val="auto"/>
              </w:rPr>
            </w:pPr>
            <w:r>
              <w:rPr>
                <w:rFonts w:ascii="Arial" w:cs="Arial" w:eastAsia="Arial" w:hAnsi="Arial"/>
                <w:sz w:val="16"/>
                <w:szCs w:val="16"/>
                <w:color w:val="auto"/>
              </w:rPr>
              <w:t>Diluted</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6"/>
                <w:szCs w:val="16"/>
                <w:b w:val="1"/>
                <w:bCs w:val="1"/>
                <w:color w:val="auto"/>
              </w:rPr>
              <w:t>93,844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80,714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95,504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77,171</w:t>
            </w:r>
          </w:p>
        </w:tc>
      </w:tr>
    </w:tbl>
    <w:p>
      <w:pPr>
        <w:spacing w:after="0" w:line="149" w:lineRule="exact"/>
        <w:rPr>
          <w:sz w:val="20"/>
          <w:szCs w:val="20"/>
          <w:color w:val="auto"/>
        </w:rPr>
      </w:pPr>
    </w:p>
    <w:p>
      <w:pPr>
        <w:ind w:left="400" w:hanging="374"/>
        <w:spacing w:after="0"/>
        <w:tabs>
          <w:tab w:leader="none" w:pos="400" w:val="left"/>
        </w:tabs>
        <w:numPr>
          <w:ilvl w:val="0"/>
          <w:numId w:val="6"/>
        </w:numPr>
        <w:rPr>
          <w:rFonts w:ascii="Arial" w:cs="Arial" w:eastAsia="Arial" w:hAnsi="Arial"/>
          <w:sz w:val="13"/>
          <w:szCs w:val="13"/>
          <w:color w:val="auto"/>
        </w:rPr>
      </w:pPr>
      <w:r>
        <w:rPr>
          <w:rFonts w:ascii="Arial" w:cs="Arial" w:eastAsia="Arial" w:hAnsi="Arial"/>
          <w:sz w:val="13"/>
          <w:szCs w:val="13"/>
          <w:color w:val="auto"/>
        </w:rPr>
        <w:t>Represents outside consulting fees associated with our strategic cost savings and business optimization initiatives.</w:t>
      </w:r>
    </w:p>
    <w:p>
      <w:pPr>
        <w:spacing w:after="0" w:line="53" w:lineRule="exact"/>
        <w:rPr>
          <w:rFonts w:ascii="Arial" w:cs="Arial" w:eastAsia="Arial" w:hAnsi="Arial"/>
          <w:sz w:val="13"/>
          <w:szCs w:val="13"/>
          <w:color w:val="auto"/>
        </w:rPr>
      </w:pPr>
    </w:p>
    <w:p>
      <w:pPr>
        <w:ind w:left="400" w:hanging="374"/>
        <w:spacing w:after="0"/>
        <w:tabs>
          <w:tab w:leader="none" w:pos="400" w:val="left"/>
        </w:tabs>
        <w:numPr>
          <w:ilvl w:val="0"/>
          <w:numId w:val="6"/>
        </w:numPr>
        <w:rPr>
          <w:rFonts w:ascii="Arial" w:cs="Arial" w:eastAsia="Arial" w:hAnsi="Arial"/>
          <w:sz w:val="13"/>
          <w:szCs w:val="13"/>
          <w:color w:val="auto"/>
        </w:rPr>
      </w:pPr>
      <w:r>
        <w:rPr>
          <w:rFonts w:ascii="Arial" w:cs="Arial" w:eastAsia="Arial" w:hAnsi="Arial"/>
          <w:sz w:val="13"/>
          <w:szCs w:val="13"/>
          <w:color w:val="auto"/>
        </w:rPr>
        <w:t>Represents our contractual payments under our Monitoring Agreement with our former private equity sponsor Kohlberg Kravis Roberts &amp; Co. L.P.</w:t>
      </w:r>
    </w:p>
    <w:p>
      <w:pPr>
        <w:spacing w:after="0" w:line="53" w:lineRule="exact"/>
        <w:rPr>
          <w:rFonts w:ascii="Arial" w:cs="Arial" w:eastAsia="Arial" w:hAnsi="Arial"/>
          <w:sz w:val="13"/>
          <w:szCs w:val="13"/>
          <w:color w:val="auto"/>
        </w:rPr>
      </w:pPr>
    </w:p>
    <w:p>
      <w:pPr>
        <w:ind w:left="400" w:right="20" w:hanging="374"/>
        <w:spacing w:after="0" w:line="242" w:lineRule="auto"/>
        <w:tabs>
          <w:tab w:leader="none" w:pos="400" w:val="left"/>
        </w:tabs>
        <w:numPr>
          <w:ilvl w:val="0"/>
          <w:numId w:val="6"/>
        </w:numPr>
        <w:rPr>
          <w:rFonts w:ascii="Arial" w:cs="Arial" w:eastAsia="Arial" w:hAnsi="Arial"/>
          <w:sz w:val="13"/>
          <w:szCs w:val="13"/>
          <w:color w:val="auto"/>
        </w:rPr>
      </w:pPr>
      <w:r>
        <w:rPr>
          <w:rFonts w:ascii="Arial" w:cs="Arial" w:eastAsia="Arial" w:hAnsi="Arial"/>
          <w:sz w:val="13"/>
          <w:szCs w:val="13"/>
          <w:color w:val="auto"/>
        </w:rPr>
        <w:t>Represents non-cash charges related to equity based compensation, which vary from period to period depending on certain factors such as the 2021 Vesting Event, timing and valuation of awards, achievement of performance targets and equity award forfeitures.</w:t>
      </w:r>
    </w:p>
    <w:p>
      <w:pPr>
        <w:spacing w:after="0" w:line="49" w:lineRule="exact"/>
        <w:rPr>
          <w:rFonts w:ascii="Arial" w:cs="Arial" w:eastAsia="Arial" w:hAnsi="Arial"/>
          <w:sz w:val="13"/>
          <w:szCs w:val="13"/>
          <w:color w:val="auto"/>
        </w:rPr>
      </w:pPr>
    </w:p>
    <w:p>
      <w:pPr>
        <w:ind w:left="400" w:hanging="374"/>
        <w:spacing w:after="0"/>
        <w:tabs>
          <w:tab w:leader="none" w:pos="400" w:val="left"/>
        </w:tabs>
        <w:numPr>
          <w:ilvl w:val="0"/>
          <w:numId w:val="6"/>
        </w:numPr>
        <w:rPr>
          <w:rFonts w:ascii="Arial" w:cs="Arial" w:eastAsia="Arial" w:hAnsi="Arial"/>
          <w:sz w:val="13"/>
          <w:szCs w:val="13"/>
          <w:color w:val="auto"/>
        </w:rPr>
      </w:pPr>
      <w:r>
        <w:rPr>
          <w:rFonts w:ascii="Arial" w:cs="Arial" w:eastAsia="Arial" w:hAnsi="Arial"/>
          <w:sz w:val="13"/>
          <w:szCs w:val="13"/>
          <w:color w:val="auto"/>
        </w:rPr>
        <w:t>Represents severance costs associated with executive leadership changes and enterprise-wide organizational changes.</w:t>
      </w:r>
    </w:p>
    <w:p>
      <w:pPr>
        <w:spacing w:after="0" w:line="53" w:lineRule="exact"/>
        <w:rPr>
          <w:rFonts w:ascii="Arial" w:cs="Arial" w:eastAsia="Arial" w:hAnsi="Arial"/>
          <w:sz w:val="13"/>
          <w:szCs w:val="13"/>
          <w:color w:val="auto"/>
        </w:rPr>
      </w:pPr>
    </w:p>
    <w:p>
      <w:pPr>
        <w:jc w:val="both"/>
        <w:ind w:left="400" w:right="20" w:hanging="374"/>
        <w:spacing w:after="0" w:line="270" w:lineRule="auto"/>
        <w:tabs>
          <w:tab w:leader="none" w:pos="400" w:val="left"/>
        </w:tabs>
        <w:numPr>
          <w:ilvl w:val="0"/>
          <w:numId w:val="6"/>
        </w:numPr>
        <w:rPr>
          <w:rFonts w:ascii="Arial" w:cs="Arial" w:eastAsia="Arial" w:hAnsi="Arial"/>
          <w:sz w:val="12"/>
          <w:szCs w:val="12"/>
          <w:color w:val="auto"/>
        </w:rPr>
      </w:pPr>
      <w:r>
        <w:rPr>
          <w:rFonts w:ascii="Arial" w:cs="Arial" w:eastAsia="Arial" w:hAnsi="Arial"/>
          <w:sz w:val="12"/>
          <w:szCs w:val="12"/>
          <w:color w:val="auto"/>
        </w:rPr>
        <w:t>Represents costs incurred during the thirteen and thirty-nine weeks ended October 31, 2020, as a result of the COVID-19 pandemic, including temporary wage premiums, additional sick time, costs of additional cleaning supplies and third party cleaning services for the stores, corporate office and distribution centers, accelerated freight costs associated with shifting our inventory purchase earlier in the year to maintain stock, and legal fees associated with consulting in local jurisdictions. These costs were no longer added back beginning in the third quarter of 2020.</w:t>
      </w:r>
    </w:p>
    <w:p>
      <w:pPr>
        <w:spacing w:after="0" w:line="33" w:lineRule="exact"/>
        <w:rPr>
          <w:rFonts w:ascii="Arial" w:cs="Arial" w:eastAsia="Arial" w:hAnsi="Arial"/>
          <w:sz w:val="12"/>
          <w:szCs w:val="12"/>
          <w:color w:val="auto"/>
        </w:rPr>
      </w:pPr>
    </w:p>
    <w:p>
      <w:pPr>
        <w:ind w:left="400" w:hanging="374"/>
        <w:spacing w:after="0"/>
        <w:tabs>
          <w:tab w:leader="none" w:pos="400" w:val="left"/>
        </w:tabs>
        <w:numPr>
          <w:ilvl w:val="0"/>
          <w:numId w:val="6"/>
        </w:numPr>
        <w:rPr>
          <w:rFonts w:ascii="Arial" w:cs="Arial" w:eastAsia="Arial" w:hAnsi="Arial"/>
          <w:sz w:val="13"/>
          <w:szCs w:val="13"/>
          <w:color w:val="auto"/>
        </w:rPr>
      </w:pPr>
      <w:r>
        <w:rPr>
          <w:rFonts w:ascii="Arial" w:cs="Arial" w:eastAsia="Arial" w:hAnsi="Arial"/>
          <w:sz w:val="13"/>
          <w:szCs w:val="13"/>
          <w:color w:val="auto"/>
        </w:rPr>
        <w:t>Represents cash expenses related to taxes on equity-based compensation resulting from the 2021 Vesting Event.</w:t>
      </w:r>
    </w:p>
    <w:p>
      <w:pPr>
        <w:spacing w:after="0" w:line="53" w:lineRule="exact"/>
        <w:rPr>
          <w:rFonts w:ascii="Arial" w:cs="Arial" w:eastAsia="Arial" w:hAnsi="Arial"/>
          <w:sz w:val="13"/>
          <w:szCs w:val="13"/>
          <w:color w:val="auto"/>
        </w:rPr>
      </w:pPr>
    </w:p>
    <w:p>
      <w:pPr>
        <w:jc w:val="both"/>
        <w:ind w:left="400" w:right="20" w:hanging="374"/>
        <w:spacing w:after="0"/>
        <w:tabs>
          <w:tab w:leader="none" w:pos="400" w:val="left"/>
        </w:tabs>
        <w:numPr>
          <w:ilvl w:val="0"/>
          <w:numId w:val="6"/>
        </w:numPr>
        <w:rPr>
          <w:rFonts w:ascii="Arial" w:cs="Arial" w:eastAsia="Arial" w:hAnsi="Arial"/>
          <w:sz w:val="13"/>
          <w:szCs w:val="13"/>
          <w:color w:val="auto"/>
        </w:rPr>
      </w:pPr>
      <w:r>
        <w:rPr>
          <w:rFonts w:ascii="Arial" w:cs="Arial" w:eastAsia="Arial" w:hAnsi="Arial"/>
          <w:sz w:val="13"/>
          <w:szCs w:val="13"/>
          <w:color w:val="auto"/>
        </w:rPr>
        <w:t>Other adjustments include (representing deductions or additions to Adjusted Net Income) amounts that management believes are not representative of our operating performance, including investment income, installation costs for energy savings associated with our profitability initiatives, legal fees associated with a distribution to NAHC's members and our omnibus incentive plan, store exit costs and other costs associated with strategic cost savings and business optimization initiatives.</w:t>
      </w:r>
    </w:p>
    <w:p>
      <w:pPr>
        <w:spacing w:after="0" w:line="51" w:lineRule="exact"/>
        <w:rPr>
          <w:rFonts w:ascii="Arial" w:cs="Arial" w:eastAsia="Arial" w:hAnsi="Arial"/>
          <w:sz w:val="13"/>
          <w:szCs w:val="13"/>
          <w:color w:val="auto"/>
        </w:rPr>
      </w:pPr>
    </w:p>
    <w:p>
      <w:pPr>
        <w:jc w:val="both"/>
        <w:ind w:left="400" w:right="20" w:hanging="374"/>
        <w:spacing w:after="0"/>
        <w:tabs>
          <w:tab w:leader="none" w:pos="400" w:val="left"/>
        </w:tabs>
        <w:numPr>
          <w:ilvl w:val="0"/>
          <w:numId w:val="6"/>
        </w:numPr>
        <w:rPr>
          <w:rFonts w:ascii="Arial" w:cs="Arial" w:eastAsia="Arial" w:hAnsi="Arial"/>
          <w:sz w:val="13"/>
          <w:szCs w:val="13"/>
          <w:color w:val="auto"/>
        </w:rPr>
      </w:pPr>
      <w:r>
        <w:rPr>
          <w:rFonts w:ascii="Arial" w:cs="Arial" w:eastAsia="Arial" w:hAnsi="Arial"/>
          <w:sz w:val="13"/>
          <w:szCs w:val="13"/>
          <w:color w:val="auto"/>
        </w:rPr>
        <w:t>For the thirteen and thirty-nine weeks ended October 30, 2021, this represents the tax effect of the total adjustments made to arrive at Adjusted Net Income at the estimated effective tax rate for the fiscal year ended January 31, 2022. For thirteen and thirty-nine weeks ended October 31, 2020, this represents the tax effect of the total adjustments made to arrive at Adjusted Net Income at our historical tax rate.</w:t>
      </w:r>
    </w:p>
    <w:p>
      <w:pPr>
        <w:spacing w:after="0" w:line="51" w:lineRule="exact"/>
        <w:rPr>
          <w:rFonts w:ascii="Arial" w:cs="Arial" w:eastAsia="Arial" w:hAnsi="Arial"/>
          <w:sz w:val="13"/>
          <w:szCs w:val="13"/>
          <w:color w:val="auto"/>
        </w:rPr>
      </w:pPr>
    </w:p>
    <w:p>
      <w:pPr>
        <w:ind w:left="400" w:right="20" w:hanging="374"/>
        <w:spacing w:after="0" w:line="242" w:lineRule="auto"/>
        <w:tabs>
          <w:tab w:leader="none" w:pos="400" w:val="left"/>
        </w:tabs>
        <w:numPr>
          <w:ilvl w:val="0"/>
          <w:numId w:val="6"/>
        </w:numPr>
        <w:rPr>
          <w:rFonts w:ascii="Arial" w:cs="Arial" w:eastAsia="Arial" w:hAnsi="Arial"/>
          <w:sz w:val="13"/>
          <w:szCs w:val="13"/>
          <w:color w:val="auto"/>
        </w:rPr>
      </w:pPr>
      <w:r>
        <w:rPr>
          <w:rFonts w:ascii="Arial" w:cs="Arial" w:eastAsia="Arial" w:hAnsi="Arial"/>
          <w:sz w:val="13"/>
          <w:szCs w:val="13"/>
          <w:color w:val="auto"/>
        </w:rPr>
        <w:t>Represents the retrospective tax effect of Adjusted Net Income at our estimated effective tax rate of approximately 25% for periods prior to October 1, 2020, the effective date of our conversion to a C-Corporation, upon which we became subject to federal income taxes.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240"/>
          </w:cols>
          <w:pgMar w:left="320" w:top="981"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Adjusted Selling, General and Administrative Expenses</w:t>
      </w:r>
    </w:p>
    <w:p>
      <w:pPr>
        <w:spacing w:after="0" w:line="25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We define “Adjusted Selling, General and Administrative Expenses” as selling, general and administrative expenses, less consulting fees, private equity sponsor monitoring fees, equity compensation expense, severance and executive transition costs, costs related to the COVID-19 pandemic, payroll taxes associated with the 2021 Vesting Event and other adjustments. We describe these adjustments reconciling selling, general and administrative expenses to Adjusted Selling, General and Administrative Expenses in the following table.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360" w:type="dxa"/>
            <w:vAlign w:val="bottom"/>
            <w:tcBorders>
              <w:bottom w:val="single" w:sz="8" w:color="auto"/>
            </w:tcBorders>
            <w:gridSpan w:val="4"/>
          </w:tcPr>
          <w:p>
            <w:pPr>
              <w:jc w:val="right"/>
              <w:ind w:right="819"/>
              <w:spacing w:after="0"/>
              <w:rPr>
                <w:sz w:val="20"/>
                <w:szCs w:val="20"/>
                <w:color w:val="auto"/>
              </w:rPr>
            </w:pPr>
            <w:r>
              <w:rPr>
                <w:rFonts w:ascii="Arial" w:cs="Arial" w:eastAsia="Arial" w:hAnsi="Arial"/>
                <w:sz w:val="16"/>
                <w:szCs w:val="16"/>
                <w:b w:val="1"/>
                <w:bCs w:val="1"/>
                <w:color w:val="auto"/>
              </w:rPr>
              <w:t>Thirteen Weeks Ended</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380" w:type="dxa"/>
            <w:vAlign w:val="bottom"/>
            <w:tcBorders>
              <w:bottom w:val="single" w:sz="8" w:color="auto"/>
            </w:tcBorders>
            <w:gridSpan w:val="4"/>
          </w:tcPr>
          <w:p>
            <w:pPr>
              <w:jc w:val="right"/>
              <w:ind w:right="719"/>
              <w:spacing w:after="0"/>
              <w:rPr>
                <w:sz w:val="20"/>
                <w:szCs w:val="20"/>
                <w:color w:val="auto"/>
              </w:rPr>
            </w:pPr>
            <w:r>
              <w:rPr>
                <w:rFonts w:ascii="Arial" w:cs="Arial" w:eastAsia="Arial" w:hAnsi="Arial"/>
                <w:sz w:val="16"/>
                <w:szCs w:val="16"/>
                <w:b w:val="1"/>
                <w:bCs w:val="1"/>
                <w:color w:val="auto"/>
              </w:rPr>
              <w:t>Thirty-Nine Weeks Ended</w:t>
            </w:r>
          </w:p>
        </w:tc>
        <w:tc>
          <w:tcPr>
            <w:tcW w:w="0" w:type="dxa"/>
            <w:vAlign w:val="bottom"/>
          </w:tcPr>
          <w:p>
            <w:pPr>
              <w:spacing w:after="0"/>
              <w:rPr>
                <w:sz w:val="1"/>
                <w:szCs w:val="1"/>
                <w:color w:val="auto"/>
              </w:rPr>
            </w:pPr>
          </w:p>
        </w:tc>
      </w:tr>
      <w:tr>
        <w:trPr>
          <w:trHeight w:val="237"/>
        </w:trPr>
        <w:tc>
          <w:tcPr>
            <w:tcW w:w="4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gridSpan w:val="2"/>
          </w:tcPr>
          <w:p>
            <w:pPr>
              <w:ind w:left="40"/>
              <w:spacing w:after="0"/>
              <w:rPr>
                <w:sz w:val="20"/>
                <w:szCs w:val="20"/>
                <w:color w:val="auto"/>
              </w:rPr>
            </w:pPr>
            <w:r>
              <w:rPr>
                <w:rFonts w:ascii="Arial" w:cs="Arial" w:eastAsia="Arial" w:hAnsi="Arial"/>
                <w:sz w:val="16"/>
                <w:szCs w:val="16"/>
                <w:b w:val="1"/>
                <w:bCs w:val="1"/>
                <w:color w:val="auto"/>
              </w:rPr>
              <w:t>October 30, 2021</w:t>
            </w:r>
          </w:p>
        </w:tc>
        <w:tc>
          <w:tcPr>
            <w:tcW w:w="160" w:type="dxa"/>
            <w:vAlign w:val="bottom"/>
          </w:tcPr>
          <w:p>
            <w:pPr>
              <w:spacing w:after="0"/>
              <w:rPr>
                <w:sz w:val="20"/>
                <w:szCs w:val="20"/>
                <w:color w:val="auto"/>
              </w:rPr>
            </w:pPr>
          </w:p>
        </w:tc>
        <w:tc>
          <w:tcPr>
            <w:tcW w:w="1640" w:type="dxa"/>
            <w:vAlign w:val="bottom"/>
            <w:gridSpan w:val="2"/>
          </w:tcPr>
          <w:p>
            <w:pPr>
              <w:ind w:left="60"/>
              <w:spacing w:after="0"/>
              <w:rPr>
                <w:sz w:val="20"/>
                <w:szCs w:val="20"/>
                <w:color w:val="auto"/>
              </w:rPr>
            </w:pPr>
            <w:r>
              <w:rPr>
                <w:rFonts w:ascii="Arial" w:cs="Arial" w:eastAsia="Arial" w:hAnsi="Arial"/>
                <w:sz w:val="16"/>
                <w:szCs w:val="16"/>
                <w:b w:val="1"/>
                <w:bCs w:val="1"/>
                <w:color w:val="auto"/>
              </w:rPr>
              <w:t>October 31, 2020</w:t>
            </w:r>
          </w:p>
        </w:tc>
        <w:tc>
          <w:tcPr>
            <w:tcW w:w="180" w:type="dxa"/>
            <w:vAlign w:val="bottom"/>
          </w:tcPr>
          <w:p>
            <w:pPr>
              <w:spacing w:after="0"/>
              <w:rPr>
                <w:sz w:val="20"/>
                <w:szCs w:val="20"/>
                <w:color w:val="auto"/>
              </w:rPr>
            </w:pPr>
          </w:p>
        </w:tc>
        <w:tc>
          <w:tcPr>
            <w:tcW w:w="1660" w:type="dxa"/>
            <w:vAlign w:val="bottom"/>
            <w:gridSpan w:val="2"/>
          </w:tcPr>
          <w:p>
            <w:pPr>
              <w:ind w:left="60"/>
              <w:spacing w:after="0"/>
              <w:rPr>
                <w:sz w:val="20"/>
                <w:szCs w:val="20"/>
                <w:color w:val="auto"/>
              </w:rPr>
            </w:pPr>
            <w:r>
              <w:rPr>
                <w:rFonts w:ascii="Arial" w:cs="Arial" w:eastAsia="Arial" w:hAnsi="Arial"/>
                <w:sz w:val="16"/>
                <w:szCs w:val="16"/>
                <w:b w:val="1"/>
                <w:bCs w:val="1"/>
                <w:color w:val="auto"/>
              </w:rPr>
              <w:t>October 30, 2021</w:t>
            </w:r>
          </w:p>
        </w:tc>
        <w:tc>
          <w:tcPr>
            <w:tcW w:w="160" w:type="dxa"/>
            <w:vAlign w:val="bottom"/>
          </w:tcPr>
          <w:p>
            <w:pPr>
              <w:spacing w:after="0"/>
              <w:rPr>
                <w:sz w:val="20"/>
                <w:szCs w:val="20"/>
                <w:color w:val="auto"/>
              </w:rPr>
            </w:pPr>
          </w:p>
        </w:tc>
        <w:tc>
          <w:tcPr>
            <w:tcW w:w="1560" w:type="dxa"/>
            <w:vAlign w:val="bottom"/>
          </w:tcPr>
          <w:p>
            <w:pPr>
              <w:jc w:val="right"/>
              <w:ind w:right="139"/>
              <w:spacing w:after="0"/>
              <w:rPr>
                <w:sz w:val="20"/>
                <w:szCs w:val="20"/>
                <w:color w:val="auto"/>
              </w:rPr>
            </w:pPr>
            <w:r>
              <w:rPr>
                <w:rFonts w:ascii="Arial" w:cs="Arial" w:eastAsia="Arial" w:hAnsi="Arial"/>
                <w:sz w:val="16"/>
                <w:szCs w:val="16"/>
                <w:b w:val="1"/>
                <w:bCs w:val="1"/>
                <w:color w:val="auto"/>
              </w:rPr>
              <w:t>October 31, 2020</w:t>
            </w:r>
          </w:p>
        </w:tc>
        <w:tc>
          <w:tcPr>
            <w:tcW w:w="0" w:type="dxa"/>
            <w:vAlign w:val="bottom"/>
          </w:tcPr>
          <w:p>
            <w:pPr>
              <w:spacing w:after="0"/>
              <w:rPr>
                <w:sz w:val="1"/>
                <w:szCs w:val="1"/>
                <w:color w:val="auto"/>
              </w:rPr>
            </w:pPr>
          </w:p>
        </w:tc>
      </w:tr>
      <w:tr>
        <w:trPr>
          <w:trHeight w:val="243"/>
        </w:trPr>
        <w:tc>
          <w:tcPr>
            <w:tcW w:w="4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6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344,725</w:t>
            </w:r>
          </w:p>
        </w:tc>
        <w:tc>
          <w:tcPr>
            <w:tcW w:w="8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358,955</w:t>
            </w:r>
          </w:p>
        </w:tc>
        <w:tc>
          <w:tcPr>
            <w:tcW w:w="8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8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1,057,290</w:t>
            </w:r>
          </w:p>
        </w:tc>
        <w:tc>
          <w:tcPr>
            <w:tcW w:w="8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955,591</w:t>
            </w:r>
          </w:p>
        </w:tc>
        <w:tc>
          <w:tcPr>
            <w:tcW w:w="0" w:type="dxa"/>
            <w:vAlign w:val="bottom"/>
          </w:tcPr>
          <w:p>
            <w:pPr>
              <w:spacing w:after="0"/>
              <w:rPr>
                <w:sz w:val="1"/>
                <w:szCs w:val="1"/>
                <w:color w:val="auto"/>
              </w:rPr>
            </w:pPr>
          </w:p>
        </w:tc>
      </w:tr>
      <w:tr>
        <w:trPr>
          <w:trHeight w:val="233"/>
        </w:trPr>
        <w:tc>
          <w:tcPr>
            <w:tcW w:w="4080" w:type="dxa"/>
            <w:vAlign w:val="bottom"/>
          </w:tcPr>
          <w:p>
            <w:pPr>
              <w:ind w:left="20"/>
              <w:spacing w:after="0"/>
              <w:rPr>
                <w:sz w:val="20"/>
                <w:szCs w:val="20"/>
                <w:color w:val="auto"/>
              </w:rPr>
            </w:pPr>
            <w:r>
              <w:rPr>
                <w:rFonts w:ascii="Arial" w:cs="Arial" w:eastAsia="Arial" w:hAnsi="Arial"/>
                <w:sz w:val="16"/>
                <w:szCs w:val="16"/>
                <w:color w:val="auto"/>
              </w:rPr>
              <w:t>Less:</w:t>
            </w: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Consulting fees (a)</w:t>
            </w:r>
          </w:p>
        </w:tc>
        <w:tc>
          <w:tcPr>
            <w:tcW w:w="16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21"/>
                <w:szCs w:val="21"/>
                <w:color w:val="auto"/>
              </w:rPr>
            </w:pPr>
          </w:p>
        </w:tc>
        <w:tc>
          <w:tcPr>
            <w:tcW w:w="15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(102)</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21"/>
                <w:szCs w:val="21"/>
                <w:color w:val="auto"/>
              </w:rPr>
            </w:pPr>
          </w:p>
        </w:tc>
        <w:tc>
          <w:tcPr>
            <w:tcW w:w="15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(194)</w:t>
            </w:r>
          </w:p>
        </w:tc>
        <w:tc>
          <w:tcPr>
            <w:tcW w:w="0" w:type="dxa"/>
            <w:vAlign w:val="bottom"/>
          </w:tcPr>
          <w:p>
            <w:pPr>
              <w:spacing w:after="0"/>
              <w:rPr>
                <w:sz w:val="1"/>
                <w:szCs w:val="1"/>
                <w:color w:val="auto"/>
              </w:rPr>
            </w:pPr>
          </w:p>
        </w:tc>
      </w:tr>
      <w:tr>
        <w:trPr>
          <w:trHeight w:val="233"/>
        </w:trPr>
        <w:tc>
          <w:tcPr>
            <w:tcW w:w="4080" w:type="dxa"/>
            <w:vAlign w:val="bottom"/>
          </w:tcPr>
          <w:p>
            <w:pPr>
              <w:ind w:left="140"/>
              <w:spacing w:after="0"/>
              <w:rPr>
                <w:sz w:val="20"/>
                <w:szCs w:val="20"/>
                <w:color w:val="auto"/>
              </w:rPr>
            </w:pPr>
            <w:r>
              <w:rPr>
                <w:rFonts w:ascii="Arial" w:cs="Arial" w:eastAsia="Arial" w:hAnsi="Arial"/>
                <w:sz w:val="16"/>
                <w:szCs w:val="16"/>
                <w:color w:val="auto"/>
              </w:rPr>
              <w:t>Private equity sponsor monitoring fee (b)</w:t>
            </w:r>
          </w:p>
        </w:tc>
        <w:tc>
          <w:tcPr>
            <w:tcW w:w="160" w:type="dxa"/>
            <w:vAlign w:val="bottom"/>
          </w:tcPr>
          <w:p>
            <w:pPr>
              <w:spacing w:after="0"/>
              <w:rPr>
                <w:sz w:val="20"/>
                <w:szCs w:val="20"/>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20"/>
                <w:szCs w:val="20"/>
                <w:color w:val="auto"/>
              </w:rPr>
            </w:pPr>
          </w:p>
        </w:tc>
        <w:tc>
          <w:tcPr>
            <w:tcW w:w="1560" w:type="dxa"/>
            <w:vAlign w:val="bottom"/>
          </w:tcPr>
          <w:p>
            <w:pPr>
              <w:jc w:val="right"/>
              <w:ind w:right="79"/>
              <w:spacing w:after="0"/>
              <w:rPr>
                <w:sz w:val="20"/>
                <w:szCs w:val="20"/>
                <w:color w:val="auto"/>
              </w:rPr>
            </w:pPr>
            <w:r>
              <w:rPr>
                <w:rFonts w:ascii="Arial" w:cs="Arial" w:eastAsia="Arial" w:hAnsi="Arial"/>
                <w:sz w:val="16"/>
                <w:szCs w:val="16"/>
                <w:color w:val="auto"/>
              </w:rPr>
              <w:t>(12,953)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20"/>
                <w:szCs w:val="20"/>
                <w:color w:val="auto"/>
              </w:rPr>
            </w:pPr>
          </w:p>
        </w:tc>
        <w:tc>
          <w:tcPr>
            <w:tcW w:w="1560" w:type="dxa"/>
            <w:vAlign w:val="bottom"/>
          </w:tcPr>
          <w:p>
            <w:pPr>
              <w:jc w:val="right"/>
              <w:ind w:right="79"/>
              <w:spacing w:after="0"/>
              <w:rPr>
                <w:sz w:val="20"/>
                <w:szCs w:val="20"/>
                <w:color w:val="auto"/>
              </w:rPr>
            </w:pPr>
            <w:r>
              <w:rPr>
                <w:rFonts w:ascii="Arial" w:cs="Arial" w:eastAsia="Arial" w:hAnsi="Arial"/>
                <w:sz w:val="16"/>
                <w:szCs w:val="16"/>
                <w:color w:val="auto"/>
              </w:rPr>
              <w:t>(14,793)</w:t>
            </w:r>
          </w:p>
        </w:tc>
        <w:tc>
          <w:tcPr>
            <w:tcW w:w="0" w:type="dxa"/>
            <w:vAlign w:val="bottom"/>
          </w:tcPr>
          <w:p>
            <w:pPr>
              <w:spacing w:after="0"/>
              <w:rPr>
                <w:sz w:val="1"/>
                <w:szCs w:val="1"/>
                <w:color w:val="auto"/>
              </w:rPr>
            </w:pPr>
          </w:p>
        </w:tc>
      </w:tr>
      <w:tr>
        <w:trPr>
          <w:trHeight w:val="253"/>
        </w:trPr>
        <w:tc>
          <w:tcPr>
            <w:tcW w:w="4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Equity compensation (c)</w:t>
            </w:r>
          </w:p>
        </w:tc>
        <w:tc>
          <w:tcPr>
            <w:tcW w:w="160" w:type="dxa"/>
            <w:vAlign w:val="bottom"/>
            <w:shd w:val="clear" w:color="auto" w:fill="CCEEFF"/>
          </w:tcPr>
          <w:p>
            <w:pPr>
              <w:spacing w:after="0"/>
              <w:rPr>
                <w:sz w:val="21"/>
                <w:szCs w:val="21"/>
                <w:color w:val="auto"/>
              </w:rPr>
            </w:pPr>
          </w:p>
        </w:tc>
        <w:tc>
          <w:tcPr>
            <w:tcW w:w="15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(2,921)</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(23,359)</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(36,126)</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(27,049)</w:t>
            </w:r>
          </w:p>
        </w:tc>
        <w:tc>
          <w:tcPr>
            <w:tcW w:w="0" w:type="dxa"/>
            <w:vAlign w:val="bottom"/>
          </w:tcPr>
          <w:p>
            <w:pPr>
              <w:spacing w:after="0"/>
              <w:rPr>
                <w:sz w:val="1"/>
                <w:szCs w:val="1"/>
                <w:color w:val="auto"/>
              </w:rPr>
            </w:pPr>
          </w:p>
        </w:tc>
      </w:tr>
      <w:tr>
        <w:trPr>
          <w:trHeight w:val="233"/>
        </w:trPr>
        <w:tc>
          <w:tcPr>
            <w:tcW w:w="4080" w:type="dxa"/>
            <w:vAlign w:val="bottom"/>
          </w:tcPr>
          <w:p>
            <w:pPr>
              <w:ind w:left="140"/>
              <w:spacing w:after="0"/>
              <w:rPr>
                <w:sz w:val="20"/>
                <w:szCs w:val="20"/>
                <w:color w:val="auto"/>
              </w:rPr>
            </w:pPr>
            <w:r>
              <w:rPr>
                <w:rFonts w:ascii="Arial" w:cs="Arial" w:eastAsia="Arial" w:hAnsi="Arial"/>
                <w:sz w:val="16"/>
                <w:szCs w:val="16"/>
                <w:color w:val="auto"/>
              </w:rPr>
              <w:t>Severance and executive transition costs (d)</w:t>
            </w:r>
          </w:p>
        </w:tc>
        <w:tc>
          <w:tcPr>
            <w:tcW w:w="160" w:type="dxa"/>
            <w:vAlign w:val="bottom"/>
          </w:tcPr>
          <w:p>
            <w:pPr>
              <w:spacing w:after="0"/>
              <w:rPr>
                <w:sz w:val="20"/>
                <w:szCs w:val="20"/>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20"/>
                <w:szCs w:val="20"/>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20"/>
                <w:szCs w:val="20"/>
                <w:color w:val="auto"/>
              </w:rPr>
            </w:pPr>
          </w:p>
        </w:tc>
        <w:tc>
          <w:tcPr>
            <w:tcW w:w="1560" w:type="dxa"/>
            <w:vAlign w:val="bottom"/>
          </w:tcPr>
          <w:p>
            <w:pPr>
              <w:jc w:val="right"/>
              <w:ind w:right="79"/>
              <w:spacing w:after="0"/>
              <w:rPr>
                <w:sz w:val="20"/>
                <w:szCs w:val="20"/>
                <w:color w:val="auto"/>
              </w:rPr>
            </w:pPr>
            <w:r>
              <w:rPr>
                <w:rFonts w:ascii="Arial" w:cs="Arial" w:eastAsia="Arial" w:hAnsi="Arial"/>
                <w:sz w:val="16"/>
                <w:szCs w:val="16"/>
                <w:color w:val="auto"/>
              </w:rPr>
              <w:t>(4,137)</w:t>
            </w:r>
          </w:p>
        </w:tc>
        <w:tc>
          <w:tcPr>
            <w:tcW w:w="0" w:type="dxa"/>
            <w:vAlign w:val="bottom"/>
          </w:tcPr>
          <w:p>
            <w:pPr>
              <w:spacing w:after="0"/>
              <w:rPr>
                <w:sz w:val="1"/>
                <w:szCs w:val="1"/>
                <w:color w:val="auto"/>
              </w:rPr>
            </w:pPr>
          </w:p>
        </w:tc>
      </w:tr>
      <w:tr>
        <w:trPr>
          <w:trHeight w:val="253"/>
        </w:trPr>
        <w:tc>
          <w:tcPr>
            <w:tcW w:w="4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Costs related to the COVID-19 pandemic (e)</w:t>
            </w:r>
          </w:p>
        </w:tc>
        <w:tc>
          <w:tcPr>
            <w:tcW w:w="16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21"/>
                <w:szCs w:val="21"/>
                <w:color w:val="auto"/>
              </w:rPr>
            </w:pPr>
          </w:p>
        </w:tc>
        <w:tc>
          <w:tcPr>
            <w:tcW w:w="15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(17,632)</w:t>
            </w:r>
          </w:p>
        </w:tc>
        <w:tc>
          <w:tcPr>
            <w:tcW w:w="0" w:type="dxa"/>
            <w:vAlign w:val="bottom"/>
          </w:tcPr>
          <w:p>
            <w:pPr>
              <w:spacing w:after="0"/>
              <w:rPr>
                <w:sz w:val="1"/>
                <w:szCs w:val="1"/>
                <w:color w:val="auto"/>
              </w:rPr>
            </w:pPr>
          </w:p>
        </w:tc>
      </w:tr>
      <w:tr>
        <w:trPr>
          <w:trHeight w:val="218"/>
        </w:trPr>
        <w:tc>
          <w:tcPr>
            <w:tcW w:w="4080" w:type="dxa"/>
            <w:vAlign w:val="bottom"/>
          </w:tcPr>
          <w:p>
            <w:pPr>
              <w:ind w:left="140"/>
              <w:spacing w:after="0"/>
              <w:rPr>
                <w:sz w:val="20"/>
                <w:szCs w:val="20"/>
                <w:color w:val="auto"/>
              </w:rPr>
            </w:pPr>
            <w:r>
              <w:rPr>
                <w:rFonts w:ascii="Arial" w:cs="Arial" w:eastAsia="Arial" w:hAnsi="Arial"/>
                <w:sz w:val="16"/>
                <w:szCs w:val="16"/>
                <w:color w:val="auto"/>
              </w:rPr>
              <w:t>Payroll taxes associated with the 2021 Vesting Event</w:t>
            </w:r>
          </w:p>
        </w:tc>
        <w:tc>
          <w:tcPr>
            <w:tcW w:w="160" w:type="dxa"/>
            <w:vAlign w:val="bottom"/>
          </w:tcPr>
          <w:p>
            <w:pPr>
              <w:spacing w:after="0"/>
              <w:rPr>
                <w:sz w:val="18"/>
                <w:szCs w:val="18"/>
                <w:color w:val="auto"/>
              </w:rPr>
            </w:pPr>
          </w:p>
        </w:tc>
        <w:tc>
          <w:tcPr>
            <w:tcW w:w="1640" w:type="dxa"/>
            <w:vAlign w:val="bottom"/>
            <w:gridSpan w:val="2"/>
            <w:vMerge w:val="restart"/>
          </w:tcPr>
          <w:p>
            <w:pPr>
              <w:jc w:val="right"/>
              <w:ind w:right="28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(15,418)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080" w:type="dxa"/>
            <w:vAlign w:val="bottom"/>
          </w:tcPr>
          <w:p>
            <w:pPr>
              <w:ind w:left="140"/>
              <w:spacing w:after="0"/>
              <w:rPr>
                <w:sz w:val="20"/>
                <w:szCs w:val="20"/>
                <w:color w:val="auto"/>
              </w:rPr>
            </w:pPr>
            <w:r>
              <w:rPr>
                <w:rFonts w:ascii="Arial" w:cs="Arial" w:eastAsia="Arial" w:hAnsi="Arial"/>
                <w:sz w:val="16"/>
                <w:szCs w:val="16"/>
                <w:color w:val="auto"/>
              </w:rPr>
              <w:t>(f)</w:t>
            </w:r>
          </w:p>
        </w:tc>
        <w:tc>
          <w:tcPr>
            <w:tcW w:w="160" w:type="dxa"/>
            <w:vAlign w:val="bottom"/>
          </w:tcPr>
          <w:p>
            <w:pPr>
              <w:spacing w:after="0"/>
              <w:rPr>
                <w:sz w:val="17"/>
                <w:szCs w:val="17"/>
                <w:color w:val="auto"/>
              </w:rPr>
            </w:pPr>
          </w:p>
        </w:tc>
        <w:tc>
          <w:tcPr>
            <w:tcW w:w="16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5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3"/>
        </w:trPr>
        <w:tc>
          <w:tcPr>
            <w:tcW w:w="4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(g)</w:t>
            </w:r>
          </w:p>
        </w:tc>
        <w:tc>
          <w:tcPr>
            <w:tcW w:w="16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(595)</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(2,965)</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(1,309)</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(4,894)</w:t>
            </w:r>
          </w:p>
        </w:tc>
        <w:tc>
          <w:tcPr>
            <w:tcW w:w="0" w:type="dxa"/>
            <w:vAlign w:val="bottom"/>
          </w:tcPr>
          <w:p>
            <w:pPr>
              <w:spacing w:after="0"/>
              <w:rPr>
                <w:sz w:val="1"/>
                <w:szCs w:val="1"/>
                <w:color w:val="auto"/>
              </w:rPr>
            </w:pPr>
          </w:p>
        </w:tc>
      </w:tr>
      <w:tr>
        <w:trPr>
          <w:trHeight w:val="198"/>
        </w:trPr>
        <w:tc>
          <w:tcPr>
            <w:tcW w:w="4080" w:type="dxa"/>
            <w:vAlign w:val="bottom"/>
          </w:tcPr>
          <w:p>
            <w:pPr>
              <w:ind w:left="240"/>
              <w:spacing w:after="0"/>
              <w:rPr>
                <w:sz w:val="20"/>
                <w:szCs w:val="20"/>
                <w:color w:val="auto"/>
              </w:rPr>
            </w:pPr>
            <w:r>
              <w:rPr>
                <w:rFonts w:ascii="Arial" w:cs="Arial" w:eastAsia="Arial" w:hAnsi="Arial"/>
                <w:sz w:val="16"/>
                <w:szCs w:val="16"/>
                <w:color w:val="auto"/>
              </w:rPr>
              <w:t>Adjusted Selling, General and Administrative</w:t>
            </w:r>
          </w:p>
        </w:tc>
        <w:tc>
          <w:tcPr>
            <w:tcW w:w="16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156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341,209</w:t>
            </w:r>
          </w:p>
        </w:tc>
        <w:tc>
          <w:tcPr>
            <w:tcW w:w="80" w:type="dxa"/>
            <w:vAlign w:val="bottom"/>
          </w:tcPr>
          <w:p>
            <w:pPr>
              <w:spacing w:after="0"/>
              <w:rPr>
                <w:sz w:val="17"/>
                <w:szCs w:val="17"/>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vMerge w:val="restart"/>
          </w:tcPr>
          <w:p>
            <w:pPr>
              <w:jc w:val="right"/>
              <w:ind w:right="119"/>
              <w:spacing w:after="0"/>
              <w:rPr>
                <w:sz w:val="20"/>
                <w:szCs w:val="20"/>
                <w:color w:val="auto"/>
              </w:rPr>
            </w:pPr>
            <w:r>
              <w:rPr>
                <w:rFonts w:ascii="Arial" w:cs="Arial" w:eastAsia="Arial" w:hAnsi="Arial"/>
                <w:sz w:val="16"/>
                <w:szCs w:val="16"/>
                <w:color w:val="auto"/>
              </w:rPr>
              <w:t>319,576</w:t>
            </w:r>
          </w:p>
        </w:tc>
        <w:tc>
          <w:tcPr>
            <w:tcW w:w="80" w:type="dxa"/>
            <w:vAlign w:val="bottom"/>
          </w:tcPr>
          <w:p>
            <w:pPr>
              <w:spacing w:after="0"/>
              <w:rPr>
                <w:sz w:val="17"/>
                <w:szCs w:val="17"/>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158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rPr>
              <w:t>1,004,437</w:t>
            </w:r>
          </w:p>
        </w:tc>
        <w:tc>
          <w:tcPr>
            <w:tcW w:w="80" w:type="dxa"/>
            <w:vAlign w:val="bottom"/>
          </w:tcPr>
          <w:p>
            <w:pPr>
              <w:spacing w:after="0"/>
              <w:rPr>
                <w:sz w:val="17"/>
                <w:szCs w:val="17"/>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vMerge w:val="restart"/>
          </w:tcPr>
          <w:p>
            <w:pPr>
              <w:jc w:val="right"/>
              <w:ind w:right="119"/>
              <w:spacing w:after="0"/>
              <w:rPr>
                <w:sz w:val="20"/>
                <w:szCs w:val="20"/>
                <w:color w:val="auto"/>
              </w:rPr>
            </w:pPr>
            <w:r>
              <w:rPr>
                <w:rFonts w:ascii="Arial" w:cs="Arial" w:eastAsia="Arial" w:hAnsi="Arial"/>
                <w:sz w:val="16"/>
                <w:szCs w:val="16"/>
                <w:color w:val="auto"/>
              </w:rPr>
              <w:t>886,892</w:t>
            </w:r>
          </w:p>
        </w:tc>
        <w:tc>
          <w:tcPr>
            <w:tcW w:w="0" w:type="dxa"/>
            <w:vAlign w:val="bottom"/>
          </w:tcPr>
          <w:p>
            <w:pPr>
              <w:spacing w:after="0"/>
              <w:rPr>
                <w:sz w:val="1"/>
                <w:szCs w:val="1"/>
                <w:color w:val="auto"/>
              </w:rPr>
            </w:pPr>
          </w:p>
        </w:tc>
      </w:tr>
      <w:tr>
        <w:trPr>
          <w:trHeight w:val="192"/>
        </w:trPr>
        <w:tc>
          <w:tcPr>
            <w:tcW w:w="4080" w:type="dxa"/>
            <w:vAlign w:val="bottom"/>
          </w:tcPr>
          <w:p>
            <w:pPr>
              <w:ind w:left="240"/>
              <w:spacing w:after="0"/>
              <w:rPr>
                <w:sz w:val="20"/>
                <w:szCs w:val="20"/>
                <w:color w:val="auto"/>
              </w:rPr>
            </w:pPr>
            <w:r>
              <w:rPr>
                <w:rFonts w:ascii="Arial" w:cs="Arial" w:eastAsia="Arial" w:hAnsi="Arial"/>
                <w:sz w:val="16"/>
                <w:szCs w:val="16"/>
                <w:color w:val="auto"/>
              </w:rPr>
              <w:t>Expenses</w:t>
            </w:r>
          </w:p>
        </w:tc>
        <w:tc>
          <w:tcPr>
            <w:tcW w:w="160" w:type="dxa"/>
            <w:vAlign w:val="bottom"/>
            <w:tcBorders>
              <w:bottom w:val="single" w:sz="8" w:color="auto"/>
            </w:tcBorders>
            <w:vMerge w:val="continue"/>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080" w:type="dxa"/>
            <w:vAlign w:val="bottom"/>
          </w:tcPr>
          <w:p>
            <w:pPr>
              <w:ind w:left="20"/>
              <w:spacing w:after="0"/>
              <w:rPr>
                <w:sz w:val="20"/>
                <w:szCs w:val="20"/>
                <w:color w:val="auto"/>
              </w:rPr>
            </w:pPr>
            <w:r>
              <w:rPr>
                <w:rFonts w:ascii="Arial" w:cs="Arial" w:eastAsia="Arial" w:hAnsi="Arial"/>
                <w:sz w:val="16"/>
                <w:szCs w:val="16"/>
                <w:color w:val="auto"/>
              </w:rPr>
              <w:t>Adjusted Selling, General and Administrative</w:t>
            </w: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080" w:type="dxa"/>
            <w:vAlign w:val="bottom"/>
          </w:tcPr>
          <w:p>
            <w:pPr>
              <w:ind w:left="20"/>
              <w:spacing w:after="0"/>
              <w:rPr>
                <w:sz w:val="20"/>
                <w:szCs w:val="20"/>
                <w:color w:val="auto"/>
              </w:rPr>
            </w:pPr>
            <w:r>
              <w:rPr>
                <w:rFonts w:ascii="Arial" w:cs="Arial" w:eastAsia="Arial" w:hAnsi="Arial"/>
                <w:sz w:val="16"/>
                <w:szCs w:val="16"/>
                <w:color w:val="auto"/>
              </w:rPr>
              <w:t>Expenses as a percentage of Net Sales</w:t>
            </w:r>
          </w:p>
        </w:tc>
        <w:tc>
          <w:tcPr>
            <w:tcW w:w="16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21.4 %</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23.7 %</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20.2 %</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21.7 %</w:t>
            </w:r>
          </w:p>
        </w:tc>
        <w:tc>
          <w:tcPr>
            <w:tcW w:w="0" w:type="dxa"/>
            <w:vAlign w:val="bottom"/>
          </w:tcPr>
          <w:p>
            <w:pPr>
              <w:spacing w:after="0"/>
              <w:rPr>
                <w:sz w:val="1"/>
                <w:szCs w:val="1"/>
                <w:color w:val="auto"/>
              </w:rPr>
            </w:pPr>
          </w:p>
        </w:tc>
      </w:tr>
    </w:tbl>
    <w:p>
      <w:pPr>
        <w:spacing w:after="0" w:line="351" w:lineRule="exact"/>
        <w:rPr>
          <w:sz w:val="20"/>
          <w:szCs w:val="20"/>
          <w:color w:val="auto"/>
        </w:rPr>
      </w:pPr>
    </w:p>
    <w:p>
      <w:pPr>
        <w:ind w:left="380" w:hanging="354"/>
        <w:spacing w:after="0"/>
        <w:tabs>
          <w:tab w:leader="none" w:pos="380" w:val="left"/>
        </w:tabs>
        <w:numPr>
          <w:ilvl w:val="0"/>
          <w:numId w:val="7"/>
        </w:numPr>
        <w:rPr>
          <w:rFonts w:ascii="Arial" w:cs="Arial" w:eastAsia="Arial" w:hAnsi="Arial"/>
          <w:sz w:val="13"/>
          <w:szCs w:val="13"/>
          <w:color w:val="auto"/>
        </w:rPr>
      </w:pPr>
      <w:r>
        <w:rPr>
          <w:rFonts w:ascii="Arial" w:cs="Arial" w:eastAsia="Arial" w:hAnsi="Arial"/>
          <w:sz w:val="13"/>
          <w:szCs w:val="13"/>
          <w:color w:val="auto"/>
        </w:rPr>
        <w:t>Represents outside consulting fees associated with our strategic cost savings and business optimization initiatives.</w:t>
      </w:r>
    </w:p>
    <w:p>
      <w:pPr>
        <w:spacing w:after="0" w:line="53" w:lineRule="exact"/>
        <w:rPr>
          <w:rFonts w:ascii="Arial" w:cs="Arial" w:eastAsia="Arial" w:hAnsi="Arial"/>
          <w:sz w:val="13"/>
          <w:szCs w:val="13"/>
          <w:color w:val="auto"/>
        </w:rPr>
      </w:pPr>
    </w:p>
    <w:p>
      <w:pPr>
        <w:ind w:left="380" w:hanging="354"/>
        <w:spacing w:after="0"/>
        <w:tabs>
          <w:tab w:leader="none" w:pos="380" w:val="left"/>
        </w:tabs>
        <w:numPr>
          <w:ilvl w:val="0"/>
          <w:numId w:val="7"/>
        </w:numPr>
        <w:rPr>
          <w:rFonts w:ascii="Arial" w:cs="Arial" w:eastAsia="Arial" w:hAnsi="Arial"/>
          <w:sz w:val="13"/>
          <w:szCs w:val="13"/>
          <w:color w:val="auto"/>
        </w:rPr>
      </w:pPr>
      <w:r>
        <w:rPr>
          <w:rFonts w:ascii="Arial" w:cs="Arial" w:eastAsia="Arial" w:hAnsi="Arial"/>
          <w:sz w:val="13"/>
          <w:szCs w:val="13"/>
          <w:color w:val="auto"/>
        </w:rPr>
        <w:t>Represents our contractual payments under our Monitoring Agreement with our former private equity sponsor Kohlberg Kravis Roberts &amp; Co. L.P.</w:t>
      </w:r>
    </w:p>
    <w:p>
      <w:pPr>
        <w:spacing w:after="0" w:line="53" w:lineRule="exact"/>
        <w:rPr>
          <w:rFonts w:ascii="Arial" w:cs="Arial" w:eastAsia="Arial" w:hAnsi="Arial"/>
          <w:sz w:val="13"/>
          <w:szCs w:val="13"/>
          <w:color w:val="auto"/>
        </w:rPr>
      </w:pPr>
    </w:p>
    <w:p>
      <w:pPr>
        <w:ind w:left="380" w:right="20" w:hanging="354"/>
        <w:spacing w:after="0" w:line="242" w:lineRule="auto"/>
        <w:tabs>
          <w:tab w:leader="none" w:pos="380" w:val="left"/>
        </w:tabs>
        <w:numPr>
          <w:ilvl w:val="0"/>
          <w:numId w:val="7"/>
        </w:numPr>
        <w:rPr>
          <w:rFonts w:ascii="Arial" w:cs="Arial" w:eastAsia="Arial" w:hAnsi="Arial"/>
          <w:sz w:val="13"/>
          <w:szCs w:val="13"/>
          <w:color w:val="auto"/>
        </w:rPr>
      </w:pPr>
      <w:r>
        <w:rPr>
          <w:rFonts w:ascii="Arial" w:cs="Arial" w:eastAsia="Arial" w:hAnsi="Arial"/>
          <w:sz w:val="13"/>
          <w:szCs w:val="13"/>
          <w:color w:val="auto"/>
        </w:rPr>
        <w:t>Represents non-cash charges related to equity based compensation, which vary from period to period depending on certain factors such as the 2021 Vesting Event, timing and valuation of awards, achievement of performance targets and equity award forfeitures.</w:t>
      </w:r>
    </w:p>
    <w:p>
      <w:pPr>
        <w:spacing w:after="0" w:line="49" w:lineRule="exact"/>
        <w:rPr>
          <w:rFonts w:ascii="Arial" w:cs="Arial" w:eastAsia="Arial" w:hAnsi="Arial"/>
          <w:sz w:val="13"/>
          <w:szCs w:val="13"/>
          <w:color w:val="auto"/>
        </w:rPr>
      </w:pPr>
    </w:p>
    <w:p>
      <w:pPr>
        <w:ind w:left="380" w:hanging="354"/>
        <w:spacing w:after="0"/>
        <w:tabs>
          <w:tab w:leader="none" w:pos="380" w:val="left"/>
        </w:tabs>
        <w:numPr>
          <w:ilvl w:val="0"/>
          <w:numId w:val="7"/>
        </w:numPr>
        <w:rPr>
          <w:rFonts w:ascii="Arial" w:cs="Arial" w:eastAsia="Arial" w:hAnsi="Arial"/>
          <w:sz w:val="13"/>
          <w:szCs w:val="13"/>
          <w:color w:val="auto"/>
        </w:rPr>
      </w:pPr>
      <w:r>
        <w:rPr>
          <w:rFonts w:ascii="Arial" w:cs="Arial" w:eastAsia="Arial" w:hAnsi="Arial"/>
          <w:sz w:val="13"/>
          <w:szCs w:val="13"/>
          <w:color w:val="auto"/>
        </w:rPr>
        <w:t>Represents severance costs associated with executive leadership changes and enterprise-wide organizational changes.</w:t>
      </w:r>
    </w:p>
    <w:p>
      <w:pPr>
        <w:spacing w:after="0" w:line="53" w:lineRule="exact"/>
        <w:rPr>
          <w:rFonts w:ascii="Arial" w:cs="Arial" w:eastAsia="Arial" w:hAnsi="Arial"/>
          <w:sz w:val="13"/>
          <w:szCs w:val="13"/>
          <w:color w:val="auto"/>
        </w:rPr>
      </w:pPr>
    </w:p>
    <w:p>
      <w:pPr>
        <w:jc w:val="both"/>
        <w:ind w:left="380" w:right="20" w:hanging="354"/>
        <w:spacing w:after="0" w:line="270" w:lineRule="auto"/>
        <w:tabs>
          <w:tab w:leader="none" w:pos="380" w:val="left"/>
        </w:tabs>
        <w:numPr>
          <w:ilvl w:val="0"/>
          <w:numId w:val="7"/>
        </w:numPr>
        <w:rPr>
          <w:rFonts w:ascii="Arial" w:cs="Arial" w:eastAsia="Arial" w:hAnsi="Arial"/>
          <w:sz w:val="12"/>
          <w:szCs w:val="12"/>
          <w:color w:val="auto"/>
        </w:rPr>
      </w:pPr>
      <w:r>
        <w:rPr>
          <w:rFonts w:ascii="Arial" w:cs="Arial" w:eastAsia="Arial" w:hAnsi="Arial"/>
          <w:sz w:val="12"/>
          <w:szCs w:val="12"/>
          <w:color w:val="auto"/>
        </w:rPr>
        <w:t>Represents costs incurred during the thirteen and thirty-nine weeks ended October 31, 2020, as a result of the COVID-19 pandemic, including temporary wage premiums, additional sick time, costs of additional cleaning supplies and third party cleaning services for the stores, corporate office and distribution centers, accelerated freight costs associated with shifting our inventory purchase earlier in the year to maintain stock, and legal fees associated with consulting in local jurisdictions. These costs were no longer added back beginning in the third quarter of 2020.</w:t>
      </w:r>
    </w:p>
    <w:p>
      <w:pPr>
        <w:spacing w:after="0" w:line="33" w:lineRule="exact"/>
        <w:rPr>
          <w:rFonts w:ascii="Arial" w:cs="Arial" w:eastAsia="Arial" w:hAnsi="Arial"/>
          <w:sz w:val="12"/>
          <w:szCs w:val="12"/>
          <w:color w:val="auto"/>
        </w:rPr>
      </w:pPr>
    </w:p>
    <w:p>
      <w:pPr>
        <w:ind w:left="380" w:hanging="354"/>
        <w:spacing w:after="0"/>
        <w:tabs>
          <w:tab w:leader="none" w:pos="380" w:val="left"/>
        </w:tabs>
        <w:numPr>
          <w:ilvl w:val="0"/>
          <w:numId w:val="7"/>
        </w:numPr>
        <w:rPr>
          <w:rFonts w:ascii="Arial" w:cs="Arial" w:eastAsia="Arial" w:hAnsi="Arial"/>
          <w:sz w:val="13"/>
          <w:szCs w:val="13"/>
          <w:color w:val="auto"/>
        </w:rPr>
      </w:pPr>
      <w:r>
        <w:rPr>
          <w:rFonts w:ascii="Arial" w:cs="Arial" w:eastAsia="Arial" w:hAnsi="Arial"/>
          <w:sz w:val="13"/>
          <w:szCs w:val="13"/>
          <w:color w:val="auto"/>
        </w:rPr>
        <w:t>Represents cash expenses related to taxes on equity-based compensation resulting from the 2021 Vesting Event.</w:t>
      </w:r>
    </w:p>
    <w:p>
      <w:pPr>
        <w:spacing w:after="0" w:line="53" w:lineRule="exact"/>
        <w:rPr>
          <w:rFonts w:ascii="Arial" w:cs="Arial" w:eastAsia="Arial" w:hAnsi="Arial"/>
          <w:sz w:val="13"/>
          <w:szCs w:val="13"/>
          <w:color w:val="auto"/>
        </w:rPr>
      </w:pPr>
    </w:p>
    <w:p>
      <w:pPr>
        <w:jc w:val="both"/>
        <w:ind w:left="380" w:right="20" w:hanging="354"/>
        <w:spacing w:after="0"/>
        <w:tabs>
          <w:tab w:leader="none" w:pos="380" w:val="left"/>
        </w:tabs>
        <w:numPr>
          <w:ilvl w:val="0"/>
          <w:numId w:val="7"/>
        </w:numPr>
        <w:rPr>
          <w:rFonts w:ascii="Arial" w:cs="Arial" w:eastAsia="Arial" w:hAnsi="Arial"/>
          <w:sz w:val="13"/>
          <w:szCs w:val="13"/>
          <w:color w:val="auto"/>
        </w:rPr>
      </w:pPr>
      <w:r>
        <w:rPr>
          <w:rFonts w:ascii="Arial" w:cs="Arial" w:eastAsia="Arial" w:hAnsi="Arial"/>
          <w:sz w:val="13"/>
          <w:szCs w:val="13"/>
          <w:color w:val="auto"/>
        </w:rPr>
        <w:t>Other adjustments include (representing deductions or additions to Adjusted Selling, General and Administrative Expenses) amounts that management believes are not representative of our operating performance, including investment income, installation costs for energy savings associated with our profitability initiatives, legal fees associated with a distribution to NAHC's members and our omnibus incentive plan, store exit costs and other costs associated with strategic cost savings and business optimization initiatives.</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240"/>
          </w:cols>
          <w:pgMar w:left="320" w:top="981"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Adjusted Free Cash Flow</w:t>
      </w:r>
    </w:p>
    <w:p>
      <w:pPr>
        <w:spacing w:after="0" w:line="24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define “Adjusted Free Cash Flow” as net cash provided by (used in) operating activities less net cash provided by (used in) investing activities. We describe these adjustments reconciling net cash provided by operating activities to Adjusted Free Cash Flow in the following table.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7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600" w:type="dxa"/>
            <w:vAlign w:val="bottom"/>
            <w:tcBorders>
              <w:bottom w:val="single" w:sz="8" w:color="auto"/>
            </w:tcBorders>
            <w:gridSpan w:val="4"/>
          </w:tcPr>
          <w:p>
            <w:pPr>
              <w:jc w:val="right"/>
              <w:ind w:right="939"/>
              <w:spacing w:after="0"/>
              <w:rPr>
                <w:sz w:val="20"/>
                <w:szCs w:val="20"/>
                <w:color w:val="auto"/>
              </w:rPr>
            </w:pPr>
            <w:r>
              <w:rPr>
                <w:rFonts w:ascii="Arial" w:cs="Arial" w:eastAsia="Arial" w:hAnsi="Arial"/>
                <w:sz w:val="16"/>
                <w:szCs w:val="16"/>
                <w:b w:val="1"/>
                <w:bCs w:val="1"/>
                <w:color w:val="auto"/>
              </w:rPr>
              <w:t>Thirteen Weeks Ended</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440" w:type="dxa"/>
            <w:vAlign w:val="bottom"/>
            <w:tcBorders>
              <w:bottom w:val="single" w:sz="8" w:color="auto"/>
            </w:tcBorders>
            <w:gridSpan w:val="4"/>
          </w:tcPr>
          <w:p>
            <w:pPr>
              <w:jc w:val="right"/>
              <w:ind w:right="739"/>
              <w:spacing w:after="0"/>
              <w:rPr>
                <w:sz w:val="20"/>
                <w:szCs w:val="20"/>
                <w:color w:val="auto"/>
              </w:rPr>
            </w:pPr>
            <w:r>
              <w:rPr>
                <w:rFonts w:ascii="Arial" w:cs="Arial" w:eastAsia="Arial" w:hAnsi="Arial"/>
                <w:sz w:val="16"/>
                <w:szCs w:val="16"/>
                <w:b w:val="1"/>
                <w:bCs w:val="1"/>
                <w:color w:val="auto"/>
              </w:rPr>
              <w:t>Thirty-Nine Weeks Ended</w:t>
            </w:r>
          </w:p>
        </w:tc>
      </w:tr>
      <w:tr>
        <w:trPr>
          <w:trHeight w:val="236"/>
        </w:trPr>
        <w:tc>
          <w:tcPr>
            <w:tcW w:w="3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October 30, 2021</w:t>
            </w:r>
          </w:p>
        </w:tc>
        <w:tc>
          <w:tcPr>
            <w:tcW w:w="200" w:type="dxa"/>
            <w:vAlign w:val="bottom"/>
          </w:tcPr>
          <w:p>
            <w:pPr>
              <w:spacing w:after="0"/>
              <w:rPr>
                <w:sz w:val="20"/>
                <w:szCs w:val="20"/>
                <w:color w:val="auto"/>
              </w:rPr>
            </w:pPr>
          </w:p>
        </w:tc>
        <w:tc>
          <w:tcPr>
            <w:tcW w:w="1740" w:type="dxa"/>
            <w:vAlign w:val="bottom"/>
            <w:gridSpan w:val="2"/>
          </w:tcPr>
          <w:p>
            <w:pPr>
              <w:ind w:left="80"/>
              <w:spacing w:after="0"/>
              <w:rPr>
                <w:sz w:val="20"/>
                <w:szCs w:val="20"/>
                <w:color w:val="auto"/>
              </w:rPr>
            </w:pPr>
            <w:r>
              <w:rPr>
                <w:rFonts w:ascii="Arial" w:cs="Arial" w:eastAsia="Arial" w:hAnsi="Arial"/>
                <w:sz w:val="16"/>
                <w:szCs w:val="16"/>
                <w:b w:val="1"/>
                <w:bCs w:val="1"/>
                <w:color w:val="auto"/>
              </w:rPr>
              <w:t>October 31, 2020</w:t>
            </w:r>
          </w:p>
        </w:tc>
        <w:tc>
          <w:tcPr>
            <w:tcW w:w="160" w:type="dxa"/>
            <w:vAlign w:val="bottom"/>
          </w:tcPr>
          <w:p>
            <w:pPr>
              <w:spacing w:after="0"/>
              <w:rPr>
                <w:sz w:val="20"/>
                <w:szCs w:val="20"/>
                <w:color w:val="auto"/>
              </w:rPr>
            </w:pPr>
          </w:p>
        </w:tc>
        <w:tc>
          <w:tcPr>
            <w:tcW w:w="1680" w:type="dxa"/>
            <w:vAlign w:val="bottom"/>
            <w:gridSpan w:val="2"/>
          </w:tcPr>
          <w:p>
            <w:pPr>
              <w:ind w:left="60"/>
              <w:spacing w:after="0"/>
              <w:rPr>
                <w:sz w:val="20"/>
                <w:szCs w:val="20"/>
                <w:color w:val="auto"/>
              </w:rPr>
            </w:pPr>
            <w:r>
              <w:rPr>
                <w:rFonts w:ascii="Arial" w:cs="Arial" w:eastAsia="Arial" w:hAnsi="Arial"/>
                <w:sz w:val="16"/>
                <w:szCs w:val="16"/>
                <w:b w:val="1"/>
                <w:bCs w:val="1"/>
                <w:color w:val="auto"/>
              </w:rPr>
              <w:t>October 30, 2021</w:t>
            </w:r>
          </w:p>
        </w:tc>
        <w:tc>
          <w:tcPr>
            <w:tcW w:w="160" w:type="dxa"/>
            <w:vAlign w:val="bottom"/>
          </w:tcPr>
          <w:p>
            <w:pPr>
              <w:spacing w:after="0"/>
              <w:rPr>
                <w:sz w:val="20"/>
                <w:szCs w:val="20"/>
                <w:color w:val="auto"/>
              </w:rPr>
            </w:pPr>
          </w:p>
        </w:tc>
        <w:tc>
          <w:tcPr>
            <w:tcW w:w="1600" w:type="dxa"/>
            <w:vAlign w:val="bottom"/>
          </w:tcPr>
          <w:p>
            <w:pPr>
              <w:jc w:val="right"/>
              <w:ind w:right="159"/>
              <w:spacing w:after="0"/>
              <w:rPr>
                <w:sz w:val="20"/>
                <w:szCs w:val="20"/>
                <w:color w:val="auto"/>
              </w:rPr>
            </w:pPr>
            <w:r>
              <w:rPr>
                <w:rFonts w:ascii="Arial" w:cs="Arial" w:eastAsia="Arial" w:hAnsi="Arial"/>
                <w:sz w:val="16"/>
                <w:szCs w:val="16"/>
                <w:b w:val="1"/>
                <w:bCs w:val="1"/>
                <w:color w:val="auto"/>
              </w:rPr>
              <w:t>October 31, 2020</w:t>
            </w:r>
          </w:p>
        </w:tc>
      </w:tr>
      <w:tr>
        <w:trPr>
          <w:trHeight w:val="243"/>
        </w:trPr>
        <w:tc>
          <w:tcPr>
            <w:tcW w:w="3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109,389</w:t>
            </w:r>
          </w:p>
        </w:tc>
        <w:tc>
          <w:tcPr>
            <w:tcW w:w="8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83,597</w:t>
            </w:r>
          </w:p>
        </w:tc>
        <w:tc>
          <w:tcPr>
            <w:tcW w:w="8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515,063</w:t>
            </w:r>
          </w:p>
        </w:tc>
        <w:tc>
          <w:tcPr>
            <w:tcW w:w="8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857,218</w:t>
            </w:r>
          </w:p>
        </w:tc>
      </w:tr>
      <w:tr>
        <w:trPr>
          <w:trHeight w:val="237"/>
        </w:trPr>
        <w:tc>
          <w:tcPr>
            <w:tcW w:w="3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used in investing activities</w:t>
            </w:r>
          </w:p>
        </w:tc>
        <w:tc>
          <w:tcPr>
            <w:tcW w:w="1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(24,944)</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(58,711)</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(13,790)</w:t>
            </w:r>
          </w:p>
        </w:tc>
      </w:tr>
      <w:tr>
        <w:trPr>
          <w:trHeight w:val="268"/>
        </w:trPr>
        <w:tc>
          <w:tcPr>
            <w:tcW w:w="37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Adjusted Free Cash Flow</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84,445</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83,657</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456,352</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843,428</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r>
        <w:trPr>
          <w:trHeight w:val="745"/>
        </w:trPr>
        <w:tc>
          <w:tcPr>
            <w:tcW w:w="3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gridSpan w:val="2"/>
          </w:tcPr>
          <w:p>
            <w:pPr>
              <w:jc w:val="right"/>
              <w:spacing w:after="0"/>
              <w:rPr>
                <w:sz w:val="20"/>
                <w:szCs w:val="20"/>
                <w:color w:val="auto"/>
              </w:rPr>
            </w:pPr>
            <w:r>
              <w:rPr>
                <w:rFonts w:ascii="Arial" w:cs="Arial" w:eastAsia="Arial" w:hAnsi="Arial"/>
                <w:sz w:val="14"/>
                <w:szCs w:val="14"/>
                <w:color w:val="auto"/>
              </w:rPr>
              <w:t>11</w:t>
            </w:r>
          </w:p>
        </w:tc>
        <w:tc>
          <w:tcPr>
            <w:tcW w:w="2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8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7"/>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2021-12-10T07:04:33Z</dcterms:created>
  <dcterms:modified xsi:type="dcterms:W3CDTF">2021-12-10T07:04:33Z</dcterms:modified>
</cp:coreProperties>
</file>