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890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0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Nealon Thomas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08"/>
        </w:trPr>
        <w:tc>
          <w:tcPr>
            <w:tcW w:w="3820" w:type="dxa"/>
            <w:vAlign w:val="bottom"/>
            <w:gridSpan w:val="2"/>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Academy Sports &amp; Outdoors,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219"/>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200" w:type="dxa"/>
            <w:vAlign w:val="bottom"/>
            <w:tcBorders>
              <w:bottom w:val="single" w:sz="8" w:color="2C2C2C"/>
            </w:tcBorders>
          </w:tcPr>
          <w:p>
            <w:pPr>
              <w:spacing w:after="0"/>
              <w:rPr>
                <w:sz w:val="13"/>
                <w:szCs w:val="13"/>
                <w:color w:val="auto"/>
              </w:rPr>
            </w:pPr>
          </w:p>
        </w:tc>
        <w:tc>
          <w:tcPr>
            <w:tcW w:w="36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tcPr>
          <w:p>
            <w:pPr>
              <w:ind w:left="60"/>
              <w:spacing w:after="0"/>
              <w:rPr>
                <w:sz w:val="20"/>
                <w:szCs w:val="20"/>
                <w:color w:val="auto"/>
              </w:rPr>
            </w:pPr>
            <w:r>
              <w:rPr>
                <w:rFonts w:ascii="Arial" w:cs="Arial" w:eastAsia="Arial" w:hAnsi="Arial"/>
                <w:sz w:val="13"/>
                <w:szCs w:val="13"/>
                <w:color w:val="auto"/>
              </w:rPr>
              <w:t>3.</w:t>
            </w:r>
          </w:p>
        </w:tc>
        <w:tc>
          <w:tcPr>
            <w:tcW w:w="3620" w:type="dxa"/>
            <w:vAlign w:val="bottom"/>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03/03/2021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8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3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03/03/2021</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1,340</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1,340</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 par value $0.01 per share.</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time-based restricted stock units that vest 100%, subject to the director's continued service with the Company, on the vesting date, on the earliest of (i) the first anniversary of the date of grant, or, if earlier, the date which is the business day immediately preceding the date of the next annual stockholders meeting, (ii) the director's termination due to death or Disability (as defined in the Company's 2020 Omnibus Incentive Plan) or (iii) a Change in Control (as defined in the Company's 2020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Gary Holland, Attorney-in-Fact 03/04/2021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713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2021-03-04T17:54:39Z</dcterms:created>
  <dcterms:modified xsi:type="dcterms:W3CDTF">2021-03-04T17:54:39Z</dcterms:modified>
</cp:coreProperties>
</file>