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Ennis William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color w:val="0000FF"/>
                <w:w w:val="97"/>
              </w:rPr>
              <w:t>SVP &amp; CHRO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11/23/2022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11/23/2022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16,284</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50,575</w:t>
            </w:r>
            <w:r>
              <w:rPr>
                <w:rFonts w:ascii="Times New Roman" w:cs="Times New Roman" w:eastAsia="Times New Roman" w:hAnsi="Times New Roman"/>
                <w:sz w:val="21"/>
                <w:szCs w:val="21"/>
                <w:color w:val="008000"/>
                <w:w w:val="91"/>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11/23/2022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16,284</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52.05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34,291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11/23/2022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33,062</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67,353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11/23/2022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33,062</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52.05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34,291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right"/>
              <w:ind w:right="5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right"/>
              <w:ind w:right="54"/>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54"/>
              <w:spacing w:after="0" w:line="129"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jc w:val="right"/>
              <w:ind w:right="174"/>
              <w:spacing w:after="0" w:line="129" w:lineRule="exact"/>
              <w:rPr>
                <w:sz w:val="20"/>
                <w:szCs w:val="20"/>
                <w:color w:val="auto"/>
              </w:rPr>
            </w:pPr>
            <w:r>
              <w:rPr>
                <w:rFonts w:ascii="Arial" w:cs="Arial" w:eastAsia="Arial" w:hAnsi="Arial"/>
                <w:sz w:val="12"/>
                <w:szCs w:val="12"/>
                <w:b w:val="1"/>
                <w:bCs w:val="1"/>
                <w:color w:val="auto"/>
                <w:w w:val="92"/>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11/23/2022</w:t>
            </w:r>
          </w:p>
        </w:tc>
        <w:tc>
          <w:tcPr>
            <w:tcW w:w="1140" w:type="dxa"/>
            <w:vAlign w:val="bottom"/>
          </w:tcPr>
          <w:p>
            <w:pPr>
              <w:spacing w:after="0"/>
              <w:rPr>
                <w:sz w:val="17"/>
                <w:szCs w:val="17"/>
                <w:color w:val="auto"/>
              </w:rPr>
            </w:pPr>
          </w:p>
        </w:tc>
        <w:tc>
          <w:tcPr>
            <w:tcW w:w="62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33,062</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03/07/2029</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33,062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5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right"/>
              <w:ind w:right="157"/>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11/23/2022</w:t>
            </w:r>
          </w:p>
        </w:tc>
        <w:tc>
          <w:tcPr>
            <w:tcW w:w="1140" w:type="dxa"/>
            <w:vAlign w:val="bottom"/>
          </w:tcPr>
          <w:p>
            <w:pPr>
              <w:spacing w:after="0"/>
              <w:rPr>
                <w:sz w:val="17"/>
                <w:szCs w:val="17"/>
                <w:color w:val="auto"/>
              </w:rPr>
            </w:pPr>
          </w:p>
        </w:tc>
        <w:tc>
          <w:tcPr>
            <w:tcW w:w="62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16,284</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03/07/2029</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16,284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5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7"/>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exercised and sales reported in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$52.00 to $52.28,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previously granted under the Issuer's 2011 Unit Incentive Plan, or the 2011 Equity Plan, are fully vested due to a Change of Control (as defined in the 2011 Equity Plan) that resultedfrom the Issuer's secondary public offering that closed on May 10,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2022-11-28T18:32:16Z</dcterms:created>
  <dcterms:modified xsi:type="dcterms:W3CDTF">2022-11-28T18:32:16Z</dcterms:modified>
</cp:coreProperties>
</file>