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31" w:lineRule="exact"/>
        <w:rPr>
          <w:sz w:val="24"/>
          <w:szCs w:val="24"/>
          <w:color w:val="auto"/>
        </w:rPr>
      </w:pPr>
    </w:p>
    <w:p>
      <w:pPr>
        <w:ind w:left="540"/>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145"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Filed by a party other than Registrant </w:t>
      </w:r>
      <w:r>
        <w:rPr>
          <w:rFonts w:ascii="Arial" w:cs="Arial" w:eastAsia="Arial" w:hAnsi="Arial"/>
          <w:sz w:val="16"/>
          <w:szCs w:val="16"/>
          <w:color w:val="auto"/>
        </w:rPr>
        <w:t>o</w:t>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ind w:left="680" w:hanging="650"/>
        <w:spacing w:after="0" w:line="231" w:lineRule="auto"/>
        <w:tabs>
          <w:tab w:leader="none" w:pos="680" w:val="left"/>
        </w:tabs>
        <w:numPr>
          <w:ilvl w:val="0"/>
          <w:numId w:val="1"/>
        </w:numPr>
        <w:rPr>
          <w:rFonts w:ascii="Arial" w:cs="Arial" w:eastAsia="Arial" w:hAnsi="Arial"/>
          <w:sz w:val="32"/>
          <w:szCs w:val="32"/>
          <w:color w:val="auto"/>
          <w:vertAlign w:val="superscript"/>
        </w:rPr>
      </w:pPr>
      <w:r>
        <w:rPr>
          <w:rFonts w:ascii="Times New Roman" w:cs="Times New Roman" w:eastAsia="Times New Roman" w:hAnsi="Times New Roman"/>
          <w:sz w:val="17"/>
          <w:szCs w:val="17"/>
          <w:color w:val="auto"/>
        </w:rPr>
        <w:t>Preliminary Proxy Statement</w:t>
      </w:r>
    </w:p>
    <w:p>
      <w:pPr>
        <w:spacing w:after="0" w:line="106" w:lineRule="exact"/>
        <w:rPr>
          <w:rFonts w:ascii="Arial" w:cs="Arial" w:eastAsia="Arial" w:hAnsi="Arial"/>
          <w:sz w:val="32"/>
          <w:szCs w:val="32"/>
          <w:color w:val="auto"/>
          <w:vertAlign w:val="superscript"/>
        </w:rPr>
      </w:pPr>
    </w:p>
    <w:p>
      <w:pPr>
        <w:ind w:left="20" w:right="3899" w:firstLine="10"/>
        <w:spacing w:after="0" w:line="226" w:lineRule="exact"/>
        <w:tabs>
          <w:tab w:leader="none" w:pos="668" w:val="left"/>
        </w:tabs>
        <w:numPr>
          <w:ilvl w:val="0"/>
          <w:numId w:val="1"/>
        </w:numPr>
        <w:rPr>
          <w:rFonts w:ascii="Arial" w:cs="Arial" w:eastAsia="Arial" w:hAnsi="Arial"/>
          <w:sz w:val="32"/>
          <w:szCs w:val="32"/>
          <w:color w:val="auto"/>
          <w:vertAlign w:val="superscript"/>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1" w:lineRule="exact"/>
        <w:rPr>
          <w:rFonts w:ascii="Arial" w:cs="Arial" w:eastAsia="Arial" w:hAnsi="Arial"/>
          <w:sz w:val="32"/>
          <w:szCs w:val="32"/>
          <w:color w:val="auto"/>
          <w:vertAlign w:val="superscript"/>
        </w:rPr>
      </w:pPr>
    </w:p>
    <w:p>
      <w:pPr>
        <w:ind w:left="680" w:hanging="650"/>
        <w:spacing w:after="0" w:line="190" w:lineRule="auto"/>
        <w:tabs>
          <w:tab w:leader="none" w:pos="680" w:val="left"/>
        </w:tabs>
        <w:numPr>
          <w:ilvl w:val="0"/>
          <w:numId w:val="1"/>
        </w:numPr>
        <w:rPr>
          <w:rFonts w:ascii="Arial" w:cs="Arial" w:eastAsia="Arial" w:hAnsi="Arial"/>
          <w:sz w:val="32"/>
          <w:szCs w:val="32"/>
          <w:color w:val="auto"/>
          <w:vertAlign w:val="superscript"/>
        </w:rPr>
      </w:pPr>
      <w:r>
        <w:rPr>
          <w:rFonts w:ascii="Times New Roman" w:cs="Times New Roman" w:eastAsia="Times New Roman" w:hAnsi="Times New Roman"/>
          <w:sz w:val="17"/>
          <w:szCs w:val="17"/>
          <w:color w:val="auto"/>
        </w:rPr>
        <w:t>Definitive Additional Materials</w:t>
      </w:r>
    </w:p>
    <w:p>
      <w:pPr>
        <w:spacing w:after="0" w:line="107" w:lineRule="exact"/>
        <w:rPr>
          <w:rFonts w:ascii="Arial" w:cs="Arial" w:eastAsia="Arial" w:hAnsi="Arial"/>
          <w:sz w:val="32"/>
          <w:szCs w:val="32"/>
          <w:color w:val="auto"/>
          <w:vertAlign w:val="superscript"/>
        </w:rPr>
      </w:pPr>
    </w:p>
    <w:p>
      <w:pPr>
        <w:ind w:left="680" w:hanging="650"/>
        <w:spacing w:after="0" w:line="185" w:lineRule="auto"/>
        <w:tabs>
          <w:tab w:leader="none" w:pos="680" w:val="left"/>
        </w:tabs>
        <w:numPr>
          <w:ilvl w:val="0"/>
          <w:numId w:val="1"/>
        </w:numPr>
        <w:rPr>
          <w:rFonts w:ascii="Arial" w:cs="Arial" w:eastAsia="Arial" w:hAnsi="Arial"/>
          <w:sz w:val="23"/>
          <w:szCs w:val="23"/>
          <w:color w:val="auto"/>
          <w:vertAlign w:val="superscript"/>
        </w:rPr>
      </w:pPr>
      <w:r>
        <w:rPr>
          <w:rFonts w:ascii="Times New Roman" w:cs="Times New Roman" w:eastAsia="Times New Roman" w:hAnsi="Times New Roman"/>
          <w:sz w:val="14"/>
          <w:szCs w:val="14"/>
          <w:color w:val="auto"/>
        </w:rPr>
        <w:t>Soliciting Material under to §240.14a-12</w:t>
      </w:r>
    </w:p>
    <w:p>
      <w:pPr>
        <w:spacing w:after="0" w:line="30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59"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275"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 </w:t>
            </w:r>
            <w:r>
              <w:rPr>
                <w:rFonts w:ascii="Arial" w:cs="Arial" w:eastAsia="Arial" w:hAnsi="Arial"/>
                <w:sz w:val="16"/>
                <w:szCs w:val="16"/>
                <w:color w:val="auto"/>
              </w:rPr>
              <w:t>o</w:t>
            </w:r>
          </w:p>
        </w:tc>
        <w:tc>
          <w:tcPr>
            <w:tcW w:w="68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Fee paid previously with preliminary materials</w:t>
            </w:r>
          </w:p>
        </w:tc>
        <w:tc>
          <w:tcPr>
            <w:tcW w:w="0" w:type="dxa"/>
            <w:vAlign w:val="bottom"/>
          </w:tcPr>
          <w:p>
            <w:pPr>
              <w:spacing w:after="0"/>
              <w:rPr>
                <w:sz w:val="1"/>
                <w:szCs w:val="1"/>
                <w:color w:val="auto"/>
              </w:rPr>
            </w:pPr>
          </w:p>
        </w:tc>
      </w:tr>
      <w:tr>
        <w:trPr>
          <w:trHeight w:val="77"/>
        </w:trPr>
        <w:tc>
          <w:tcPr>
            <w:tcW w:w="380" w:type="dxa"/>
            <w:vAlign w:val="bottom"/>
          </w:tcPr>
          <w:p>
            <w:pPr>
              <w:spacing w:after="0"/>
              <w:rPr>
                <w:sz w:val="6"/>
                <w:szCs w:val="6"/>
                <w:color w:val="auto"/>
              </w:rPr>
            </w:pPr>
          </w:p>
        </w:tc>
        <w:tc>
          <w:tcPr>
            <w:tcW w:w="6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0"/>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 </w:t>
            </w:r>
            <w:r>
              <w:rPr>
                <w:rFonts w:ascii="Arial" w:cs="Arial" w:eastAsia="Arial" w:hAnsi="Arial"/>
                <w:sz w:val="16"/>
                <w:szCs w:val="16"/>
                <w:color w:val="auto"/>
              </w:rPr>
              <w:t>o</w:t>
            </w:r>
          </w:p>
        </w:tc>
        <w:tc>
          <w:tcPr>
            <w:tcW w:w="68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Fee computed on table in exhibit required by Item 25(b) per Exchange Act Rules 14a-6(i)(1) and 0-11</w:t>
            </w:r>
          </w:p>
        </w:tc>
        <w:tc>
          <w:tcPr>
            <w:tcW w:w="0" w:type="dxa"/>
            <w:vAlign w:val="bottom"/>
          </w:tcPr>
          <w:p>
            <w:pPr>
              <w:spacing w:after="0"/>
              <w:rPr>
                <w:sz w:val="1"/>
                <w:szCs w:val="1"/>
                <w:color w:val="auto"/>
              </w:rPr>
            </w:pPr>
          </w:p>
        </w:tc>
      </w:tr>
      <w:tr>
        <w:trPr>
          <w:trHeight w:val="77"/>
        </w:trPr>
        <w:tc>
          <w:tcPr>
            <w:tcW w:w="380" w:type="dxa"/>
            <w:vAlign w:val="bottom"/>
          </w:tcPr>
          <w:p>
            <w:pPr>
              <w:spacing w:after="0"/>
              <w:rPr>
                <w:sz w:val="6"/>
                <w:szCs w:val="6"/>
                <w:color w:val="auto"/>
              </w:rPr>
            </w:pPr>
          </w:p>
        </w:tc>
        <w:tc>
          <w:tcPr>
            <w:tcW w:w="6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1588135</wp:posOffset>
            </wp:positionH>
            <wp:positionV relativeFrom="page">
              <wp:posOffset>1889125</wp:posOffset>
            </wp:positionV>
            <wp:extent cx="4380230" cy="1928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38023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Academy Sports and Outdoors, Inc.</w:t>
      </w:r>
    </w:p>
    <w:p>
      <w:pPr>
        <w:sectPr>
          <w:pgSz w:w="11900" w:h="16838" w:orient="portrait"/>
          <w:cols w:equalWidth="0" w:num="1">
            <w:col w:w="9019"/>
          </w:cols>
          <w:pgMar w:left="1440" w:top="1440" w:right="1440" w:bottom="1440" w:gutter="0" w:footer="0" w:header="0"/>
        </w:sectPr>
      </w:pPr>
    </w:p>
    <w:p>
      <w:pPr>
        <w:spacing w:after="0" w:line="33"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2022 Proxy Statement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Notice of</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auto"/>
        </w:rPr>
        <w:t>Annual Meeting of Stockholders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Thursday, June 2, 2022</w:t>
      </w:r>
    </w:p>
    <w:p>
      <w:pPr>
        <w:spacing w:after="0" w:line="40" w:lineRule="exact"/>
        <w:rPr>
          <w:sz w:val="20"/>
          <w:szCs w:val="20"/>
          <w:color w:val="auto"/>
        </w:rPr>
      </w:pPr>
    </w:p>
    <w:p>
      <w:pPr>
        <w:ind w:left="3060"/>
        <w:spacing w:after="0"/>
        <w:rPr>
          <w:sz w:val="20"/>
          <w:szCs w:val="20"/>
          <w:color w:val="auto"/>
        </w:rPr>
      </w:pPr>
      <w:r>
        <w:rPr>
          <w:rFonts w:ascii="Arial" w:cs="Arial" w:eastAsia="Arial" w:hAnsi="Arial"/>
          <w:sz w:val="28"/>
          <w:szCs w:val="28"/>
          <w:color w:val="auto"/>
        </w:rPr>
        <w:t>8:00 a.m., Central Time</w:t>
      </w:r>
    </w:p>
    <w:p>
      <w:pPr>
        <w:spacing w:after="0" w:line="190" w:lineRule="exact"/>
        <w:rPr>
          <w:sz w:val="20"/>
          <w:szCs w:val="20"/>
          <w:color w:val="auto"/>
        </w:rPr>
      </w:pPr>
    </w:p>
    <w:p>
      <w:pPr>
        <w:ind w:left="2300"/>
        <w:spacing w:after="0"/>
        <w:rPr>
          <w:sz w:val="20"/>
          <w:szCs w:val="20"/>
          <w:color w:val="auto"/>
        </w:rPr>
      </w:pPr>
      <w:r>
        <w:rPr>
          <w:rFonts w:ascii="Arial" w:cs="Arial" w:eastAsia="Arial" w:hAnsi="Arial"/>
          <w:sz w:val="28"/>
          <w:szCs w:val="28"/>
          <w:color w:val="auto"/>
        </w:rPr>
        <w:t>Academy Sports and Outdoors, Inc.</w:t>
      </w:r>
    </w:p>
    <w:p>
      <w:pPr>
        <w:spacing w:after="0" w:line="17" w:lineRule="exact"/>
        <w:rPr>
          <w:sz w:val="20"/>
          <w:szCs w:val="20"/>
          <w:color w:val="auto"/>
        </w:rPr>
      </w:pPr>
    </w:p>
    <w:p>
      <w:pPr>
        <w:jc w:val="center"/>
        <w:ind w:left="1760" w:right="1779"/>
        <w:spacing w:after="0" w:line="249" w:lineRule="auto"/>
        <w:rPr>
          <w:sz w:val="20"/>
          <w:szCs w:val="20"/>
          <w:color w:val="auto"/>
        </w:rPr>
      </w:pPr>
      <w:r>
        <w:rPr>
          <w:rFonts w:ascii="Arial" w:cs="Arial" w:eastAsia="Arial" w:hAnsi="Arial"/>
          <w:sz w:val="28"/>
          <w:szCs w:val="28"/>
          <w:color w:val="auto"/>
        </w:rPr>
        <w:t>Corporate Headquarters - The Stadium 1540 North Mason Road Katy, Texas 77449</w:t>
      </w:r>
    </w:p>
    <w:p>
      <w:pPr>
        <w:sectPr>
          <w:pgSz w:w="11900" w:h="16838" w:orient="portrait"/>
          <w:cols w:equalWidth="0" w:num="1">
            <w:col w:w="9019"/>
          </w:cols>
          <w:pgMar w:left="1440" w:top="1440" w:right="1440" w:bottom="1440" w:gutter="0" w:footer="0" w:header="0"/>
          <w:type w:val="continuous"/>
        </w:sectPr>
      </w:pPr>
    </w:p>
    <w:bookmarkStart w:id="2" w:name="page3"/>
    <w:bookmarkEnd w:id="2"/>
    <w:p>
      <w:pPr>
        <w:jc w:val="center"/>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1271905</wp:posOffset>
            </wp:positionV>
            <wp:extent cx="5400675" cy="6635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00675" cy="663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right="800"/>
        <w:spacing w:after="0" w:line="328" w:lineRule="auto"/>
        <w:rPr>
          <w:sz w:val="20"/>
          <w:szCs w:val="20"/>
          <w:color w:val="auto"/>
        </w:rPr>
      </w:pPr>
      <w:r>
        <w:rPr>
          <w:rFonts w:ascii="Arial" w:cs="Arial" w:eastAsia="Arial" w:hAnsi="Arial"/>
          <w:sz w:val="48"/>
          <w:szCs w:val="48"/>
          <w:b w:val="1"/>
          <w:bCs w:val="1"/>
          <w:color w:val="1B4093"/>
        </w:rPr>
        <w:t>Table of Contents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940" w:type="dxa"/>
            <w:vAlign w:val="bottom"/>
            <w:tcBorders>
              <w:bottom w:val="single" w:sz="8" w:color="ACB1C9"/>
            </w:tcBorders>
          </w:tcPr>
          <w:p>
            <w:pPr>
              <w:ind w:left="20"/>
              <w:spacing w:after="0"/>
              <w:rPr>
                <w:sz w:val="20"/>
                <w:szCs w:val="20"/>
                <w:color w:val="auto"/>
              </w:rPr>
            </w:pPr>
            <w:r>
              <w:rPr>
                <w:rFonts w:ascii="Arial" w:cs="Arial" w:eastAsia="Arial" w:hAnsi="Arial"/>
                <w:sz w:val="18"/>
                <w:szCs w:val="18"/>
                <w:b w:val="1"/>
                <w:bCs w:val="1"/>
                <w:color w:val="1B4093"/>
              </w:rPr>
              <w:t>Notice of Annual Meeting of Stockholders</w:t>
            </w:r>
          </w:p>
        </w:tc>
        <w:tc>
          <w:tcPr>
            <w:tcW w:w="640" w:type="dxa"/>
            <w:vAlign w:val="bottom"/>
            <w:tcBorders>
              <w:bottom w:val="single" w:sz="8" w:color="ACB1C9"/>
            </w:tcBorders>
          </w:tcPr>
          <w:p>
            <w:pPr>
              <w:jc w:val="center"/>
              <w:ind w:left="99"/>
              <w:spacing w:after="0"/>
              <w:rPr>
                <w:sz w:val="20"/>
                <w:szCs w:val="20"/>
                <w:color w:val="auto"/>
              </w:rPr>
            </w:pPr>
            <w:r>
              <w:rPr>
                <w:rFonts w:ascii="Arial" w:cs="Arial" w:eastAsia="Arial" w:hAnsi="Arial"/>
                <w:sz w:val="16"/>
                <w:szCs w:val="16"/>
                <w:b w:val="1"/>
                <w:bCs w:val="1"/>
                <w:color w:val="1B4093"/>
              </w:rPr>
              <w:t>1</w:t>
            </w:r>
          </w:p>
        </w:tc>
        <w:tc>
          <w:tcPr>
            <w:tcW w:w="0" w:type="dxa"/>
            <w:vAlign w:val="bottom"/>
          </w:tcPr>
          <w:p>
            <w:pPr>
              <w:spacing w:after="0"/>
              <w:rPr>
                <w:sz w:val="1"/>
                <w:szCs w:val="1"/>
                <w:color w:val="auto"/>
              </w:rPr>
            </w:pPr>
          </w:p>
        </w:tc>
      </w:tr>
      <w:tr>
        <w:trPr>
          <w:trHeight w:val="277"/>
        </w:trPr>
        <w:tc>
          <w:tcPr>
            <w:tcW w:w="6940" w:type="dxa"/>
            <w:vAlign w:val="bottom"/>
            <w:tcBorders>
              <w:bottom w:val="single" w:sz="8" w:color="ACB1C9"/>
            </w:tcBorders>
          </w:tcPr>
          <w:p>
            <w:pPr>
              <w:ind w:left="20"/>
              <w:spacing w:after="0"/>
              <w:rPr>
                <w:sz w:val="20"/>
                <w:szCs w:val="20"/>
                <w:color w:val="auto"/>
              </w:rPr>
            </w:pPr>
            <w:r>
              <w:rPr>
                <w:rFonts w:ascii="Arial" w:cs="Arial" w:eastAsia="Arial" w:hAnsi="Arial"/>
                <w:sz w:val="18"/>
                <w:szCs w:val="18"/>
                <w:b w:val="1"/>
                <w:bCs w:val="1"/>
                <w:color w:val="1B4093"/>
              </w:rPr>
              <w:t>Proxy Voting Methods</w:t>
            </w:r>
          </w:p>
        </w:tc>
        <w:tc>
          <w:tcPr>
            <w:tcW w:w="640" w:type="dxa"/>
            <w:vAlign w:val="bottom"/>
            <w:tcBorders>
              <w:bottom w:val="single" w:sz="8" w:color="ACB1C9"/>
            </w:tcBorders>
          </w:tcPr>
          <w:p>
            <w:pPr>
              <w:jc w:val="center"/>
              <w:ind w:left="99"/>
              <w:spacing w:after="0"/>
              <w:rPr>
                <w:sz w:val="20"/>
                <w:szCs w:val="20"/>
                <w:color w:val="auto"/>
              </w:rPr>
            </w:pPr>
            <w:r>
              <w:rPr>
                <w:rFonts w:ascii="Arial" w:cs="Arial" w:eastAsia="Arial" w:hAnsi="Arial"/>
                <w:sz w:val="16"/>
                <w:szCs w:val="16"/>
                <w:b w:val="1"/>
                <w:bCs w:val="1"/>
                <w:color w:val="1B4093"/>
              </w:rPr>
              <w:t>2</w:t>
            </w:r>
          </w:p>
        </w:tc>
        <w:tc>
          <w:tcPr>
            <w:tcW w:w="0" w:type="dxa"/>
            <w:vAlign w:val="bottom"/>
          </w:tcPr>
          <w:p>
            <w:pPr>
              <w:spacing w:after="0"/>
              <w:rPr>
                <w:sz w:val="1"/>
                <w:szCs w:val="1"/>
                <w:color w:val="auto"/>
              </w:rPr>
            </w:pPr>
          </w:p>
        </w:tc>
      </w:tr>
      <w:tr>
        <w:trPr>
          <w:trHeight w:val="277"/>
        </w:trPr>
        <w:tc>
          <w:tcPr>
            <w:tcW w:w="6940" w:type="dxa"/>
            <w:vAlign w:val="bottom"/>
            <w:tcBorders>
              <w:bottom w:val="single" w:sz="8" w:color="ACB1C9"/>
            </w:tcBorders>
          </w:tcPr>
          <w:p>
            <w:pPr>
              <w:ind w:left="20"/>
              <w:spacing w:after="0"/>
              <w:rPr>
                <w:sz w:val="20"/>
                <w:szCs w:val="20"/>
                <w:color w:val="auto"/>
              </w:rPr>
            </w:pPr>
            <w:r>
              <w:rPr>
                <w:rFonts w:ascii="Arial" w:cs="Arial" w:eastAsia="Arial" w:hAnsi="Arial"/>
                <w:sz w:val="18"/>
                <w:szCs w:val="18"/>
                <w:b w:val="1"/>
                <w:bCs w:val="1"/>
                <w:color w:val="1B4093"/>
              </w:rPr>
              <w:t>Proxy Statement</w:t>
            </w:r>
          </w:p>
        </w:tc>
        <w:tc>
          <w:tcPr>
            <w:tcW w:w="640" w:type="dxa"/>
            <w:vAlign w:val="bottom"/>
            <w:tcBorders>
              <w:bottom w:val="single" w:sz="8" w:color="ACB1C9"/>
            </w:tcBorders>
          </w:tcPr>
          <w:p>
            <w:pPr>
              <w:jc w:val="center"/>
              <w:ind w:left="99"/>
              <w:spacing w:after="0"/>
              <w:rPr>
                <w:sz w:val="20"/>
                <w:szCs w:val="20"/>
                <w:color w:val="auto"/>
              </w:rPr>
            </w:pPr>
            <w:r>
              <w:rPr>
                <w:rFonts w:ascii="Arial" w:cs="Arial" w:eastAsia="Arial" w:hAnsi="Arial"/>
                <w:sz w:val="16"/>
                <w:szCs w:val="16"/>
                <w:b w:val="1"/>
                <w:bCs w:val="1"/>
                <w:color w:val="1B4093"/>
              </w:rPr>
              <w:t>3</w:t>
            </w:r>
          </w:p>
        </w:tc>
        <w:tc>
          <w:tcPr>
            <w:tcW w:w="0" w:type="dxa"/>
            <w:vAlign w:val="bottom"/>
          </w:tcPr>
          <w:p>
            <w:pPr>
              <w:spacing w:after="0"/>
              <w:rPr>
                <w:sz w:val="1"/>
                <w:szCs w:val="1"/>
                <w:color w:val="auto"/>
              </w:rPr>
            </w:pPr>
          </w:p>
        </w:tc>
      </w:tr>
      <w:tr>
        <w:trPr>
          <w:trHeight w:val="403"/>
        </w:trPr>
        <w:tc>
          <w:tcPr>
            <w:tcW w:w="6940" w:type="dxa"/>
            <w:vAlign w:val="bottom"/>
          </w:tcPr>
          <w:p>
            <w:pPr>
              <w:ind w:left="20"/>
              <w:spacing w:after="0"/>
              <w:rPr>
                <w:sz w:val="20"/>
                <w:szCs w:val="20"/>
                <w:color w:val="auto"/>
              </w:rPr>
            </w:pPr>
            <w:r>
              <w:rPr>
                <w:rFonts w:ascii="Arial" w:cs="Arial" w:eastAsia="Arial" w:hAnsi="Arial"/>
                <w:sz w:val="18"/>
                <w:szCs w:val="18"/>
                <w:b w:val="1"/>
                <w:bCs w:val="1"/>
                <w:color w:val="1B4093"/>
              </w:rPr>
              <w:t>General Information/Questions and Answers about the Annual Meeting</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1B4093"/>
              </w:rPr>
              <w:t>3</w:t>
            </w:r>
          </w:p>
        </w:tc>
        <w:tc>
          <w:tcPr>
            <w:tcW w:w="0" w:type="dxa"/>
            <w:vAlign w:val="bottom"/>
          </w:tcPr>
          <w:p>
            <w:pPr>
              <w:spacing w:after="0"/>
              <w:rPr>
                <w:sz w:val="1"/>
                <w:szCs w:val="1"/>
                <w:color w:val="auto"/>
              </w:rPr>
            </w:pPr>
          </w:p>
        </w:tc>
      </w:tr>
      <w:tr>
        <w:trPr>
          <w:trHeight w:val="164"/>
        </w:trPr>
        <w:tc>
          <w:tcPr>
            <w:tcW w:w="6940" w:type="dxa"/>
            <w:vAlign w:val="bottom"/>
            <w:tcBorders>
              <w:bottom w:val="single" w:sz="8" w:color="ACB1C9"/>
            </w:tcBorders>
          </w:tcPr>
          <w:p>
            <w:pPr>
              <w:spacing w:after="0"/>
              <w:rPr>
                <w:sz w:val="14"/>
                <w:szCs w:val="14"/>
                <w:color w:val="auto"/>
              </w:rPr>
            </w:pPr>
          </w:p>
        </w:tc>
        <w:tc>
          <w:tcPr>
            <w:tcW w:w="640" w:type="dxa"/>
            <w:vAlign w:val="bottom"/>
            <w:tcBorders>
              <w:bottom w:val="single" w:sz="8" w:color="ACB1C9"/>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6940" w:type="dxa"/>
            <w:vAlign w:val="bottom"/>
          </w:tcPr>
          <w:p>
            <w:pPr>
              <w:ind w:left="20"/>
              <w:spacing w:after="0"/>
              <w:rPr>
                <w:sz w:val="20"/>
                <w:szCs w:val="20"/>
                <w:color w:val="auto"/>
              </w:rPr>
            </w:pPr>
            <w:r>
              <w:rPr>
                <w:rFonts w:ascii="Arial" w:cs="Arial" w:eastAsia="Arial" w:hAnsi="Arial"/>
                <w:sz w:val="18"/>
                <w:szCs w:val="18"/>
                <w:b w:val="1"/>
                <w:bCs w:val="1"/>
                <w:color w:val="1B4093"/>
              </w:rPr>
              <w:t>Proposal One - Election of Directors</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1B4093"/>
              </w:rPr>
              <w:t>8</w:t>
            </w:r>
          </w:p>
        </w:tc>
        <w:tc>
          <w:tcPr>
            <w:tcW w:w="0" w:type="dxa"/>
            <w:vAlign w:val="bottom"/>
          </w:tcPr>
          <w:p>
            <w:pPr>
              <w:spacing w:after="0"/>
              <w:rPr>
                <w:sz w:val="1"/>
                <w:szCs w:val="1"/>
                <w:color w:val="auto"/>
              </w:rPr>
            </w:pPr>
          </w:p>
        </w:tc>
      </w:tr>
      <w:tr>
        <w:trPr>
          <w:trHeight w:val="251"/>
        </w:trPr>
        <w:tc>
          <w:tcPr>
            <w:tcW w:w="6940" w:type="dxa"/>
            <w:vAlign w:val="bottom"/>
          </w:tcPr>
          <w:p>
            <w:pPr>
              <w:ind w:left="420"/>
              <w:spacing w:after="0"/>
              <w:rPr>
                <w:sz w:val="20"/>
                <w:szCs w:val="20"/>
                <w:color w:val="auto"/>
              </w:rPr>
            </w:pPr>
            <w:r>
              <w:rPr>
                <w:rFonts w:ascii="Arial" w:cs="Arial" w:eastAsia="Arial" w:hAnsi="Arial"/>
                <w:sz w:val="16"/>
                <w:szCs w:val="16"/>
                <w:b w:val="1"/>
                <w:bCs w:val="1"/>
                <w:color w:val="007EC4"/>
              </w:rPr>
              <w:t>Board Composition Matrix</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007EC4"/>
              </w:rPr>
              <w:t>9</w:t>
            </w:r>
          </w:p>
        </w:tc>
        <w:tc>
          <w:tcPr>
            <w:tcW w:w="0" w:type="dxa"/>
            <w:vAlign w:val="bottom"/>
          </w:tcPr>
          <w:p>
            <w:pPr>
              <w:spacing w:after="0"/>
              <w:rPr>
                <w:sz w:val="1"/>
                <w:szCs w:val="1"/>
                <w:color w:val="auto"/>
              </w:rPr>
            </w:pPr>
          </w:p>
        </w:tc>
      </w:tr>
      <w:tr>
        <w:trPr>
          <w:trHeight w:val="270"/>
        </w:trPr>
        <w:tc>
          <w:tcPr>
            <w:tcW w:w="6940" w:type="dxa"/>
            <w:vAlign w:val="bottom"/>
          </w:tcPr>
          <w:p>
            <w:pPr>
              <w:ind w:left="420"/>
              <w:spacing w:after="0"/>
              <w:rPr>
                <w:sz w:val="20"/>
                <w:szCs w:val="20"/>
                <w:color w:val="auto"/>
              </w:rPr>
            </w:pPr>
            <w:r>
              <w:rPr>
                <w:rFonts w:ascii="Arial" w:cs="Arial" w:eastAsia="Arial" w:hAnsi="Arial"/>
                <w:sz w:val="16"/>
                <w:szCs w:val="16"/>
                <w:b w:val="1"/>
                <w:bCs w:val="1"/>
                <w:color w:val="007EC4"/>
              </w:rPr>
              <w:t>Nominees for Election to the Board of Directors</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007EC4"/>
              </w:rPr>
              <w:t>10</w:t>
            </w:r>
          </w:p>
        </w:tc>
        <w:tc>
          <w:tcPr>
            <w:tcW w:w="0" w:type="dxa"/>
            <w:vAlign w:val="bottom"/>
          </w:tcPr>
          <w:p>
            <w:pPr>
              <w:spacing w:after="0"/>
              <w:rPr>
                <w:sz w:val="1"/>
                <w:szCs w:val="1"/>
                <w:color w:val="auto"/>
              </w:rPr>
            </w:pPr>
          </w:p>
        </w:tc>
      </w:tr>
      <w:tr>
        <w:trPr>
          <w:trHeight w:val="270"/>
        </w:trPr>
        <w:tc>
          <w:tcPr>
            <w:tcW w:w="6940" w:type="dxa"/>
            <w:vAlign w:val="bottom"/>
          </w:tcPr>
          <w:p>
            <w:pPr>
              <w:ind w:left="420"/>
              <w:spacing w:after="0"/>
              <w:rPr>
                <w:sz w:val="20"/>
                <w:szCs w:val="20"/>
                <w:color w:val="auto"/>
              </w:rPr>
            </w:pPr>
            <w:r>
              <w:rPr>
                <w:rFonts w:ascii="Arial" w:cs="Arial" w:eastAsia="Arial" w:hAnsi="Arial"/>
                <w:sz w:val="16"/>
                <w:szCs w:val="16"/>
                <w:b w:val="1"/>
                <w:bCs w:val="1"/>
                <w:color w:val="007EC4"/>
              </w:rPr>
              <w:t>Board Governance</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007EC4"/>
              </w:rPr>
              <w:t>14</w:t>
            </w:r>
          </w:p>
        </w:tc>
        <w:tc>
          <w:tcPr>
            <w:tcW w:w="0" w:type="dxa"/>
            <w:vAlign w:val="bottom"/>
          </w:tcPr>
          <w:p>
            <w:pPr>
              <w:spacing w:after="0"/>
              <w:rPr>
                <w:sz w:val="1"/>
                <w:szCs w:val="1"/>
                <w:color w:val="auto"/>
              </w:rPr>
            </w:pPr>
          </w:p>
        </w:tc>
      </w:tr>
      <w:tr>
        <w:trPr>
          <w:trHeight w:val="262"/>
        </w:trPr>
        <w:tc>
          <w:tcPr>
            <w:tcW w:w="6940" w:type="dxa"/>
            <w:vAlign w:val="bottom"/>
          </w:tcPr>
          <w:p>
            <w:pPr>
              <w:ind w:left="740"/>
              <w:spacing w:after="0"/>
              <w:rPr>
                <w:sz w:val="20"/>
                <w:szCs w:val="20"/>
                <w:color w:val="auto"/>
              </w:rPr>
            </w:pPr>
            <w:r>
              <w:rPr>
                <w:rFonts w:ascii="Arial" w:cs="Arial" w:eastAsia="Arial" w:hAnsi="Arial"/>
                <w:sz w:val="14"/>
                <w:szCs w:val="14"/>
                <w:color w:val="auto"/>
              </w:rPr>
              <w:t>Board Oversight</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Corporate Governance Guidelines</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Director Independence</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Controlled Company Exemption</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Leadership Structure of the Board</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Executive Sessions</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Board Committees</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Board and Committee Meetings and Attendance</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Board and Committee Evaluations</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Director Nomination Process</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Director Qualification Criteria</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Director Orientation, Engagement, and Continuing Education</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Management Succession</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Environmental, Social, and Governance (ESG)</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Board Oversight of Risk Management</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Code of Ethics</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Prohibition on Hedging and Pledging of Company Stock</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Communications with the Board</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0"/>
        </w:trPr>
        <w:tc>
          <w:tcPr>
            <w:tcW w:w="6940" w:type="dxa"/>
            <w:vAlign w:val="bottom"/>
          </w:tcPr>
          <w:p>
            <w:pPr>
              <w:ind w:left="740"/>
              <w:spacing w:after="0"/>
              <w:rPr>
                <w:sz w:val="20"/>
                <w:szCs w:val="20"/>
                <w:color w:val="auto"/>
              </w:rPr>
            </w:pPr>
            <w:r>
              <w:rPr>
                <w:rFonts w:ascii="Arial" w:cs="Arial" w:eastAsia="Arial" w:hAnsi="Arial"/>
                <w:sz w:val="14"/>
                <w:szCs w:val="14"/>
                <w:color w:val="auto"/>
              </w:rPr>
              <w:t>Compensation of Directors</w:t>
            </w:r>
          </w:p>
        </w:tc>
        <w:tc>
          <w:tcPr>
            <w:tcW w:w="640" w:type="dxa"/>
            <w:vAlign w:val="bottom"/>
          </w:tcPr>
          <w:p>
            <w:pPr>
              <w:jc w:val="center"/>
              <w:ind w:left="9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43"/>
        </w:trPr>
        <w:tc>
          <w:tcPr>
            <w:tcW w:w="6940" w:type="dxa"/>
            <w:vAlign w:val="bottom"/>
            <w:tcBorders>
              <w:bottom w:val="single" w:sz="8" w:color="ACB1C9"/>
            </w:tcBorders>
          </w:tcPr>
          <w:p>
            <w:pPr>
              <w:spacing w:after="0"/>
              <w:rPr>
                <w:sz w:val="3"/>
                <w:szCs w:val="3"/>
                <w:color w:val="auto"/>
              </w:rPr>
            </w:pPr>
          </w:p>
        </w:tc>
        <w:tc>
          <w:tcPr>
            <w:tcW w:w="640" w:type="dxa"/>
            <w:vAlign w:val="bottom"/>
            <w:tcBorders>
              <w:bottom w:val="single" w:sz="8" w:color="ACB1C9"/>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6940" w:type="dxa"/>
            <w:vAlign w:val="bottom"/>
          </w:tcPr>
          <w:p>
            <w:pPr>
              <w:ind w:left="20"/>
              <w:spacing w:after="0"/>
              <w:rPr>
                <w:sz w:val="20"/>
                <w:szCs w:val="20"/>
                <w:color w:val="auto"/>
              </w:rPr>
            </w:pPr>
            <w:r>
              <w:rPr>
                <w:rFonts w:ascii="Arial" w:cs="Arial" w:eastAsia="Arial" w:hAnsi="Arial"/>
                <w:sz w:val="18"/>
                <w:szCs w:val="18"/>
                <w:b w:val="1"/>
                <w:bCs w:val="1"/>
                <w:color w:val="1B4093"/>
              </w:rPr>
              <w:t>Proposal Two - Ratification of Appointment of Independent Registered Public</w:t>
            </w:r>
          </w:p>
        </w:tc>
        <w:tc>
          <w:tcPr>
            <w:tcW w:w="64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1B4093"/>
              </w:rPr>
              <w:t>30</w:t>
            </w:r>
          </w:p>
        </w:tc>
        <w:tc>
          <w:tcPr>
            <w:tcW w:w="0" w:type="dxa"/>
            <w:vAlign w:val="bottom"/>
          </w:tcPr>
          <w:p>
            <w:pPr>
              <w:spacing w:after="0"/>
              <w:rPr>
                <w:sz w:val="1"/>
                <w:szCs w:val="1"/>
                <w:color w:val="auto"/>
              </w:rPr>
            </w:pPr>
          </w:p>
        </w:tc>
      </w:tr>
      <w:tr>
        <w:trPr>
          <w:trHeight w:val="106"/>
        </w:trPr>
        <w:tc>
          <w:tcPr>
            <w:tcW w:w="6940" w:type="dxa"/>
            <w:vAlign w:val="bottom"/>
            <w:vMerge w:val="restart"/>
          </w:tcPr>
          <w:p>
            <w:pPr>
              <w:ind w:left="20"/>
              <w:spacing w:after="0"/>
              <w:rPr>
                <w:sz w:val="20"/>
                <w:szCs w:val="20"/>
                <w:color w:val="auto"/>
              </w:rPr>
            </w:pPr>
            <w:r>
              <w:rPr>
                <w:rFonts w:ascii="Arial" w:cs="Arial" w:eastAsia="Arial" w:hAnsi="Arial"/>
                <w:sz w:val="18"/>
                <w:szCs w:val="18"/>
                <w:b w:val="1"/>
                <w:bCs w:val="1"/>
                <w:color w:val="1B4093"/>
              </w:rPr>
              <w:t>Accounting Firm</w:t>
            </w: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694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6940" w:type="dxa"/>
            <w:vAlign w:val="bottom"/>
          </w:tcPr>
          <w:p>
            <w:pPr>
              <w:ind w:left="420"/>
              <w:spacing w:after="0"/>
              <w:rPr>
                <w:sz w:val="20"/>
                <w:szCs w:val="20"/>
                <w:color w:val="auto"/>
              </w:rPr>
            </w:pPr>
            <w:r>
              <w:rPr>
                <w:rFonts w:ascii="Arial" w:cs="Arial" w:eastAsia="Arial" w:hAnsi="Arial"/>
                <w:sz w:val="16"/>
                <w:szCs w:val="16"/>
                <w:b w:val="1"/>
                <w:bCs w:val="1"/>
                <w:color w:val="007EC4"/>
              </w:rPr>
              <w:t>Audit and Non-Audit Fees</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007EC4"/>
              </w:rPr>
              <w:t>31</w:t>
            </w:r>
          </w:p>
        </w:tc>
        <w:tc>
          <w:tcPr>
            <w:tcW w:w="0" w:type="dxa"/>
            <w:vAlign w:val="bottom"/>
          </w:tcPr>
          <w:p>
            <w:pPr>
              <w:spacing w:after="0"/>
              <w:rPr>
                <w:sz w:val="1"/>
                <w:szCs w:val="1"/>
                <w:color w:val="auto"/>
              </w:rPr>
            </w:pPr>
          </w:p>
        </w:tc>
      </w:tr>
      <w:tr>
        <w:trPr>
          <w:trHeight w:val="270"/>
        </w:trPr>
        <w:tc>
          <w:tcPr>
            <w:tcW w:w="6940" w:type="dxa"/>
            <w:vAlign w:val="bottom"/>
          </w:tcPr>
          <w:p>
            <w:pPr>
              <w:ind w:left="420"/>
              <w:spacing w:after="0"/>
              <w:rPr>
                <w:sz w:val="20"/>
                <w:szCs w:val="20"/>
                <w:color w:val="auto"/>
              </w:rPr>
            </w:pPr>
            <w:r>
              <w:rPr>
                <w:rFonts w:ascii="Arial" w:cs="Arial" w:eastAsia="Arial" w:hAnsi="Arial"/>
                <w:sz w:val="16"/>
                <w:szCs w:val="16"/>
                <w:b w:val="1"/>
                <w:bCs w:val="1"/>
                <w:color w:val="007EC4"/>
              </w:rPr>
              <w:t>Audit Committee Pre-Approval Policy</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007EC4"/>
              </w:rPr>
              <w:t>31</w:t>
            </w:r>
          </w:p>
        </w:tc>
        <w:tc>
          <w:tcPr>
            <w:tcW w:w="0" w:type="dxa"/>
            <w:vAlign w:val="bottom"/>
          </w:tcPr>
          <w:p>
            <w:pPr>
              <w:spacing w:after="0"/>
              <w:rPr>
                <w:sz w:val="1"/>
                <w:szCs w:val="1"/>
                <w:color w:val="auto"/>
              </w:rPr>
            </w:pPr>
          </w:p>
        </w:tc>
      </w:tr>
      <w:tr>
        <w:trPr>
          <w:trHeight w:val="270"/>
        </w:trPr>
        <w:tc>
          <w:tcPr>
            <w:tcW w:w="6940" w:type="dxa"/>
            <w:vAlign w:val="bottom"/>
          </w:tcPr>
          <w:p>
            <w:pPr>
              <w:ind w:left="420"/>
              <w:spacing w:after="0"/>
              <w:rPr>
                <w:sz w:val="20"/>
                <w:szCs w:val="20"/>
                <w:color w:val="auto"/>
              </w:rPr>
            </w:pPr>
            <w:r>
              <w:rPr>
                <w:rFonts w:ascii="Arial" w:cs="Arial" w:eastAsia="Arial" w:hAnsi="Arial"/>
                <w:sz w:val="16"/>
                <w:szCs w:val="16"/>
                <w:b w:val="1"/>
                <w:bCs w:val="1"/>
                <w:color w:val="007EC4"/>
              </w:rPr>
              <w:t>Report of the Audit Committee</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007EC4"/>
              </w:rPr>
              <w:t>32</w:t>
            </w:r>
          </w:p>
        </w:tc>
        <w:tc>
          <w:tcPr>
            <w:tcW w:w="0" w:type="dxa"/>
            <w:vAlign w:val="bottom"/>
          </w:tcPr>
          <w:p>
            <w:pPr>
              <w:spacing w:after="0"/>
              <w:rPr>
                <w:sz w:val="1"/>
                <w:szCs w:val="1"/>
                <w:color w:val="auto"/>
              </w:rPr>
            </w:pPr>
          </w:p>
        </w:tc>
      </w:tr>
      <w:tr>
        <w:trPr>
          <w:trHeight w:val="35"/>
        </w:trPr>
        <w:tc>
          <w:tcPr>
            <w:tcW w:w="6940" w:type="dxa"/>
            <w:vAlign w:val="bottom"/>
            <w:tcBorders>
              <w:bottom w:val="single" w:sz="8" w:color="ACB1C9"/>
            </w:tcBorders>
          </w:tcPr>
          <w:p>
            <w:pPr>
              <w:spacing w:after="0"/>
              <w:rPr>
                <w:sz w:val="3"/>
                <w:szCs w:val="3"/>
                <w:color w:val="auto"/>
              </w:rPr>
            </w:pPr>
          </w:p>
        </w:tc>
        <w:tc>
          <w:tcPr>
            <w:tcW w:w="640" w:type="dxa"/>
            <w:vAlign w:val="bottom"/>
            <w:tcBorders>
              <w:bottom w:val="single" w:sz="8" w:color="ACB1C9"/>
            </w:tcBorders>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6940" w:type="dxa"/>
            <w:vAlign w:val="bottom"/>
          </w:tcPr>
          <w:p>
            <w:pPr>
              <w:ind w:left="20"/>
              <w:spacing w:after="0"/>
              <w:rPr>
                <w:sz w:val="20"/>
                <w:szCs w:val="20"/>
                <w:color w:val="auto"/>
              </w:rPr>
            </w:pPr>
            <w:r>
              <w:rPr>
                <w:rFonts w:ascii="Arial" w:cs="Arial" w:eastAsia="Arial" w:hAnsi="Arial"/>
                <w:sz w:val="18"/>
                <w:szCs w:val="18"/>
                <w:b w:val="1"/>
                <w:bCs w:val="1"/>
                <w:color w:val="1B4093"/>
              </w:rPr>
              <w:t>Proposal Three - Non-Binding Vote to Approve Executive Compensation</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1B4093"/>
              </w:rPr>
              <w:t>33</w:t>
            </w:r>
          </w:p>
        </w:tc>
        <w:tc>
          <w:tcPr>
            <w:tcW w:w="0" w:type="dxa"/>
            <w:vAlign w:val="bottom"/>
          </w:tcPr>
          <w:p>
            <w:pPr>
              <w:spacing w:after="0"/>
              <w:rPr>
                <w:sz w:val="1"/>
                <w:szCs w:val="1"/>
                <w:color w:val="auto"/>
              </w:rPr>
            </w:pPr>
          </w:p>
        </w:tc>
      </w:tr>
      <w:tr>
        <w:trPr>
          <w:trHeight w:val="345"/>
        </w:trPr>
        <w:tc>
          <w:tcPr>
            <w:tcW w:w="6940" w:type="dxa"/>
            <w:vAlign w:val="bottom"/>
          </w:tcPr>
          <w:p>
            <w:pPr>
              <w:ind w:left="420"/>
              <w:spacing w:after="0"/>
              <w:rPr>
                <w:sz w:val="20"/>
                <w:szCs w:val="20"/>
                <w:color w:val="auto"/>
              </w:rPr>
            </w:pPr>
            <w:r>
              <w:rPr>
                <w:rFonts w:ascii="Arial" w:cs="Arial" w:eastAsia="Arial" w:hAnsi="Arial"/>
                <w:sz w:val="16"/>
                <w:szCs w:val="16"/>
                <w:b w:val="1"/>
                <w:bCs w:val="1"/>
                <w:color w:val="007EC4"/>
              </w:rPr>
              <w:t>Compensation Discussion and Analysis</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007EC4"/>
              </w:rPr>
              <w:t>34</w:t>
            </w:r>
          </w:p>
        </w:tc>
        <w:tc>
          <w:tcPr>
            <w:tcW w:w="0" w:type="dxa"/>
            <w:vAlign w:val="bottom"/>
          </w:tcPr>
          <w:p>
            <w:pPr>
              <w:spacing w:after="0"/>
              <w:rPr>
                <w:sz w:val="1"/>
                <w:szCs w:val="1"/>
                <w:color w:val="auto"/>
              </w:rPr>
            </w:pPr>
          </w:p>
        </w:tc>
      </w:tr>
      <w:tr>
        <w:trPr>
          <w:trHeight w:val="270"/>
        </w:trPr>
        <w:tc>
          <w:tcPr>
            <w:tcW w:w="6940" w:type="dxa"/>
            <w:vAlign w:val="bottom"/>
          </w:tcPr>
          <w:p>
            <w:pPr>
              <w:ind w:left="420"/>
              <w:spacing w:after="0"/>
              <w:rPr>
                <w:sz w:val="20"/>
                <w:szCs w:val="20"/>
                <w:color w:val="auto"/>
              </w:rPr>
            </w:pPr>
            <w:r>
              <w:rPr>
                <w:rFonts w:ascii="Arial" w:cs="Arial" w:eastAsia="Arial" w:hAnsi="Arial"/>
                <w:sz w:val="16"/>
                <w:szCs w:val="16"/>
                <w:b w:val="1"/>
                <w:bCs w:val="1"/>
                <w:color w:val="007EC4"/>
              </w:rPr>
              <w:t>Compensation Committee Report</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007EC4"/>
              </w:rPr>
              <w:t>47</w:t>
            </w:r>
          </w:p>
        </w:tc>
        <w:tc>
          <w:tcPr>
            <w:tcW w:w="0" w:type="dxa"/>
            <w:vAlign w:val="bottom"/>
          </w:tcPr>
          <w:p>
            <w:pPr>
              <w:spacing w:after="0"/>
              <w:rPr>
                <w:sz w:val="1"/>
                <w:szCs w:val="1"/>
                <w:color w:val="auto"/>
              </w:rPr>
            </w:pPr>
          </w:p>
        </w:tc>
      </w:tr>
      <w:tr>
        <w:trPr>
          <w:trHeight w:val="270"/>
        </w:trPr>
        <w:tc>
          <w:tcPr>
            <w:tcW w:w="6940" w:type="dxa"/>
            <w:vAlign w:val="bottom"/>
          </w:tcPr>
          <w:p>
            <w:pPr>
              <w:ind w:left="420"/>
              <w:spacing w:after="0"/>
              <w:rPr>
                <w:sz w:val="20"/>
                <w:szCs w:val="20"/>
                <w:color w:val="auto"/>
              </w:rPr>
            </w:pPr>
            <w:r>
              <w:rPr>
                <w:rFonts w:ascii="Arial" w:cs="Arial" w:eastAsia="Arial" w:hAnsi="Arial"/>
                <w:sz w:val="16"/>
                <w:szCs w:val="16"/>
                <w:b w:val="1"/>
                <w:bCs w:val="1"/>
                <w:color w:val="007EC4"/>
              </w:rPr>
              <w:t>Summary Compensation Table</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007EC4"/>
              </w:rPr>
              <w:t>48</w:t>
            </w:r>
          </w:p>
        </w:tc>
        <w:tc>
          <w:tcPr>
            <w:tcW w:w="0" w:type="dxa"/>
            <w:vAlign w:val="bottom"/>
          </w:tcPr>
          <w:p>
            <w:pPr>
              <w:spacing w:after="0"/>
              <w:rPr>
                <w:sz w:val="1"/>
                <w:szCs w:val="1"/>
                <w:color w:val="auto"/>
              </w:rPr>
            </w:pPr>
          </w:p>
        </w:tc>
      </w:tr>
      <w:tr>
        <w:trPr>
          <w:trHeight w:val="270"/>
        </w:trPr>
        <w:tc>
          <w:tcPr>
            <w:tcW w:w="6940" w:type="dxa"/>
            <w:vAlign w:val="bottom"/>
          </w:tcPr>
          <w:p>
            <w:pPr>
              <w:ind w:left="420"/>
              <w:spacing w:after="0"/>
              <w:rPr>
                <w:sz w:val="20"/>
                <w:szCs w:val="20"/>
                <w:color w:val="auto"/>
              </w:rPr>
            </w:pPr>
            <w:r>
              <w:rPr>
                <w:rFonts w:ascii="Arial" w:cs="Arial" w:eastAsia="Arial" w:hAnsi="Arial"/>
                <w:sz w:val="16"/>
                <w:szCs w:val="16"/>
                <w:b w:val="1"/>
                <w:bCs w:val="1"/>
                <w:color w:val="007EC4"/>
              </w:rPr>
              <w:t>Grants of Plan Based Awards in 2021</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007EC4"/>
              </w:rPr>
              <w:t>50</w:t>
            </w:r>
          </w:p>
        </w:tc>
        <w:tc>
          <w:tcPr>
            <w:tcW w:w="0" w:type="dxa"/>
            <w:vAlign w:val="bottom"/>
          </w:tcPr>
          <w:p>
            <w:pPr>
              <w:spacing w:after="0"/>
              <w:rPr>
                <w:sz w:val="1"/>
                <w:szCs w:val="1"/>
                <w:color w:val="auto"/>
              </w:rPr>
            </w:pPr>
          </w:p>
        </w:tc>
      </w:tr>
      <w:tr>
        <w:trPr>
          <w:trHeight w:val="270"/>
        </w:trPr>
        <w:tc>
          <w:tcPr>
            <w:tcW w:w="6940" w:type="dxa"/>
            <w:vAlign w:val="bottom"/>
          </w:tcPr>
          <w:p>
            <w:pPr>
              <w:ind w:left="420"/>
              <w:spacing w:after="0"/>
              <w:rPr>
                <w:sz w:val="20"/>
                <w:szCs w:val="20"/>
                <w:color w:val="auto"/>
              </w:rPr>
            </w:pPr>
            <w:r>
              <w:rPr>
                <w:rFonts w:ascii="Arial" w:cs="Arial" w:eastAsia="Arial" w:hAnsi="Arial"/>
                <w:sz w:val="16"/>
                <w:szCs w:val="16"/>
                <w:b w:val="1"/>
                <w:bCs w:val="1"/>
                <w:color w:val="007EC4"/>
              </w:rPr>
              <w:t>Outstanding Equity Awards at 2021 Fiscal Year End</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007EC4"/>
              </w:rPr>
              <w:t>52</w:t>
            </w:r>
          </w:p>
        </w:tc>
        <w:tc>
          <w:tcPr>
            <w:tcW w:w="0" w:type="dxa"/>
            <w:vAlign w:val="bottom"/>
          </w:tcPr>
          <w:p>
            <w:pPr>
              <w:spacing w:after="0"/>
              <w:rPr>
                <w:sz w:val="1"/>
                <w:szCs w:val="1"/>
                <w:color w:val="auto"/>
              </w:rPr>
            </w:pPr>
          </w:p>
        </w:tc>
      </w:tr>
      <w:tr>
        <w:trPr>
          <w:trHeight w:val="270"/>
        </w:trPr>
        <w:tc>
          <w:tcPr>
            <w:tcW w:w="6940" w:type="dxa"/>
            <w:vAlign w:val="bottom"/>
          </w:tcPr>
          <w:p>
            <w:pPr>
              <w:ind w:left="420"/>
              <w:spacing w:after="0"/>
              <w:rPr>
                <w:sz w:val="20"/>
                <w:szCs w:val="20"/>
                <w:color w:val="auto"/>
              </w:rPr>
            </w:pPr>
            <w:r>
              <w:rPr>
                <w:rFonts w:ascii="Arial" w:cs="Arial" w:eastAsia="Arial" w:hAnsi="Arial"/>
                <w:sz w:val="16"/>
                <w:szCs w:val="16"/>
                <w:b w:val="1"/>
                <w:bCs w:val="1"/>
                <w:color w:val="007EC4"/>
              </w:rPr>
              <w:t>Option Exercises and RSUs Vested</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007EC4"/>
              </w:rPr>
              <w:t>54</w:t>
            </w:r>
          </w:p>
        </w:tc>
        <w:tc>
          <w:tcPr>
            <w:tcW w:w="0" w:type="dxa"/>
            <w:vAlign w:val="bottom"/>
          </w:tcPr>
          <w:p>
            <w:pPr>
              <w:spacing w:after="0"/>
              <w:rPr>
                <w:sz w:val="1"/>
                <w:szCs w:val="1"/>
                <w:color w:val="auto"/>
              </w:rPr>
            </w:pPr>
          </w:p>
        </w:tc>
      </w:tr>
      <w:tr>
        <w:trPr>
          <w:trHeight w:val="270"/>
        </w:trPr>
        <w:tc>
          <w:tcPr>
            <w:tcW w:w="6940" w:type="dxa"/>
            <w:vAlign w:val="bottom"/>
          </w:tcPr>
          <w:p>
            <w:pPr>
              <w:ind w:left="420"/>
              <w:spacing w:after="0"/>
              <w:rPr>
                <w:sz w:val="20"/>
                <w:szCs w:val="20"/>
                <w:color w:val="auto"/>
              </w:rPr>
            </w:pPr>
            <w:r>
              <w:rPr>
                <w:rFonts w:ascii="Arial" w:cs="Arial" w:eastAsia="Arial" w:hAnsi="Arial"/>
                <w:sz w:val="16"/>
                <w:szCs w:val="16"/>
                <w:b w:val="1"/>
                <w:bCs w:val="1"/>
                <w:color w:val="007EC4"/>
              </w:rPr>
              <w:t>Employment Agreements</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007EC4"/>
              </w:rPr>
              <w:t>54</w:t>
            </w:r>
          </w:p>
        </w:tc>
        <w:tc>
          <w:tcPr>
            <w:tcW w:w="0" w:type="dxa"/>
            <w:vAlign w:val="bottom"/>
          </w:tcPr>
          <w:p>
            <w:pPr>
              <w:spacing w:after="0"/>
              <w:rPr>
                <w:sz w:val="1"/>
                <w:szCs w:val="1"/>
                <w:color w:val="auto"/>
              </w:rPr>
            </w:pPr>
          </w:p>
        </w:tc>
      </w:tr>
      <w:tr>
        <w:trPr>
          <w:trHeight w:val="270"/>
        </w:trPr>
        <w:tc>
          <w:tcPr>
            <w:tcW w:w="6940" w:type="dxa"/>
            <w:vAlign w:val="bottom"/>
          </w:tcPr>
          <w:p>
            <w:pPr>
              <w:ind w:left="420"/>
              <w:spacing w:after="0"/>
              <w:rPr>
                <w:sz w:val="20"/>
                <w:szCs w:val="20"/>
                <w:color w:val="auto"/>
              </w:rPr>
            </w:pPr>
            <w:r>
              <w:rPr>
                <w:rFonts w:ascii="Arial" w:cs="Arial" w:eastAsia="Arial" w:hAnsi="Arial"/>
                <w:sz w:val="16"/>
                <w:szCs w:val="16"/>
                <w:b w:val="1"/>
                <w:bCs w:val="1"/>
                <w:color w:val="007EC4"/>
              </w:rPr>
              <w:t>Severance Arrangements</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007EC4"/>
              </w:rPr>
              <w:t>55</w:t>
            </w:r>
          </w:p>
        </w:tc>
        <w:tc>
          <w:tcPr>
            <w:tcW w:w="0" w:type="dxa"/>
            <w:vAlign w:val="bottom"/>
          </w:tcPr>
          <w:p>
            <w:pPr>
              <w:spacing w:after="0"/>
              <w:rPr>
                <w:sz w:val="1"/>
                <w:szCs w:val="1"/>
                <w:color w:val="auto"/>
              </w:rPr>
            </w:pPr>
          </w:p>
        </w:tc>
      </w:tr>
      <w:tr>
        <w:trPr>
          <w:trHeight w:val="270"/>
        </w:trPr>
        <w:tc>
          <w:tcPr>
            <w:tcW w:w="6940" w:type="dxa"/>
            <w:vAlign w:val="bottom"/>
          </w:tcPr>
          <w:p>
            <w:pPr>
              <w:ind w:left="420"/>
              <w:spacing w:after="0"/>
              <w:rPr>
                <w:sz w:val="20"/>
                <w:szCs w:val="20"/>
                <w:color w:val="auto"/>
              </w:rPr>
            </w:pPr>
            <w:r>
              <w:rPr>
                <w:rFonts w:ascii="Arial" w:cs="Arial" w:eastAsia="Arial" w:hAnsi="Arial"/>
                <w:sz w:val="16"/>
                <w:szCs w:val="16"/>
                <w:b w:val="1"/>
                <w:bCs w:val="1"/>
                <w:color w:val="007EC4"/>
              </w:rPr>
              <w:t>CEO Pay Ratio</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007EC4"/>
              </w:rPr>
              <w:t>60</w:t>
            </w:r>
          </w:p>
        </w:tc>
        <w:tc>
          <w:tcPr>
            <w:tcW w:w="0" w:type="dxa"/>
            <w:vAlign w:val="bottom"/>
          </w:tcPr>
          <w:p>
            <w:pPr>
              <w:spacing w:after="0"/>
              <w:rPr>
                <w:sz w:val="1"/>
                <w:szCs w:val="1"/>
                <w:color w:val="auto"/>
              </w:rPr>
            </w:pPr>
          </w:p>
        </w:tc>
      </w:tr>
      <w:tr>
        <w:trPr>
          <w:trHeight w:val="35"/>
        </w:trPr>
        <w:tc>
          <w:tcPr>
            <w:tcW w:w="6940" w:type="dxa"/>
            <w:vAlign w:val="bottom"/>
            <w:tcBorders>
              <w:bottom w:val="single" w:sz="8" w:color="ACB1C9"/>
            </w:tcBorders>
          </w:tcPr>
          <w:p>
            <w:pPr>
              <w:spacing w:after="0"/>
              <w:rPr>
                <w:sz w:val="3"/>
                <w:szCs w:val="3"/>
                <w:color w:val="auto"/>
              </w:rPr>
            </w:pPr>
          </w:p>
        </w:tc>
        <w:tc>
          <w:tcPr>
            <w:tcW w:w="640" w:type="dxa"/>
            <w:vAlign w:val="bottom"/>
            <w:tcBorders>
              <w:bottom w:val="single" w:sz="8" w:color="ACB1C9"/>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940" w:type="dxa"/>
            <w:vAlign w:val="bottom"/>
            <w:tcBorders>
              <w:bottom w:val="single" w:sz="8" w:color="ACB1C9"/>
            </w:tcBorders>
          </w:tcPr>
          <w:p>
            <w:pPr>
              <w:ind w:left="20"/>
              <w:spacing w:after="0"/>
              <w:rPr>
                <w:sz w:val="20"/>
                <w:szCs w:val="20"/>
                <w:color w:val="auto"/>
              </w:rPr>
            </w:pPr>
            <w:r>
              <w:rPr>
                <w:rFonts w:ascii="Arial" w:cs="Arial" w:eastAsia="Arial" w:hAnsi="Arial"/>
                <w:sz w:val="18"/>
                <w:szCs w:val="18"/>
                <w:b w:val="1"/>
                <w:bCs w:val="1"/>
                <w:color w:val="1B4093"/>
              </w:rPr>
              <w:t>Ownership of Securities</w:t>
            </w:r>
          </w:p>
        </w:tc>
        <w:tc>
          <w:tcPr>
            <w:tcW w:w="640" w:type="dxa"/>
            <w:vAlign w:val="bottom"/>
            <w:tcBorders>
              <w:bottom w:val="single" w:sz="8" w:color="ACB1C9"/>
            </w:tcBorders>
          </w:tcPr>
          <w:p>
            <w:pPr>
              <w:jc w:val="center"/>
              <w:ind w:left="99"/>
              <w:spacing w:after="0"/>
              <w:rPr>
                <w:sz w:val="20"/>
                <w:szCs w:val="20"/>
                <w:color w:val="auto"/>
              </w:rPr>
            </w:pPr>
            <w:r>
              <w:rPr>
                <w:rFonts w:ascii="Arial" w:cs="Arial" w:eastAsia="Arial" w:hAnsi="Arial"/>
                <w:sz w:val="16"/>
                <w:szCs w:val="16"/>
                <w:b w:val="1"/>
                <w:bCs w:val="1"/>
                <w:color w:val="1B4093"/>
              </w:rPr>
              <w:t>62</w:t>
            </w:r>
          </w:p>
        </w:tc>
        <w:tc>
          <w:tcPr>
            <w:tcW w:w="0" w:type="dxa"/>
            <w:vAlign w:val="bottom"/>
          </w:tcPr>
          <w:p>
            <w:pPr>
              <w:spacing w:after="0"/>
              <w:rPr>
                <w:sz w:val="1"/>
                <w:szCs w:val="1"/>
                <w:color w:val="auto"/>
              </w:rPr>
            </w:pPr>
          </w:p>
        </w:tc>
      </w:tr>
      <w:tr>
        <w:trPr>
          <w:trHeight w:val="277"/>
        </w:trPr>
        <w:tc>
          <w:tcPr>
            <w:tcW w:w="6940" w:type="dxa"/>
            <w:vAlign w:val="bottom"/>
            <w:tcBorders>
              <w:bottom w:val="single" w:sz="8" w:color="ACB1C9"/>
            </w:tcBorders>
          </w:tcPr>
          <w:p>
            <w:pPr>
              <w:ind w:left="20"/>
              <w:spacing w:after="0"/>
              <w:rPr>
                <w:sz w:val="20"/>
                <w:szCs w:val="20"/>
                <w:color w:val="auto"/>
              </w:rPr>
            </w:pPr>
            <w:r>
              <w:rPr>
                <w:rFonts w:ascii="Arial" w:cs="Arial" w:eastAsia="Arial" w:hAnsi="Arial"/>
                <w:sz w:val="18"/>
                <w:szCs w:val="18"/>
                <w:b w:val="1"/>
                <w:bCs w:val="1"/>
                <w:color w:val="1B4093"/>
              </w:rPr>
              <w:t>Transactions with Related Persons</w:t>
            </w:r>
          </w:p>
        </w:tc>
        <w:tc>
          <w:tcPr>
            <w:tcW w:w="640" w:type="dxa"/>
            <w:vAlign w:val="bottom"/>
            <w:tcBorders>
              <w:bottom w:val="single" w:sz="8" w:color="ACB1C9"/>
            </w:tcBorders>
          </w:tcPr>
          <w:p>
            <w:pPr>
              <w:jc w:val="center"/>
              <w:ind w:left="99"/>
              <w:spacing w:after="0"/>
              <w:rPr>
                <w:sz w:val="20"/>
                <w:szCs w:val="20"/>
                <w:color w:val="auto"/>
              </w:rPr>
            </w:pPr>
            <w:r>
              <w:rPr>
                <w:rFonts w:ascii="Arial" w:cs="Arial" w:eastAsia="Arial" w:hAnsi="Arial"/>
                <w:sz w:val="16"/>
                <w:szCs w:val="16"/>
                <w:b w:val="1"/>
                <w:bCs w:val="1"/>
                <w:color w:val="1B4093"/>
              </w:rPr>
              <w:t>65</w:t>
            </w:r>
          </w:p>
        </w:tc>
        <w:tc>
          <w:tcPr>
            <w:tcW w:w="0" w:type="dxa"/>
            <w:vAlign w:val="bottom"/>
          </w:tcPr>
          <w:p>
            <w:pPr>
              <w:spacing w:after="0"/>
              <w:rPr>
                <w:sz w:val="1"/>
                <w:szCs w:val="1"/>
                <w:color w:val="auto"/>
              </w:rPr>
            </w:pPr>
          </w:p>
        </w:tc>
      </w:tr>
      <w:tr>
        <w:trPr>
          <w:trHeight w:val="277"/>
        </w:trPr>
        <w:tc>
          <w:tcPr>
            <w:tcW w:w="6940" w:type="dxa"/>
            <w:vAlign w:val="bottom"/>
            <w:tcBorders>
              <w:bottom w:val="single" w:sz="8" w:color="ACB1C9"/>
            </w:tcBorders>
          </w:tcPr>
          <w:p>
            <w:pPr>
              <w:ind w:left="20"/>
              <w:spacing w:after="0"/>
              <w:rPr>
                <w:sz w:val="20"/>
                <w:szCs w:val="20"/>
                <w:color w:val="auto"/>
              </w:rPr>
            </w:pPr>
            <w:r>
              <w:rPr>
                <w:rFonts w:ascii="Arial" w:cs="Arial" w:eastAsia="Arial" w:hAnsi="Arial"/>
                <w:sz w:val="18"/>
                <w:szCs w:val="18"/>
                <w:b w:val="1"/>
                <w:bCs w:val="1"/>
                <w:color w:val="1B4093"/>
              </w:rPr>
              <w:t>Stockholder Proposals for the 2023 Annual Meeting</w:t>
            </w:r>
          </w:p>
        </w:tc>
        <w:tc>
          <w:tcPr>
            <w:tcW w:w="640" w:type="dxa"/>
            <w:vAlign w:val="bottom"/>
            <w:tcBorders>
              <w:bottom w:val="single" w:sz="8" w:color="ACB1C9"/>
            </w:tcBorders>
          </w:tcPr>
          <w:p>
            <w:pPr>
              <w:jc w:val="center"/>
              <w:ind w:left="99"/>
              <w:spacing w:after="0"/>
              <w:rPr>
                <w:sz w:val="20"/>
                <w:szCs w:val="20"/>
                <w:color w:val="auto"/>
              </w:rPr>
            </w:pPr>
            <w:r>
              <w:rPr>
                <w:rFonts w:ascii="Arial" w:cs="Arial" w:eastAsia="Arial" w:hAnsi="Arial"/>
                <w:sz w:val="16"/>
                <w:szCs w:val="16"/>
                <w:b w:val="1"/>
                <w:bCs w:val="1"/>
                <w:color w:val="1B4093"/>
              </w:rPr>
              <w:t>66</w:t>
            </w:r>
          </w:p>
        </w:tc>
        <w:tc>
          <w:tcPr>
            <w:tcW w:w="0" w:type="dxa"/>
            <w:vAlign w:val="bottom"/>
          </w:tcPr>
          <w:p>
            <w:pPr>
              <w:spacing w:after="0"/>
              <w:rPr>
                <w:sz w:val="1"/>
                <w:szCs w:val="1"/>
                <w:color w:val="auto"/>
              </w:rPr>
            </w:pPr>
          </w:p>
        </w:tc>
      </w:tr>
      <w:tr>
        <w:trPr>
          <w:trHeight w:val="277"/>
        </w:trPr>
        <w:tc>
          <w:tcPr>
            <w:tcW w:w="6940" w:type="dxa"/>
            <w:vAlign w:val="bottom"/>
            <w:tcBorders>
              <w:bottom w:val="single" w:sz="8" w:color="ACB1C9"/>
            </w:tcBorders>
          </w:tcPr>
          <w:p>
            <w:pPr>
              <w:ind w:left="20"/>
              <w:spacing w:after="0"/>
              <w:rPr>
                <w:sz w:val="20"/>
                <w:szCs w:val="20"/>
                <w:color w:val="auto"/>
              </w:rPr>
            </w:pPr>
            <w:r>
              <w:rPr>
                <w:rFonts w:ascii="Arial" w:cs="Arial" w:eastAsia="Arial" w:hAnsi="Arial"/>
                <w:sz w:val="18"/>
                <w:szCs w:val="18"/>
                <w:b w:val="1"/>
                <w:bCs w:val="1"/>
                <w:color w:val="1B4093"/>
              </w:rPr>
              <w:t>Householding of Proxy Materials</w:t>
            </w:r>
          </w:p>
        </w:tc>
        <w:tc>
          <w:tcPr>
            <w:tcW w:w="640" w:type="dxa"/>
            <w:vAlign w:val="bottom"/>
            <w:tcBorders>
              <w:bottom w:val="single" w:sz="8" w:color="ACB1C9"/>
            </w:tcBorders>
          </w:tcPr>
          <w:p>
            <w:pPr>
              <w:jc w:val="center"/>
              <w:ind w:left="99"/>
              <w:spacing w:after="0"/>
              <w:rPr>
                <w:sz w:val="20"/>
                <w:szCs w:val="20"/>
                <w:color w:val="auto"/>
              </w:rPr>
            </w:pPr>
            <w:r>
              <w:rPr>
                <w:rFonts w:ascii="Arial" w:cs="Arial" w:eastAsia="Arial" w:hAnsi="Arial"/>
                <w:sz w:val="16"/>
                <w:szCs w:val="16"/>
                <w:b w:val="1"/>
                <w:bCs w:val="1"/>
                <w:color w:val="1B4093"/>
              </w:rPr>
              <w:t>67</w:t>
            </w:r>
          </w:p>
        </w:tc>
        <w:tc>
          <w:tcPr>
            <w:tcW w:w="0" w:type="dxa"/>
            <w:vAlign w:val="bottom"/>
          </w:tcPr>
          <w:p>
            <w:pPr>
              <w:spacing w:after="0"/>
              <w:rPr>
                <w:sz w:val="1"/>
                <w:szCs w:val="1"/>
                <w:color w:val="auto"/>
              </w:rPr>
            </w:pPr>
          </w:p>
        </w:tc>
      </w:tr>
      <w:tr>
        <w:trPr>
          <w:trHeight w:val="277"/>
        </w:trPr>
        <w:tc>
          <w:tcPr>
            <w:tcW w:w="6940" w:type="dxa"/>
            <w:vAlign w:val="bottom"/>
            <w:tcBorders>
              <w:bottom w:val="single" w:sz="8" w:color="ACB1C9"/>
            </w:tcBorders>
          </w:tcPr>
          <w:p>
            <w:pPr>
              <w:ind w:left="20"/>
              <w:spacing w:after="0"/>
              <w:rPr>
                <w:sz w:val="20"/>
                <w:szCs w:val="20"/>
                <w:color w:val="auto"/>
              </w:rPr>
            </w:pPr>
            <w:r>
              <w:rPr>
                <w:rFonts w:ascii="Arial" w:cs="Arial" w:eastAsia="Arial" w:hAnsi="Arial"/>
                <w:sz w:val="18"/>
                <w:szCs w:val="18"/>
                <w:b w:val="1"/>
                <w:bCs w:val="1"/>
                <w:color w:val="1B4093"/>
              </w:rPr>
              <w:t>Other Business</w:t>
            </w:r>
          </w:p>
        </w:tc>
        <w:tc>
          <w:tcPr>
            <w:tcW w:w="640" w:type="dxa"/>
            <w:vAlign w:val="bottom"/>
            <w:tcBorders>
              <w:bottom w:val="single" w:sz="8" w:color="ACB1C9"/>
            </w:tcBorders>
          </w:tcPr>
          <w:p>
            <w:pPr>
              <w:jc w:val="center"/>
              <w:ind w:left="99"/>
              <w:spacing w:after="0"/>
              <w:rPr>
                <w:sz w:val="20"/>
                <w:szCs w:val="20"/>
                <w:color w:val="auto"/>
              </w:rPr>
            </w:pPr>
            <w:r>
              <w:rPr>
                <w:rFonts w:ascii="Arial" w:cs="Arial" w:eastAsia="Arial" w:hAnsi="Arial"/>
                <w:sz w:val="16"/>
                <w:szCs w:val="16"/>
                <w:b w:val="1"/>
                <w:bCs w:val="1"/>
                <w:color w:val="1B4093"/>
              </w:rPr>
              <w:t>67</w:t>
            </w:r>
          </w:p>
        </w:tc>
        <w:tc>
          <w:tcPr>
            <w:tcW w:w="0" w:type="dxa"/>
            <w:vAlign w:val="bottom"/>
          </w:tcPr>
          <w:p>
            <w:pPr>
              <w:spacing w:after="0"/>
              <w:rPr>
                <w:sz w:val="1"/>
                <w:szCs w:val="1"/>
                <w:color w:val="auto"/>
              </w:rPr>
            </w:pPr>
          </w:p>
        </w:tc>
      </w:tr>
      <w:tr>
        <w:trPr>
          <w:trHeight w:val="269"/>
        </w:trPr>
        <w:tc>
          <w:tcPr>
            <w:tcW w:w="6940" w:type="dxa"/>
            <w:vAlign w:val="bottom"/>
          </w:tcPr>
          <w:p>
            <w:pPr>
              <w:ind w:left="20"/>
              <w:spacing w:after="0"/>
              <w:rPr>
                <w:sz w:val="20"/>
                <w:szCs w:val="20"/>
                <w:color w:val="auto"/>
              </w:rPr>
            </w:pPr>
            <w:r>
              <w:rPr>
                <w:rFonts w:ascii="Arial" w:cs="Arial" w:eastAsia="Arial" w:hAnsi="Arial"/>
                <w:sz w:val="18"/>
                <w:szCs w:val="18"/>
                <w:b w:val="1"/>
                <w:bCs w:val="1"/>
                <w:color w:val="1B4093"/>
              </w:rPr>
              <w:t>Reconciliations of GAAP to Non-GAAP Financial Measures</w:t>
            </w:r>
          </w:p>
        </w:tc>
        <w:tc>
          <w:tcPr>
            <w:tcW w:w="640" w:type="dxa"/>
            <w:vAlign w:val="bottom"/>
          </w:tcPr>
          <w:p>
            <w:pPr>
              <w:jc w:val="center"/>
              <w:ind w:left="99"/>
              <w:spacing w:after="0"/>
              <w:rPr>
                <w:sz w:val="20"/>
                <w:szCs w:val="20"/>
                <w:color w:val="auto"/>
              </w:rPr>
            </w:pPr>
            <w:r>
              <w:rPr>
                <w:rFonts w:ascii="Arial" w:cs="Arial" w:eastAsia="Arial" w:hAnsi="Arial"/>
                <w:sz w:val="16"/>
                <w:szCs w:val="16"/>
                <w:b w:val="1"/>
                <w:bCs w:val="1"/>
                <w:color w:val="1B4093"/>
              </w:rPr>
              <w:t>68</w:t>
            </w:r>
          </w:p>
        </w:tc>
        <w:tc>
          <w:tcPr>
            <w:tcW w:w="0" w:type="dxa"/>
            <w:vAlign w:val="bottom"/>
          </w:tcPr>
          <w:p>
            <w:pPr>
              <w:spacing w:after="0"/>
              <w:rPr>
                <w:sz w:val="1"/>
                <w:szCs w:val="1"/>
                <w:color w:val="auto"/>
              </w:rPr>
            </w:pPr>
          </w:p>
        </w:tc>
      </w:tr>
    </w:tbl>
    <w:p>
      <w:pPr>
        <w:sectPr>
          <w:pgSz w:w="11900" w:h="16838" w:orient="portrait"/>
          <w:cols w:equalWidth="0" w:num="2">
            <w:col w:w="2920" w:space="720"/>
            <w:col w:w="7580"/>
          </w:cols>
          <w:pgMar w:left="340" w:top="1229" w:right="339" w:bottom="1440" w:gutter="0" w:footer="0" w:header="0"/>
        </w:sectPr>
      </w:pPr>
    </w:p>
    <w:bookmarkStart w:id="4" w:name="page5"/>
    <w:bookmarkEnd w:id="4"/>
    <w:p>
      <w:pPr>
        <w:spacing w:after="0" w:line="312"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Basis of Presentation</w:t>
      </w:r>
    </w:p>
    <w:p>
      <w:pPr>
        <w:spacing w:after="0" w:line="38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All references below to "Academy," "we," "us," "our" or the "Company" refer to (1) prior to October 1, 2020, New Academy Holding Company, LLC, a Delaware limited liability company and the prior parent holding company of our operations, and its consolidated subsidiaries; and (2) on and after October 1, 2020,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 References to this “Proxy Statement” refer to the 2022 Proxy Statement of the Company. References to the “Annual Meeting” refers to the Company’s 2022 Annual Meeting of Stockholders.</w:t>
      </w:r>
    </w:p>
    <w:p>
      <w:pPr>
        <w:spacing w:after="0" w:line="19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“2019,” “2020,” “2021,” and “2022,” or to such fiscal year relate to our fiscal years ended February 1, 2020, January 30, 2021, January 29, 2022, and January 28, 2023, respectively, unless the context requires otherwise.</w:t>
      </w:r>
    </w:p>
    <w:p>
      <w:pPr>
        <w:spacing w:after="0" w:line="17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Capitalized terms used but not defined herein have the meanings set forth in our Annual Report on Form 10-K for the fiscal year ended January 29, 2022 (the “Annual Report”). Numerical figures included in this Proxy Statement have been subject to rounding adjustments. Accordingly, numerical figures shown as totals in various tables may not be arithmetic aggregations of the figures that precede them.</w:t>
      </w:r>
    </w:p>
    <w:p>
      <w:pPr>
        <w:spacing w:after="0" w:line="16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This Proxy Statement contains forward-looking statements within the meaning of Section 27A of the Securities Act of 1933, as amended, and Section 21E of the Securities Exchange Act of 1934, as amended. These forward-looking statements are based on the Company’s current expectations and are not guarantees of future performance. Words such as “outlook,” “guidance,” “anticipates,” “assume,” “believes,” “continues,” “could,” “estimates,” “expects,” “intends,” “may,” “plans,” “potential,” “predicts,” “projects,” “future,” “will,” “seeks,” “foreseeable,” or the negative version of these words or other comparable words or similar expressions are used to identify these forward-looking statements. In particular, forward-looking statements include, but are not limited to, statements we make about our expectations for our operations and business and our corporate responsibility progress, plans, and goals (including environmental and such other matters relating to our team members). Actual results may differ materially from these expectations due to changes in global, regional, or local economic, business, competitive, market, regulatory and other factors, many of which are beyond the Company’s control. Important factors that could cause actual results to differ materially from those in the forward-looking statements are set forth in the Company’s filings with the U.S. Securities and Exchange Commission (the “SEC”), including the Annual Report under the caption “Risk Factors,” as may be updated from time to time in our periodic filings with the SEC. Any forward-looking statement in these materials speaks only as of the date released. The Company undertakes no obligation to publicly update or review any forward-looking statement, whether as a result of new information, future developments or otherwise, except as may be required by any applicable securities laws.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391"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Reference to websites included throughout this Proxy Statement are provided for convenience only, and the contents of our websites do not constitute a part of and are not incorporated by reference into this Proxy Statement.</w:t>
      </w:r>
    </w:p>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6254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EF3B35"/>
          <w:highlight w:val="lightGray"/>
        </w:rPr>
        <w:t>Date and Time</w:t>
      </w:r>
    </w:p>
    <w:p>
      <w:pPr>
        <w:spacing w:after="0" w:line="3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8:00 a.m., Central Time, on Thursday, June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3505835" cy="745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583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EF3B35"/>
          <w:highlight w:val="lightGray"/>
        </w:rPr>
        <w:t>Record Date</w:t>
      </w:r>
    </w:p>
    <w:p>
      <w:pPr>
        <w:spacing w:after="0" w:line="37" w:lineRule="exact"/>
        <w:rPr>
          <w:sz w:val="20"/>
          <w:szCs w:val="20"/>
          <w:color w:val="auto"/>
        </w:rPr>
      </w:pPr>
    </w:p>
    <w:p>
      <w:pPr>
        <w:ind w:left="1100" w:right="880"/>
        <w:spacing w:after="0" w:line="284" w:lineRule="auto"/>
        <w:rPr>
          <w:sz w:val="20"/>
          <w:szCs w:val="20"/>
          <w:color w:val="auto"/>
        </w:rPr>
      </w:pPr>
      <w:r>
        <w:rPr>
          <w:rFonts w:ascii="Arial" w:cs="Arial" w:eastAsia="Arial" w:hAnsi="Arial"/>
          <w:sz w:val="14"/>
          <w:szCs w:val="14"/>
          <w:color w:val="auto"/>
        </w:rPr>
        <w:t>You may vote at the Annual Meeting if you were a stockholder of record at the close of business on April 5, 2022.</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EF3B35"/>
          <w:highlight w:val="lightGray"/>
        </w:rPr>
        <w:t>Place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Academy Sports and Outdoors, Inc.</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 - The Stadium</w:t>
      </w:r>
    </w:p>
    <w:p>
      <w:pPr>
        <w:spacing w:after="0" w:line="1" w:lineRule="exact"/>
        <w:rPr>
          <w:sz w:val="20"/>
          <w:szCs w:val="20"/>
          <w:color w:val="auto"/>
        </w:rPr>
      </w:pPr>
    </w:p>
    <w:p>
      <w:pPr>
        <w:jc w:val="center"/>
        <w:ind w:right="1640"/>
        <w:spacing w:after="0"/>
        <w:rPr>
          <w:sz w:val="20"/>
          <w:szCs w:val="20"/>
          <w:color w:val="auto"/>
        </w:rPr>
      </w:pPr>
      <w:r>
        <w:rPr>
          <w:rFonts w:ascii="Arial" w:cs="Arial" w:eastAsia="Arial" w:hAnsi="Arial"/>
          <w:sz w:val="14"/>
          <w:szCs w:val="14"/>
          <w:color w:val="auto"/>
        </w:rPr>
        <w:t>1540 North Mason Road, Katy, Texas 77449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160655</wp:posOffset>
            </wp:positionV>
            <wp:extent cx="3522980" cy="745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22980" cy="7454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EF3B35"/>
          <w:highlight w:val="lightGray"/>
        </w:rPr>
        <w:t>Voting by Proxy</w:t>
      </w:r>
    </w:p>
    <w:p>
      <w:pPr>
        <w:spacing w:after="0" w:line="39"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To ensure your shares are voted, you may vote your shares via the Internet, by telephone or by completing, signing, and mailing the enclosed proxy card. Voting methods are described on the following page and on the proxy card.</w:t>
      </w:r>
    </w:p>
    <w:p>
      <w:pPr>
        <w:spacing w:after="0" w:line="200" w:lineRule="exact"/>
        <w:rPr>
          <w:sz w:val="20"/>
          <w:szCs w:val="20"/>
          <w:color w:val="auto"/>
        </w:rPr>
      </w:pPr>
    </w:p>
    <w:p>
      <w:pPr>
        <w:sectPr>
          <w:pgSz w:w="11900" w:h="16838" w:orient="portrait"/>
          <w:cols w:equalWidth="0" w:num="2">
            <w:col w:w="6060" w:space="720"/>
            <w:col w:w="4460"/>
          </w:cols>
          <w:pgMar w:left="320" w:top="121" w:right="339" w:bottom="1440" w:gutter="0" w:footer="0" w:header="0"/>
          <w:type w:val="continuous"/>
        </w:sectPr>
      </w:pPr>
    </w:p>
    <w:p>
      <w:pPr>
        <w:spacing w:after="0" w:line="100"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presently intend to hold the 2022 Annual Meeting of Stockholders (the “Annual Meeting”) in person. However, we are sensitive to the public health and travel concerns our stockholders may have and recommendations that public health officials may issue in light of the evolving situation regarding COVID-19. As a part of our precautions regarding COVID-19, we may impose additional procedures or limitations on meeting attendees (beyond those described in the Proxy Statement) and are also planning for the possibility that the Annual Meeting may be held solely by means of remote communication. If we take this step, we will announce the decision to do so in advance in a press release, and details on how to participate will be available on our investor relations website at investors.academy.com. We will also file additional soliciting materials regarding the same, if required by the rules of the Securities and Exchange Commission (the “SEC”). Your Notice of Internet Availability of Proxy Materials, proxy card and related materials would not be updated to reflect the change to a virtual meeting and you would need the control number provided to attend the virtual Annual Meeting. If we hold the Annual Meeting virtually, all shareholders will be afforded the same rights they would have had at a physical meeting. Thus, it is very important that you retain your Notice of Internet Availability of Proxy Materials, proxy card and related materials, including your control number, through the date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1B4093"/>
        </w:rPr>
        <w:t>Items of</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1B4093"/>
        </w:rPr>
        <w:t>Business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28"/>
          <w:szCs w:val="28"/>
          <w:color w:val="EF3B35"/>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64770</wp:posOffset>
            </wp:positionV>
            <wp:extent cx="2825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575" cy="1714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28"/>
          <w:szCs w:val="28"/>
          <w:color w:val="EF3B35"/>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73025</wp:posOffset>
            </wp:positionV>
            <wp:extent cx="2825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575" cy="1714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28"/>
          <w:szCs w:val="28"/>
          <w:color w:val="EF3B35"/>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364490</wp:posOffset>
            </wp:positionV>
            <wp:extent cx="2825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575" cy="17145"/>
                    </a:xfrm>
                    <a:prstGeom prst="rect">
                      <a:avLst/>
                    </a:prstGeom>
                    <a:noFill/>
                  </pic:spPr>
                </pic:pic>
              </a:graphicData>
            </a:graphic>
          </wp:anchor>
        </w:drawing>
        <w:drawing>
          <wp:anchor simplePos="0" relativeHeight="251657728" behindDoc="1" locked="0" layoutInCell="0" allowOverlap="1">
            <wp:simplePos x="0" y="0"/>
            <wp:positionH relativeFrom="column">
              <wp:posOffset>-127000</wp:posOffset>
            </wp:positionH>
            <wp:positionV relativeFrom="paragraph">
              <wp:posOffset>73025</wp:posOffset>
            </wp:positionV>
            <wp:extent cx="2825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57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To elect the two Class II director nominees listed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100965</wp:posOffset>
            </wp:positionV>
            <wp:extent cx="5212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To ratify the appointment of Deloitte &amp; Touche LLP as our independent registered public accounting firm for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109220</wp:posOffset>
            </wp:positionV>
            <wp:extent cx="5212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To approve, by a non-binding advisory vote, the fiscal 2021 compensation paid to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109220</wp:posOffset>
            </wp:positionV>
            <wp:extent cx="5212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97" w:lineRule="exact"/>
        <w:rPr>
          <w:sz w:val="20"/>
          <w:szCs w:val="20"/>
          <w:color w:val="auto"/>
        </w:rPr>
      </w:pPr>
    </w:p>
    <w:p>
      <w:pPr>
        <w:ind w:right="280"/>
        <w:spacing w:after="0" w:line="325" w:lineRule="auto"/>
        <w:rPr>
          <w:sz w:val="20"/>
          <w:szCs w:val="20"/>
          <w:color w:val="auto"/>
        </w:rPr>
      </w:pPr>
      <w:r>
        <w:rPr>
          <w:rFonts w:ascii="Arial" w:cs="Arial" w:eastAsia="Arial" w:hAnsi="Arial"/>
          <w:sz w:val="14"/>
          <w:szCs w:val="14"/>
          <w:color w:val="auto"/>
        </w:rPr>
        <w:t>To consider such other business as may properly come before the Annual Meeting and any adjournment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-13335</wp:posOffset>
            </wp:positionV>
            <wp:extent cx="5212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040" w:space="720"/>
            <w:col w:w="160" w:space="220"/>
            <w:col w:w="8100"/>
          </w:cols>
          <w:pgMar w:left="320" w:top="121" w:right="339" w:bottom="1440" w:gutter="0" w:footer="0" w:header="0"/>
          <w:type w:val="continuous"/>
        </w:sectPr>
      </w:pPr>
    </w:p>
    <w:p>
      <w:pPr>
        <w:spacing w:after="0" w:line="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order to conserve natural resources and reduce the cost of printing and distributing the proxy materials, while providing our stockholders with access to the proxy materials in a fast and efficient manner, we are pleased to be able to take advantage of the SEC rule allowing companies to use a “Notice and Access” model to provide their stockholders with access to proxy materials via the Internet. On or about April 22, 2022, we will begin mailing a Notice of Internet Availability of Proxy Materials (the “Notice of Internet Availability”) to our stockholders informing them that our Notice of Annual Meeting of Stockholders and Annual Report, proxy statement, and voting instructions are available on the Internet at www.proxyvote.com. As more fully described in the Notice of Internet Availability, all stockholders may choose to access our materials at www.proxyvote.com or may request to receive paper copies of the proxy materials.</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19126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Rene G. Casares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General Counsel, &amp; Corporate Secretary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Dated: April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423545</wp:posOffset>
            </wp:positionV>
            <wp:extent cx="85725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3"/>
          <w:szCs w:val="13"/>
          <w:b w:val="1"/>
          <w:bCs w:val="1"/>
          <w:color w:val="007EC4"/>
        </w:rPr>
        <w:t xml:space="preserve">2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49"/>
          <w:szCs w:val="49"/>
          <w:b w:val="1"/>
          <w:bCs w:val="1"/>
          <w:color w:val="1B4093"/>
        </w:rPr>
        <w:t>Proxy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484505</wp:posOffset>
            </wp:positionV>
            <wp:extent cx="71151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EF3B35"/>
        </w:rPr>
        <w:t>VOTING CUTOFF FOR VOTING BY PROXY</w:t>
      </w:r>
    </w:p>
    <w:p>
      <w:pPr>
        <w:spacing w:after="0" w:line="35" w:lineRule="exact"/>
        <w:rPr>
          <w:sz w:val="20"/>
          <w:szCs w:val="20"/>
          <w:color w:val="auto"/>
        </w:rPr>
      </w:pPr>
    </w:p>
    <w:p>
      <w:pPr>
        <w:ind w:left="2640" w:right="240"/>
        <w:spacing w:after="0" w:line="274" w:lineRule="auto"/>
        <w:rPr>
          <w:sz w:val="20"/>
          <w:szCs w:val="20"/>
          <w:color w:val="auto"/>
        </w:rPr>
      </w:pPr>
      <w:r>
        <w:rPr>
          <w:rFonts w:ascii="Arial" w:cs="Arial" w:eastAsia="Arial" w:hAnsi="Arial"/>
          <w:sz w:val="22"/>
          <w:szCs w:val="22"/>
          <w:b w:val="1"/>
          <w:bCs w:val="1"/>
          <w:color w:val="093165"/>
        </w:rPr>
        <w:t>If you are a stockholder of record, your vote must be received by 10:59 p.m., Central Time, on June 1, 2022 to be counted. If you hold shares through a broker, bank or other nominee, please refer to information from your bank, broker or nominee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151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-645795</wp:posOffset>
            </wp:positionV>
            <wp:extent cx="360045"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360045"/>
                    </a:xfrm>
                    <a:prstGeom prst="rect">
                      <a:avLst/>
                    </a:prstGeom>
                    <a:noFill/>
                  </pic:spPr>
                </pic:pic>
              </a:graphicData>
            </a:graphic>
          </wp:anchor>
        </w:drawing>
      </w:r>
    </w:p>
    <w:p>
      <w:pPr>
        <w:spacing w:after="0" w:line="28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If at the close of business on April 5, 2022, you were a stockholder of record or held shares through a broker or bank, you may vote your shares by proxy at the Annual Meeting. If you were a stockholder of record, you may vote your shares via the Internet, by telephone or by mail, or you may vote in person at the Annual Meeting. You may also revoke your proxies at the times and in the manners described in the General Information section of this Proxy Statement.</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b w:val="1"/>
          <w:bCs w:val="1"/>
          <w:color w:val="auto"/>
        </w:rPr>
        <w:t>For shares held through a broker, bank or other nominee, you may submit voting instructions to your broker, bank or other nominee. Please refer to information from your broker, bank or other nominee on how to submit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139065</wp:posOffset>
            </wp:positionV>
            <wp:extent cx="5494655" cy="2785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94655" cy="27857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line="332" w:lineRule="auto"/>
        <w:rPr>
          <w:sz w:val="20"/>
          <w:szCs w:val="20"/>
          <w:color w:val="auto"/>
        </w:rPr>
      </w:pPr>
      <w:r>
        <w:rPr>
          <w:rFonts w:ascii="Arial" w:cs="Arial" w:eastAsia="Arial" w:hAnsi="Arial"/>
          <w:sz w:val="16"/>
          <w:szCs w:val="16"/>
          <w:b w:val="1"/>
          <w:bCs w:val="1"/>
          <w:color w:val="093165"/>
        </w:rPr>
        <w:t>To vote by proxy, if you are stockholder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2832100</wp:posOffset>
            </wp:positionV>
            <wp:extent cx="85725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EF3B35"/>
        </w:rPr>
        <w:t>By Internet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highlight w:val="lightGray"/>
        </w:rPr>
        <w:t>Go to the website</w:t>
      </w:r>
    </w:p>
    <w:p>
      <w:pPr>
        <w:spacing w:after="0" w:line="29" w:lineRule="exact"/>
        <w:rPr>
          <w:sz w:val="20"/>
          <w:szCs w:val="20"/>
          <w:color w:val="auto"/>
        </w:rPr>
      </w:pPr>
    </w:p>
    <w:p>
      <w:pPr>
        <w:ind w:right="100"/>
        <w:spacing w:after="0" w:line="251" w:lineRule="auto"/>
        <w:rPr>
          <w:sz w:val="20"/>
          <w:szCs w:val="20"/>
          <w:color w:val="auto"/>
        </w:rPr>
      </w:pPr>
      <w:r>
        <w:rPr>
          <w:rFonts w:ascii="Arial" w:cs="Arial" w:eastAsia="Arial" w:hAnsi="Arial"/>
          <w:sz w:val="14"/>
          <w:szCs w:val="14"/>
          <w:color w:val="auto"/>
        </w:rPr>
        <w:t>www.proxyvote.com and follow the instructions, 24 hours a day, seven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highlight w:val="lightGray"/>
        </w:rPr>
        <w:t>days a week.</w:t>
      </w:r>
    </w:p>
    <w:p>
      <w:pPr>
        <w:spacing w:after="0" w:line="244"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highlight w:val="lightGray"/>
        </w:rPr>
        <w:t>You will need the 16-digit control number included on your proxy card to obtain your records and to create an electronic voting instruction form. If you vote via the Internet, you do not need to mail a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EF3B35"/>
        </w:rPr>
        <w:t>By Telephone</w:t>
      </w:r>
    </w:p>
    <w:p>
      <w:pPr>
        <w:spacing w:after="0" w:line="131"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highlight w:val="lightGray"/>
        </w:rPr>
        <w:t>You can vote your shares from a touch-tone telephone by calling the number provided on the proxy card. The telephone voting procedures are designed to authenticate your identity and to allow you to vote your shares and confirm that your voting instructions have been properly recorded.</w:t>
      </w:r>
    </w:p>
    <w:p>
      <w:pPr>
        <w:spacing w:after="0" w:line="214"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highlight w:val="lightGray"/>
        </w:rPr>
        <w:t>You will need the 16-digit control number included on your proxy card to obtain your records and to create an electronic voting instruction form. If you vote via the telephone, you do not need to mail a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EF3B35"/>
        </w:rPr>
        <w:t>By Mail</w:t>
      </w:r>
    </w:p>
    <w:p>
      <w:pPr>
        <w:spacing w:after="0" w:line="131" w:lineRule="exact"/>
        <w:rPr>
          <w:sz w:val="20"/>
          <w:szCs w:val="20"/>
          <w:color w:val="auto"/>
        </w:rPr>
      </w:pPr>
    </w:p>
    <w:p>
      <w:pPr>
        <w:ind w:right="280"/>
        <w:spacing w:after="0" w:line="325" w:lineRule="auto"/>
        <w:rPr>
          <w:sz w:val="20"/>
          <w:szCs w:val="20"/>
          <w:color w:val="auto"/>
        </w:rPr>
      </w:pPr>
      <w:r>
        <w:rPr>
          <w:rFonts w:ascii="Arial" w:cs="Arial" w:eastAsia="Arial" w:hAnsi="Arial"/>
          <w:sz w:val="14"/>
          <w:szCs w:val="14"/>
          <w:color w:val="auto"/>
          <w:highlight w:val="lightGray"/>
        </w:rPr>
        <w:t>Mark your selections on the proxy card.</w:t>
      </w:r>
    </w:p>
    <w:p>
      <w:pPr>
        <w:spacing w:after="0" w:line="185" w:lineRule="exact"/>
        <w:rPr>
          <w:sz w:val="20"/>
          <w:szCs w:val="20"/>
          <w:color w:val="auto"/>
        </w:rPr>
      </w:pPr>
    </w:p>
    <w:p>
      <w:pPr>
        <w:jc w:val="both"/>
        <w:ind w:right="340"/>
        <w:spacing w:after="0" w:line="285" w:lineRule="auto"/>
        <w:rPr>
          <w:sz w:val="20"/>
          <w:szCs w:val="20"/>
          <w:color w:val="auto"/>
        </w:rPr>
      </w:pPr>
      <w:r>
        <w:rPr>
          <w:rFonts w:ascii="Arial" w:cs="Arial" w:eastAsia="Arial" w:hAnsi="Arial"/>
          <w:sz w:val="14"/>
          <w:szCs w:val="14"/>
          <w:color w:val="auto"/>
        </w:rPr>
        <w:t>Date and sign your name exactly as it appears on your proxy card.</w:t>
      </w:r>
    </w:p>
    <w:p>
      <w:pPr>
        <w:spacing w:after="0" w:line="198"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highlight w:val="lightGray"/>
        </w:rPr>
        <w:t>Mail the proxy card in the enclosed postage-paid envelope provided to you.</w:t>
      </w:r>
    </w:p>
    <w:p>
      <w:pPr>
        <w:sectPr>
          <w:pgSz w:w="11900" w:h="16838" w:orient="portrait"/>
          <w:cols w:equalWidth="0" w:num="4">
            <w:col w:w="2100" w:space="660"/>
            <w:col w:w="2300" w:space="700"/>
            <w:col w:w="2300" w:space="700"/>
            <w:col w:w="2440"/>
          </w:cols>
          <w:pgMar w:left="320" w:top="121" w:right="37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49"/>
          <w:szCs w:val="49"/>
          <w:b w:val="1"/>
          <w:bCs w:val="1"/>
          <w:color w:val="1B4093"/>
        </w:rPr>
        <w:t>Proxy Statement</w:t>
      </w:r>
    </w:p>
    <w:p>
      <w:pPr>
        <w:spacing w:after="0" w:line="67" w:lineRule="exact"/>
        <w:rPr>
          <w:sz w:val="20"/>
          <w:szCs w:val="20"/>
          <w:color w:val="auto"/>
        </w:rPr>
      </w:pPr>
    </w:p>
    <w:p>
      <w:pPr>
        <w:spacing w:after="0"/>
        <w:rPr>
          <w:sz w:val="20"/>
          <w:szCs w:val="20"/>
          <w:color w:val="auto"/>
        </w:rPr>
      </w:pPr>
      <w:r>
        <w:rPr>
          <w:rFonts w:ascii="Arial" w:cs="Arial" w:eastAsia="Arial" w:hAnsi="Arial"/>
          <w:sz w:val="49"/>
          <w:szCs w:val="49"/>
          <w:b w:val="1"/>
          <w:bCs w:val="1"/>
          <w:color w:val="1B4093"/>
        </w:rPr>
        <w:t>Annual Meeting of Stockholders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EF3B35"/>
        </w:rPr>
        <w:t>June 2, 2022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General Information</w:t>
      </w:r>
    </w:p>
    <w:p>
      <w:pPr>
        <w:spacing w:after="0" w:line="126"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We have delivered this Proxy Statement to you in connection with the solicitation by the Board of Directors (the “Board” or “Board of Directors”) of Academy of proxies to be voted at the Annual Meeting to be held on June 2, 2022, and at any postponements or adjournments of the Annual Meeting. You are invited to attend the Annual Meeting and vote your shares in person.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EF3B35"/>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91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1465" cy="171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EF3B35"/>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291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1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980" w:type="dxa"/>
            <w:vAlign w:val="bottom"/>
            <w:gridSpan w:val="2"/>
          </w:tcPr>
          <w:p>
            <w:pPr>
              <w:spacing w:after="0"/>
              <w:rPr>
                <w:sz w:val="20"/>
                <w:szCs w:val="20"/>
                <w:color w:val="auto"/>
              </w:rPr>
            </w:pPr>
            <w:r>
              <w:rPr>
                <w:rFonts w:ascii="Arial" w:cs="Arial" w:eastAsia="Arial" w:hAnsi="Arial"/>
                <w:sz w:val="16"/>
                <w:szCs w:val="16"/>
                <w:b w:val="1"/>
                <w:bCs w:val="1"/>
                <w:color w:val="007EC4"/>
              </w:rPr>
              <w:t>WHAT IS THE</w:t>
            </w:r>
          </w:p>
        </w:tc>
        <w:tc>
          <w:tcPr>
            <w:tcW w:w="8540" w:type="dxa"/>
            <w:vAlign w:val="bottom"/>
            <w:gridSpan w:val="5"/>
          </w:tcPr>
          <w:p>
            <w:pPr>
              <w:ind w:left="380"/>
              <w:spacing w:after="0"/>
              <w:rPr>
                <w:sz w:val="20"/>
                <w:szCs w:val="20"/>
                <w:color w:val="auto"/>
              </w:rPr>
            </w:pPr>
            <w:r>
              <w:rPr>
                <w:rFonts w:ascii="Arial" w:cs="Arial" w:eastAsia="Arial" w:hAnsi="Arial"/>
                <w:sz w:val="16"/>
                <w:szCs w:val="16"/>
                <w:color w:val="auto"/>
              </w:rPr>
              <w:t>We operate on a retail fiscal calendar pursuant to which our fiscal year consists of 52 or 53 weeks, ending on the</w:t>
            </w:r>
          </w:p>
        </w:tc>
        <w:tc>
          <w:tcPr>
            <w:tcW w:w="0" w:type="dxa"/>
            <w:vAlign w:val="bottom"/>
          </w:tcPr>
          <w:p>
            <w:pPr>
              <w:spacing w:after="0"/>
              <w:rPr>
                <w:sz w:val="1"/>
                <w:szCs w:val="1"/>
                <w:color w:val="auto"/>
              </w:rPr>
            </w:pPr>
          </w:p>
        </w:tc>
      </w:tr>
      <w:tr>
        <w:trPr>
          <w:trHeight w:val="189"/>
        </w:trPr>
        <w:tc>
          <w:tcPr>
            <w:tcW w:w="1980" w:type="dxa"/>
            <w:vAlign w:val="bottom"/>
            <w:gridSpan w:val="2"/>
          </w:tcPr>
          <w:p>
            <w:pPr>
              <w:spacing w:after="0"/>
              <w:rPr>
                <w:sz w:val="20"/>
                <w:szCs w:val="20"/>
                <w:color w:val="auto"/>
              </w:rPr>
            </w:pPr>
            <w:r>
              <w:rPr>
                <w:rFonts w:ascii="Arial" w:cs="Arial" w:eastAsia="Arial" w:hAnsi="Arial"/>
                <w:sz w:val="16"/>
                <w:szCs w:val="16"/>
                <w:b w:val="1"/>
                <w:bCs w:val="1"/>
                <w:color w:val="007EC4"/>
              </w:rPr>
              <w:t>COMPANY’S FISCAL</w:t>
            </w:r>
          </w:p>
        </w:tc>
        <w:tc>
          <w:tcPr>
            <w:tcW w:w="8540" w:type="dxa"/>
            <w:vAlign w:val="bottom"/>
            <w:gridSpan w:val="5"/>
          </w:tcPr>
          <w:p>
            <w:pPr>
              <w:ind w:left="380"/>
              <w:spacing w:after="0"/>
              <w:rPr>
                <w:sz w:val="20"/>
                <w:szCs w:val="20"/>
                <w:color w:val="auto"/>
              </w:rPr>
            </w:pPr>
            <w:r>
              <w:rPr>
                <w:rFonts w:ascii="Arial" w:cs="Arial" w:eastAsia="Arial" w:hAnsi="Arial"/>
                <w:sz w:val="16"/>
                <w:szCs w:val="16"/>
                <w:color w:val="auto"/>
              </w:rPr>
              <w:t>Saturday closest to January 31 (which such Saturday may occur on a date following January 31) each year.</w:t>
            </w:r>
          </w:p>
        </w:tc>
        <w:tc>
          <w:tcPr>
            <w:tcW w:w="0" w:type="dxa"/>
            <w:vAlign w:val="bottom"/>
          </w:tcPr>
          <w:p>
            <w:pPr>
              <w:spacing w:after="0"/>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6"/>
                <w:szCs w:val="16"/>
                <w:b w:val="1"/>
                <w:bCs w:val="1"/>
                <w:color w:val="007EC4"/>
              </w:rPr>
              <w:t>YEAR?</w:t>
            </w: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1840" w:type="dxa"/>
            <w:vAlign w:val="bottom"/>
            <w:tcBorders>
              <w:bottom w:val="single" w:sz="8" w:color="AD9E6E"/>
            </w:tcBorders>
          </w:tcPr>
          <w:p>
            <w:pPr>
              <w:spacing w:after="0"/>
              <w:rPr>
                <w:sz w:val="21"/>
                <w:szCs w:val="21"/>
                <w:color w:val="auto"/>
              </w:rPr>
            </w:pPr>
          </w:p>
        </w:tc>
        <w:tc>
          <w:tcPr>
            <w:tcW w:w="380" w:type="dxa"/>
            <w:vAlign w:val="bottom"/>
            <w:tcBorders>
              <w:bottom w:val="single" w:sz="8" w:color="AD9E6E"/>
            </w:tcBorders>
          </w:tcPr>
          <w:p>
            <w:pPr>
              <w:spacing w:after="0"/>
              <w:rPr>
                <w:sz w:val="21"/>
                <w:szCs w:val="21"/>
                <w:color w:val="auto"/>
              </w:rPr>
            </w:pPr>
          </w:p>
        </w:tc>
        <w:tc>
          <w:tcPr>
            <w:tcW w:w="2500" w:type="dxa"/>
            <w:vAlign w:val="bottom"/>
            <w:gridSpan w:val="2"/>
          </w:tcPr>
          <w:p>
            <w:pPr>
              <w:spacing w:after="0"/>
              <w:rPr>
                <w:sz w:val="21"/>
                <w:szCs w:val="21"/>
                <w:color w:val="auto"/>
              </w:rPr>
            </w:pPr>
          </w:p>
        </w:tc>
        <w:tc>
          <w:tcPr>
            <w:tcW w:w="100" w:type="dxa"/>
            <w:vAlign w:val="bottom"/>
            <w:tcBorders>
              <w:bottom w:val="single" w:sz="8" w:color="AD9E6E"/>
            </w:tcBorders>
          </w:tcPr>
          <w:p>
            <w:pPr>
              <w:spacing w:after="0"/>
              <w:rPr>
                <w:sz w:val="21"/>
                <w:szCs w:val="21"/>
                <w:color w:val="auto"/>
              </w:rPr>
            </w:pPr>
          </w:p>
        </w:tc>
        <w:tc>
          <w:tcPr>
            <w:tcW w:w="5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980" w:type="dxa"/>
            <w:vAlign w:val="bottom"/>
            <w:gridSpan w:val="2"/>
          </w:tcPr>
          <w:p>
            <w:pPr>
              <w:spacing w:after="0"/>
              <w:rPr>
                <w:sz w:val="20"/>
                <w:szCs w:val="20"/>
                <w:color w:val="auto"/>
              </w:rPr>
            </w:pPr>
            <w:r>
              <w:rPr>
                <w:rFonts w:ascii="Arial" w:cs="Arial" w:eastAsia="Arial" w:hAnsi="Arial"/>
                <w:sz w:val="16"/>
                <w:szCs w:val="16"/>
                <w:b w:val="1"/>
                <w:bCs w:val="1"/>
                <w:color w:val="007EC4"/>
              </w:rPr>
              <w:t>WHAT AM I VOTING</w:t>
            </w:r>
          </w:p>
        </w:tc>
        <w:tc>
          <w:tcPr>
            <w:tcW w:w="8540" w:type="dxa"/>
            <w:vAlign w:val="bottom"/>
            <w:gridSpan w:val="5"/>
          </w:tcPr>
          <w:p>
            <w:pPr>
              <w:ind w:left="380"/>
              <w:spacing w:after="0"/>
              <w:rPr>
                <w:sz w:val="20"/>
                <w:szCs w:val="20"/>
                <w:color w:val="auto"/>
              </w:rPr>
            </w:pPr>
            <w:r>
              <w:rPr>
                <w:rFonts w:ascii="Arial" w:cs="Arial" w:eastAsia="Arial" w:hAnsi="Arial"/>
                <w:sz w:val="16"/>
                <w:szCs w:val="16"/>
                <w:color w:val="auto"/>
              </w:rPr>
              <w:t>There are three proposals scheduled to be voted on at the Annual Meeting:</w:t>
            </w:r>
          </w:p>
        </w:tc>
        <w:tc>
          <w:tcPr>
            <w:tcW w:w="0" w:type="dxa"/>
            <w:vAlign w:val="bottom"/>
          </w:tcPr>
          <w:p>
            <w:pPr>
              <w:spacing w:after="0"/>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6"/>
                <w:szCs w:val="16"/>
                <w:b w:val="1"/>
                <w:bCs w:val="1"/>
                <w:color w:val="007EC4"/>
              </w:rPr>
              <w:t>ON?</w:t>
            </w: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60" w:type="dxa"/>
            <w:vAlign w:val="bottom"/>
            <w:gridSpan w:val="2"/>
          </w:tcPr>
          <w:p>
            <w:pPr>
              <w:ind w:left="380"/>
              <w:spacing w:after="0"/>
              <w:rPr>
                <w:sz w:val="20"/>
                <w:szCs w:val="20"/>
                <w:color w:val="auto"/>
              </w:rPr>
            </w:pPr>
            <w:r>
              <w:rPr>
                <w:rFonts w:ascii="Arial" w:cs="Arial" w:eastAsia="Arial" w:hAnsi="Arial"/>
                <w:sz w:val="25"/>
                <w:szCs w:val="25"/>
                <w:b w:val="1"/>
                <w:bCs w:val="1"/>
                <w:color w:val="EF3B35"/>
              </w:rPr>
              <w:t>Proposal 1</w:t>
            </w:r>
          </w:p>
        </w:tc>
        <w:tc>
          <w:tcPr>
            <w:tcW w:w="6280" w:type="dxa"/>
            <w:vAlign w:val="bottom"/>
            <w:gridSpan w:val="3"/>
          </w:tcPr>
          <w:p>
            <w:pPr>
              <w:ind w:left="600"/>
              <w:spacing w:after="0"/>
              <w:rPr>
                <w:sz w:val="20"/>
                <w:szCs w:val="20"/>
                <w:color w:val="auto"/>
              </w:rPr>
            </w:pPr>
            <w:r>
              <w:rPr>
                <w:rFonts w:ascii="Arial" w:cs="Arial" w:eastAsia="Arial" w:hAnsi="Arial"/>
                <w:sz w:val="16"/>
                <w:szCs w:val="16"/>
                <w:color w:val="auto"/>
              </w:rPr>
              <w:t>Election of the two Class II director nominees listed in this Proxy Statement.</w:t>
            </w: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260" w:type="dxa"/>
            <w:vAlign w:val="bottom"/>
            <w:gridSpan w:val="2"/>
            <w:vMerge w:val="restart"/>
          </w:tcPr>
          <w:p>
            <w:pPr>
              <w:ind w:left="380"/>
              <w:spacing w:after="0"/>
              <w:rPr>
                <w:sz w:val="20"/>
                <w:szCs w:val="20"/>
                <w:color w:val="auto"/>
              </w:rPr>
            </w:pPr>
            <w:r>
              <w:rPr>
                <w:rFonts w:ascii="Arial" w:cs="Arial" w:eastAsia="Arial" w:hAnsi="Arial"/>
                <w:sz w:val="25"/>
                <w:szCs w:val="25"/>
                <w:b w:val="1"/>
                <w:bCs w:val="1"/>
                <w:color w:val="EF3B35"/>
              </w:rPr>
              <w:t>Proposal 2</w:t>
            </w:r>
          </w:p>
        </w:tc>
        <w:tc>
          <w:tcPr>
            <w:tcW w:w="6280" w:type="dxa"/>
            <w:vAlign w:val="bottom"/>
            <w:gridSpan w:val="3"/>
          </w:tcPr>
          <w:p>
            <w:pPr>
              <w:ind w:left="600"/>
              <w:spacing w:after="0"/>
              <w:rPr>
                <w:sz w:val="20"/>
                <w:szCs w:val="20"/>
                <w:color w:val="auto"/>
              </w:rPr>
            </w:pPr>
            <w:r>
              <w:rPr>
                <w:rFonts w:ascii="Arial" w:cs="Arial" w:eastAsia="Arial" w:hAnsi="Arial"/>
                <w:sz w:val="16"/>
                <w:szCs w:val="16"/>
                <w:color w:val="auto"/>
              </w:rPr>
              <w:t>Ratification of the appointment of Deloitte &amp; Touche LLP as our independent</w:t>
            </w: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6280" w:type="dxa"/>
            <w:vAlign w:val="bottom"/>
            <w:gridSpan w:val="3"/>
          </w:tcPr>
          <w:p>
            <w:pPr>
              <w:ind w:left="600"/>
              <w:spacing w:after="0"/>
              <w:rPr>
                <w:sz w:val="20"/>
                <w:szCs w:val="20"/>
                <w:color w:val="auto"/>
              </w:rPr>
            </w:pPr>
            <w:r>
              <w:rPr>
                <w:rFonts w:ascii="Arial" w:cs="Arial" w:eastAsia="Arial" w:hAnsi="Arial"/>
                <w:sz w:val="16"/>
                <w:szCs w:val="16"/>
                <w:color w:val="auto"/>
              </w:rPr>
              <w:t>registered public accounting firm for fiscal 2022.</w:t>
            </w: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260" w:type="dxa"/>
            <w:vAlign w:val="bottom"/>
            <w:gridSpan w:val="2"/>
            <w:vMerge w:val="restart"/>
          </w:tcPr>
          <w:p>
            <w:pPr>
              <w:ind w:left="380"/>
              <w:spacing w:after="0"/>
              <w:rPr>
                <w:sz w:val="20"/>
                <w:szCs w:val="20"/>
                <w:color w:val="auto"/>
              </w:rPr>
            </w:pPr>
            <w:r>
              <w:rPr>
                <w:rFonts w:ascii="Arial" w:cs="Arial" w:eastAsia="Arial" w:hAnsi="Arial"/>
                <w:sz w:val="25"/>
                <w:szCs w:val="25"/>
                <w:b w:val="1"/>
                <w:bCs w:val="1"/>
                <w:color w:val="EF3B35"/>
              </w:rPr>
              <w:t>Proposal 3</w:t>
            </w:r>
          </w:p>
        </w:tc>
        <w:tc>
          <w:tcPr>
            <w:tcW w:w="6280" w:type="dxa"/>
            <w:vAlign w:val="bottom"/>
            <w:gridSpan w:val="3"/>
          </w:tcPr>
          <w:p>
            <w:pPr>
              <w:ind w:left="600"/>
              <w:spacing w:after="0"/>
              <w:rPr>
                <w:sz w:val="20"/>
                <w:szCs w:val="20"/>
                <w:color w:val="auto"/>
              </w:rPr>
            </w:pPr>
            <w:r>
              <w:rPr>
                <w:rFonts w:ascii="Arial" w:cs="Arial" w:eastAsia="Arial" w:hAnsi="Arial"/>
                <w:sz w:val="16"/>
                <w:szCs w:val="16"/>
                <w:color w:val="auto"/>
              </w:rPr>
              <w:t>Approval, by non-binding advisory vote, of the fiscal 2021 compensation paid to</w:t>
            </w: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6280" w:type="dxa"/>
            <w:vAlign w:val="bottom"/>
            <w:gridSpan w:val="3"/>
          </w:tcPr>
          <w:p>
            <w:pPr>
              <w:ind w:left="600"/>
              <w:spacing w:after="0"/>
              <w:rPr>
                <w:sz w:val="20"/>
                <w:szCs w:val="20"/>
                <w:color w:val="auto"/>
              </w:rPr>
            </w:pPr>
            <w:r>
              <w:rPr>
                <w:rFonts w:ascii="Arial" w:cs="Arial" w:eastAsia="Arial" w:hAnsi="Arial"/>
                <w:sz w:val="16"/>
                <w:szCs w:val="16"/>
                <w:color w:val="auto"/>
              </w:rPr>
              <w:t>our named executive officers.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1483995</wp:posOffset>
            </wp:positionH>
            <wp:positionV relativeFrom="paragraph">
              <wp:posOffset>-289560</wp:posOffset>
            </wp:positionV>
            <wp:extent cx="529780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97805" cy="17145"/>
                    </a:xfrm>
                    <a:prstGeom prst="rect">
                      <a:avLst/>
                    </a:prstGeom>
                    <a:noFill/>
                  </pic:spPr>
                </pic:pic>
              </a:graphicData>
            </a:graphic>
          </wp:anchor>
        </w:drawing>
        <w:drawing>
          <wp:anchor simplePos="0" relativeHeight="251657728" behindDoc="1" locked="0" layoutInCell="0" allowOverlap="1">
            <wp:simplePos x="0" y="0"/>
            <wp:positionH relativeFrom="column">
              <wp:posOffset>1483995</wp:posOffset>
            </wp:positionH>
            <wp:positionV relativeFrom="paragraph">
              <wp:posOffset>-589915</wp:posOffset>
            </wp:positionV>
            <wp:extent cx="529780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97805" cy="1714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-1189355</wp:posOffset>
            </wp:positionV>
            <wp:extent cx="68319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1714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155575</wp:posOffset>
            </wp:positionV>
            <wp:extent cx="68319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 w:space="180"/>
            <w:col w:w="10680"/>
          </w:cols>
          <w:pgMar w:left="320" w:top="121" w:right="339" w:bottom="1440" w:gutter="0" w:footer="0" w:header="0"/>
          <w:type w:val="continuous"/>
        </w:sectPr>
      </w:pP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460" w:type="dxa"/>
            <w:vAlign w:val="bottom"/>
            <w:gridSpan w:val="3"/>
            <w:vMerge w:val="restart"/>
          </w:tcPr>
          <w:p>
            <w:pPr>
              <w:spacing w:after="0"/>
              <w:rPr>
                <w:sz w:val="20"/>
                <w:szCs w:val="20"/>
                <w:color w:val="auto"/>
              </w:rPr>
            </w:pPr>
            <w:r>
              <w:rPr>
                <w:rFonts w:ascii="Arial" w:cs="Arial" w:eastAsia="Arial" w:hAnsi="Arial"/>
                <w:sz w:val="32"/>
                <w:szCs w:val="32"/>
                <w:b w:val="1"/>
                <w:bCs w:val="1"/>
                <w:color w:val="EF3B35"/>
              </w:rPr>
              <w:t>Q:</w:t>
            </w:r>
          </w:p>
        </w:tc>
        <w:tc>
          <w:tcPr>
            <w:tcW w:w="2000" w:type="dxa"/>
            <w:vAlign w:val="bottom"/>
            <w:gridSpan w:val="3"/>
          </w:tcPr>
          <w:p>
            <w:pPr>
              <w:ind w:left="80"/>
              <w:spacing w:after="0"/>
              <w:rPr>
                <w:sz w:val="20"/>
                <w:szCs w:val="20"/>
                <w:color w:val="auto"/>
              </w:rPr>
            </w:pPr>
            <w:r>
              <w:rPr>
                <w:rFonts w:ascii="Arial" w:cs="Arial" w:eastAsia="Arial" w:hAnsi="Arial"/>
                <w:sz w:val="16"/>
                <w:szCs w:val="16"/>
                <w:b w:val="1"/>
                <w:bCs w:val="1"/>
                <w:color w:val="007EC4"/>
              </w:rPr>
              <w:t>COULD OTHER</w:t>
            </w:r>
          </w:p>
        </w:tc>
        <w:tc>
          <w:tcPr>
            <w:tcW w:w="8740" w:type="dxa"/>
            <w:vAlign w:val="bottom"/>
            <w:gridSpan w:val="5"/>
          </w:tcPr>
          <w:p>
            <w:pPr>
              <w:ind w:left="440"/>
              <w:spacing w:after="0"/>
              <w:rPr>
                <w:sz w:val="20"/>
                <w:szCs w:val="20"/>
                <w:color w:val="auto"/>
              </w:rPr>
            </w:pPr>
            <w:r>
              <w:rPr>
                <w:rFonts w:ascii="Arial" w:cs="Arial" w:eastAsia="Arial" w:hAnsi="Arial"/>
                <w:sz w:val="16"/>
                <w:szCs w:val="16"/>
                <w:color w:val="auto"/>
              </w:rPr>
              <w:t>As of the date of this Proxy Statement, we do not know of any matters to be raised at the Annual Meeting other than</w:t>
            </w:r>
          </w:p>
        </w:tc>
        <w:tc>
          <w:tcPr>
            <w:tcW w:w="0" w:type="dxa"/>
            <w:vAlign w:val="bottom"/>
          </w:tcPr>
          <w:p>
            <w:pPr>
              <w:spacing w:after="0"/>
              <w:rPr>
                <w:sz w:val="1"/>
                <w:szCs w:val="1"/>
                <w:color w:val="auto"/>
              </w:rPr>
            </w:pPr>
          </w:p>
        </w:tc>
      </w:tr>
      <w:tr>
        <w:trPr>
          <w:trHeight w:val="203"/>
        </w:trPr>
        <w:tc>
          <w:tcPr>
            <w:tcW w:w="460" w:type="dxa"/>
            <w:vAlign w:val="bottom"/>
            <w:gridSpan w:val="3"/>
            <w:vMerge w:val="continue"/>
          </w:tcPr>
          <w:p>
            <w:pPr>
              <w:spacing w:after="0"/>
              <w:rPr>
                <w:sz w:val="17"/>
                <w:szCs w:val="17"/>
                <w:color w:val="auto"/>
              </w:rPr>
            </w:pPr>
          </w:p>
        </w:tc>
        <w:tc>
          <w:tcPr>
            <w:tcW w:w="2000" w:type="dxa"/>
            <w:vAlign w:val="bottom"/>
            <w:gridSpan w:val="3"/>
          </w:tcPr>
          <w:p>
            <w:pPr>
              <w:ind w:left="80"/>
              <w:spacing w:after="0"/>
              <w:rPr>
                <w:sz w:val="20"/>
                <w:szCs w:val="20"/>
                <w:color w:val="auto"/>
              </w:rPr>
            </w:pPr>
            <w:r>
              <w:rPr>
                <w:rFonts w:ascii="Arial" w:cs="Arial" w:eastAsia="Arial" w:hAnsi="Arial"/>
                <w:sz w:val="16"/>
                <w:szCs w:val="16"/>
                <w:b w:val="1"/>
                <w:bCs w:val="1"/>
                <w:color w:val="007EC4"/>
              </w:rPr>
              <w:t>MATTERS BE</w:t>
            </w:r>
          </w:p>
        </w:tc>
        <w:tc>
          <w:tcPr>
            <w:tcW w:w="8740" w:type="dxa"/>
            <w:vAlign w:val="bottom"/>
            <w:gridSpan w:val="5"/>
          </w:tcPr>
          <w:p>
            <w:pPr>
              <w:ind w:left="440"/>
              <w:spacing w:after="0"/>
              <w:rPr>
                <w:sz w:val="20"/>
                <w:szCs w:val="20"/>
                <w:color w:val="auto"/>
              </w:rPr>
            </w:pPr>
            <w:r>
              <w:rPr>
                <w:rFonts w:ascii="Arial" w:cs="Arial" w:eastAsia="Arial" w:hAnsi="Arial"/>
                <w:sz w:val="16"/>
                <w:szCs w:val="16"/>
                <w:color w:val="auto"/>
              </w:rPr>
              <w:t>those referred to in this Proxy Statement. If other matters are properly presented at the Annual Meeting for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3"/>
          </w:tcPr>
          <w:p>
            <w:pPr>
              <w:ind w:left="80"/>
              <w:spacing w:after="0"/>
              <w:rPr>
                <w:sz w:val="20"/>
                <w:szCs w:val="20"/>
                <w:color w:val="auto"/>
              </w:rPr>
            </w:pPr>
            <w:r>
              <w:rPr>
                <w:rFonts w:ascii="Arial" w:cs="Arial" w:eastAsia="Arial" w:hAnsi="Arial"/>
                <w:sz w:val="16"/>
                <w:szCs w:val="16"/>
                <w:b w:val="1"/>
                <w:bCs w:val="1"/>
                <w:color w:val="007EC4"/>
              </w:rPr>
              <w:t>DECIDED AT THE</w:t>
            </w:r>
          </w:p>
        </w:tc>
        <w:tc>
          <w:tcPr>
            <w:tcW w:w="8740" w:type="dxa"/>
            <w:vAlign w:val="bottom"/>
            <w:gridSpan w:val="5"/>
          </w:tcPr>
          <w:p>
            <w:pPr>
              <w:ind w:left="440"/>
              <w:spacing w:after="0"/>
              <w:rPr>
                <w:sz w:val="20"/>
                <w:szCs w:val="20"/>
                <w:color w:val="auto"/>
              </w:rPr>
            </w:pPr>
            <w:r>
              <w:rPr>
                <w:rFonts w:ascii="Arial" w:cs="Arial" w:eastAsia="Arial" w:hAnsi="Arial"/>
                <w:sz w:val="16"/>
                <w:szCs w:val="16"/>
                <w:color w:val="auto"/>
              </w:rPr>
              <w:t>consideration and you are a stockholder of record and have submitted a proxy card, the persons named in your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gridSpan w:val="3"/>
          </w:tcPr>
          <w:p>
            <w:pPr>
              <w:ind w:left="80"/>
              <w:spacing w:after="0"/>
              <w:rPr>
                <w:sz w:val="20"/>
                <w:szCs w:val="20"/>
                <w:color w:val="auto"/>
              </w:rPr>
            </w:pPr>
            <w:r>
              <w:rPr>
                <w:rFonts w:ascii="Arial" w:cs="Arial" w:eastAsia="Arial" w:hAnsi="Arial"/>
                <w:sz w:val="16"/>
                <w:szCs w:val="16"/>
                <w:b w:val="1"/>
                <w:bCs w:val="1"/>
                <w:color w:val="007EC4"/>
              </w:rPr>
              <w:t>ANNUAL MEETING?</w:t>
            </w:r>
          </w:p>
        </w:tc>
        <w:tc>
          <w:tcPr>
            <w:tcW w:w="8740" w:type="dxa"/>
            <w:vAlign w:val="bottom"/>
            <w:gridSpan w:val="5"/>
          </w:tcPr>
          <w:p>
            <w:pPr>
              <w:ind w:left="440"/>
              <w:spacing w:after="0"/>
              <w:rPr>
                <w:sz w:val="20"/>
                <w:szCs w:val="20"/>
                <w:color w:val="auto"/>
              </w:rPr>
            </w:pPr>
            <w:r>
              <w:rPr>
                <w:rFonts w:ascii="Arial" w:cs="Arial" w:eastAsia="Arial" w:hAnsi="Arial"/>
                <w:sz w:val="16"/>
                <w:szCs w:val="16"/>
                <w:color w:val="auto"/>
              </w:rPr>
              <w:t>proxy card will have the discretion to vote on those matters for you.</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80" w:type="dxa"/>
            <w:vAlign w:val="bottom"/>
            <w:tcBorders>
              <w:bottom w:val="single" w:sz="8" w:color="AD9E6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D9E6E"/>
            </w:tcBorders>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Borders>
              <w:bottom w:val="single" w:sz="8" w:color="AD9E6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D9E6E"/>
            </w:tcBorders>
          </w:tcPr>
          <w:p>
            <w:pPr>
              <w:spacing w:after="0"/>
              <w:rPr>
                <w:sz w:val="24"/>
                <w:szCs w:val="24"/>
                <w:color w:val="auto"/>
              </w:rPr>
            </w:pPr>
          </w:p>
        </w:tc>
        <w:tc>
          <w:tcPr>
            <w:tcW w:w="8100" w:type="dxa"/>
            <w:vAlign w:val="bottom"/>
          </w:tcPr>
          <w:p>
            <w:pPr>
              <w:spacing w:after="0"/>
              <w:rPr>
                <w:sz w:val="24"/>
                <w:szCs w:val="24"/>
                <w:color w:val="auto"/>
              </w:rPr>
            </w:pPr>
          </w:p>
        </w:tc>
        <w:tc>
          <w:tcPr>
            <w:tcW w:w="80" w:type="dxa"/>
            <w:vAlign w:val="bottom"/>
            <w:tcBorders>
              <w:bottom w:val="single" w:sz="8" w:color="AD9E6E"/>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60" w:type="dxa"/>
            <w:vAlign w:val="bottom"/>
            <w:gridSpan w:val="3"/>
          </w:tcPr>
          <w:p>
            <w:pPr>
              <w:spacing w:after="0" w:line="312" w:lineRule="exact"/>
              <w:rPr>
                <w:sz w:val="20"/>
                <w:szCs w:val="20"/>
                <w:color w:val="auto"/>
              </w:rPr>
            </w:pPr>
            <w:r>
              <w:rPr>
                <w:rFonts w:ascii="Arial" w:cs="Arial" w:eastAsia="Arial" w:hAnsi="Arial"/>
                <w:sz w:val="32"/>
                <w:szCs w:val="32"/>
                <w:b w:val="1"/>
                <w:bCs w:val="1"/>
                <w:color w:val="EF3B35"/>
              </w:rPr>
              <w:t>Q:</w:t>
            </w:r>
          </w:p>
        </w:tc>
        <w:tc>
          <w:tcPr>
            <w:tcW w:w="2000" w:type="dxa"/>
            <w:vAlign w:val="bottom"/>
            <w:gridSpan w:val="3"/>
          </w:tcPr>
          <w:p>
            <w:pPr>
              <w:ind w:left="80"/>
              <w:spacing w:after="0"/>
              <w:rPr>
                <w:sz w:val="20"/>
                <w:szCs w:val="20"/>
                <w:color w:val="auto"/>
              </w:rPr>
            </w:pPr>
            <w:r>
              <w:rPr>
                <w:rFonts w:ascii="Arial" w:cs="Arial" w:eastAsia="Arial" w:hAnsi="Arial"/>
                <w:sz w:val="16"/>
                <w:szCs w:val="16"/>
                <w:b w:val="1"/>
                <w:bCs w:val="1"/>
                <w:color w:val="007EC4"/>
              </w:rPr>
              <w:t>WHO IS ENTITLED TO</w:t>
            </w:r>
          </w:p>
        </w:tc>
        <w:tc>
          <w:tcPr>
            <w:tcW w:w="8740" w:type="dxa"/>
            <w:vAlign w:val="bottom"/>
            <w:gridSpan w:val="5"/>
          </w:tcPr>
          <w:p>
            <w:pPr>
              <w:ind w:left="440"/>
              <w:spacing w:after="0"/>
              <w:rPr>
                <w:sz w:val="20"/>
                <w:szCs w:val="20"/>
                <w:color w:val="auto"/>
              </w:rPr>
            </w:pPr>
            <w:r>
              <w:rPr>
                <w:rFonts w:ascii="Arial" w:cs="Arial" w:eastAsia="Arial" w:hAnsi="Arial"/>
                <w:sz w:val="16"/>
                <w:szCs w:val="16"/>
                <w:color w:val="auto"/>
              </w:rPr>
              <w:t>Stockholders as of the close of business on April 5, 2022 (the “Record Date”) may vote at the Annual Meeting. As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gridSpan w:val="3"/>
          </w:tcPr>
          <w:p>
            <w:pPr>
              <w:ind w:left="80"/>
              <w:spacing w:after="0" w:line="173" w:lineRule="exact"/>
              <w:rPr>
                <w:sz w:val="20"/>
                <w:szCs w:val="20"/>
                <w:color w:val="auto"/>
              </w:rPr>
            </w:pPr>
            <w:r>
              <w:rPr>
                <w:rFonts w:ascii="Arial" w:cs="Arial" w:eastAsia="Arial" w:hAnsi="Arial"/>
                <w:sz w:val="16"/>
                <w:szCs w:val="16"/>
                <w:b w:val="1"/>
                <w:bCs w:val="1"/>
                <w:color w:val="007EC4"/>
              </w:rPr>
              <w:t>VOTE?</w:t>
            </w:r>
          </w:p>
        </w:tc>
        <w:tc>
          <w:tcPr>
            <w:tcW w:w="8740" w:type="dxa"/>
            <w:vAlign w:val="bottom"/>
            <w:gridSpan w:val="5"/>
          </w:tcPr>
          <w:p>
            <w:pPr>
              <w:ind w:left="440"/>
              <w:spacing w:after="0" w:line="173" w:lineRule="exact"/>
              <w:rPr>
                <w:sz w:val="20"/>
                <w:szCs w:val="20"/>
                <w:color w:val="auto"/>
              </w:rPr>
            </w:pPr>
            <w:r>
              <w:rPr>
                <w:rFonts w:ascii="Arial" w:cs="Arial" w:eastAsia="Arial" w:hAnsi="Arial"/>
                <w:sz w:val="16"/>
                <w:szCs w:val="16"/>
                <w:color w:val="auto"/>
              </w:rPr>
              <w:t>that date, there were 86,265,298 shares of common stock outstanding. You have one vote for each share of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740" w:type="dxa"/>
            <w:vAlign w:val="bottom"/>
            <w:gridSpan w:val="5"/>
          </w:tcPr>
          <w:p>
            <w:pPr>
              <w:ind w:left="440"/>
              <w:spacing w:after="0"/>
              <w:rPr>
                <w:sz w:val="20"/>
                <w:szCs w:val="20"/>
                <w:color w:val="auto"/>
              </w:rPr>
            </w:pPr>
            <w:r>
              <w:rPr>
                <w:rFonts w:ascii="Arial" w:cs="Arial" w:eastAsia="Arial" w:hAnsi="Arial"/>
                <w:sz w:val="16"/>
                <w:szCs w:val="16"/>
                <w:color w:val="auto"/>
              </w:rPr>
              <w:t>common stock held by you as of the Record Date, including shares: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80" w:type="dxa"/>
            <w:vAlign w:val="bottom"/>
            <w:gridSpan w:val="2"/>
          </w:tcPr>
          <w:p>
            <w:pPr>
              <w:ind w:left="120"/>
              <w:spacing w:after="0"/>
              <w:rPr>
                <w:sz w:val="20"/>
                <w:szCs w:val="20"/>
                <w:color w:val="auto"/>
              </w:rPr>
            </w:pPr>
            <w:r>
              <w:rPr>
                <w:rFonts w:ascii="Arial" w:cs="Arial" w:eastAsia="Arial" w:hAnsi="Arial"/>
                <w:sz w:val="16"/>
                <w:szCs w:val="16"/>
                <w:color w:val="auto"/>
              </w:rPr>
              <w:t>•  Held directly in your name as “stockholder of record” (also referred to as “registered stockholder”); and</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180" w:type="dxa"/>
            <w:vAlign w:val="bottom"/>
            <w:gridSpan w:val="2"/>
          </w:tcPr>
          <w:p>
            <w:pPr>
              <w:ind w:left="120"/>
              <w:spacing w:after="0"/>
              <w:rPr>
                <w:sz w:val="20"/>
                <w:szCs w:val="20"/>
                <w:color w:val="auto"/>
              </w:rPr>
            </w:pPr>
            <w:r>
              <w:rPr>
                <w:rFonts w:ascii="Arial" w:cs="Arial" w:eastAsia="Arial" w:hAnsi="Arial"/>
                <w:sz w:val="16"/>
                <w:szCs w:val="16"/>
                <w:color w:val="auto"/>
              </w:rPr>
              <w:t>•  Held for you in an account with a broker, bank or other nominee (shares held in “street name” 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gridSpan w:val="2"/>
          </w:tcPr>
          <w:p>
            <w:pPr>
              <w:ind w:left="360"/>
              <w:spacing w:after="0"/>
              <w:rPr>
                <w:sz w:val="20"/>
                <w:szCs w:val="20"/>
                <w:color w:val="auto"/>
              </w:rPr>
            </w:pPr>
            <w:r>
              <w:rPr>
                <w:rFonts w:ascii="Arial" w:cs="Arial" w:eastAsia="Arial" w:hAnsi="Arial"/>
                <w:sz w:val="16"/>
                <w:szCs w:val="16"/>
                <w:color w:val="auto"/>
              </w:rPr>
              <w:t>“beneficially”). Street name holders generally cannot vote their shares directly and instead must instruct the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80" w:type="dxa"/>
            <w:vAlign w:val="bottom"/>
            <w:gridSpan w:val="2"/>
          </w:tcPr>
          <w:p>
            <w:pPr>
              <w:ind w:left="360"/>
              <w:spacing w:after="0"/>
              <w:rPr>
                <w:sz w:val="20"/>
                <w:szCs w:val="20"/>
                <w:color w:val="auto"/>
              </w:rPr>
            </w:pPr>
            <w:r>
              <w:rPr>
                <w:rFonts w:ascii="Arial" w:cs="Arial" w:eastAsia="Arial" w:hAnsi="Arial"/>
                <w:sz w:val="16"/>
                <w:szCs w:val="16"/>
                <w:color w:val="auto"/>
              </w:rPr>
              <w:t>brokerage firm, bank or nominee how to vote their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-1095375</wp:posOffset>
            </wp:positionV>
            <wp:extent cx="171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-1095375</wp:posOffset>
            </wp:positionV>
            <wp:extent cx="70637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3740" cy="1714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1072515</wp:posOffset>
            </wp:positionV>
            <wp:extent cx="85725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3"/>
          <w:szCs w:val="13"/>
          <w:b w:val="1"/>
          <w:bCs w:val="1"/>
          <w:color w:val="007EC4"/>
        </w:rPr>
        <w:t xml:space="preserve">4 </w:t>
      </w:r>
      <w:r>
        <w:rPr>
          <w:rFonts w:ascii="Arial" w:cs="Arial" w:eastAsia="Arial" w:hAnsi="Arial"/>
          <w:sz w:val="13"/>
          <w:szCs w:val="13"/>
          <w:color w:val="000000"/>
        </w:rPr>
        <w:t>Academy Sports and Outdoors,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962660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460" w:type="dxa"/>
            <w:vAlign w:val="bottom"/>
            <w:gridSpan w:val="3"/>
            <w:vMerge w:val="restart"/>
          </w:tcPr>
          <w:p>
            <w:pPr>
              <w:spacing w:after="0"/>
              <w:rPr>
                <w:sz w:val="20"/>
                <w:szCs w:val="20"/>
                <w:color w:val="auto"/>
              </w:rPr>
            </w:pPr>
            <w:r>
              <w:rPr>
                <w:rFonts w:ascii="Arial" w:cs="Arial" w:eastAsia="Arial" w:hAnsi="Arial"/>
                <w:sz w:val="32"/>
                <w:szCs w:val="32"/>
                <w:b w:val="1"/>
                <w:bCs w:val="1"/>
                <w:color w:val="EF3B35"/>
              </w:rPr>
              <w:t>Q:</w:t>
            </w:r>
          </w:p>
        </w:tc>
        <w:tc>
          <w:tcPr>
            <w:tcW w:w="2240" w:type="dxa"/>
            <w:vAlign w:val="bottom"/>
            <w:gridSpan w:val="4"/>
          </w:tcPr>
          <w:p>
            <w:pPr>
              <w:ind w:left="80"/>
              <w:spacing w:after="0"/>
              <w:rPr>
                <w:sz w:val="20"/>
                <w:szCs w:val="20"/>
                <w:color w:val="auto"/>
              </w:rPr>
            </w:pPr>
            <w:r>
              <w:rPr>
                <w:rFonts w:ascii="Arial" w:cs="Arial" w:eastAsia="Arial" w:hAnsi="Arial"/>
                <w:sz w:val="16"/>
                <w:szCs w:val="16"/>
                <w:b w:val="1"/>
                <w:bCs w:val="1"/>
                <w:color w:val="007EC4"/>
              </w:rPr>
              <w:t>WHAT CONSTITUTES A</w:t>
            </w: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The holders of record of a majority of the voting power of the issued and outstanding shares of capital stock entitled</w:t>
            </w:r>
          </w:p>
        </w:tc>
        <w:tc>
          <w:tcPr>
            <w:tcW w:w="0" w:type="dxa"/>
            <w:vAlign w:val="bottom"/>
          </w:tcPr>
          <w:p>
            <w:pPr>
              <w:spacing w:after="0"/>
              <w:rPr>
                <w:sz w:val="1"/>
                <w:szCs w:val="1"/>
                <w:color w:val="auto"/>
              </w:rPr>
            </w:pPr>
          </w:p>
        </w:tc>
      </w:tr>
      <w:tr>
        <w:trPr>
          <w:trHeight w:val="203"/>
        </w:trPr>
        <w:tc>
          <w:tcPr>
            <w:tcW w:w="460" w:type="dxa"/>
            <w:vAlign w:val="bottom"/>
            <w:gridSpan w:val="3"/>
            <w:vMerge w:val="continue"/>
          </w:tcPr>
          <w:p>
            <w:pPr>
              <w:spacing w:after="0"/>
              <w:rPr>
                <w:sz w:val="17"/>
                <w:szCs w:val="17"/>
                <w:color w:val="auto"/>
              </w:rPr>
            </w:pPr>
          </w:p>
        </w:tc>
        <w:tc>
          <w:tcPr>
            <w:tcW w:w="2240" w:type="dxa"/>
            <w:vAlign w:val="bottom"/>
            <w:gridSpan w:val="4"/>
          </w:tcPr>
          <w:p>
            <w:pPr>
              <w:ind w:left="80"/>
              <w:spacing w:after="0"/>
              <w:rPr>
                <w:sz w:val="20"/>
                <w:szCs w:val="20"/>
                <w:color w:val="auto"/>
              </w:rPr>
            </w:pPr>
            <w:r>
              <w:rPr>
                <w:rFonts w:ascii="Arial" w:cs="Arial" w:eastAsia="Arial" w:hAnsi="Arial"/>
                <w:sz w:val="16"/>
                <w:szCs w:val="16"/>
                <w:b w:val="1"/>
                <w:bCs w:val="1"/>
                <w:color w:val="007EC4"/>
              </w:rPr>
              <w:t>QUORUM?</w:t>
            </w: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to vote at the Annual Meeting must be present in person or represented by proxy to constitute a quorum for the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Annual Meeting. Abstentions and “broker non-votes” are counted as present for purposes of determining a quorum.</w:t>
            </w: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80" w:type="dxa"/>
            <w:vAlign w:val="bottom"/>
            <w:tcBorders>
              <w:bottom w:val="single" w:sz="8" w:color="AD9E6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D9E6E"/>
            </w:tcBorders>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Borders>
              <w:bottom w:val="single" w:sz="8" w:color="AD9E6E"/>
            </w:tcBorders>
          </w:tcPr>
          <w:p>
            <w:pPr>
              <w:spacing w:after="0"/>
              <w:rPr>
                <w:sz w:val="24"/>
                <w:szCs w:val="24"/>
                <w:color w:val="auto"/>
              </w:rPr>
            </w:pPr>
          </w:p>
        </w:tc>
        <w:tc>
          <w:tcPr>
            <w:tcW w:w="200" w:type="dxa"/>
            <w:vAlign w:val="bottom"/>
            <w:tcBorders>
              <w:bottom w:val="single" w:sz="8" w:color="AD9E6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D9E6E"/>
            </w:tcBorders>
          </w:tcPr>
          <w:p>
            <w:pPr>
              <w:spacing w:after="0"/>
              <w:rPr>
                <w:sz w:val="24"/>
                <w:szCs w:val="24"/>
                <w:color w:val="auto"/>
              </w:rPr>
            </w:pPr>
          </w:p>
        </w:tc>
        <w:tc>
          <w:tcPr>
            <w:tcW w:w="8100" w:type="dxa"/>
            <w:vAlign w:val="bottom"/>
          </w:tcPr>
          <w:p>
            <w:pPr>
              <w:spacing w:after="0"/>
              <w:rPr>
                <w:sz w:val="24"/>
                <w:szCs w:val="24"/>
                <w:color w:val="auto"/>
              </w:rPr>
            </w:pPr>
          </w:p>
        </w:tc>
        <w:tc>
          <w:tcPr>
            <w:tcW w:w="80" w:type="dxa"/>
            <w:vAlign w:val="bottom"/>
            <w:tcBorders>
              <w:bottom w:val="single" w:sz="8" w:color="AD9E6E"/>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60" w:type="dxa"/>
            <w:vAlign w:val="bottom"/>
            <w:gridSpan w:val="3"/>
            <w:vMerge w:val="restart"/>
          </w:tcPr>
          <w:p>
            <w:pPr>
              <w:spacing w:after="0"/>
              <w:rPr>
                <w:sz w:val="20"/>
                <w:szCs w:val="20"/>
                <w:color w:val="auto"/>
              </w:rPr>
            </w:pPr>
            <w:r>
              <w:rPr>
                <w:rFonts w:ascii="Arial" w:cs="Arial" w:eastAsia="Arial" w:hAnsi="Arial"/>
                <w:sz w:val="32"/>
                <w:szCs w:val="32"/>
                <w:b w:val="1"/>
                <w:bCs w:val="1"/>
                <w:color w:val="EF3B35"/>
              </w:rPr>
              <w:t>Q:</w:t>
            </w:r>
          </w:p>
        </w:tc>
        <w:tc>
          <w:tcPr>
            <w:tcW w:w="2240" w:type="dxa"/>
            <w:vAlign w:val="bottom"/>
            <w:gridSpan w:val="4"/>
          </w:tcPr>
          <w:p>
            <w:pPr>
              <w:ind w:left="80"/>
              <w:spacing w:after="0"/>
              <w:rPr>
                <w:sz w:val="20"/>
                <w:szCs w:val="20"/>
                <w:color w:val="auto"/>
              </w:rPr>
            </w:pPr>
            <w:r>
              <w:rPr>
                <w:rFonts w:ascii="Arial" w:cs="Arial" w:eastAsia="Arial" w:hAnsi="Arial"/>
                <w:sz w:val="16"/>
                <w:szCs w:val="16"/>
                <w:b w:val="1"/>
                <w:bCs w:val="1"/>
                <w:color w:val="007EC4"/>
              </w:rPr>
              <w:t>WHAT IS A “BROKER</w:t>
            </w: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A broker non-vote occurs when shares held through a broker are not voted with respect to a proposal because (1)</w:t>
            </w:r>
          </w:p>
        </w:tc>
        <w:tc>
          <w:tcPr>
            <w:tcW w:w="0" w:type="dxa"/>
            <w:vAlign w:val="bottom"/>
          </w:tcPr>
          <w:p>
            <w:pPr>
              <w:spacing w:after="0"/>
              <w:rPr>
                <w:sz w:val="1"/>
                <w:szCs w:val="1"/>
                <w:color w:val="auto"/>
              </w:rPr>
            </w:pPr>
          </w:p>
        </w:tc>
      </w:tr>
      <w:tr>
        <w:trPr>
          <w:trHeight w:val="189"/>
        </w:trPr>
        <w:tc>
          <w:tcPr>
            <w:tcW w:w="460" w:type="dxa"/>
            <w:vAlign w:val="bottom"/>
            <w:gridSpan w:val="3"/>
            <w:vMerge w:val="continue"/>
          </w:tcPr>
          <w:p>
            <w:pPr>
              <w:spacing w:after="0"/>
              <w:rPr>
                <w:sz w:val="16"/>
                <w:szCs w:val="16"/>
                <w:color w:val="auto"/>
              </w:rPr>
            </w:pPr>
          </w:p>
        </w:tc>
        <w:tc>
          <w:tcPr>
            <w:tcW w:w="2240" w:type="dxa"/>
            <w:vAlign w:val="bottom"/>
            <w:gridSpan w:val="4"/>
          </w:tcPr>
          <w:p>
            <w:pPr>
              <w:ind w:left="80"/>
              <w:spacing w:after="0"/>
              <w:rPr>
                <w:sz w:val="20"/>
                <w:szCs w:val="20"/>
                <w:color w:val="auto"/>
              </w:rPr>
            </w:pPr>
            <w:r>
              <w:rPr>
                <w:rFonts w:ascii="Arial" w:cs="Arial" w:eastAsia="Arial" w:hAnsi="Arial"/>
                <w:sz w:val="16"/>
                <w:szCs w:val="16"/>
                <w:b w:val="1"/>
                <w:bCs w:val="1"/>
                <w:color w:val="007EC4"/>
              </w:rPr>
              <w:t>NON-VOTE”?</w:t>
            </w: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the broker has not received voting instructions from the stockholder who beneficially owns the shares, and (2)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broker lacks the authority to vote the shares at its discretion. Proposal Nos. 1 and 3 are considered non-routine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matters, and a broker will lack the authority to vote uninstructed shares at their discretion on such proposals.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Proposal No. 2 is considered a routine matter, and a broker will be permitted - but is not required - to exercise its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discretion to vote uninstructed shares on this proposal. We urge you to promptly provide voting instructions to your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broker to ensure that your shares are voted on all of the proposals, even if you do not plan to attend the Annual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Meeting.</w:t>
            </w: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0" w:type="dxa"/>
            <w:vAlign w:val="bottom"/>
            <w:tcBorders>
              <w:bottom w:val="single" w:sz="8" w:color="AD9E6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D9E6E"/>
            </w:tcBorders>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Borders>
              <w:bottom w:val="single" w:sz="8" w:color="AD9E6E"/>
            </w:tcBorders>
          </w:tcPr>
          <w:p>
            <w:pPr>
              <w:spacing w:after="0"/>
              <w:rPr>
                <w:sz w:val="24"/>
                <w:szCs w:val="24"/>
                <w:color w:val="auto"/>
              </w:rPr>
            </w:pPr>
          </w:p>
        </w:tc>
        <w:tc>
          <w:tcPr>
            <w:tcW w:w="200" w:type="dxa"/>
            <w:vAlign w:val="bottom"/>
            <w:tcBorders>
              <w:bottom w:val="single" w:sz="8" w:color="AD9E6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D9E6E"/>
            </w:tcBorders>
          </w:tcPr>
          <w:p>
            <w:pPr>
              <w:spacing w:after="0"/>
              <w:rPr>
                <w:sz w:val="24"/>
                <w:szCs w:val="24"/>
                <w:color w:val="auto"/>
              </w:rPr>
            </w:pPr>
          </w:p>
        </w:tc>
        <w:tc>
          <w:tcPr>
            <w:tcW w:w="8100" w:type="dxa"/>
            <w:vAlign w:val="bottom"/>
          </w:tcPr>
          <w:p>
            <w:pPr>
              <w:spacing w:after="0"/>
              <w:rPr>
                <w:sz w:val="24"/>
                <w:szCs w:val="24"/>
                <w:color w:val="auto"/>
              </w:rPr>
            </w:pPr>
          </w:p>
        </w:tc>
        <w:tc>
          <w:tcPr>
            <w:tcW w:w="80" w:type="dxa"/>
            <w:vAlign w:val="bottom"/>
            <w:tcBorders>
              <w:bottom w:val="single" w:sz="8" w:color="AD9E6E"/>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60" w:type="dxa"/>
            <w:vAlign w:val="bottom"/>
            <w:gridSpan w:val="3"/>
            <w:vMerge w:val="restart"/>
          </w:tcPr>
          <w:p>
            <w:pPr>
              <w:spacing w:after="0"/>
              <w:rPr>
                <w:sz w:val="20"/>
                <w:szCs w:val="20"/>
                <w:color w:val="auto"/>
              </w:rPr>
            </w:pPr>
            <w:r>
              <w:rPr>
                <w:rFonts w:ascii="Arial" w:cs="Arial" w:eastAsia="Arial" w:hAnsi="Arial"/>
                <w:sz w:val="32"/>
                <w:szCs w:val="32"/>
                <w:b w:val="1"/>
                <w:bCs w:val="1"/>
                <w:color w:val="EF3B35"/>
              </w:rPr>
              <w:t>Q:</w:t>
            </w:r>
          </w:p>
        </w:tc>
        <w:tc>
          <w:tcPr>
            <w:tcW w:w="2240" w:type="dxa"/>
            <w:vAlign w:val="bottom"/>
            <w:gridSpan w:val="4"/>
          </w:tcPr>
          <w:p>
            <w:pPr>
              <w:ind w:left="80"/>
              <w:spacing w:after="0"/>
              <w:rPr>
                <w:sz w:val="20"/>
                <w:szCs w:val="20"/>
                <w:color w:val="auto"/>
              </w:rPr>
            </w:pPr>
            <w:r>
              <w:rPr>
                <w:rFonts w:ascii="Arial" w:cs="Arial" w:eastAsia="Arial" w:hAnsi="Arial"/>
                <w:sz w:val="16"/>
                <w:szCs w:val="16"/>
                <w:b w:val="1"/>
                <w:bCs w:val="1"/>
                <w:color w:val="007EC4"/>
              </w:rPr>
              <w:t>HOW MANY VOTES ARE</w:t>
            </w: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Under our Amended and Restated Bylaws (the “Bylaws”), directors are elected by a plurality vote, which means that</w:t>
            </w:r>
          </w:p>
        </w:tc>
        <w:tc>
          <w:tcPr>
            <w:tcW w:w="0" w:type="dxa"/>
            <w:vAlign w:val="bottom"/>
          </w:tcPr>
          <w:p>
            <w:pPr>
              <w:spacing w:after="0"/>
              <w:rPr>
                <w:sz w:val="1"/>
                <w:szCs w:val="1"/>
                <w:color w:val="auto"/>
              </w:rPr>
            </w:pPr>
          </w:p>
        </w:tc>
      </w:tr>
      <w:tr>
        <w:trPr>
          <w:trHeight w:val="189"/>
        </w:trPr>
        <w:tc>
          <w:tcPr>
            <w:tcW w:w="460" w:type="dxa"/>
            <w:vAlign w:val="bottom"/>
            <w:gridSpan w:val="3"/>
            <w:vMerge w:val="continue"/>
          </w:tcPr>
          <w:p>
            <w:pPr>
              <w:spacing w:after="0"/>
              <w:rPr>
                <w:sz w:val="16"/>
                <w:szCs w:val="16"/>
                <w:color w:val="auto"/>
              </w:rPr>
            </w:pPr>
          </w:p>
        </w:tc>
        <w:tc>
          <w:tcPr>
            <w:tcW w:w="2240" w:type="dxa"/>
            <w:vAlign w:val="bottom"/>
            <w:gridSpan w:val="4"/>
          </w:tcPr>
          <w:p>
            <w:pPr>
              <w:ind w:left="80"/>
              <w:spacing w:after="0"/>
              <w:rPr>
                <w:sz w:val="20"/>
                <w:szCs w:val="20"/>
                <w:color w:val="auto"/>
              </w:rPr>
            </w:pPr>
            <w:r>
              <w:rPr>
                <w:rFonts w:ascii="Arial" w:cs="Arial" w:eastAsia="Arial" w:hAnsi="Arial"/>
                <w:sz w:val="16"/>
                <w:szCs w:val="16"/>
                <w:b w:val="1"/>
                <w:bCs w:val="1"/>
                <w:color w:val="007EC4"/>
              </w:rPr>
              <w:t>REQUIRED TO APPROVE</w:t>
            </w: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the two director nominees with the greatest number of votes cast, even if less than a majority, will be elected. There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gridSpan w:val="4"/>
          </w:tcPr>
          <w:p>
            <w:pPr>
              <w:ind w:left="80"/>
              <w:spacing w:after="0"/>
              <w:rPr>
                <w:sz w:val="20"/>
                <w:szCs w:val="20"/>
                <w:color w:val="auto"/>
              </w:rPr>
            </w:pPr>
            <w:r>
              <w:rPr>
                <w:rFonts w:ascii="Arial" w:cs="Arial" w:eastAsia="Arial" w:hAnsi="Arial"/>
                <w:sz w:val="16"/>
                <w:szCs w:val="16"/>
                <w:b w:val="1"/>
                <w:bCs w:val="1"/>
                <w:color w:val="007EC4"/>
              </w:rPr>
              <w:t>EACH PROPOSAL?</w:t>
            </w: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is no cumulative voting.</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For any other proposal being considered at the Annual Meeting, under our Bylaws, approval of the proposal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requires the vote of the holders of a majority of the voting power of the shares of stock present in person 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represented by proxy and entitled to vote at the Annual Meeting.</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80" w:type="dxa"/>
            <w:vAlign w:val="bottom"/>
            <w:tcBorders>
              <w:bottom w:val="single" w:sz="8" w:color="AD9E6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D9E6E"/>
            </w:tcBorders>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Borders>
              <w:bottom w:val="single" w:sz="8" w:color="AD9E6E"/>
            </w:tcBorders>
          </w:tcPr>
          <w:p>
            <w:pPr>
              <w:spacing w:after="0"/>
              <w:rPr>
                <w:sz w:val="24"/>
                <w:szCs w:val="24"/>
                <w:color w:val="auto"/>
              </w:rPr>
            </w:pPr>
          </w:p>
        </w:tc>
        <w:tc>
          <w:tcPr>
            <w:tcW w:w="200" w:type="dxa"/>
            <w:vAlign w:val="bottom"/>
            <w:tcBorders>
              <w:bottom w:val="single" w:sz="8" w:color="AD9E6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D9E6E"/>
            </w:tcBorders>
          </w:tcPr>
          <w:p>
            <w:pPr>
              <w:spacing w:after="0"/>
              <w:rPr>
                <w:sz w:val="24"/>
                <w:szCs w:val="24"/>
                <w:color w:val="auto"/>
              </w:rPr>
            </w:pPr>
          </w:p>
        </w:tc>
        <w:tc>
          <w:tcPr>
            <w:tcW w:w="8100" w:type="dxa"/>
            <w:vAlign w:val="bottom"/>
          </w:tcPr>
          <w:p>
            <w:pPr>
              <w:spacing w:after="0"/>
              <w:rPr>
                <w:sz w:val="24"/>
                <w:szCs w:val="24"/>
                <w:color w:val="auto"/>
              </w:rPr>
            </w:pPr>
          </w:p>
        </w:tc>
        <w:tc>
          <w:tcPr>
            <w:tcW w:w="80" w:type="dxa"/>
            <w:vAlign w:val="bottom"/>
            <w:tcBorders>
              <w:bottom w:val="single" w:sz="8" w:color="AD9E6E"/>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60" w:type="dxa"/>
            <w:vAlign w:val="bottom"/>
            <w:gridSpan w:val="3"/>
            <w:vMerge w:val="restart"/>
          </w:tcPr>
          <w:p>
            <w:pPr>
              <w:spacing w:after="0"/>
              <w:rPr>
                <w:sz w:val="20"/>
                <w:szCs w:val="20"/>
                <w:color w:val="auto"/>
              </w:rPr>
            </w:pPr>
            <w:r>
              <w:rPr>
                <w:rFonts w:ascii="Arial" w:cs="Arial" w:eastAsia="Arial" w:hAnsi="Arial"/>
                <w:sz w:val="32"/>
                <w:szCs w:val="32"/>
                <w:b w:val="1"/>
                <w:bCs w:val="1"/>
                <w:color w:val="EF3B35"/>
              </w:rPr>
              <w:t>Q:</w:t>
            </w:r>
          </w:p>
        </w:tc>
        <w:tc>
          <w:tcPr>
            <w:tcW w:w="2240" w:type="dxa"/>
            <w:vAlign w:val="bottom"/>
            <w:gridSpan w:val="4"/>
          </w:tcPr>
          <w:p>
            <w:pPr>
              <w:ind w:left="80"/>
              <w:spacing w:after="0"/>
              <w:rPr>
                <w:sz w:val="20"/>
                <w:szCs w:val="20"/>
                <w:color w:val="auto"/>
              </w:rPr>
            </w:pPr>
            <w:r>
              <w:rPr>
                <w:rFonts w:ascii="Arial" w:cs="Arial" w:eastAsia="Arial" w:hAnsi="Arial"/>
                <w:sz w:val="16"/>
                <w:szCs w:val="16"/>
                <w:b w:val="1"/>
                <w:bCs w:val="1"/>
                <w:color w:val="007EC4"/>
              </w:rPr>
              <w:t>HOW MAY I VOTE, AND</w:t>
            </w: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 xml:space="preserve">With respect to the election of directors (Proposal No. 1), you may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or </w:t>
            </w:r>
            <w:r>
              <w:rPr>
                <w:rFonts w:ascii="Arial" w:cs="Arial" w:eastAsia="Arial" w:hAnsi="Arial"/>
                <w:sz w:val="16"/>
                <w:szCs w:val="16"/>
                <w:b w:val="1"/>
                <w:bCs w:val="1"/>
                <w:color w:val="auto"/>
              </w:rPr>
              <w:t>“WITHHOLD”</w:t>
            </w:r>
            <w:r>
              <w:rPr>
                <w:rFonts w:ascii="Arial" w:cs="Arial" w:eastAsia="Arial" w:hAnsi="Arial"/>
                <w:sz w:val="16"/>
                <w:szCs w:val="16"/>
                <w:color w:val="auto"/>
              </w:rPr>
              <w:t xml:space="preserve"> with respect to</w:t>
            </w:r>
          </w:p>
        </w:tc>
        <w:tc>
          <w:tcPr>
            <w:tcW w:w="0" w:type="dxa"/>
            <w:vAlign w:val="bottom"/>
          </w:tcPr>
          <w:p>
            <w:pPr>
              <w:spacing w:after="0"/>
              <w:rPr>
                <w:sz w:val="1"/>
                <w:szCs w:val="1"/>
                <w:color w:val="auto"/>
              </w:rPr>
            </w:pPr>
          </w:p>
        </w:tc>
      </w:tr>
      <w:tr>
        <w:trPr>
          <w:trHeight w:val="202"/>
        </w:trPr>
        <w:tc>
          <w:tcPr>
            <w:tcW w:w="460" w:type="dxa"/>
            <w:vAlign w:val="bottom"/>
            <w:gridSpan w:val="3"/>
            <w:vMerge w:val="continue"/>
          </w:tcPr>
          <w:p>
            <w:pPr>
              <w:spacing w:after="0"/>
              <w:rPr>
                <w:sz w:val="17"/>
                <w:szCs w:val="17"/>
                <w:color w:val="auto"/>
              </w:rPr>
            </w:pPr>
          </w:p>
        </w:tc>
        <w:tc>
          <w:tcPr>
            <w:tcW w:w="2240" w:type="dxa"/>
            <w:vAlign w:val="bottom"/>
            <w:gridSpan w:val="4"/>
          </w:tcPr>
          <w:p>
            <w:pPr>
              <w:ind w:left="80"/>
              <w:spacing w:after="0"/>
              <w:rPr>
                <w:sz w:val="20"/>
                <w:szCs w:val="20"/>
                <w:color w:val="auto"/>
              </w:rPr>
            </w:pPr>
            <w:r>
              <w:rPr>
                <w:rFonts w:ascii="Arial" w:cs="Arial" w:eastAsia="Arial" w:hAnsi="Arial"/>
                <w:sz w:val="16"/>
                <w:szCs w:val="16"/>
                <w:b w:val="1"/>
                <w:bCs w:val="1"/>
                <w:color w:val="007EC4"/>
              </w:rPr>
              <w:t>HOW IS MY VOTE</w:t>
            </w: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each nominee. Votes that are “withheld” will not count as a vote “FOR” or “AGAINST” a director because directors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40" w:type="dxa"/>
            <w:vAlign w:val="bottom"/>
            <w:gridSpan w:val="4"/>
          </w:tcPr>
          <w:p>
            <w:pPr>
              <w:ind w:left="80"/>
              <w:spacing w:after="0"/>
              <w:rPr>
                <w:sz w:val="20"/>
                <w:szCs w:val="20"/>
                <w:color w:val="auto"/>
              </w:rPr>
            </w:pPr>
            <w:r>
              <w:rPr>
                <w:rFonts w:ascii="Arial" w:cs="Arial" w:eastAsia="Arial" w:hAnsi="Arial"/>
                <w:sz w:val="16"/>
                <w:szCs w:val="16"/>
                <w:b w:val="1"/>
                <w:bCs w:val="1"/>
                <w:color w:val="007EC4"/>
              </w:rPr>
              <w:t>COUNTED?</w:t>
            </w: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are elected by plurality voting. Broker non-votes will have no effect on the outcome of Proposal No. 1. With respect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to the ratification of our independent registered public accounting firm (Proposal No. 2) and the advisory vote to</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 xml:space="preserve">approve the compensation of our named executive officers (Proposal No. 3), you may vote </w:t>
            </w:r>
            <w:r>
              <w:rPr>
                <w:rFonts w:ascii="Arial" w:cs="Arial" w:eastAsia="Arial" w:hAnsi="Arial"/>
                <w:sz w:val="16"/>
                <w:szCs w:val="16"/>
                <w:b w:val="1"/>
                <w:bCs w:val="1"/>
                <w:color w:val="auto"/>
              </w:rPr>
              <w:t>“FOR,” “AGAINST”</w:t>
            </w:r>
            <w:r>
              <w:rPr>
                <w:rFonts w:ascii="Arial" w:cs="Arial" w:eastAsia="Arial" w:hAnsi="Arial"/>
                <w:sz w:val="16"/>
                <w:szCs w:val="16"/>
                <w:color w:val="auto"/>
              </w:rPr>
              <w:t xml:space="preserve"> or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b w:val="1"/>
                <w:bCs w:val="1"/>
                <w:color w:val="auto"/>
              </w:rPr>
              <w:t xml:space="preserve">“ABSTAIN.” </w:t>
            </w:r>
            <w:r>
              <w:rPr>
                <w:rFonts w:ascii="Arial" w:cs="Arial" w:eastAsia="Arial" w:hAnsi="Arial"/>
                <w:sz w:val="16"/>
                <w:szCs w:val="16"/>
                <w:color w:val="auto"/>
              </w:rPr>
              <w:t>For each of Proposal Nos. 2 and 3, abstentions will have the effect of a vote “against” the proposal.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For Proposal No. 2, there should be no broker non-votes (although brokers may but are not required to exercise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discretionary voting on this proposal).For Proposal No. 3, broker non-votes will have no effect on the outcome of the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proposal.</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You are not required to attend the Annual Meeting to vote. The Board is soliciting proxies so that you can submit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your proxy before the Annual Meeting. If you vote by proxy, you will be designating Brian T. Marley and Tom 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Nealon, each with power of substitution as your proxy, and together as your proxies, to vote your shares as you</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instruct.If you just sign and submit your proxy card without voting instructions, your shares will be voted in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accordance with the recommendation of the Board with respect to the Proposals. The proxies also have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discretionary authority to vote to adjourn our Annual Meeting, including for the purposes of soliciting votes in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accordance with our Board’s recommendations, or if any other business properly comes before the meeting. If any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other business comes before the Annual Meeting, the proxies will vote on those matters in accordance with their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5"/>
          </w:tcPr>
          <w:p>
            <w:pPr>
              <w:ind w:left="200"/>
              <w:spacing w:after="0"/>
              <w:rPr>
                <w:sz w:val="20"/>
                <w:szCs w:val="20"/>
                <w:color w:val="auto"/>
              </w:rPr>
            </w:pPr>
            <w:r>
              <w:rPr>
                <w:rFonts w:ascii="Arial" w:cs="Arial" w:eastAsia="Arial" w:hAnsi="Arial"/>
                <w:sz w:val="16"/>
                <w:szCs w:val="16"/>
                <w:color w:val="auto"/>
              </w:rPr>
              <w:t>best judgment.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-5124450</wp:posOffset>
            </wp:positionV>
            <wp:extent cx="17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-5124450</wp:posOffset>
            </wp:positionV>
            <wp:extent cx="70637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63740"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-3752850</wp:posOffset>
            </wp:positionV>
            <wp:extent cx="171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-3752850</wp:posOffset>
            </wp:positionV>
            <wp:extent cx="70637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63740" cy="171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-2458720</wp:posOffset>
            </wp:positionV>
            <wp:extent cx="171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-2458720</wp:posOffset>
            </wp:positionV>
            <wp:extent cx="70637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637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1201420</wp:posOffset>
            </wp:positionV>
            <wp:extent cx="85725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ind w:left="8580"/>
        <w:spacing w:after="0"/>
        <w:rPr>
          <w:sz w:val="20"/>
          <w:szCs w:val="20"/>
          <w:color w:val="auto"/>
        </w:rPr>
      </w:pPr>
      <w:r>
        <w:rPr>
          <w:rFonts w:ascii="Arial" w:cs="Arial" w:eastAsia="Arial" w:hAnsi="Arial"/>
          <w:sz w:val="12"/>
          <w:szCs w:val="12"/>
          <w:color w:val="auto"/>
        </w:rPr>
        <w:t xml:space="preserve">Academy Sports and Outdoors, Inc. </w:t>
      </w:r>
      <w:r>
        <w:rPr>
          <w:rFonts w:ascii="Arial" w:cs="Arial" w:eastAsia="Arial" w:hAnsi="Arial"/>
          <w:sz w:val="12"/>
          <w:szCs w:val="12"/>
          <w:b w:val="1"/>
          <w:bCs w:val="1"/>
          <w:color w:val="007EC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969645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hanging="539"/>
        <w:spacing w:after="0" w:line="189" w:lineRule="auto"/>
        <w:rPr>
          <w:sz w:val="20"/>
          <w:szCs w:val="20"/>
          <w:color w:val="auto"/>
        </w:rPr>
      </w:pPr>
      <w:r>
        <w:rPr>
          <w:rFonts w:ascii="Arial" w:cs="Arial" w:eastAsia="Arial" w:hAnsi="Arial"/>
          <w:sz w:val="32"/>
          <w:szCs w:val="32"/>
          <w:b w:val="1"/>
          <w:bCs w:val="1"/>
          <w:color w:val="EF3B35"/>
        </w:rPr>
        <w:t xml:space="preserve">Q: </w:t>
      </w:r>
      <w:r>
        <w:rPr>
          <w:rFonts w:ascii="Arial" w:cs="Arial" w:eastAsia="Arial" w:hAnsi="Arial"/>
          <w:sz w:val="16"/>
          <w:szCs w:val="16"/>
          <w:b w:val="1"/>
          <w:bCs w:val="1"/>
          <w:color w:val="007EC4"/>
        </w:rPr>
        <w:t>HOW DOES THE BOARD</w:t>
      </w:r>
      <w:r>
        <w:rPr>
          <w:rFonts w:ascii="Arial" w:cs="Arial" w:eastAsia="Arial" w:hAnsi="Arial"/>
          <w:sz w:val="32"/>
          <w:szCs w:val="32"/>
          <w:b w:val="1"/>
          <w:bCs w:val="1"/>
          <w:color w:val="EF3B35"/>
        </w:rPr>
        <w:t xml:space="preserve"> </w:t>
      </w:r>
      <w:r>
        <w:rPr>
          <w:rFonts w:ascii="Arial" w:cs="Arial" w:eastAsia="Arial" w:hAnsi="Arial"/>
          <w:sz w:val="16"/>
          <w:szCs w:val="16"/>
          <w:b w:val="1"/>
          <w:bCs w:val="1"/>
          <w:color w:val="007EC4"/>
        </w:rPr>
        <w:t>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999490</wp:posOffset>
            </wp:positionV>
            <wp:extent cx="156019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that you vote your shares:</w:t>
      </w:r>
    </w:p>
    <w:tbl>
      <w:tblPr>
        <w:tblLayout w:type="fixed"/>
        <w:tblInd w:w="0" w:type="dxa"/>
        <w:tblCellMar>
          <w:top w:w="0" w:type="dxa"/>
          <w:left w:w="0" w:type="dxa"/>
          <w:bottom w:w="0" w:type="dxa"/>
          <w:right w:w="0" w:type="dxa"/>
        </w:tblCellMar>
      </w:tblPr>
      <w:tr>
        <w:trPr>
          <w:trHeight w:val="343"/>
        </w:trPr>
        <w:tc>
          <w:tcPr>
            <w:tcW w:w="1340" w:type="dxa"/>
            <w:vAlign w:val="bottom"/>
          </w:tcPr>
          <w:p>
            <w:pPr>
              <w:spacing w:after="0" w:line="344" w:lineRule="exact"/>
              <w:rPr>
                <w:sz w:val="20"/>
                <w:szCs w:val="20"/>
                <w:color w:val="auto"/>
              </w:rPr>
            </w:pPr>
            <w:r>
              <w:rPr>
                <w:rFonts w:ascii="Arial" w:cs="Arial" w:eastAsia="Arial" w:hAnsi="Arial"/>
                <w:sz w:val="31"/>
                <w:szCs w:val="31"/>
                <w:b w:val="1"/>
                <w:bCs w:val="1"/>
                <w:color w:val="EF3B35"/>
              </w:rPr>
              <w:t>“FOR”</w:t>
            </w:r>
          </w:p>
        </w:tc>
        <w:tc>
          <w:tcPr>
            <w:tcW w:w="6880" w:type="dxa"/>
            <w:vAlign w:val="bottom"/>
            <w:vMerge w:val="restart"/>
          </w:tcPr>
          <w:p>
            <w:pPr>
              <w:ind w:left="400"/>
              <w:spacing w:after="0"/>
              <w:rPr>
                <w:sz w:val="20"/>
                <w:szCs w:val="20"/>
                <w:color w:val="auto"/>
              </w:rPr>
            </w:pPr>
            <w:r>
              <w:rPr>
                <w:rFonts w:ascii="Arial" w:cs="Arial" w:eastAsia="Arial" w:hAnsi="Arial"/>
                <w:sz w:val="16"/>
                <w:szCs w:val="16"/>
                <w:color w:val="auto"/>
              </w:rPr>
              <w:t>each of the two director nominees set forth in this Proxy Statement.</w:t>
            </w:r>
          </w:p>
        </w:tc>
        <w:tc>
          <w:tcPr>
            <w:tcW w:w="0" w:type="dxa"/>
            <w:vAlign w:val="bottom"/>
          </w:tcPr>
          <w:p>
            <w:pPr>
              <w:spacing w:after="0"/>
              <w:rPr>
                <w:sz w:val="1"/>
                <w:szCs w:val="1"/>
                <w:color w:val="auto"/>
              </w:rPr>
            </w:pPr>
          </w:p>
        </w:tc>
      </w:tr>
      <w:tr>
        <w:trPr>
          <w:trHeight w:val="52"/>
        </w:trPr>
        <w:tc>
          <w:tcPr>
            <w:tcW w:w="1340" w:type="dxa"/>
            <w:vAlign w:val="bottom"/>
          </w:tcPr>
          <w:p>
            <w:pPr>
              <w:spacing w:after="0"/>
              <w:rPr>
                <w:sz w:val="4"/>
                <w:szCs w:val="4"/>
                <w:color w:val="auto"/>
              </w:rPr>
            </w:pPr>
          </w:p>
        </w:tc>
        <w:tc>
          <w:tcPr>
            <w:tcW w:w="6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3"/>
        </w:trPr>
        <w:tc>
          <w:tcPr>
            <w:tcW w:w="1340" w:type="dxa"/>
            <w:vAlign w:val="bottom"/>
            <w:vMerge w:val="restart"/>
          </w:tcPr>
          <w:p>
            <w:pPr>
              <w:spacing w:after="0"/>
              <w:rPr>
                <w:sz w:val="20"/>
                <w:szCs w:val="20"/>
                <w:color w:val="auto"/>
              </w:rPr>
            </w:pPr>
            <w:r>
              <w:rPr>
                <w:rFonts w:ascii="Arial" w:cs="Arial" w:eastAsia="Arial" w:hAnsi="Arial"/>
                <w:sz w:val="31"/>
                <w:szCs w:val="31"/>
                <w:b w:val="1"/>
                <w:bCs w:val="1"/>
                <w:color w:val="EF3B35"/>
              </w:rPr>
              <w:t>“FOR”</w:t>
            </w:r>
          </w:p>
        </w:tc>
        <w:tc>
          <w:tcPr>
            <w:tcW w:w="6880" w:type="dxa"/>
            <w:vAlign w:val="bottom"/>
          </w:tcPr>
          <w:p>
            <w:pPr>
              <w:ind w:left="400"/>
              <w:spacing w:after="0"/>
              <w:rPr>
                <w:sz w:val="20"/>
                <w:szCs w:val="20"/>
                <w:color w:val="auto"/>
              </w:rPr>
            </w:pPr>
            <w:r>
              <w:rPr>
                <w:rFonts w:ascii="Arial" w:cs="Arial" w:eastAsia="Arial" w:hAnsi="Arial"/>
                <w:sz w:val="16"/>
                <w:szCs w:val="16"/>
                <w:color w:val="auto"/>
              </w:rPr>
              <w:t>the ratification of the appointment of Deloitte &amp; Touche LLP as our independent registered</w:t>
            </w:r>
          </w:p>
        </w:tc>
        <w:tc>
          <w:tcPr>
            <w:tcW w:w="0" w:type="dxa"/>
            <w:vAlign w:val="bottom"/>
          </w:tcPr>
          <w:p>
            <w:pPr>
              <w:spacing w:after="0"/>
              <w:rPr>
                <w:sz w:val="1"/>
                <w:szCs w:val="1"/>
                <w:color w:val="auto"/>
              </w:rPr>
            </w:pPr>
          </w:p>
        </w:tc>
      </w:tr>
      <w:tr>
        <w:trPr>
          <w:trHeight w:val="236"/>
        </w:trPr>
        <w:tc>
          <w:tcPr>
            <w:tcW w:w="1340" w:type="dxa"/>
            <w:vAlign w:val="bottom"/>
            <w:vMerge w:val="continue"/>
          </w:tcPr>
          <w:p>
            <w:pPr>
              <w:spacing w:after="0"/>
              <w:rPr>
                <w:sz w:val="20"/>
                <w:szCs w:val="20"/>
                <w:color w:val="auto"/>
              </w:rPr>
            </w:pPr>
          </w:p>
        </w:tc>
        <w:tc>
          <w:tcPr>
            <w:tcW w:w="6880" w:type="dxa"/>
            <w:vAlign w:val="bottom"/>
          </w:tcPr>
          <w:p>
            <w:pPr>
              <w:ind w:left="400"/>
              <w:spacing w:after="0"/>
              <w:rPr>
                <w:sz w:val="20"/>
                <w:szCs w:val="20"/>
                <w:color w:val="auto"/>
              </w:rPr>
            </w:pPr>
            <w:r>
              <w:rPr>
                <w:rFonts w:ascii="Arial" w:cs="Arial" w:eastAsia="Arial" w:hAnsi="Arial"/>
                <w:sz w:val="16"/>
                <w:szCs w:val="16"/>
                <w:color w:val="auto"/>
              </w:rPr>
              <w:t>public accounting firm for fiscal 2022.</w:t>
            </w:r>
          </w:p>
        </w:tc>
        <w:tc>
          <w:tcPr>
            <w:tcW w:w="0" w:type="dxa"/>
            <w:vAlign w:val="bottom"/>
          </w:tcPr>
          <w:p>
            <w:pPr>
              <w:spacing w:after="0"/>
              <w:rPr>
                <w:sz w:val="1"/>
                <w:szCs w:val="1"/>
                <w:color w:val="auto"/>
              </w:rPr>
            </w:pPr>
          </w:p>
        </w:tc>
      </w:tr>
      <w:tr>
        <w:trPr>
          <w:trHeight w:val="371"/>
        </w:trPr>
        <w:tc>
          <w:tcPr>
            <w:tcW w:w="1340" w:type="dxa"/>
            <w:vAlign w:val="bottom"/>
            <w:vMerge w:val="restart"/>
          </w:tcPr>
          <w:p>
            <w:pPr>
              <w:spacing w:after="0"/>
              <w:rPr>
                <w:sz w:val="20"/>
                <w:szCs w:val="20"/>
                <w:color w:val="auto"/>
              </w:rPr>
            </w:pPr>
            <w:r>
              <w:rPr>
                <w:rFonts w:ascii="Arial" w:cs="Arial" w:eastAsia="Arial" w:hAnsi="Arial"/>
                <w:sz w:val="31"/>
                <w:szCs w:val="31"/>
                <w:b w:val="1"/>
                <w:bCs w:val="1"/>
                <w:color w:val="EF3B35"/>
              </w:rPr>
              <w:t>“FOR”</w:t>
            </w:r>
          </w:p>
        </w:tc>
        <w:tc>
          <w:tcPr>
            <w:tcW w:w="6880" w:type="dxa"/>
            <w:vAlign w:val="bottom"/>
          </w:tcPr>
          <w:p>
            <w:pPr>
              <w:ind w:left="400"/>
              <w:spacing w:after="0"/>
              <w:rPr>
                <w:sz w:val="20"/>
                <w:szCs w:val="20"/>
                <w:color w:val="auto"/>
              </w:rPr>
            </w:pPr>
            <w:r>
              <w:rPr>
                <w:rFonts w:ascii="Arial" w:cs="Arial" w:eastAsia="Arial" w:hAnsi="Arial"/>
                <w:sz w:val="16"/>
                <w:szCs w:val="16"/>
                <w:color w:val="auto"/>
              </w:rPr>
              <w:t>the approval, on a non-binding, advisory basis, of the fiscal 2021 compensation paid to our</w:t>
            </w:r>
          </w:p>
        </w:tc>
        <w:tc>
          <w:tcPr>
            <w:tcW w:w="0" w:type="dxa"/>
            <w:vAlign w:val="bottom"/>
          </w:tcPr>
          <w:p>
            <w:pPr>
              <w:spacing w:after="0"/>
              <w:rPr>
                <w:sz w:val="1"/>
                <w:szCs w:val="1"/>
                <w:color w:val="auto"/>
              </w:rPr>
            </w:pPr>
          </w:p>
        </w:tc>
      </w:tr>
      <w:tr>
        <w:trPr>
          <w:trHeight w:val="236"/>
        </w:trPr>
        <w:tc>
          <w:tcPr>
            <w:tcW w:w="1340" w:type="dxa"/>
            <w:vAlign w:val="bottom"/>
            <w:vMerge w:val="continue"/>
          </w:tcPr>
          <w:p>
            <w:pPr>
              <w:spacing w:after="0"/>
              <w:rPr>
                <w:sz w:val="20"/>
                <w:szCs w:val="20"/>
                <w:color w:val="auto"/>
              </w:rPr>
            </w:pPr>
          </w:p>
        </w:tc>
        <w:tc>
          <w:tcPr>
            <w:tcW w:w="6880" w:type="dxa"/>
            <w:vAlign w:val="bottom"/>
          </w:tcPr>
          <w:p>
            <w:pPr>
              <w:ind w:left="400"/>
              <w:spacing w:after="0"/>
              <w:rPr>
                <w:sz w:val="20"/>
                <w:szCs w:val="20"/>
                <w:color w:val="auto"/>
              </w:rPr>
            </w:pPr>
            <w:r>
              <w:rPr>
                <w:rFonts w:ascii="Arial" w:cs="Arial" w:eastAsia="Arial" w:hAnsi="Arial"/>
                <w:sz w:val="16"/>
                <w:szCs w:val="16"/>
                <w:color w:val="auto"/>
              </w:rPr>
              <w:t>named executive officers.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-337820</wp:posOffset>
            </wp:positionV>
            <wp:extent cx="529780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9780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-714375</wp:posOffset>
            </wp:positionV>
            <wp:extent cx="529780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97805" cy="1714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227330</wp:posOffset>
            </wp:positionV>
            <wp:extent cx="55632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6323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440"/>
            <w:col w:w="8320"/>
          </w:cols>
          <w:pgMar w:left="880" w:top="121" w:right="339" w:bottom="1440" w:gutter="0" w:footer="0" w:header="0"/>
          <w:type w:val="continuous"/>
        </w:sectPr>
      </w:pPr>
    </w:p>
    <w:p>
      <w:pPr>
        <w:spacing w:after="0" w:line="209" w:lineRule="exact"/>
        <w:rPr>
          <w:sz w:val="20"/>
          <w:szCs w:val="20"/>
          <w:color w:val="auto"/>
        </w:rPr>
      </w:pPr>
    </w:p>
    <w:p>
      <w:pPr>
        <w:ind w:hanging="539"/>
        <w:spacing w:after="0" w:line="184" w:lineRule="auto"/>
        <w:rPr>
          <w:sz w:val="20"/>
          <w:szCs w:val="20"/>
          <w:color w:val="auto"/>
        </w:rPr>
      </w:pPr>
      <w:r>
        <w:rPr>
          <w:rFonts w:ascii="Arial" w:cs="Arial" w:eastAsia="Arial" w:hAnsi="Arial"/>
          <w:sz w:val="28"/>
          <w:szCs w:val="28"/>
          <w:b w:val="1"/>
          <w:bCs w:val="1"/>
          <w:color w:val="EF3B35"/>
        </w:rPr>
        <w:t xml:space="preserve">Q: </w:t>
      </w:r>
      <w:r>
        <w:rPr>
          <w:rFonts w:ascii="Arial" w:cs="Arial" w:eastAsia="Arial" w:hAnsi="Arial"/>
          <w:sz w:val="15"/>
          <w:szCs w:val="15"/>
          <w:b w:val="1"/>
          <w:bCs w:val="1"/>
          <w:color w:val="007EC4"/>
        </w:rPr>
        <w:t>WHO WILL COUNT THE</w:t>
      </w:r>
      <w:r>
        <w:rPr>
          <w:rFonts w:ascii="Arial" w:cs="Arial" w:eastAsia="Arial" w:hAnsi="Arial"/>
          <w:sz w:val="28"/>
          <w:szCs w:val="28"/>
          <w:b w:val="1"/>
          <w:bCs w:val="1"/>
          <w:color w:val="EF3B35"/>
        </w:rPr>
        <w:t xml:space="preserve"> </w:t>
      </w:r>
      <w:r>
        <w:rPr>
          <w:rFonts w:ascii="Arial" w:cs="Arial" w:eastAsia="Arial" w:hAnsi="Arial"/>
          <w:sz w:val="15"/>
          <w:szCs w:val="15"/>
          <w:b w:val="1"/>
          <w:bCs w:val="1"/>
          <w:color w:val="007EC4"/>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186055</wp:posOffset>
            </wp:positionV>
            <wp:extent cx="156019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23" w:lineRule="exact"/>
        <w:rPr>
          <w:sz w:val="20"/>
          <w:szCs w:val="20"/>
          <w:color w:val="auto"/>
        </w:rPr>
      </w:pPr>
    </w:p>
    <w:p>
      <w:pPr>
        <w:ind w:right="260" w:hanging="539"/>
        <w:spacing w:after="0" w:line="204" w:lineRule="auto"/>
        <w:rPr>
          <w:sz w:val="20"/>
          <w:szCs w:val="20"/>
          <w:color w:val="auto"/>
        </w:rPr>
      </w:pPr>
      <w:r>
        <w:rPr>
          <w:rFonts w:ascii="Arial" w:cs="Arial" w:eastAsia="Arial" w:hAnsi="Arial"/>
          <w:sz w:val="32"/>
          <w:szCs w:val="32"/>
          <w:b w:val="1"/>
          <w:bCs w:val="1"/>
          <w:color w:val="EF3B35"/>
        </w:rPr>
        <w:t xml:space="preserve">Q: </w:t>
      </w:r>
      <w:r>
        <w:rPr>
          <w:rFonts w:ascii="Arial" w:cs="Arial" w:eastAsia="Arial" w:hAnsi="Arial"/>
          <w:sz w:val="16"/>
          <w:szCs w:val="16"/>
          <w:b w:val="1"/>
          <w:bCs w:val="1"/>
          <w:color w:val="007EC4"/>
        </w:rPr>
        <w:t>HOW DO I VOTE MY</w:t>
      </w:r>
      <w:r>
        <w:rPr>
          <w:rFonts w:ascii="Arial" w:cs="Arial" w:eastAsia="Arial" w:hAnsi="Arial"/>
          <w:sz w:val="32"/>
          <w:szCs w:val="32"/>
          <w:b w:val="1"/>
          <w:bCs w:val="1"/>
          <w:color w:val="EF3B35"/>
        </w:rPr>
        <w:t xml:space="preserve"> </w:t>
      </w:r>
      <w:r>
        <w:rPr>
          <w:rFonts w:ascii="Arial" w:cs="Arial" w:eastAsia="Arial" w:hAnsi="Arial"/>
          <w:sz w:val="16"/>
          <w:szCs w:val="16"/>
          <w:b w:val="1"/>
          <w:bCs w:val="1"/>
          <w:color w:val="007EC4"/>
        </w:rPr>
        <w:t>SHARES WITHOUT ATTENDING THE ANNUAL MEETING?</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Representatives of Broadridge Financial Solutions, our transfer agent, will tabulate the votes and act as inspectors of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167640</wp:posOffset>
            </wp:positionV>
            <wp:extent cx="55632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63235" cy="17145"/>
                    </a:xfrm>
                    <a:prstGeom prst="rect">
                      <a:avLst/>
                    </a:prstGeom>
                    <a:noFill/>
                  </pic:spPr>
                </pic:pic>
              </a:graphicData>
            </a:graphic>
          </wp:anchor>
        </w:drawing>
      </w:r>
    </w:p>
    <w:p>
      <w:pPr>
        <w:spacing w:after="0" w:line="379" w:lineRule="exact"/>
        <w:rPr>
          <w:sz w:val="20"/>
          <w:szCs w:val="20"/>
          <w:color w:val="auto"/>
        </w:rPr>
      </w:pPr>
    </w:p>
    <w:p>
      <w:pPr>
        <w:ind w:right="680"/>
        <w:spacing w:after="0" w:line="304" w:lineRule="auto"/>
        <w:rPr>
          <w:sz w:val="20"/>
          <w:szCs w:val="20"/>
          <w:color w:val="auto"/>
        </w:rPr>
      </w:pPr>
      <w:r>
        <w:rPr>
          <w:rFonts w:ascii="Arial" w:cs="Arial" w:eastAsia="Arial" w:hAnsi="Arial"/>
          <w:sz w:val="16"/>
          <w:szCs w:val="16"/>
          <w:color w:val="auto"/>
        </w:rPr>
        <w:t>If you are a stockholder of record, you may vote by authorizing a proxy to vote on your behalf at the Annual Meeting. Specifically, you may authorize a proxy:</w:t>
      </w:r>
    </w:p>
    <w:p>
      <w:pPr>
        <w:spacing w:after="0" w:line="141"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By Internet</w:t>
      </w:r>
    </w:p>
    <w:p>
      <w:pPr>
        <w:spacing w:after="0" w:line="39" w:lineRule="exact"/>
        <w:rPr>
          <w:sz w:val="20"/>
          <w:szCs w:val="20"/>
          <w:color w:val="auto"/>
        </w:rPr>
      </w:pPr>
    </w:p>
    <w:p>
      <w:pPr>
        <w:ind w:left="1740" w:right="40"/>
        <w:spacing w:after="0" w:line="262" w:lineRule="auto"/>
        <w:rPr>
          <w:sz w:val="20"/>
          <w:szCs w:val="20"/>
          <w:color w:val="auto"/>
        </w:rPr>
      </w:pPr>
      <w:r>
        <w:rPr>
          <w:rFonts w:ascii="Arial" w:cs="Arial" w:eastAsia="Arial" w:hAnsi="Arial"/>
          <w:sz w:val="16"/>
          <w:szCs w:val="16"/>
          <w:color w:val="auto"/>
        </w:rPr>
        <w:t>If you have Internet access, you may submit your proxy by going to www.proxyvote.com and by following the instructions on how to complete an electronic proxy card. You will need the 16-digit control number included on your proxy card in order to vote by Internet. If you vote via the Internet, you do not need to mail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197485</wp:posOffset>
            </wp:positionV>
            <wp:extent cx="529780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97805" cy="1714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-444500</wp:posOffset>
            </wp:positionV>
            <wp:extent cx="428625"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862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By Telephone</w:t>
      </w:r>
    </w:p>
    <w:p>
      <w:pPr>
        <w:spacing w:after="0" w:line="39" w:lineRule="exact"/>
        <w:rPr>
          <w:sz w:val="20"/>
          <w:szCs w:val="20"/>
          <w:color w:val="auto"/>
        </w:rPr>
      </w:pPr>
    </w:p>
    <w:p>
      <w:pPr>
        <w:ind w:left="1740" w:right="120"/>
        <w:spacing w:after="0" w:line="259" w:lineRule="auto"/>
        <w:rPr>
          <w:sz w:val="20"/>
          <w:szCs w:val="20"/>
          <w:color w:val="auto"/>
        </w:rPr>
      </w:pPr>
      <w:r>
        <w:rPr>
          <w:rFonts w:ascii="Arial" w:cs="Arial" w:eastAsia="Arial" w:hAnsi="Arial"/>
          <w:sz w:val="16"/>
          <w:szCs w:val="16"/>
          <w:color w:val="auto"/>
        </w:rPr>
        <w:t>You can vote your shares from a touch-tone telephone by calling the number provided on the voting website (www.proxyvote.com) and on the proxy card. The telephone voting procedures are designed to authenticate your identity and to allow you to vote your shares and confirm that your voting instructions have been properly recorded. You will need the 16-digit control number included on your proxy card in order to vote by telephone. If you vote via telephone, you do not need to mail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191135</wp:posOffset>
            </wp:positionV>
            <wp:extent cx="529780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97805" cy="1714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-648335</wp:posOffset>
            </wp:positionV>
            <wp:extent cx="325755" cy="325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By Mail</w:t>
      </w:r>
    </w:p>
    <w:p>
      <w:pPr>
        <w:spacing w:after="0" w:line="39" w:lineRule="exact"/>
        <w:rPr>
          <w:sz w:val="20"/>
          <w:szCs w:val="20"/>
          <w:color w:val="auto"/>
        </w:rPr>
      </w:pPr>
    </w:p>
    <w:p>
      <w:pPr>
        <w:ind w:left="1740" w:right="60"/>
        <w:spacing w:after="0" w:line="259" w:lineRule="auto"/>
        <w:rPr>
          <w:sz w:val="20"/>
          <w:szCs w:val="20"/>
          <w:color w:val="auto"/>
        </w:rPr>
      </w:pPr>
      <w:r>
        <w:rPr>
          <w:rFonts w:ascii="Arial" w:cs="Arial" w:eastAsia="Arial" w:hAnsi="Arial"/>
          <w:sz w:val="16"/>
          <w:szCs w:val="16"/>
          <w:color w:val="auto"/>
        </w:rPr>
        <w:t>You may vote by mail by marking your selections on the proxy card, signing and dating the enclosed proxy card where indicated and by mailing or otherwise returning the 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-596900</wp:posOffset>
            </wp:positionV>
            <wp:extent cx="38608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6080" cy="240030"/>
                    </a:xfrm>
                    <a:prstGeom prst="rect">
                      <a:avLst/>
                    </a:prstGeom>
                    <a:noFill/>
                  </pic:spPr>
                </pic:pic>
              </a:graphicData>
            </a:graphic>
          </wp:anchor>
        </w:drawing>
      </w:r>
    </w:p>
    <w:p>
      <w:pPr>
        <w:spacing w:after="0" w:line="22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Internet and telephone voting will close at 10:59 p.m., Central Time, on June 1, 2022, for the voting of shares held by stockholders of record as of the Record Date. Proxy cards with respect to shares held of record must be received no later than June 1, 2022. 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718185</wp:posOffset>
            </wp:positionV>
            <wp:extent cx="85725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2">
            <w:col w:w="1840" w:space="520"/>
            <w:col w:w="8320"/>
          </w:cols>
          <w:pgMar w:left="88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2"/>
          <w:szCs w:val="12"/>
          <w:b w:val="1"/>
          <w:bCs w:val="1"/>
          <w:color w:val="007EC4"/>
        </w:rPr>
        <w:t xml:space="preserve">6 </w:t>
      </w:r>
      <w:r>
        <w:rPr>
          <w:rFonts w:ascii="Arial" w:cs="Arial" w:eastAsia="Arial" w:hAnsi="Arial"/>
          <w:sz w:val="12"/>
          <w:szCs w:val="12"/>
          <w:color w:val="000000"/>
        </w:rPr>
        <w:t>Academy Sports and Outdoors,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969645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0" w:hanging="539"/>
        <w:spacing w:after="0" w:line="182" w:lineRule="auto"/>
        <w:rPr>
          <w:sz w:val="20"/>
          <w:szCs w:val="20"/>
          <w:color w:val="auto"/>
        </w:rPr>
      </w:pPr>
      <w:r>
        <w:rPr>
          <w:rFonts w:ascii="Arial" w:cs="Arial" w:eastAsia="Arial" w:hAnsi="Arial"/>
          <w:sz w:val="32"/>
          <w:szCs w:val="32"/>
          <w:b w:val="1"/>
          <w:bCs w:val="1"/>
          <w:color w:val="EF3B35"/>
        </w:rPr>
        <w:t xml:space="preserve">Q: </w:t>
      </w:r>
      <w:r>
        <w:rPr>
          <w:rFonts w:ascii="Arial" w:cs="Arial" w:eastAsia="Arial" w:hAnsi="Arial"/>
          <w:sz w:val="16"/>
          <w:szCs w:val="16"/>
          <w:b w:val="1"/>
          <w:bCs w:val="1"/>
          <w:color w:val="007EC4"/>
        </w:rPr>
        <w:t>HOW DO I VOTE MY</w:t>
      </w:r>
      <w:r>
        <w:rPr>
          <w:rFonts w:ascii="Arial" w:cs="Arial" w:eastAsia="Arial" w:hAnsi="Arial"/>
          <w:sz w:val="32"/>
          <w:szCs w:val="32"/>
          <w:b w:val="1"/>
          <w:bCs w:val="1"/>
          <w:color w:val="EF3B35"/>
        </w:rPr>
        <w:t xml:space="preserve"> </w:t>
      </w:r>
      <w:r>
        <w:rPr>
          <w:rFonts w:ascii="Arial" w:cs="Arial" w:eastAsia="Arial" w:hAnsi="Arial"/>
          <w:sz w:val="16"/>
          <w:szCs w:val="16"/>
          <w:b w:val="1"/>
          <w:bCs w:val="1"/>
          <w:color w:val="007EC4"/>
        </w:rPr>
        <w:t>SHARES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939165</wp:posOffset>
            </wp:positionV>
            <wp:extent cx="18516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EF3B35"/>
        </w:rPr>
        <w:t xml:space="preserve">Q: </w:t>
      </w:r>
      <w:r>
        <w:rPr>
          <w:rFonts w:ascii="Arial" w:cs="Arial" w:eastAsia="Arial" w:hAnsi="Arial"/>
          <w:sz w:val="16"/>
          <w:szCs w:val="16"/>
          <w:b w:val="1"/>
          <w:bCs w:val="1"/>
          <w:color w:val="007EC4"/>
        </w:rPr>
        <w:t>MAY I ATTEND THE</w:t>
      </w:r>
    </w:p>
    <w:p>
      <w:pPr>
        <w:ind w:left="560"/>
        <w:spacing w:after="0"/>
        <w:rPr>
          <w:sz w:val="20"/>
          <w:szCs w:val="20"/>
          <w:color w:val="auto"/>
        </w:rPr>
      </w:pPr>
      <w:r>
        <w:rPr>
          <w:rFonts w:ascii="Arial" w:cs="Arial" w:eastAsia="Arial" w:hAnsi="Arial"/>
          <w:sz w:val="16"/>
          <w:szCs w:val="16"/>
          <w:b w:val="1"/>
          <w:bCs w:val="1"/>
          <w:color w:val="007EC4"/>
        </w:rPr>
        <w:t>ANNUAL MEETING IN</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007EC4"/>
        </w:rPr>
        <w:t>PERSON AND ARE</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007EC4"/>
        </w:rPr>
        <w:t>THERE ANY</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007EC4"/>
        </w:rPr>
        <w:t>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18516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If you are a stockholder of record and prefer to vote your shares in person at the Annual Meeting, you must bring proof of identification along with your proof of ownership. If you hold your shares in street name, you may only vote shares at the Annual Meeting if you bring a signed proxy from the record holder (broker, bank or other nominee) giving you the right to vote the shares, as well as proof of identification and proof of ownership.</w:t>
      </w:r>
    </w:p>
    <w:p>
      <w:pPr>
        <w:spacing w:after="0" w:line="18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Even if you plan to attend the Annual Meeting, we encourage you to vote in advance by Internet, telephone or mail so that your vote will be counted even if you later decide not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416560</wp:posOffset>
            </wp:positionV>
            <wp:extent cx="52717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 xml:space="preserve">In order to be admitted to the meeting, you will need to present (1) a form of personal identification, and (2) either your proxy card or proof of your ownership of Academy stock on the Record Date. If your shares are held beneficially in the name of a bank, broker or other holder of record and you wish to be admitted to attend the Annual Meeting, you must present proof of your ownership of Academy stock, such as a bank or brokerage account statement. No cameras, recording equipment, electronic devices, large bags, briefcases or packages will be permitted in the Annual Meeting. For directions to the meeting, please email: </w:t>
      </w:r>
      <w:r>
        <w:rPr>
          <w:rFonts w:ascii="Arial" w:cs="Arial" w:eastAsia="Arial" w:hAnsi="Arial"/>
          <w:sz w:val="16"/>
          <w:szCs w:val="16"/>
          <w:i w:val="1"/>
          <w:iCs w:val="1"/>
          <w:color w:val="auto"/>
        </w:rPr>
        <w:t>investors@academy.com.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421005</wp:posOffset>
            </wp:positionV>
            <wp:extent cx="52717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420"/>
            <w:col w:w="8280"/>
          </w:cols>
          <w:pgMar w:left="320" w:top="122" w:right="37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460" w:type="dxa"/>
            <w:vAlign w:val="bottom"/>
            <w:vMerge w:val="restart"/>
          </w:tcPr>
          <w:p>
            <w:pPr>
              <w:spacing w:after="0"/>
              <w:rPr>
                <w:sz w:val="20"/>
                <w:szCs w:val="20"/>
                <w:color w:val="auto"/>
              </w:rPr>
            </w:pPr>
            <w:r>
              <w:rPr>
                <w:rFonts w:ascii="Arial" w:cs="Arial" w:eastAsia="Arial" w:hAnsi="Arial"/>
                <w:sz w:val="32"/>
                <w:szCs w:val="32"/>
                <w:b w:val="1"/>
                <w:bCs w:val="1"/>
                <w:color w:val="EF3B35"/>
              </w:rPr>
              <w:t>Q:</w:t>
            </w:r>
          </w:p>
        </w:tc>
        <w:tc>
          <w:tcPr>
            <w:tcW w:w="2240" w:type="dxa"/>
            <w:vAlign w:val="bottom"/>
          </w:tcPr>
          <w:p>
            <w:pPr>
              <w:ind w:left="80"/>
              <w:spacing w:after="0"/>
              <w:rPr>
                <w:sz w:val="20"/>
                <w:szCs w:val="20"/>
                <w:color w:val="auto"/>
              </w:rPr>
            </w:pPr>
            <w:r>
              <w:rPr>
                <w:rFonts w:ascii="Arial" w:cs="Arial" w:eastAsia="Arial" w:hAnsi="Arial"/>
                <w:sz w:val="16"/>
                <w:szCs w:val="16"/>
                <w:b w:val="1"/>
                <w:bCs w:val="1"/>
                <w:color w:val="007EC4"/>
              </w:rPr>
              <w:t>WHAT DOES IT MEAN IF I</w:t>
            </w:r>
          </w:p>
        </w:tc>
        <w:tc>
          <w:tcPr>
            <w:tcW w:w="8320" w:type="dxa"/>
            <w:vAlign w:val="bottom"/>
          </w:tcPr>
          <w:p>
            <w:pPr>
              <w:ind w:left="200"/>
              <w:spacing w:after="0"/>
              <w:rPr>
                <w:sz w:val="20"/>
                <w:szCs w:val="20"/>
                <w:color w:val="auto"/>
              </w:rPr>
            </w:pPr>
            <w:r>
              <w:rPr>
                <w:rFonts w:ascii="Arial" w:cs="Arial" w:eastAsia="Arial" w:hAnsi="Arial"/>
                <w:sz w:val="16"/>
                <w:szCs w:val="16"/>
                <w:color w:val="auto"/>
              </w:rPr>
              <w:t>It generally means you hold shares registered in more than one account. To ensure that all your shares are voted,</w:t>
            </w:r>
          </w:p>
        </w:tc>
        <w:tc>
          <w:tcPr>
            <w:tcW w:w="0" w:type="dxa"/>
            <w:vAlign w:val="bottom"/>
          </w:tcPr>
          <w:p>
            <w:pPr>
              <w:spacing w:after="0"/>
              <w:rPr>
                <w:sz w:val="1"/>
                <w:szCs w:val="1"/>
                <w:color w:val="auto"/>
              </w:rPr>
            </w:pPr>
          </w:p>
        </w:tc>
      </w:tr>
      <w:tr>
        <w:trPr>
          <w:trHeight w:val="189"/>
        </w:trPr>
        <w:tc>
          <w:tcPr>
            <w:tcW w:w="460" w:type="dxa"/>
            <w:vAlign w:val="bottom"/>
            <w:vMerge w:val="continue"/>
          </w:tcPr>
          <w:p>
            <w:pPr>
              <w:spacing w:after="0"/>
              <w:rPr>
                <w:sz w:val="16"/>
                <w:szCs w:val="16"/>
                <w:color w:val="auto"/>
              </w:rPr>
            </w:pPr>
          </w:p>
        </w:tc>
        <w:tc>
          <w:tcPr>
            <w:tcW w:w="2240" w:type="dxa"/>
            <w:vAlign w:val="bottom"/>
          </w:tcPr>
          <w:p>
            <w:pPr>
              <w:ind w:left="80"/>
              <w:spacing w:after="0"/>
              <w:rPr>
                <w:sz w:val="20"/>
                <w:szCs w:val="20"/>
                <w:color w:val="auto"/>
              </w:rPr>
            </w:pPr>
            <w:r>
              <w:rPr>
                <w:rFonts w:ascii="Arial" w:cs="Arial" w:eastAsia="Arial" w:hAnsi="Arial"/>
                <w:sz w:val="16"/>
                <w:szCs w:val="16"/>
                <w:b w:val="1"/>
                <w:bCs w:val="1"/>
                <w:color w:val="007EC4"/>
              </w:rPr>
              <w:t>RECEIVE MORE THAN</w:t>
            </w:r>
          </w:p>
        </w:tc>
        <w:tc>
          <w:tcPr>
            <w:tcW w:w="8320" w:type="dxa"/>
            <w:vAlign w:val="bottom"/>
          </w:tcPr>
          <w:p>
            <w:pPr>
              <w:ind w:left="200"/>
              <w:spacing w:after="0"/>
              <w:rPr>
                <w:sz w:val="20"/>
                <w:szCs w:val="20"/>
                <w:color w:val="auto"/>
              </w:rPr>
            </w:pPr>
            <w:r>
              <w:rPr>
                <w:rFonts w:ascii="Arial" w:cs="Arial" w:eastAsia="Arial" w:hAnsi="Arial"/>
                <w:sz w:val="16"/>
                <w:szCs w:val="16"/>
                <w:color w:val="auto"/>
              </w:rPr>
              <w:t>please sign and return each proxy card or, if you vote by Internet or telephone, vote once for each proxy card you</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2240" w:type="dxa"/>
            <w:vAlign w:val="bottom"/>
          </w:tcPr>
          <w:p>
            <w:pPr>
              <w:ind w:left="80"/>
              <w:spacing w:after="0"/>
              <w:rPr>
                <w:sz w:val="20"/>
                <w:szCs w:val="20"/>
                <w:color w:val="auto"/>
              </w:rPr>
            </w:pPr>
            <w:r>
              <w:rPr>
                <w:rFonts w:ascii="Arial" w:cs="Arial" w:eastAsia="Arial" w:hAnsi="Arial"/>
                <w:sz w:val="16"/>
                <w:szCs w:val="16"/>
                <w:b w:val="1"/>
                <w:bCs w:val="1"/>
                <w:color w:val="007EC4"/>
              </w:rPr>
              <w:t>ONE PROXY CARD ON</w:t>
            </w:r>
          </w:p>
        </w:tc>
        <w:tc>
          <w:tcPr>
            <w:tcW w:w="8320" w:type="dxa"/>
            <w:vAlign w:val="bottom"/>
          </w:tcPr>
          <w:p>
            <w:pPr>
              <w:ind w:left="200"/>
              <w:spacing w:after="0"/>
              <w:rPr>
                <w:sz w:val="20"/>
                <w:szCs w:val="20"/>
                <w:color w:val="auto"/>
              </w:rPr>
            </w:pPr>
            <w:r>
              <w:rPr>
                <w:rFonts w:ascii="Arial" w:cs="Arial" w:eastAsia="Arial" w:hAnsi="Arial"/>
                <w:sz w:val="16"/>
                <w:szCs w:val="16"/>
                <w:color w:val="auto"/>
              </w:rPr>
              <w:t>receive.</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2240" w:type="dxa"/>
            <w:vAlign w:val="bottom"/>
          </w:tcPr>
          <w:p>
            <w:pPr>
              <w:ind w:left="80"/>
              <w:spacing w:after="0"/>
              <w:rPr>
                <w:sz w:val="20"/>
                <w:szCs w:val="20"/>
                <w:color w:val="auto"/>
              </w:rPr>
            </w:pPr>
            <w:r>
              <w:rPr>
                <w:rFonts w:ascii="Arial" w:cs="Arial" w:eastAsia="Arial" w:hAnsi="Arial"/>
                <w:sz w:val="16"/>
                <w:szCs w:val="16"/>
                <w:b w:val="1"/>
                <w:bCs w:val="1"/>
                <w:color w:val="007EC4"/>
              </w:rPr>
              <w:t>OR ABOUT THE SAME</w:t>
            </w:r>
          </w:p>
        </w:tc>
        <w:tc>
          <w:tcPr>
            <w:tcW w:w="8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240" w:type="dxa"/>
            <w:vAlign w:val="bottom"/>
          </w:tcPr>
          <w:p>
            <w:pPr>
              <w:ind w:left="80"/>
              <w:spacing w:after="0"/>
              <w:rPr>
                <w:sz w:val="20"/>
                <w:szCs w:val="20"/>
                <w:color w:val="auto"/>
              </w:rPr>
            </w:pPr>
            <w:r>
              <w:rPr>
                <w:rFonts w:ascii="Arial" w:cs="Arial" w:eastAsia="Arial" w:hAnsi="Arial"/>
                <w:sz w:val="16"/>
                <w:szCs w:val="16"/>
                <w:b w:val="1"/>
                <w:bCs w:val="1"/>
                <w:color w:val="007EC4"/>
              </w:rPr>
              <w:t>TIME?</w:t>
            </w:r>
          </w:p>
        </w:tc>
        <w:tc>
          <w:tcPr>
            <w:tcW w:w="8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jc w:val="right"/>
        <w:ind w:left="20"/>
        <w:spacing w:after="0" w:line="241" w:lineRule="auto"/>
        <w:rPr>
          <w:sz w:val="20"/>
          <w:szCs w:val="20"/>
          <w:color w:val="auto"/>
        </w:rPr>
      </w:pPr>
      <w:r>
        <w:rPr>
          <w:rFonts w:ascii="Arial" w:cs="Arial" w:eastAsia="Arial" w:hAnsi="Arial"/>
          <w:sz w:val="28"/>
          <w:szCs w:val="28"/>
          <w:b w:val="1"/>
          <w:bCs w:val="1"/>
          <w:color w:val="EF3B35"/>
        </w:rPr>
        <w:t xml:space="preserve">Q: </w:t>
      </w:r>
      <w:r>
        <w:rPr>
          <w:rFonts w:ascii="Arial" w:cs="Arial" w:eastAsia="Arial" w:hAnsi="Arial"/>
          <w:sz w:val="15"/>
          <w:szCs w:val="15"/>
          <w:b w:val="1"/>
          <w:bCs w:val="1"/>
          <w:color w:val="007EC4"/>
        </w:rPr>
        <w:t>MAY I CHANGE MY VOTE</w:t>
      </w:r>
      <w:r>
        <w:rPr>
          <w:rFonts w:ascii="Arial" w:cs="Arial" w:eastAsia="Arial" w:hAnsi="Arial"/>
          <w:sz w:val="28"/>
          <w:szCs w:val="28"/>
          <w:b w:val="1"/>
          <w:bCs w:val="1"/>
          <w:color w:val="EF3B35"/>
        </w:rPr>
        <w:t xml:space="preserve"> </w:t>
      </w:r>
      <w:r>
        <w:rPr>
          <w:rFonts w:ascii="Arial" w:cs="Arial" w:eastAsia="Arial" w:hAnsi="Arial"/>
          <w:sz w:val="15"/>
          <w:szCs w:val="15"/>
          <w:b w:val="1"/>
          <w:bCs w:val="1"/>
          <w:color w:val="007EC4"/>
        </w:rPr>
        <w:t>OR REVOKE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3167380</wp:posOffset>
            </wp:positionV>
            <wp:extent cx="85725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Yes. Whether you have voted by Internet, telephone or mail, if you are a stockholder of record, you may change your vote and revoke your proxy by:</w:t>
      </w:r>
    </w:p>
    <w:p>
      <w:pPr>
        <w:spacing w:after="0" w:line="102"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-38735</wp:posOffset>
            </wp:positionV>
            <wp:extent cx="428625" cy="3175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8625" cy="317500"/>
                    </a:xfrm>
                    <a:prstGeom prst="rect">
                      <a:avLst/>
                    </a:prstGeom>
                    <a:noFill/>
                  </pic:spPr>
                </pic:pic>
              </a:graphicData>
            </a:graphic>
          </wp:anchor>
        </w:drawing>
      </w:r>
    </w:p>
    <w:p>
      <w:pPr>
        <w:spacing w:after="0" w:line="19" w:lineRule="exact"/>
        <w:rPr>
          <w:sz w:val="20"/>
          <w:szCs w:val="20"/>
          <w:color w:val="auto"/>
        </w:rPr>
      </w:pPr>
    </w:p>
    <w:p>
      <w:pPr>
        <w:ind w:left="1740" w:right="500"/>
        <w:spacing w:after="0" w:line="277" w:lineRule="auto"/>
        <w:rPr>
          <w:sz w:val="20"/>
          <w:szCs w:val="20"/>
          <w:color w:val="auto"/>
        </w:rPr>
      </w:pPr>
      <w:r>
        <w:rPr>
          <w:rFonts w:ascii="Arial" w:cs="Arial" w:eastAsia="Arial" w:hAnsi="Arial"/>
          <w:sz w:val="16"/>
          <w:szCs w:val="16"/>
          <w:color w:val="auto"/>
        </w:rPr>
        <w:t>Voting by Internet or telephone at a later time than your previous vote and before the closing of those voting facilities at 10:59 p.m., Central Time, on June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198120</wp:posOffset>
            </wp:positionV>
            <wp:extent cx="529780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97805"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326390</wp:posOffset>
            </wp:positionV>
            <wp:extent cx="351790" cy="3854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1790" cy="38544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In Person</w:t>
      </w:r>
    </w:p>
    <w:p>
      <w:pPr>
        <w:spacing w:after="0" w:line="39" w:lineRule="exact"/>
        <w:rPr>
          <w:sz w:val="20"/>
          <w:szCs w:val="20"/>
          <w:color w:val="auto"/>
        </w:rPr>
      </w:pPr>
    </w:p>
    <w:p>
      <w:pPr>
        <w:ind w:left="1740" w:right="240"/>
        <w:spacing w:after="0" w:line="277" w:lineRule="auto"/>
        <w:rPr>
          <w:sz w:val="20"/>
          <w:szCs w:val="20"/>
          <w:color w:val="auto"/>
        </w:rPr>
      </w:pPr>
      <w:r>
        <w:rPr>
          <w:rFonts w:ascii="Arial" w:cs="Arial" w:eastAsia="Arial" w:hAnsi="Arial"/>
          <w:sz w:val="16"/>
          <w:szCs w:val="16"/>
          <w:color w:val="auto"/>
        </w:rPr>
        <w:t>Submitting a properly signed proxy card, which has a later date than your previous vote, and that is received no later than June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137795</wp:posOffset>
            </wp:positionV>
            <wp:extent cx="529780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97805"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-46990</wp:posOffset>
            </wp:positionV>
            <wp:extent cx="386080"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6080" cy="240030"/>
                    </a:xfrm>
                    <a:prstGeom prst="rect">
                      <a:avLst/>
                    </a:prstGeom>
                    <a:noFill/>
                  </pic:spPr>
                </pic:pic>
              </a:graphicData>
            </a:graphic>
          </wp:anchor>
        </w:drawing>
      </w:r>
    </w:p>
    <w:p>
      <w:pPr>
        <w:spacing w:after="0" w:line="19" w:lineRule="exact"/>
        <w:rPr>
          <w:sz w:val="20"/>
          <w:szCs w:val="20"/>
          <w:color w:val="auto"/>
        </w:rPr>
      </w:pPr>
    </w:p>
    <w:p>
      <w:pPr>
        <w:ind w:left="1740" w:right="140"/>
        <w:spacing w:after="0" w:line="277" w:lineRule="auto"/>
        <w:rPr>
          <w:sz w:val="20"/>
          <w:szCs w:val="20"/>
          <w:color w:val="auto"/>
        </w:rPr>
      </w:pPr>
      <w:r>
        <w:rPr>
          <w:rFonts w:ascii="Arial" w:cs="Arial" w:eastAsia="Arial" w:hAnsi="Arial"/>
          <w:sz w:val="16"/>
          <w:szCs w:val="16"/>
          <w:color w:val="auto"/>
        </w:rPr>
        <w:t>Sending a written statement to that effect to the Corporate Secretary of the Company (the “Corporate Secretary”), provided such statement is received no later than June 1, 2022.</w:t>
      </w:r>
    </w:p>
    <w:p>
      <w:pPr>
        <w:spacing w:after="0" w:line="24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If you hold shares in street name, please refer to information from your bank, broker or other nominee on how to revoke or submit new voting instructions.</w:t>
      </w:r>
    </w:p>
    <w:p>
      <w:pPr>
        <w:sectPr>
          <w:pgSz w:w="11900" w:h="16838" w:orient="portrait"/>
          <w:cols w:equalWidth="0" w:num="2">
            <w:col w:w="2540" w:space="380"/>
            <w:col w:w="8280"/>
          </w:cols>
          <w:pgMar w:left="320" w:top="122" w:right="379" w:bottom="1440" w:gutter="0" w:footer="0" w:header="0"/>
          <w:type w:val="continuous"/>
        </w:sectPr>
      </w:pPr>
    </w:p>
    <w:bookmarkStart w:id="11" w:name="page12"/>
    <w:bookmarkEnd w:id="11"/>
    <w:p>
      <w:pPr>
        <w:ind w:left="9120"/>
        <w:spacing w:after="0"/>
        <w:rPr>
          <w:sz w:val="20"/>
          <w:szCs w:val="20"/>
          <w:color w:val="auto"/>
        </w:rPr>
      </w:pPr>
      <w:r>
        <w:rPr>
          <w:rFonts w:ascii="Arial" w:cs="Arial" w:eastAsia="Arial" w:hAnsi="Arial"/>
          <w:sz w:val="12"/>
          <w:szCs w:val="12"/>
          <w:color w:val="auto"/>
        </w:rPr>
        <w:t xml:space="preserve">Academy Sports and Outdoors, Inc. </w:t>
      </w:r>
      <w:r>
        <w:rPr>
          <w:rFonts w:ascii="Arial" w:cs="Arial" w:eastAsia="Arial" w:hAnsi="Arial"/>
          <w:sz w:val="12"/>
          <w:szCs w:val="12"/>
          <w:b w:val="1"/>
          <w:bCs w:val="1"/>
          <w:color w:val="007EC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969645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0" w:hanging="539"/>
        <w:spacing w:after="0" w:line="182" w:lineRule="auto"/>
        <w:rPr>
          <w:sz w:val="20"/>
          <w:szCs w:val="20"/>
          <w:color w:val="auto"/>
        </w:rPr>
      </w:pPr>
      <w:r>
        <w:rPr>
          <w:rFonts w:ascii="Arial" w:cs="Arial" w:eastAsia="Arial" w:hAnsi="Arial"/>
          <w:sz w:val="32"/>
          <w:szCs w:val="32"/>
          <w:b w:val="1"/>
          <w:bCs w:val="1"/>
          <w:color w:val="EF3B35"/>
        </w:rPr>
        <w:t xml:space="preserve">Q: </w:t>
      </w:r>
      <w:r>
        <w:rPr>
          <w:rFonts w:ascii="Arial" w:cs="Arial" w:eastAsia="Arial" w:hAnsi="Arial"/>
          <w:sz w:val="16"/>
          <w:szCs w:val="16"/>
          <w:b w:val="1"/>
          <w:bCs w:val="1"/>
          <w:color w:val="007EC4"/>
        </w:rPr>
        <w:t>WHO WILL PAY FOR THE</w:t>
      </w:r>
      <w:r>
        <w:rPr>
          <w:rFonts w:ascii="Arial" w:cs="Arial" w:eastAsia="Arial" w:hAnsi="Arial"/>
          <w:sz w:val="32"/>
          <w:szCs w:val="32"/>
          <w:b w:val="1"/>
          <w:bCs w:val="1"/>
          <w:color w:val="EF3B35"/>
        </w:rPr>
        <w:t xml:space="preserve"> </w:t>
      </w:r>
      <w:r>
        <w:rPr>
          <w:rFonts w:ascii="Arial" w:cs="Arial" w:eastAsia="Arial" w:hAnsi="Arial"/>
          <w:sz w:val="16"/>
          <w:szCs w:val="16"/>
          <w:b w:val="1"/>
          <w:bCs w:val="1"/>
          <w:color w:val="007EC4"/>
        </w:rPr>
        <w:t>COST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18516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32"/>
          <w:szCs w:val="32"/>
          <w:b w:val="1"/>
          <w:bCs w:val="1"/>
          <w:color w:val="EF3B35"/>
        </w:rPr>
        <w:t xml:space="preserve">Q: </w:t>
      </w:r>
      <w:r>
        <w:rPr>
          <w:rFonts w:ascii="Arial" w:cs="Arial" w:eastAsia="Arial" w:hAnsi="Arial"/>
          <w:sz w:val="16"/>
          <w:szCs w:val="16"/>
          <w:b w:val="1"/>
          <w:bCs w:val="1"/>
          <w:color w:val="007EC4"/>
        </w:rPr>
        <w:t>HOW CAN I VIEW</w:t>
      </w:r>
    </w:p>
    <w:p>
      <w:pPr>
        <w:ind w:left="540"/>
        <w:spacing w:after="0"/>
        <w:rPr>
          <w:sz w:val="20"/>
          <w:szCs w:val="20"/>
          <w:color w:val="auto"/>
        </w:rPr>
      </w:pPr>
      <w:r>
        <w:rPr>
          <w:rFonts w:ascii="Arial" w:cs="Arial" w:eastAsia="Arial" w:hAnsi="Arial"/>
          <w:sz w:val="16"/>
          <w:szCs w:val="16"/>
          <w:b w:val="1"/>
          <w:bCs w:val="1"/>
          <w:color w:val="007EC4"/>
        </w:rPr>
        <w:t>COPIES OF THE</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07EC4"/>
        </w:rPr>
        <w:t>COMPANY’S</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07EC4"/>
        </w:rPr>
        <w:t>CORPORATE</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07EC4"/>
        </w:rPr>
        <w:t>DOCUMENTS AND</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07EC4"/>
        </w:rPr>
        <w:t>FILINGS WITH THE SEC,</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07EC4"/>
        </w:rPr>
        <w:t>INCLUDING THIS PROXY</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07EC4"/>
        </w:rPr>
        <w:t>STATEMENT AND THE</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07EC4"/>
        </w:rPr>
        <w:t>ANNUAL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will pay the costs of soliciting proxies. We have retained Alliance Advisors to assist in soliciting proxies for a fee of $15,000, plus reimbursement of out-of-pocket expenses incident to preparing and mailing our proxy materials.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292735</wp:posOffset>
            </wp:positionV>
            <wp:extent cx="52717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website contains the Company’s Amended and Restated Certificate of Incorporation (“Certificate of Incorporation”), Bylaws, Corporate Governance Guidelines, Board committee charters, Ethics and Code of Conduct Policy, and the Company’s SEC filings, including this Proxy Statement and the Annual Report. To view these documents, go to our investor relations website at investors.academy.com, and select “Documents &amp; Charters” from the “Corporate Governance” drop-down menu, or select “SEC Filings” from the “Financials &amp; Filings” drop-down menu.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1527175</wp:posOffset>
            </wp:positionV>
            <wp:extent cx="857250"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2">
            <w:col w:w="2500" w:space="400"/>
            <w:col w:w="8320"/>
          </w:cols>
          <w:pgMar w:left="34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3"/>
          <w:szCs w:val="13"/>
          <w:b w:val="1"/>
          <w:bCs w:val="1"/>
          <w:color w:val="007EC4"/>
        </w:rPr>
        <w:t xml:space="preserve">8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49"/>
          <w:szCs w:val="49"/>
          <w:b w:val="1"/>
          <w:bCs w:val="1"/>
          <w:color w:val="EF3B35"/>
        </w:rPr>
        <w:t>Proposal One</w:t>
      </w:r>
    </w:p>
    <w:p>
      <w:pPr>
        <w:spacing w:after="0" w:line="108" w:lineRule="exact"/>
        <w:rPr>
          <w:sz w:val="20"/>
          <w:szCs w:val="20"/>
          <w:color w:val="auto"/>
        </w:rPr>
      </w:pPr>
    </w:p>
    <w:p>
      <w:pPr>
        <w:spacing w:after="0"/>
        <w:rPr>
          <w:sz w:val="20"/>
          <w:szCs w:val="20"/>
          <w:color w:val="auto"/>
        </w:rPr>
      </w:pPr>
      <w:r>
        <w:rPr>
          <w:rFonts w:ascii="Arial" w:cs="Arial" w:eastAsia="Arial" w:hAnsi="Arial"/>
          <w:sz w:val="49"/>
          <w:szCs w:val="49"/>
          <w:b w:val="1"/>
          <w:bCs w:val="1"/>
          <w:color w:val="1B4093"/>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Board of Directors</w:t>
      </w:r>
    </w:p>
    <w:p>
      <w:pPr>
        <w:spacing w:after="0" w:line="12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Board of Directors oversees or directs our business and affairs, as provided by Delaware law, and conducts its business through meetings of the Board and its three standing committees: the Audit Committee, the Compensation Committee, and the Nominating and Governance Committee. The Board is currently comprised of 10 directors, eight of whom are independent.</w:t>
      </w:r>
    </w:p>
    <w:p>
      <w:pPr>
        <w:spacing w:after="0" w:line="178"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Our Certificate of Incorporation provides for a classified Board currently divided into three classes. Wendy Beck, Allen Questrom, and Sharen Turney constitute a class with a term that expires at the Annual Meeting (the “Class II Directors”); Ken Hicks, Beryl Raff, and Jeff Tweedy constitute a class with a term that expires at the Annual Meeting of Stockholders in 2023 (the “Class III Directors”); and Brian Marley, Tom Nealon, Nate Taylor and Chris Turner constitute a class with a term that expires at the Annual Meeting of Stockholders in 2024 (the “Class I Directors”).</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On May 10, 2021, Vishal Patel and Aileen Yan, both designees of affiliates of Kohlberg Kravis Roberts &amp; Co., L.P. (“KKR”), stepped-down from the Board and Beryl Raff, an independent director, was appointed to the Board. Sharen Turney and Chris Turner, both independent directors, were added to the Board on August 5, 2021 and December 17, 2021, respectively. On March 2, 2022, Nate Taylor, a Class I Director and designee of affiliates of KKR, notified the Board of his intention to resign from the Board, effective at the Annual Meeting, and Allen Questrom, an independent Class II Director, notified the Board of his intention to retire and not seek re-election as a member of the Board effective upon the expiration of his current term at the Annual Meeting. In light of these pending departures, prior to the Annual Meeting, the Board will take action to address any vacancies on the Board, including by reducing the number of directors constituting the full Board, effective at the Annual Meeting.</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Directors are elected by our stockholders to serve for three-year terms that expire on the date of an annual meeting of stockholders. One class of directors stands for election at each of our annual meetings of stockholders. The terms of our three current Class II directors expire on the date of the Annual Meeting, subject to the election and qualification of their successors. Upon the recommendation of the Nominating and Governance Committee, the Board has considered and nominated Wendy Beck and Sharen Turney to continue as Class II Director nominees for a three-year term expiring at the Annual Meeting of Stockholders in 2025. Action will be taken at the Annual Meeting for the election of these two Class II Director nominees.</w:t>
      </w:r>
    </w:p>
    <w:p>
      <w:pPr>
        <w:spacing w:after="0" w:line="19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Unless otherwise instructed, the persons named in the form of proxy card (the “proxy holders”) included with this Proxy Statement intend to vote the proxies held by them “FOR” the election of each of Wendy Beck and Sharen Turney. Each of these nominees has indicated that she will be willing and able to serve as a director. If either of these nominees ceases to be a candidate for election by the time of the Annual Meeting (a contingency which the Board does not expect to occur), the Board may propose another person or persons in place of any such nominee(s), and the individuals designated as your proxies will vote to appoint that proposed person or persons. Alternatively, the Board may decide to reduce the number of directors constituting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842010</wp:posOffset>
            </wp:positionV>
            <wp:extent cx="85725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Board Composition</w:t>
      </w:r>
    </w:p>
    <w:p>
      <w:pPr>
        <w:spacing w:after="0" w:line="139"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We believe the current composition of the Board brings a diverse balance of relevant experience and backgrounds to our Company. The Board is composed of seasoned directors and executives with proven track records of leadership and success in retail and other consumer-oriented businesses that are relevant in light of the Company’s business, strategy, and structure. The Board and the Nominating and Governance Committee regularly evaluates its composition to ensure it continues to advance our business strategies and serve the interests of our stockholders.</w:t>
      </w:r>
    </w:p>
    <w:p>
      <w:pPr>
        <w:spacing w:after="0" w:line="17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1B4093"/>
        </w:rPr>
        <w:t>Board Composition Matrix</w:t>
      </w:r>
    </w:p>
    <w:p>
      <w:pPr>
        <w:spacing w:after="0" w:line="4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(As of April 22,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jc w:val="center"/>
              <w:ind w:right="8"/>
              <w:spacing w:after="0"/>
              <w:rPr>
                <w:sz w:val="20"/>
                <w:szCs w:val="20"/>
                <w:color w:val="auto"/>
              </w:rPr>
            </w:pPr>
            <w:r>
              <w:rPr>
                <w:rFonts w:ascii="Arial" w:cs="Arial" w:eastAsia="Arial" w:hAnsi="Arial"/>
                <w:sz w:val="14"/>
                <w:szCs w:val="14"/>
                <w:b w:val="1"/>
                <w:bCs w:val="1"/>
                <w:color w:val="auto"/>
                <w:w w:val="99"/>
              </w:rPr>
              <w:t>A.</w:t>
            </w: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6"/>
        </w:trPr>
        <w:tc>
          <w:tcPr>
            <w:tcW w:w="3480" w:type="dxa"/>
            <w:vAlign w:val="bottom"/>
          </w:tcPr>
          <w:p>
            <w:pPr>
              <w:spacing w:after="0"/>
              <w:rPr>
                <w:sz w:val="17"/>
                <w:szCs w:val="17"/>
                <w:color w:val="auto"/>
              </w:rPr>
            </w:pPr>
          </w:p>
        </w:tc>
        <w:tc>
          <w:tcPr>
            <w:tcW w:w="1240" w:type="dxa"/>
            <w:vAlign w:val="bottom"/>
          </w:tcPr>
          <w:p>
            <w:pPr>
              <w:jc w:val="center"/>
              <w:ind w:left="448"/>
              <w:spacing w:after="0"/>
              <w:rPr>
                <w:sz w:val="20"/>
                <w:szCs w:val="20"/>
                <w:color w:val="auto"/>
              </w:rPr>
            </w:pPr>
            <w:r>
              <w:rPr>
                <w:rFonts w:ascii="Arial" w:cs="Arial" w:eastAsia="Arial" w:hAnsi="Arial"/>
                <w:sz w:val="14"/>
                <w:szCs w:val="14"/>
                <w:b w:val="1"/>
                <w:bCs w:val="1"/>
                <w:color w:val="auto"/>
              </w:rPr>
              <w:t>W. Beck</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K. Hicks</w:t>
            </w:r>
          </w:p>
        </w:tc>
        <w:tc>
          <w:tcPr>
            <w:tcW w:w="2260" w:type="dxa"/>
            <w:vAlign w:val="bottom"/>
            <w:gridSpan w:val="3"/>
          </w:tcPr>
          <w:p>
            <w:pPr>
              <w:jc w:val="center"/>
              <w:spacing w:after="0"/>
              <w:rPr>
                <w:sz w:val="20"/>
                <w:szCs w:val="20"/>
                <w:color w:val="auto"/>
              </w:rPr>
            </w:pPr>
            <w:r>
              <w:rPr>
                <w:rFonts w:ascii="Arial" w:cs="Arial" w:eastAsia="Arial" w:hAnsi="Arial"/>
                <w:sz w:val="14"/>
                <w:szCs w:val="14"/>
                <w:b w:val="1"/>
                <w:bCs w:val="1"/>
                <w:color w:val="auto"/>
              </w:rPr>
              <w:t>B. Marley T. Nealon Questrom</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B. Raff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N. Taylor</w:t>
            </w: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C. Turner S. Turney J. Tweedy</w:t>
            </w:r>
          </w:p>
        </w:tc>
      </w:tr>
      <w:tr>
        <w:trPr>
          <w:trHeight w:val="124"/>
        </w:trPr>
        <w:tc>
          <w:tcPr>
            <w:tcW w:w="3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23"/>
        </w:trPr>
        <w:tc>
          <w:tcPr>
            <w:tcW w:w="348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4"/>
                <w:szCs w:val="14"/>
                <w:b w:val="1"/>
                <w:bCs w:val="1"/>
                <w:color w:val="auto"/>
              </w:rPr>
              <w:t>Total Number of Directors</w:t>
            </w:r>
          </w:p>
        </w:tc>
        <w:tc>
          <w:tcPr>
            <w:tcW w:w="1240" w:type="dxa"/>
            <w:vAlign w:val="bottom"/>
            <w:tcBorders>
              <w:bottom w:val="single" w:sz="8" w:color="E1D7AC"/>
            </w:tcBorders>
            <w:shd w:val="clear" w:color="auto" w:fill="E1D7AC"/>
          </w:tcPr>
          <w:p>
            <w:pPr>
              <w:spacing w:after="0"/>
              <w:rPr>
                <w:sz w:val="19"/>
                <w:szCs w:val="19"/>
                <w:color w:val="auto"/>
              </w:rPr>
            </w:pPr>
          </w:p>
        </w:tc>
        <w:tc>
          <w:tcPr>
            <w:tcW w:w="700" w:type="dxa"/>
            <w:vAlign w:val="bottom"/>
            <w:tcBorders>
              <w:bottom w:val="single" w:sz="8" w:color="E1D7AC"/>
            </w:tcBorders>
            <w:shd w:val="clear" w:color="auto" w:fill="E1D7AC"/>
          </w:tcPr>
          <w:p>
            <w:pPr>
              <w:spacing w:after="0"/>
              <w:rPr>
                <w:sz w:val="19"/>
                <w:szCs w:val="19"/>
                <w:color w:val="auto"/>
              </w:rPr>
            </w:pPr>
          </w:p>
        </w:tc>
        <w:tc>
          <w:tcPr>
            <w:tcW w:w="740" w:type="dxa"/>
            <w:vAlign w:val="bottom"/>
            <w:tcBorders>
              <w:bottom w:val="single" w:sz="8" w:color="E1D7AC"/>
            </w:tcBorders>
            <w:shd w:val="clear" w:color="auto" w:fill="E1D7AC"/>
          </w:tcPr>
          <w:p>
            <w:pPr>
              <w:spacing w:after="0"/>
              <w:rPr>
                <w:sz w:val="19"/>
                <w:szCs w:val="19"/>
                <w:color w:val="auto"/>
              </w:rPr>
            </w:pPr>
          </w:p>
        </w:tc>
        <w:tc>
          <w:tcPr>
            <w:tcW w:w="700" w:type="dxa"/>
            <w:vAlign w:val="bottom"/>
            <w:tcBorders>
              <w:bottom w:val="single" w:sz="8" w:color="E1D7AC"/>
            </w:tcBorders>
            <w:shd w:val="clear" w:color="auto" w:fill="E1D7AC"/>
          </w:tcPr>
          <w:p>
            <w:pPr>
              <w:spacing w:after="0"/>
              <w:rPr>
                <w:sz w:val="19"/>
                <w:szCs w:val="19"/>
                <w:color w:val="auto"/>
              </w:rPr>
            </w:pPr>
          </w:p>
        </w:tc>
        <w:tc>
          <w:tcPr>
            <w:tcW w:w="8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4"/>
                <w:szCs w:val="14"/>
                <w:color w:val="auto"/>
              </w:rPr>
              <w:t>10</w:t>
            </w:r>
          </w:p>
        </w:tc>
        <w:tc>
          <w:tcPr>
            <w:tcW w:w="580" w:type="dxa"/>
            <w:vAlign w:val="bottom"/>
            <w:tcBorders>
              <w:bottom w:val="single" w:sz="8" w:color="E1D7AC"/>
            </w:tcBorders>
            <w:shd w:val="clear" w:color="auto" w:fill="E1D7AC"/>
          </w:tcPr>
          <w:p>
            <w:pPr>
              <w:spacing w:after="0"/>
              <w:rPr>
                <w:sz w:val="19"/>
                <w:szCs w:val="19"/>
                <w:color w:val="auto"/>
              </w:rPr>
            </w:pPr>
          </w:p>
        </w:tc>
        <w:tc>
          <w:tcPr>
            <w:tcW w:w="740" w:type="dxa"/>
            <w:vAlign w:val="bottom"/>
            <w:tcBorders>
              <w:bottom w:val="single" w:sz="8" w:color="E1D7AC"/>
            </w:tcBorders>
            <w:shd w:val="clear" w:color="auto" w:fill="E1D7AC"/>
          </w:tcPr>
          <w:p>
            <w:pPr>
              <w:spacing w:after="0"/>
              <w:rPr>
                <w:sz w:val="19"/>
                <w:szCs w:val="19"/>
                <w:color w:val="auto"/>
              </w:rPr>
            </w:pPr>
          </w:p>
        </w:tc>
        <w:tc>
          <w:tcPr>
            <w:tcW w:w="720" w:type="dxa"/>
            <w:vAlign w:val="bottom"/>
            <w:tcBorders>
              <w:bottom w:val="single" w:sz="8" w:color="E1D7AC"/>
            </w:tcBorders>
            <w:shd w:val="clear" w:color="auto" w:fill="E1D7AC"/>
          </w:tcPr>
          <w:p>
            <w:pPr>
              <w:spacing w:after="0"/>
              <w:rPr>
                <w:sz w:val="19"/>
                <w:szCs w:val="19"/>
                <w:color w:val="auto"/>
              </w:rPr>
            </w:pPr>
          </w:p>
        </w:tc>
        <w:tc>
          <w:tcPr>
            <w:tcW w:w="720" w:type="dxa"/>
            <w:vAlign w:val="bottom"/>
            <w:tcBorders>
              <w:bottom w:val="single" w:sz="8" w:color="E1D7AC"/>
            </w:tcBorders>
            <w:shd w:val="clear" w:color="auto" w:fill="E1D7AC"/>
          </w:tcPr>
          <w:p>
            <w:pPr>
              <w:spacing w:after="0"/>
              <w:rPr>
                <w:sz w:val="19"/>
                <w:szCs w:val="19"/>
                <w:color w:val="auto"/>
              </w:rPr>
            </w:pPr>
          </w:p>
        </w:tc>
        <w:tc>
          <w:tcPr>
            <w:tcW w:w="720" w:type="dxa"/>
            <w:vAlign w:val="bottom"/>
            <w:tcBorders>
              <w:bottom w:val="single" w:sz="8" w:color="E1D7AC"/>
            </w:tcBorders>
            <w:shd w:val="clear" w:color="auto" w:fill="E1D7AC"/>
          </w:tcPr>
          <w:p>
            <w:pPr>
              <w:spacing w:after="0"/>
              <w:rPr>
                <w:sz w:val="19"/>
                <w:szCs w:val="19"/>
                <w:color w:val="auto"/>
              </w:rPr>
            </w:pPr>
          </w:p>
        </w:tc>
      </w:tr>
      <w:tr>
        <w:trPr>
          <w:trHeight w:val="54"/>
        </w:trPr>
        <w:tc>
          <w:tcPr>
            <w:tcW w:w="34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23"/>
        </w:trPr>
        <w:tc>
          <w:tcPr>
            <w:tcW w:w="348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4"/>
                <w:szCs w:val="14"/>
                <w:b w:val="1"/>
                <w:bCs w:val="1"/>
                <w:color w:val="auto"/>
              </w:rPr>
              <w:t>Independence/Tenure/Class</w:t>
            </w:r>
          </w:p>
        </w:tc>
        <w:tc>
          <w:tcPr>
            <w:tcW w:w="1240" w:type="dxa"/>
            <w:vAlign w:val="bottom"/>
            <w:tcBorders>
              <w:bottom w:val="single" w:sz="8" w:color="E1D7AC"/>
            </w:tcBorders>
            <w:shd w:val="clear" w:color="auto" w:fill="E1D7AC"/>
          </w:tcPr>
          <w:p>
            <w:pPr>
              <w:spacing w:after="0"/>
              <w:rPr>
                <w:sz w:val="19"/>
                <w:szCs w:val="19"/>
                <w:color w:val="auto"/>
              </w:rPr>
            </w:pPr>
          </w:p>
        </w:tc>
        <w:tc>
          <w:tcPr>
            <w:tcW w:w="700" w:type="dxa"/>
            <w:vAlign w:val="bottom"/>
            <w:tcBorders>
              <w:bottom w:val="single" w:sz="8" w:color="E1D7AC"/>
            </w:tcBorders>
            <w:shd w:val="clear" w:color="auto" w:fill="E1D7AC"/>
          </w:tcPr>
          <w:p>
            <w:pPr>
              <w:spacing w:after="0"/>
              <w:rPr>
                <w:sz w:val="19"/>
                <w:szCs w:val="19"/>
                <w:color w:val="auto"/>
              </w:rPr>
            </w:pPr>
          </w:p>
        </w:tc>
        <w:tc>
          <w:tcPr>
            <w:tcW w:w="740" w:type="dxa"/>
            <w:vAlign w:val="bottom"/>
            <w:tcBorders>
              <w:bottom w:val="single" w:sz="8" w:color="E1D7AC"/>
            </w:tcBorders>
            <w:shd w:val="clear" w:color="auto" w:fill="E1D7AC"/>
          </w:tcPr>
          <w:p>
            <w:pPr>
              <w:spacing w:after="0"/>
              <w:rPr>
                <w:sz w:val="19"/>
                <w:szCs w:val="19"/>
                <w:color w:val="auto"/>
              </w:rPr>
            </w:pPr>
          </w:p>
        </w:tc>
        <w:tc>
          <w:tcPr>
            <w:tcW w:w="700" w:type="dxa"/>
            <w:vAlign w:val="bottom"/>
            <w:tcBorders>
              <w:bottom w:val="single" w:sz="8" w:color="E1D7AC"/>
            </w:tcBorders>
            <w:shd w:val="clear" w:color="auto" w:fill="E1D7AC"/>
          </w:tcPr>
          <w:p>
            <w:pPr>
              <w:spacing w:after="0"/>
              <w:rPr>
                <w:sz w:val="19"/>
                <w:szCs w:val="19"/>
                <w:color w:val="auto"/>
              </w:rPr>
            </w:pPr>
          </w:p>
        </w:tc>
        <w:tc>
          <w:tcPr>
            <w:tcW w:w="820" w:type="dxa"/>
            <w:vAlign w:val="bottom"/>
            <w:tcBorders>
              <w:bottom w:val="single" w:sz="8" w:color="E1D7AC"/>
            </w:tcBorders>
            <w:shd w:val="clear" w:color="auto" w:fill="E1D7AC"/>
          </w:tcPr>
          <w:p>
            <w:pPr>
              <w:spacing w:after="0"/>
              <w:rPr>
                <w:sz w:val="19"/>
                <w:szCs w:val="19"/>
                <w:color w:val="auto"/>
              </w:rPr>
            </w:pPr>
          </w:p>
        </w:tc>
        <w:tc>
          <w:tcPr>
            <w:tcW w:w="580" w:type="dxa"/>
            <w:vAlign w:val="bottom"/>
            <w:tcBorders>
              <w:bottom w:val="single" w:sz="8" w:color="E1D7AC"/>
            </w:tcBorders>
            <w:shd w:val="clear" w:color="auto" w:fill="E1D7AC"/>
          </w:tcPr>
          <w:p>
            <w:pPr>
              <w:spacing w:after="0"/>
              <w:rPr>
                <w:sz w:val="19"/>
                <w:szCs w:val="19"/>
                <w:color w:val="auto"/>
              </w:rPr>
            </w:pPr>
          </w:p>
        </w:tc>
        <w:tc>
          <w:tcPr>
            <w:tcW w:w="740" w:type="dxa"/>
            <w:vAlign w:val="bottom"/>
            <w:tcBorders>
              <w:bottom w:val="single" w:sz="8" w:color="E1D7AC"/>
            </w:tcBorders>
            <w:shd w:val="clear" w:color="auto" w:fill="E1D7AC"/>
          </w:tcPr>
          <w:p>
            <w:pPr>
              <w:spacing w:after="0"/>
              <w:rPr>
                <w:sz w:val="19"/>
                <w:szCs w:val="19"/>
                <w:color w:val="auto"/>
              </w:rPr>
            </w:pPr>
          </w:p>
        </w:tc>
        <w:tc>
          <w:tcPr>
            <w:tcW w:w="720" w:type="dxa"/>
            <w:vAlign w:val="bottom"/>
            <w:tcBorders>
              <w:bottom w:val="single" w:sz="8" w:color="E1D7AC"/>
            </w:tcBorders>
            <w:shd w:val="clear" w:color="auto" w:fill="E1D7AC"/>
          </w:tcPr>
          <w:p>
            <w:pPr>
              <w:spacing w:after="0"/>
              <w:rPr>
                <w:sz w:val="19"/>
                <w:szCs w:val="19"/>
                <w:color w:val="auto"/>
              </w:rPr>
            </w:pPr>
          </w:p>
        </w:tc>
        <w:tc>
          <w:tcPr>
            <w:tcW w:w="720" w:type="dxa"/>
            <w:vAlign w:val="bottom"/>
            <w:tcBorders>
              <w:bottom w:val="single" w:sz="8" w:color="E1D7AC"/>
            </w:tcBorders>
            <w:shd w:val="clear" w:color="auto" w:fill="E1D7AC"/>
          </w:tcPr>
          <w:p>
            <w:pPr>
              <w:spacing w:after="0"/>
              <w:rPr>
                <w:sz w:val="19"/>
                <w:szCs w:val="19"/>
                <w:color w:val="auto"/>
              </w:rPr>
            </w:pPr>
          </w:p>
        </w:tc>
        <w:tc>
          <w:tcPr>
            <w:tcW w:w="720" w:type="dxa"/>
            <w:vAlign w:val="bottom"/>
            <w:tcBorders>
              <w:bottom w:val="single" w:sz="8" w:color="E1D7AC"/>
            </w:tcBorders>
            <w:shd w:val="clear" w:color="auto" w:fill="E1D7AC"/>
          </w:tcPr>
          <w:p>
            <w:pPr>
              <w:spacing w:after="0"/>
              <w:rPr>
                <w:sz w:val="19"/>
                <w:szCs w:val="19"/>
                <w:color w:val="auto"/>
              </w:rPr>
            </w:pPr>
          </w:p>
        </w:tc>
      </w:tr>
      <w:tr>
        <w:trPr>
          <w:trHeight w:val="236"/>
        </w:trPr>
        <w:tc>
          <w:tcPr>
            <w:tcW w:w="3480" w:type="dxa"/>
            <w:vAlign w:val="bottom"/>
            <w:tcBorders>
              <w:bottom w:val="single" w:sz="8" w:color="ADB1C7"/>
            </w:tcBorders>
          </w:tcPr>
          <w:p>
            <w:pPr>
              <w:ind w:left="100"/>
              <w:spacing w:after="0"/>
              <w:rPr>
                <w:sz w:val="20"/>
                <w:szCs w:val="20"/>
                <w:color w:val="auto"/>
              </w:rPr>
            </w:pPr>
            <w:r>
              <w:rPr>
                <w:rFonts w:ascii="Arial" w:cs="Arial" w:eastAsia="Arial" w:hAnsi="Arial"/>
                <w:sz w:val="14"/>
                <w:szCs w:val="14"/>
                <w:color w:val="auto"/>
              </w:rPr>
              <w:t>Independent</w:t>
            </w:r>
          </w:p>
        </w:tc>
        <w:tc>
          <w:tcPr>
            <w:tcW w:w="1240" w:type="dxa"/>
            <w:vAlign w:val="bottom"/>
            <w:tcBorders>
              <w:bottom w:val="single" w:sz="8" w:color="ADB1C7"/>
            </w:tcBorders>
          </w:tcPr>
          <w:p>
            <w:pPr>
              <w:jc w:val="center"/>
              <w:ind w:left="44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00" w:type="dxa"/>
            <w:vAlign w:val="bottom"/>
            <w:tcBorders>
              <w:bottom w:val="single" w:sz="8" w:color="ADB1C7"/>
            </w:tcBorders>
          </w:tcPr>
          <w:p>
            <w:pPr>
              <w:spacing w:after="0"/>
              <w:rPr>
                <w:sz w:val="20"/>
                <w:szCs w:val="20"/>
                <w:color w:val="auto"/>
              </w:rPr>
            </w:pPr>
          </w:p>
        </w:tc>
        <w:tc>
          <w:tcPr>
            <w:tcW w:w="74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0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820" w:type="dxa"/>
            <w:vAlign w:val="bottom"/>
            <w:tcBorders>
              <w:bottom w:val="single" w:sz="8" w:color="ADB1C7"/>
            </w:tcBorders>
          </w:tcPr>
          <w:p>
            <w:pPr>
              <w:jc w:val="center"/>
              <w:ind w:right="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8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4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72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2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208"/>
        </w:trPr>
        <w:tc>
          <w:tcPr>
            <w:tcW w:w="3480" w:type="dxa"/>
            <w:vAlign w:val="bottom"/>
          </w:tcPr>
          <w:p>
            <w:pPr>
              <w:ind w:left="100"/>
              <w:spacing w:after="0"/>
              <w:rPr>
                <w:sz w:val="20"/>
                <w:szCs w:val="20"/>
                <w:color w:val="auto"/>
              </w:rPr>
            </w:pPr>
            <w:r>
              <w:rPr>
                <w:rFonts w:ascii="Arial" w:cs="Arial" w:eastAsia="Arial" w:hAnsi="Arial"/>
                <w:sz w:val="14"/>
                <w:szCs w:val="14"/>
                <w:color w:val="auto"/>
              </w:rPr>
              <w:t>Tenure (years)</w:t>
            </w:r>
          </w:p>
        </w:tc>
        <w:tc>
          <w:tcPr>
            <w:tcW w:w="1240" w:type="dxa"/>
            <w:vAlign w:val="bottom"/>
          </w:tcPr>
          <w:p>
            <w:pPr>
              <w:jc w:val="center"/>
              <w:ind w:left="448"/>
              <w:spacing w:after="0"/>
              <w:rPr>
                <w:sz w:val="20"/>
                <w:szCs w:val="20"/>
                <w:color w:val="auto"/>
              </w:rPr>
            </w:pPr>
            <w:r>
              <w:rPr>
                <w:rFonts w:ascii="Arial" w:cs="Arial" w:eastAsia="Arial" w:hAnsi="Arial"/>
                <w:sz w:val="14"/>
                <w:szCs w:val="14"/>
                <w:color w:val="auto"/>
              </w:rPr>
              <w:t>1</w:t>
            </w:r>
          </w:p>
        </w:tc>
        <w:tc>
          <w:tcPr>
            <w:tcW w:w="700" w:type="dxa"/>
            <w:vAlign w:val="bottom"/>
          </w:tcPr>
          <w:p>
            <w:pPr>
              <w:jc w:val="center"/>
              <w:spacing w:after="0"/>
              <w:rPr>
                <w:sz w:val="20"/>
                <w:szCs w:val="20"/>
                <w:color w:val="auto"/>
              </w:rPr>
            </w:pPr>
            <w:r>
              <w:rPr>
                <w:rFonts w:ascii="Arial" w:cs="Arial" w:eastAsia="Arial" w:hAnsi="Arial"/>
                <w:sz w:val="14"/>
                <w:szCs w:val="14"/>
                <w:color w:val="auto"/>
              </w:rPr>
              <w:t>1</w:t>
            </w:r>
          </w:p>
        </w:tc>
        <w:tc>
          <w:tcPr>
            <w:tcW w:w="740" w:type="dxa"/>
            <w:vAlign w:val="bottom"/>
          </w:tcPr>
          <w:p>
            <w:pPr>
              <w:jc w:val="center"/>
              <w:spacing w:after="0"/>
              <w:rPr>
                <w:sz w:val="20"/>
                <w:szCs w:val="20"/>
                <w:color w:val="auto"/>
              </w:rPr>
            </w:pPr>
            <w:r>
              <w:rPr>
                <w:rFonts w:ascii="Arial" w:cs="Arial" w:eastAsia="Arial" w:hAnsi="Arial"/>
                <w:sz w:val="14"/>
                <w:szCs w:val="14"/>
                <w:color w:val="auto"/>
              </w:rPr>
              <w:t>1</w:t>
            </w:r>
          </w:p>
        </w:tc>
        <w:tc>
          <w:tcPr>
            <w:tcW w:w="700" w:type="dxa"/>
            <w:vAlign w:val="bottom"/>
          </w:tcPr>
          <w:p>
            <w:pPr>
              <w:jc w:val="center"/>
              <w:spacing w:after="0"/>
              <w:rPr>
                <w:sz w:val="20"/>
                <w:szCs w:val="20"/>
                <w:color w:val="auto"/>
              </w:rPr>
            </w:pPr>
            <w:r>
              <w:rPr>
                <w:rFonts w:ascii="Arial" w:cs="Arial" w:eastAsia="Arial" w:hAnsi="Arial"/>
                <w:sz w:val="14"/>
                <w:szCs w:val="14"/>
                <w:color w:val="auto"/>
              </w:rPr>
              <w:t>1</w:t>
            </w:r>
          </w:p>
        </w:tc>
        <w:tc>
          <w:tcPr>
            <w:tcW w:w="820" w:type="dxa"/>
            <w:vAlign w:val="bottom"/>
          </w:tcPr>
          <w:p>
            <w:pPr>
              <w:jc w:val="center"/>
              <w:ind w:right="28"/>
              <w:spacing w:after="0"/>
              <w:rPr>
                <w:sz w:val="20"/>
                <w:szCs w:val="20"/>
                <w:color w:val="auto"/>
              </w:rPr>
            </w:pPr>
            <w:r>
              <w:rPr>
                <w:rFonts w:ascii="Arial" w:cs="Arial" w:eastAsia="Arial" w:hAnsi="Arial"/>
                <w:sz w:val="14"/>
                <w:szCs w:val="14"/>
                <w:color w:val="auto"/>
              </w:rPr>
              <w:t>1</w:t>
            </w:r>
          </w:p>
        </w:tc>
        <w:tc>
          <w:tcPr>
            <w:tcW w:w="580" w:type="dxa"/>
            <w:vAlign w:val="bottom"/>
          </w:tcPr>
          <w:p>
            <w:pPr>
              <w:jc w:val="center"/>
              <w:spacing w:after="0"/>
              <w:rPr>
                <w:sz w:val="20"/>
                <w:szCs w:val="20"/>
                <w:color w:val="auto"/>
              </w:rPr>
            </w:pPr>
            <w:r>
              <w:rPr>
                <w:rFonts w:ascii="Arial" w:cs="Arial" w:eastAsia="Arial" w:hAnsi="Arial"/>
                <w:sz w:val="14"/>
                <w:szCs w:val="14"/>
                <w:color w:val="auto"/>
              </w:rPr>
              <w:t>0</w:t>
            </w:r>
          </w:p>
        </w:tc>
        <w:tc>
          <w:tcPr>
            <w:tcW w:w="740" w:type="dxa"/>
            <w:vAlign w:val="bottom"/>
          </w:tcPr>
          <w:p>
            <w:pPr>
              <w:jc w:val="center"/>
              <w:spacing w:after="0"/>
              <w:rPr>
                <w:sz w:val="20"/>
                <w:szCs w:val="20"/>
                <w:color w:val="auto"/>
              </w:rPr>
            </w:pPr>
            <w:r>
              <w:rPr>
                <w:rFonts w:ascii="Arial" w:cs="Arial" w:eastAsia="Arial" w:hAnsi="Arial"/>
                <w:sz w:val="14"/>
                <w:szCs w:val="14"/>
                <w:color w:val="auto"/>
              </w:rPr>
              <w:t>1</w:t>
            </w:r>
          </w:p>
        </w:tc>
        <w:tc>
          <w:tcPr>
            <w:tcW w:w="720" w:type="dxa"/>
            <w:vAlign w:val="bottom"/>
          </w:tcPr>
          <w:p>
            <w:pPr>
              <w:jc w:val="center"/>
              <w:spacing w:after="0"/>
              <w:rPr>
                <w:sz w:val="20"/>
                <w:szCs w:val="20"/>
                <w:color w:val="auto"/>
              </w:rPr>
            </w:pPr>
            <w:r>
              <w:rPr>
                <w:rFonts w:ascii="Arial" w:cs="Arial" w:eastAsia="Arial" w:hAnsi="Arial"/>
                <w:sz w:val="14"/>
                <w:szCs w:val="14"/>
                <w:color w:val="auto"/>
              </w:rPr>
              <w:t>0</w:t>
            </w:r>
          </w:p>
        </w:tc>
        <w:tc>
          <w:tcPr>
            <w:tcW w:w="720" w:type="dxa"/>
            <w:vAlign w:val="bottom"/>
          </w:tcPr>
          <w:p>
            <w:pPr>
              <w:jc w:val="center"/>
              <w:spacing w:after="0"/>
              <w:rPr>
                <w:sz w:val="20"/>
                <w:szCs w:val="20"/>
                <w:color w:val="auto"/>
              </w:rPr>
            </w:pPr>
            <w:r>
              <w:rPr>
                <w:rFonts w:ascii="Arial" w:cs="Arial" w:eastAsia="Arial" w:hAnsi="Arial"/>
                <w:sz w:val="14"/>
                <w:szCs w:val="14"/>
                <w:color w:val="auto"/>
              </w:rPr>
              <w:t>0</w:t>
            </w:r>
          </w:p>
        </w:tc>
        <w:tc>
          <w:tcPr>
            <w:tcW w:w="720" w:type="dxa"/>
            <w:vAlign w:val="bottom"/>
          </w:tcPr>
          <w:p>
            <w:pPr>
              <w:jc w:val="center"/>
              <w:spacing w:after="0"/>
              <w:rPr>
                <w:sz w:val="20"/>
                <w:szCs w:val="20"/>
                <w:color w:val="auto"/>
              </w:rPr>
            </w:pPr>
            <w:r>
              <w:rPr>
                <w:rFonts w:ascii="Arial" w:cs="Arial" w:eastAsia="Arial" w:hAnsi="Arial"/>
                <w:sz w:val="14"/>
                <w:szCs w:val="14"/>
                <w:color w:val="auto"/>
              </w:rPr>
              <w:t>1</w:t>
            </w:r>
          </w:p>
        </w:tc>
      </w:tr>
      <w:tr>
        <w:trPr>
          <w:trHeight w:val="35"/>
        </w:trPr>
        <w:tc>
          <w:tcPr>
            <w:tcW w:w="3480" w:type="dxa"/>
            <w:vAlign w:val="bottom"/>
            <w:tcBorders>
              <w:bottom w:val="single" w:sz="8" w:color="ADB1C7"/>
            </w:tcBorders>
          </w:tcPr>
          <w:p>
            <w:pPr>
              <w:spacing w:after="0"/>
              <w:rPr>
                <w:sz w:val="3"/>
                <w:szCs w:val="3"/>
                <w:color w:val="auto"/>
              </w:rPr>
            </w:pPr>
          </w:p>
        </w:tc>
        <w:tc>
          <w:tcPr>
            <w:tcW w:w="1240" w:type="dxa"/>
            <w:vAlign w:val="bottom"/>
            <w:tcBorders>
              <w:bottom w:val="single" w:sz="8" w:color="ADB1C7"/>
            </w:tcBorders>
          </w:tcPr>
          <w:p>
            <w:pPr>
              <w:spacing w:after="0"/>
              <w:rPr>
                <w:sz w:val="3"/>
                <w:szCs w:val="3"/>
                <w:color w:val="auto"/>
              </w:rPr>
            </w:pPr>
          </w:p>
        </w:tc>
        <w:tc>
          <w:tcPr>
            <w:tcW w:w="700" w:type="dxa"/>
            <w:vAlign w:val="bottom"/>
            <w:tcBorders>
              <w:bottom w:val="single" w:sz="8" w:color="ADB1C7"/>
            </w:tcBorders>
          </w:tcPr>
          <w:p>
            <w:pPr>
              <w:spacing w:after="0"/>
              <w:rPr>
                <w:sz w:val="3"/>
                <w:szCs w:val="3"/>
                <w:color w:val="auto"/>
              </w:rPr>
            </w:pPr>
          </w:p>
        </w:tc>
        <w:tc>
          <w:tcPr>
            <w:tcW w:w="740" w:type="dxa"/>
            <w:vAlign w:val="bottom"/>
            <w:tcBorders>
              <w:bottom w:val="single" w:sz="8" w:color="ADB1C7"/>
            </w:tcBorders>
          </w:tcPr>
          <w:p>
            <w:pPr>
              <w:spacing w:after="0"/>
              <w:rPr>
                <w:sz w:val="3"/>
                <w:szCs w:val="3"/>
                <w:color w:val="auto"/>
              </w:rPr>
            </w:pPr>
          </w:p>
        </w:tc>
        <w:tc>
          <w:tcPr>
            <w:tcW w:w="700" w:type="dxa"/>
            <w:vAlign w:val="bottom"/>
            <w:tcBorders>
              <w:bottom w:val="single" w:sz="8" w:color="ADB1C7"/>
            </w:tcBorders>
          </w:tcPr>
          <w:p>
            <w:pPr>
              <w:spacing w:after="0"/>
              <w:rPr>
                <w:sz w:val="3"/>
                <w:szCs w:val="3"/>
                <w:color w:val="auto"/>
              </w:rPr>
            </w:pPr>
          </w:p>
        </w:tc>
        <w:tc>
          <w:tcPr>
            <w:tcW w:w="820" w:type="dxa"/>
            <w:vAlign w:val="bottom"/>
            <w:tcBorders>
              <w:bottom w:val="single" w:sz="8" w:color="ADB1C7"/>
            </w:tcBorders>
          </w:tcPr>
          <w:p>
            <w:pPr>
              <w:spacing w:after="0"/>
              <w:rPr>
                <w:sz w:val="3"/>
                <w:szCs w:val="3"/>
                <w:color w:val="auto"/>
              </w:rPr>
            </w:pPr>
          </w:p>
        </w:tc>
        <w:tc>
          <w:tcPr>
            <w:tcW w:w="580" w:type="dxa"/>
            <w:vAlign w:val="bottom"/>
            <w:tcBorders>
              <w:bottom w:val="single" w:sz="8" w:color="ADB1C7"/>
            </w:tcBorders>
          </w:tcPr>
          <w:p>
            <w:pPr>
              <w:spacing w:after="0"/>
              <w:rPr>
                <w:sz w:val="3"/>
                <w:szCs w:val="3"/>
                <w:color w:val="auto"/>
              </w:rPr>
            </w:pPr>
          </w:p>
        </w:tc>
        <w:tc>
          <w:tcPr>
            <w:tcW w:w="74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r>
      <w:tr>
        <w:trPr>
          <w:trHeight w:val="202"/>
        </w:trPr>
        <w:tc>
          <w:tcPr>
            <w:tcW w:w="3480" w:type="dxa"/>
            <w:vAlign w:val="bottom"/>
          </w:tcPr>
          <w:p>
            <w:pPr>
              <w:ind w:left="100"/>
              <w:spacing w:after="0"/>
              <w:rPr>
                <w:sz w:val="20"/>
                <w:szCs w:val="20"/>
                <w:color w:val="auto"/>
              </w:rPr>
            </w:pPr>
            <w:r>
              <w:rPr>
                <w:rFonts w:ascii="Arial" w:cs="Arial" w:eastAsia="Arial" w:hAnsi="Arial"/>
                <w:sz w:val="14"/>
                <w:szCs w:val="14"/>
                <w:color w:val="auto"/>
              </w:rPr>
              <w:t>Class</w:t>
            </w:r>
          </w:p>
        </w:tc>
        <w:tc>
          <w:tcPr>
            <w:tcW w:w="1240" w:type="dxa"/>
            <w:vAlign w:val="bottom"/>
          </w:tcPr>
          <w:p>
            <w:pPr>
              <w:jc w:val="center"/>
              <w:ind w:left="448"/>
              <w:spacing w:after="0"/>
              <w:rPr>
                <w:sz w:val="20"/>
                <w:szCs w:val="20"/>
                <w:color w:val="auto"/>
              </w:rPr>
            </w:pPr>
            <w:r>
              <w:rPr>
                <w:rFonts w:ascii="Arial" w:cs="Arial" w:eastAsia="Arial" w:hAnsi="Arial"/>
                <w:sz w:val="14"/>
                <w:szCs w:val="14"/>
                <w:color w:val="auto"/>
              </w:rPr>
              <w:t>II</w:t>
            </w:r>
          </w:p>
        </w:tc>
        <w:tc>
          <w:tcPr>
            <w:tcW w:w="700" w:type="dxa"/>
            <w:vAlign w:val="bottom"/>
          </w:tcPr>
          <w:p>
            <w:pPr>
              <w:jc w:val="center"/>
              <w:spacing w:after="0"/>
              <w:rPr>
                <w:sz w:val="20"/>
                <w:szCs w:val="20"/>
                <w:color w:val="auto"/>
              </w:rPr>
            </w:pPr>
            <w:r>
              <w:rPr>
                <w:rFonts w:ascii="Arial" w:cs="Arial" w:eastAsia="Arial" w:hAnsi="Arial"/>
                <w:sz w:val="14"/>
                <w:szCs w:val="14"/>
                <w:color w:val="auto"/>
              </w:rPr>
              <w:t>III</w:t>
            </w:r>
          </w:p>
        </w:tc>
        <w:tc>
          <w:tcPr>
            <w:tcW w:w="740" w:type="dxa"/>
            <w:vAlign w:val="bottom"/>
          </w:tcPr>
          <w:p>
            <w:pPr>
              <w:ind w:left="360"/>
              <w:spacing w:after="0"/>
              <w:rPr>
                <w:sz w:val="20"/>
                <w:szCs w:val="20"/>
                <w:color w:val="auto"/>
              </w:rPr>
            </w:pPr>
            <w:r>
              <w:rPr>
                <w:rFonts w:ascii="Arial" w:cs="Arial" w:eastAsia="Arial" w:hAnsi="Arial"/>
                <w:sz w:val="14"/>
                <w:szCs w:val="14"/>
                <w:color w:val="auto"/>
              </w:rPr>
              <w:t>I</w:t>
            </w:r>
          </w:p>
        </w:tc>
        <w:tc>
          <w:tcPr>
            <w:tcW w:w="700" w:type="dxa"/>
            <w:vAlign w:val="bottom"/>
          </w:tcPr>
          <w:p>
            <w:pPr>
              <w:jc w:val="center"/>
              <w:spacing w:after="0"/>
              <w:rPr>
                <w:sz w:val="20"/>
                <w:szCs w:val="20"/>
                <w:color w:val="auto"/>
              </w:rPr>
            </w:pPr>
            <w:r>
              <w:rPr>
                <w:rFonts w:ascii="Arial" w:cs="Arial" w:eastAsia="Arial" w:hAnsi="Arial"/>
                <w:sz w:val="14"/>
                <w:szCs w:val="14"/>
                <w:color w:val="auto"/>
              </w:rPr>
              <w:t>I</w:t>
            </w:r>
          </w:p>
        </w:tc>
        <w:tc>
          <w:tcPr>
            <w:tcW w:w="820" w:type="dxa"/>
            <w:vAlign w:val="bottom"/>
          </w:tcPr>
          <w:p>
            <w:pPr>
              <w:jc w:val="center"/>
              <w:ind w:right="28"/>
              <w:spacing w:after="0"/>
              <w:rPr>
                <w:sz w:val="20"/>
                <w:szCs w:val="20"/>
                <w:color w:val="auto"/>
              </w:rPr>
            </w:pPr>
            <w:r>
              <w:rPr>
                <w:rFonts w:ascii="Arial" w:cs="Arial" w:eastAsia="Arial" w:hAnsi="Arial"/>
                <w:sz w:val="14"/>
                <w:szCs w:val="14"/>
                <w:color w:val="auto"/>
              </w:rPr>
              <w:t>II</w:t>
            </w:r>
          </w:p>
        </w:tc>
        <w:tc>
          <w:tcPr>
            <w:tcW w:w="580" w:type="dxa"/>
            <w:vAlign w:val="bottom"/>
          </w:tcPr>
          <w:p>
            <w:pPr>
              <w:jc w:val="center"/>
              <w:spacing w:after="0"/>
              <w:rPr>
                <w:sz w:val="20"/>
                <w:szCs w:val="20"/>
                <w:color w:val="auto"/>
              </w:rPr>
            </w:pPr>
            <w:r>
              <w:rPr>
                <w:rFonts w:ascii="Arial" w:cs="Arial" w:eastAsia="Arial" w:hAnsi="Arial"/>
                <w:sz w:val="14"/>
                <w:szCs w:val="14"/>
                <w:color w:val="auto"/>
              </w:rPr>
              <w:t>III</w:t>
            </w:r>
          </w:p>
        </w:tc>
        <w:tc>
          <w:tcPr>
            <w:tcW w:w="740" w:type="dxa"/>
            <w:vAlign w:val="bottom"/>
          </w:tcPr>
          <w:p>
            <w:pPr>
              <w:jc w:val="center"/>
              <w:spacing w:after="0"/>
              <w:rPr>
                <w:sz w:val="20"/>
                <w:szCs w:val="20"/>
                <w:color w:val="auto"/>
              </w:rPr>
            </w:pPr>
            <w:r>
              <w:rPr>
                <w:rFonts w:ascii="Arial" w:cs="Arial" w:eastAsia="Arial" w:hAnsi="Arial"/>
                <w:sz w:val="14"/>
                <w:szCs w:val="14"/>
                <w:color w:val="auto"/>
              </w:rPr>
              <w:t>I</w:t>
            </w:r>
          </w:p>
        </w:tc>
        <w:tc>
          <w:tcPr>
            <w:tcW w:w="720" w:type="dxa"/>
            <w:vAlign w:val="bottom"/>
          </w:tcPr>
          <w:p>
            <w:pPr>
              <w:ind w:left="360"/>
              <w:spacing w:after="0"/>
              <w:rPr>
                <w:sz w:val="20"/>
                <w:szCs w:val="20"/>
                <w:color w:val="auto"/>
              </w:rPr>
            </w:pPr>
            <w:r>
              <w:rPr>
                <w:rFonts w:ascii="Arial" w:cs="Arial" w:eastAsia="Arial" w:hAnsi="Arial"/>
                <w:sz w:val="14"/>
                <w:szCs w:val="14"/>
                <w:color w:val="auto"/>
              </w:rPr>
              <w:t>I</w:t>
            </w:r>
          </w:p>
        </w:tc>
        <w:tc>
          <w:tcPr>
            <w:tcW w:w="720" w:type="dxa"/>
            <w:vAlign w:val="bottom"/>
          </w:tcPr>
          <w:p>
            <w:pPr>
              <w:jc w:val="center"/>
              <w:spacing w:after="0"/>
              <w:rPr>
                <w:sz w:val="20"/>
                <w:szCs w:val="20"/>
                <w:color w:val="auto"/>
              </w:rPr>
            </w:pPr>
            <w:r>
              <w:rPr>
                <w:rFonts w:ascii="Arial" w:cs="Arial" w:eastAsia="Arial" w:hAnsi="Arial"/>
                <w:sz w:val="14"/>
                <w:szCs w:val="14"/>
                <w:color w:val="auto"/>
              </w:rPr>
              <w:t>II</w:t>
            </w:r>
          </w:p>
        </w:tc>
        <w:tc>
          <w:tcPr>
            <w:tcW w:w="720" w:type="dxa"/>
            <w:vAlign w:val="bottom"/>
          </w:tcPr>
          <w:p>
            <w:pPr>
              <w:ind w:left="300"/>
              <w:spacing w:after="0"/>
              <w:rPr>
                <w:sz w:val="20"/>
                <w:szCs w:val="20"/>
                <w:color w:val="auto"/>
              </w:rPr>
            </w:pPr>
            <w:r>
              <w:rPr>
                <w:rFonts w:ascii="Arial" w:cs="Arial" w:eastAsia="Arial" w:hAnsi="Arial"/>
                <w:sz w:val="14"/>
                <w:szCs w:val="14"/>
                <w:color w:val="auto"/>
              </w:rPr>
              <w:t>III</w:t>
            </w:r>
          </w:p>
        </w:tc>
      </w:tr>
      <w:tr>
        <w:trPr>
          <w:trHeight w:val="35"/>
        </w:trPr>
        <w:tc>
          <w:tcPr>
            <w:tcW w:w="3480" w:type="dxa"/>
            <w:vAlign w:val="bottom"/>
            <w:tcBorders>
              <w:bottom w:val="single" w:sz="8" w:color="ADB1C7"/>
            </w:tcBorders>
          </w:tcPr>
          <w:p>
            <w:pPr>
              <w:spacing w:after="0"/>
              <w:rPr>
                <w:sz w:val="3"/>
                <w:szCs w:val="3"/>
                <w:color w:val="auto"/>
              </w:rPr>
            </w:pPr>
          </w:p>
        </w:tc>
        <w:tc>
          <w:tcPr>
            <w:tcW w:w="1240" w:type="dxa"/>
            <w:vAlign w:val="bottom"/>
            <w:tcBorders>
              <w:bottom w:val="single" w:sz="8" w:color="ADB1C7"/>
            </w:tcBorders>
          </w:tcPr>
          <w:p>
            <w:pPr>
              <w:spacing w:after="0"/>
              <w:rPr>
                <w:sz w:val="3"/>
                <w:szCs w:val="3"/>
                <w:color w:val="auto"/>
              </w:rPr>
            </w:pPr>
          </w:p>
        </w:tc>
        <w:tc>
          <w:tcPr>
            <w:tcW w:w="700" w:type="dxa"/>
            <w:vAlign w:val="bottom"/>
            <w:tcBorders>
              <w:bottom w:val="single" w:sz="8" w:color="ADB1C7"/>
            </w:tcBorders>
          </w:tcPr>
          <w:p>
            <w:pPr>
              <w:spacing w:after="0"/>
              <w:rPr>
                <w:sz w:val="3"/>
                <w:szCs w:val="3"/>
                <w:color w:val="auto"/>
              </w:rPr>
            </w:pPr>
          </w:p>
        </w:tc>
        <w:tc>
          <w:tcPr>
            <w:tcW w:w="740" w:type="dxa"/>
            <w:vAlign w:val="bottom"/>
            <w:tcBorders>
              <w:bottom w:val="single" w:sz="8" w:color="ADB1C7"/>
            </w:tcBorders>
          </w:tcPr>
          <w:p>
            <w:pPr>
              <w:spacing w:after="0"/>
              <w:rPr>
                <w:sz w:val="3"/>
                <w:szCs w:val="3"/>
                <w:color w:val="auto"/>
              </w:rPr>
            </w:pPr>
          </w:p>
        </w:tc>
        <w:tc>
          <w:tcPr>
            <w:tcW w:w="700" w:type="dxa"/>
            <w:vAlign w:val="bottom"/>
            <w:tcBorders>
              <w:bottom w:val="single" w:sz="8" w:color="ADB1C7"/>
            </w:tcBorders>
          </w:tcPr>
          <w:p>
            <w:pPr>
              <w:spacing w:after="0"/>
              <w:rPr>
                <w:sz w:val="3"/>
                <w:szCs w:val="3"/>
                <w:color w:val="auto"/>
              </w:rPr>
            </w:pPr>
          </w:p>
        </w:tc>
        <w:tc>
          <w:tcPr>
            <w:tcW w:w="820" w:type="dxa"/>
            <w:vAlign w:val="bottom"/>
            <w:tcBorders>
              <w:bottom w:val="single" w:sz="8" w:color="ADB1C7"/>
            </w:tcBorders>
          </w:tcPr>
          <w:p>
            <w:pPr>
              <w:spacing w:after="0"/>
              <w:rPr>
                <w:sz w:val="3"/>
                <w:szCs w:val="3"/>
                <w:color w:val="auto"/>
              </w:rPr>
            </w:pPr>
          </w:p>
        </w:tc>
        <w:tc>
          <w:tcPr>
            <w:tcW w:w="580" w:type="dxa"/>
            <w:vAlign w:val="bottom"/>
            <w:tcBorders>
              <w:bottom w:val="single" w:sz="8" w:color="ADB1C7"/>
            </w:tcBorders>
          </w:tcPr>
          <w:p>
            <w:pPr>
              <w:spacing w:after="0"/>
              <w:rPr>
                <w:sz w:val="3"/>
                <w:szCs w:val="3"/>
                <w:color w:val="auto"/>
              </w:rPr>
            </w:pPr>
          </w:p>
        </w:tc>
        <w:tc>
          <w:tcPr>
            <w:tcW w:w="74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r>
      <w:tr>
        <w:trPr>
          <w:trHeight w:val="201"/>
        </w:trPr>
        <w:tc>
          <w:tcPr>
            <w:tcW w:w="3480" w:type="dxa"/>
            <w:vAlign w:val="bottom"/>
          </w:tcPr>
          <w:p>
            <w:pPr>
              <w:ind w:left="100"/>
              <w:spacing w:after="0"/>
              <w:rPr>
                <w:sz w:val="20"/>
                <w:szCs w:val="20"/>
                <w:color w:val="auto"/>
              </w:rPr>
            </w:pPr>
            <w:r>
              <w:rPr>
                <w:rFonts w:ascii="Arial" w:cs="Arial" w:eastAsia="Arial" w:hAnsi="Arial"/>
                <w:sz w:val="14"/>
                <w:szCs w:val="14"/>
                <w:color w:val="auto"/>
              </w:rPr>
              <w:t>Term Expires</w:t>
            </w:r>
          </w:p>
        </w:tc>
        <w:tc>
          <w:tcPr>
            <w:tcW w:w="1240" w:type="dxa"/>
            <w:vAlign w:val="bottom"/>
          </w:tcPr>
          <w:p>
            <w:pPr>
              <w:jc w:val="center"/>
              <w:ind w:left="448"/>
              <w:spacing w:after="0"/>
              <w:rPr>
                <w:sz w:val="20"/>
                <w:szCs w:val="20"/>
                <w:color w:val="auto"/>
              </w:rPr>
            </w:pPr>
            <w:r>
              <w:rPr>
                <w:rFonts w:ascii="Arial" w:cs="Arial" w:eastAsia="Arial" w:hAnsi="Arial"/>
                <w:sz w:val="14"/>
                <w:szCs w:val="14"/>
                <w:color w:val="auto"/>
              </w:rPr>
              <w:t>2022</w:t>
            </w:r>
          </w:p>
        </w:tc>
        <w:tc>
          <w:tcPr>
            <w:tcW w:w="700" w:type="dxa"/>
            <w:vAlign w:val="bottom"/>
          </w:tcPr>
          <w:p>
            <w:pPr>
              <w:jc w:val="center"/>
              <w:spacing w:after="0"/>
              <w:rPr>
                <w:sz w:val="20"/>
                <w:szCs w:val="20"/>
                <w:color w:val="auto"/>
              </w:rPr>
            </w:pPr>
            <w:r>
              <w:rPr>
                <w:rFonts w:ascii="Arial" w:cs="Arial" w:eastAsia="Arial" w:hAnsi="Arial"/>
                <w:sz w:val="14"/>
                <w:szCs w:val="14"/>
                <w:color w:val="auto"/>
              </w:rPr>
              <w:t>2023</w:t>
            </w:r>
          </w:p>
        </w:tc>
        <w:tc>
          <w:tcPr>
            <w:tcW w:w="740" w:type="dxa"/>
            <w:vAlign w:val="bottom"/>
          </w:tcPr>
          <w:p>
            <w:pPr>
              <w:jc w:val="center"/>
              <w:spacing w:after="0"/>
              <w:rPr>
                <w:sz w:val="20"/>
                <w:szCs w:val="20"/>
                <w:color w:val="auto"/>
              </w:rPr>
            </w:pPr>
            <w:r>
              <w:rPr>
                <w:rFonts w:ascii="Arial" w:cs="Arial" w:eastAsia="Arial" w:hAnsi="Arial"/>
                <w:sz w:val="14"/>
                <w:szCs w:val="14"/>
                <w:color w:val="auto"/>
              </w:rPr>
              <w:t>2024</w:t>
            </w:r>
          </w:p>
        </w:tc>
        <w:tc>
          <w:tcPr>
            <w:tcW w:w="700" w:type="dxa"/>
            <w:vAlign w:val="bottom"/>
          </w:tcPr>
          <w:p>
            <w:pPr>
              <w:jc w:val="center"/>
              <w:spacing w:after="0"/>
              <w:rPr>
                <w:sz w:val="20"/>
                <w:szCs w:val="20"/>
                <w:color w:val="auto"/>
              </w:rPr>
            </w:pPr>
            <w:r>
              <w:rPr>
                <w:rFonts w:ascii="Arial" w:cs="Arial" w:eastAsia="Arial" w:hAnsi="Arial"/>
                <w:sz w:val="14"/>
                <w:szCs w:val="14"/>
                <w:color w:val="auto"/>
              </w:rPr>
              <w:t>2024</w:t>
            </w:r>
          </w:p>
        </w:tc>
        <w:tc>
          <w:tcPr>
            <w:tcW w:w="820" w:type="dxa"/>
            <w:vAlign w:val="bottom"/>
          </w:tcPr>
          <w:p>
            <w:pPr>
              <w:jc w:val="center"/>
              <w:ind w:right="28"/>
              <w:spacing w:after="0"/>
              <w:rPr>
                <w:sz w:val="20"/>
                <w:szCs w:val="20"/>
                <w:color w:val="auto"/>
              </w:rPr>
            </w:pPr>
            <w:r>
              <w:rPr>
                <w:rFonts w:ascii="Arial" w:cs="Arial" w:eastAsia="Arial" w:hAnsi="Arial"/>
                <w:sz w:val="14"/>
                <w:szCs w:val="14"/>
                <w:color w:val="auto"/>
              </w:rPr>
              <w:t>2022</w:t>
            </w:r>
          </w:p>
        </w:tc>
        <w:tc>
          <w:tcPr>
            <w:tcW w:w="580" w:type="dxa"/>
            <w:vAlign w:val="bottom"/>
          </w:tcPr>
          <w:p>
            <w:pPr>
              <w:jc w:val="center"/>
              <w:spacing w:after="0"/>
              <w:rPr>
                <w:sz w:val="20"/>
                <w:szCs w:val="20"/>
                <w:color w:val="auto"/>
              </w:rPr>
            </w:pPr>
            <w:r>
              <w:rPr>
                <w:rFonts w:ascii="Arial" w:cs="Arial" w:eastAsia="Arial" w:hAnsi="Arial"/>
                <w:sz w:val="14"/>
                <w:szCs w:val="14"/>
                <w:color w:val="auto"/>
              </w:rPr>
              <w:t>2023</w:t>
            </w:r>
          </w:p>
        </w:tc>
        <w:tc>
          <w:tcPr>
            <w:tcW w:w="740" w:type="dxa"/>
            <w:vAlign w:val="bottom"/>
          </w:tcPr>
          <w:p>
            <w:pPr>
              <w:jc w:val="center"/>
              <w:spacing w:after="0"/>
              <w:rPr>
                <w:sz w:val="20"/>
                <w:szCs w:val="20"/>
                <w:color w:val="auto"/>
              </w:rPr>
            </w:pPr>
            <w:r>
              <w:rPr>
                <w:rFonts w:ascii="Arial" w:cs="Arial" w:eastAsia="Arial" w:hAnsi="Arial"/>
                <w:sz w:val="14"/>
                <w:szCs w:val="14"/>
                <w:color w:val="auto"/>
              </w:rPr>
              <w:t>2024</w:t>
            </w:r>
          </w:p>
        </w:tc>
        <w:tc>
          <w:tcPr>
            <w:tcW w:w="720" w:type="dxa"/>
            <w:vAlign w:val="bottom"/>
          </w:tcPr>
          <w:p>
            <w:pPr>
              <w:jc w:val="center"/>
              <w:spacing w:after="0"/>
              <w:rPr>
                <w:sz w:val="20"/>
                <w:szCs w:val="20"/>
                <w:color w:val="auto"/>
              </w:rPr>
            </w:pPr>
            <w:r>
              <w:rPr>
                <w:rFonts w:ascii="Arial" w:cs="Arial" w:eastAsia="Arial" w:hAnsi="Arial"/>
                <w:sz w:val="14"/>
                <w:szCs w:val="14"/>
                <w:color w:val="auto"/>
              </w:rPr>
              <w:t>2024</w:t>
            </w:r>
          </w:p>
        </w:tc>
        <w:tc>
          <w:tcPr>
            <w:tcW w:w="720" w:type="dxa"/>
            <w:vAlign w:val="bottom"/>
          </w:tcPr>
          <w:p>
            <w:pPr>
              <w:jc w:val="center"/>
              <w:spacing w:after="0"/>
              <w:rPr>
                <w:sz w:val="20"/>
                <w:szCs w:val="20"/>
                <w:color w:val="auto"/>
              </w:rPr>
            </w:pPr>
            <w:r>
              <w:rPr>
                <w:rFonts w:ascii="Arial" w:cs="Arial" w:eastAsia="Arial" w:hAnsi="Arial"/>
                <w:sz w:val="14"/>
                <w:szCs w:val="14"/>
                <w:color w:val="auto"/>
              </w:rPr>
              <w:t>2022</w:t>
            </w:r>
          </w:p>
        </w:tc>
        <w:tc>
          <w:tcPr>
            <w:tcW w:w="720" w:type="dxa"/>
            <w:vAlign w:val="bottom"/>
          </w:tcPr>
          <w:p>
            <w:pPr>
              <w:jc w:val="center"/>
              <w:spacing w:after="0"/>
              <w:rPr>
                <w:sz w:val="20"/>
                <w:szCs w:val="20"/>
                <w:color w:val="auto"/>
              </w:rPr>
            </w:pPr>
            <w:r>
              <w:rPr>
                <w:rFonts w:ascii="Arial" w:cs="Arial" w:eastAsia="Arial" w:hAnsi="Arial"/>
                <w:sz w:val="14"/>
                <w:szCs w:val="14"/>
                <w:color w:val="auto"/>
              </w:rPr>
              <w:t>2023</w:t>
            </w:r>
          </w:p>
        </w:tc>
      </w:tr>
      <w:tr>
        <w:trPr>
          <w:trHeight w:val="35"/>
        </w:trPr>
        <w:tc>
          <w:tcPr>
            <w:tcW w:w="3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3"/>
        </w:trPr>
        <w:tc>
          <w:tcPr>
            <w:tcW w:w="348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4"/>
                <w:szCs w:val="14"/>
                <w:b w:val="1"/>
                <w:bCs w:val="1"/>
                <w:color w:val="auto"/>
              </w:rPr>
              <w:t>Gender Identity</w:t>
            </w:r>
          </w:p>
        </w:tc>
        <w:tc>
          <w:tcPr>
            <w:tcW w:w="1240" w:type="dxa"/>
            <w:vAlign w:val="bottom"/>
            <w:tcBorders>
              <w:bottom w:val="single" w:sz="8" w:color="E1D7AC"/>
            </w:tcBorders>
            <w:shd w:val="clear" w:color="auto" w:fill="E1D7AC"/>
          </w:tcPr>
          <w:p>
            <w:pPr>
              <w:spacing w:after="0"/>
              <w:rPr>
                <w:sz w:val="19"/>
                <w:szCs w:val="19"/>
                <w:color w:val="auto"/>
              </w:rPr>
            </w:pPr>
          </w:p>
        </w:tc>
        <w:tc>
          <w:tcPr>
            <w:tcW w:w="700" w:type="dxa"/>
            <w:vAlign w:val="bottom"/>
            <w:tcBorders>
              <w:bottom w:val="single" w:sz="8" w:color="E1D7AC"/>
            </w:tcBorders>
            <w:shd w:val="clear" w:color="auto" w:fill="E1D7AC"/>
          </w:tcPr>
          <w:p>
            <w:pPr>
              <w:spacing w:after="0"/>
              <w:rPr>
                <w:sz w:val="19"/>
                <w:szCs w:val="19"/>
                <w:color w:val="auto"/>
              </w:rPr>
            </w:pPr>
          </w:p>
        </w:tc>
        <w:tc>
          <w:tcPr>
            <w:tcW w:w="740" w:type="dxa"/>
            <w:vAlign w:val="bottom"/>
            <w:tcBorders>
              <w:bottom w:val="single" w:sz="8" w:color="E1D7AC"/>
            </w:tcBorders>
            <w:shd w:val="clear" w:color="auto" w:fill="E1D7AC"/>
          </w:tcPr>
          <w:p>
            <w:pPr>
              <w:spacing w:after="0"/>
              <w:rPr>
                <w:sz w:val="19"/>
                <w:szCs w:val="19"/>
                <w:color w:val="auto"/>
              </w:rPr>
            </w:pPr>
          </w:p>
        </w:tc>
        <w:tc>
          <w:tcPr>
            <w:tcW w:w="700" w:type="dxa"/>
            <w:vAlign w:val="bottom"/>
            <w:tcBorders>
              <w:bottom w:val="single" w:sz="8" w:color="E1D7AC"/>
            </w:tcBorders>
            <w:shd w:val="clear" w:color="auto" w:fill="E1D7AC"/>
          </w:tcPr>
          <w:p>
            <w:pPr>
              <w:spacing w:after="0"/>
              <w:rPr>
                <w:sz w:val="19"/>
                <w:szCs w:val="19"/>
                <w:color w:val="auto"/>
              </w:rPr>
            </w:pPr>
          </w:p>
        </w:tc>
        <w:tc>
          <w:tcPr>
            <w:tcW w:w="820" w:type="dxa"/>
            <w:vAlign w:val="bottom"/>
            <w:tcBorders>
              <w:bottom w:val="single" w:sz="8" w:color="E1D7AC"/>
            </w:tcBorders>
            <w:shd w:val="clear" w:color="auto" w:fill="E1D7AC"/>
          </w:tcPr>
          <w:p>
            <w:pPr>
              <w:spacing w:after="0"/>
              <w:rPr>
                <w:sz w:val="19"/>
                <w:szCs w:val="19"/>
                <w:color w:val="auto"/>
              </w:rPr>
            </w:pPr>
          </w:p>
        </w:tc>
        <w:tc>
          <w:tcPr>
            <w:tcW w:w="580" w:type="dxa"/>
            <w:vAlign w:val="bottom"/>
            <w:tcBorders>
              <w:bottom w:val="single" w:sz="8" w:color="E1D7AC"/>
            </w:tcBorders>
            <w:shd w:val="clear" w:color="auto" w:fill="E1D7AC"/>
          </w:tcPr>
          <w:p>
            <w:pPr>
              <w:spacing w:after="0"/>
              <w:rPr>
                <w:sz w:val="19"/>
                <w:szCs w:val="19"/>
                <w:color w:val="auto"/>
              </w:rPr>
            </w:pPr>
          </w:p>
        </w:tc>
        <w:tc>
          <w:tcPr>
            <w:tcW w:w="740" w:type="dxa"/>
            <w:vAlign w:val="bottom"/>
            <w:tcBorders>
              <w:bottom w:val="single" w:sz="8" w:color="E1D7AC"/>
            </w:tcBorders>
            <w:shd w:val="clear" w:color="auto" w:fill="E1D7AC"/>
          </w:tcPr>
          <w:p>
            <w:pPr>
              <w:spacing w:after="0"/>
              <w:rPr>
                <w:sz w:val="19"/>
                <w:szCs w:val="19"/>
                <w:color w:val="auto"/>
              </w:rPr>
            </w:pPr>
          </w:p>
        </w:tc>
        <w:tc>
          <w:tcPr>
            <w:tcW w:w="720" w:type="dxa"/>
            <w:vAlign w:val="bottom"/>
            <w:tcBorders>
              <w:bottom w:val="single" w:sz="8" w:color="E1D7AC"/>
            </w:tcBorders>
            <w:shd w:val="clear" w:color="auto" w:fill="E1D7AC"/>
          </w:tcPr>
          <w:p>
            <w:pPr>
              <w:spacing w:after="0"/>
              <w:rPr>
                <w:sz w:val="19"/>
                <w:szCs w:val="19"/>
                <w:color w:val="auto"/>
              </w:rPr>
            </w:pPr>
          </w:p>
        </w:tc>
        <w:tc>
          <w:tcPr>
            <w:tcW w:w="720" w:type="dxa"/>
            <w:vAlign w:val="bottom"/>
            <w:tcBorders>
              <w:bottom w:val="single" w:sz="8" w:color="E1D7AC"/>
            </w:tcBorders>
            <w:shd w:val="clear" w:color="auto" w:fill="E1D7AC"/>
          </w:tcPr>
          <w:p>
            <w:pPr>
              <w:spacing w:after="0"/>
              <w:rPr>
                <w:sz w:val="19"/>
                <w:szCs w:val="19"/>
                <w:color w:val="auto"/>
              </w:rPr>
            </w:pPr>
          </w:p>
        </w:tc>
        <w:tc>
          <w:tcPr>
            <w:tcW w:w="720" w:type="dxa"/>
            <w:vAlign w:val="bottom"/>
            <w:tcBorders>
              <w:bottom w:val="single" w:sz="8" w:color="E1D7AC"/>
            </w:tcBorders>
            <w:shd w:val="clear" w:color="auto" w:fill="E1D7AC"/>
          </w:tcPr>
          <w:p>
            <w:pPr>
              <w:spacing w:after="0"/>
              <w:rPr>
                <w:sz w:val="19"/>
                <w:szCs w:val="19"/>
                <w:color w:val="auto"/>
              </w:rPr>
            </w:pPr>
          </w:p>
        </w:tc>
      </w:tr>
      <w:tr>
        <w:trPr>
          <w:trHeight w:val="237"/>
        </w:trPr>
        <w:tc>
          <w:tcPr>
            <w:tcW w:w="3480" w:type="dxa"/>
            <w:vAlign w:val="bottom"/>
            <w:tcBorders>
              <w:bottom w:val="single" w:sz="8" w:color="ADB1C7"/>
            </w:tcBorders>
          </w:tcPr>
          <w:p>
            <w:pPr>
              <w:ind w:left="100"/>
              <w:spacing w:after="0"/>
              <w:rPr>
                <w:sz w:val="20"/>
                <w:szCs w:val="20"/>
                <w:color w:val="auto"/>
              </w:rPr>
            </w:pPr>
            <w:r>
              <w:rPr>
                <w:rFonts w:ascii="Arial" w:cs="Arial" w:eastAsia="Arial" w:hAnsi="Arial"/>
                <w:sz w:val="14"/>
                <w:szCs w:val="14"/>
                <w:color w:val="auto"/>
              </w:rPr>
              <w:t>Female</w:t>
            </w:r>
          </w:p>
        </w:tc>
        <w:tc>
          <w:tcPr>
            <w:tcW w:w="1240" w:type="dxa"/>
            <w:vAlign w:val="bottom"/>
            <w:tcBorders>
              <w:bottom w:val="single" w:sz="8" w:color="ADB1C7"/>
            </w:tcBorders>
          </w:tcPr>
          <w:p>
            <w:pPr>
              <w:jc w:val="center"/>
              <w:ind w:left="44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00" w:type="dxa"/>
            <w:vAlign w:val="bottom"/>
            <w:tcBorders>
              <w:bottom w:val="single" w:sz="8" w:color="ADB1C7"/>
            </w:tcBorders>
          </w:tcPr>
          <w:p>
            <w:pPr>
              <w:spacing w:after="0"/>
              <w:rPr>
                <w:sz w:val="20"/>
                <w:szCs w:val="20"/>
                <w:color w:val="auto"/>
              </w:rPr>
            </w:pPr>
          </w:p>
        </w:tc>
        <w:tc>
          <w:tcPr>
            <w:tcW w:w="740" w:type="dxa"/>
            <w:vAlign w:val="bottom"/>
            <w:tcBorders>
              <w:bottom w:val="single" w:sz="8" w:color="ADB1C7"/>
            </w:tcBorders>
          </w:tcPr>
          <w:p>
            <w:pPr>
              <w:spacing w:after="0"/>
              <w:rPr>
                <w:sz w:val="20"/>
                <w:szCs w:val="20"/>
                <w:color w:val="auto"/>
              </w:rPr>
            </w:pPr>
          </w:p>
        </w:tc>
        <w:tc>
          <w:tcPr>
            <w:tcW w:w="700" w:type="dxa"/>
            <w:vAlign w:val="bottom"/>
            <w:tcBorders>
              <w:bottom w:val="single" w:sz="8" w:color="ADB1C7"/>
            </w:tcBorders>
          </w:tcPr>
          <w:p>
            <w:pPr>
              <w:spacing w:after="0"/>
              <w:rPr>
                <w:sz w:val="20"/>
                <w:szCs w:val="20"/>
                <w:color w:val="auto"/>
              </w:rPr>
            </w:pPr>
          </w:p>
        </w:tc>
        <w:tc>
          <w:tcPr>
            <w:tcW w:w="820" w:type="dxa"/>
            <w:vAlign w:val="bottom"/>
            <w:tcBorders>
              <w:bottom w:val="single" w:sz="8" w:color="ADB1C7"/>
            </w:tcBorders>
          </w:tcPr>
          <w:p>
            <w:pPr>
              <w:spacing w:after="0"/>
              <w:rPr>
                <w:sz w:val="20"/>
                <w:szCs w:val="20"/>
                <w:color w:val="auto"/>
              </w:rPr>
            </w:pPr>
          </w:p>
        </w:tc>
        <w:tc>
          <w:tcPr>
            <w:tcW w:w="58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4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20" w:type="dxa"/>
            <w:vAlign w:val="bottom"/>
            <w:tcBorders>
              <w:bottom w:val="single" w:sz="8" w:color="ADB1C7"/>
            </w:tcBorders>
          </w:tcPr>
          <w:p>
            <w:pPr>
              <w:spacing w:after="0"/>
              <w:rPr>
                <w:sz w:val="20"/>
                <w:szCs w:val="20"/>
                <w:color w:val="auto"/>
              </w:rPr>
            </w:pPr>
          </w:p>
        </w:tc>
      </w:tr>
      <w:tr>
        <w:trPr>
          <w:trHeight w:val="237"/>
        </w:trPr>
        <w:tc>
          <w:tcPr>
            <w:tcW w:w="3480" w:type="dxa"/>
            <w:vAlign w:val="bottom"/>
            <w:tcBorders>
              <w:bottom w:val="single" w:sz="8" w:color="ADB1C7"/>
            </w:tcBorders>
          </w:tcPr>
          <w:p>
            <w:pPr>
              <w:ind w:left="100"/>
              <w:spacing w:after="0"/>
              <w:rPr>
                <w:sz w:val="20"/>
                <w:szCs w:val="20"/>
                <w:color w:val="auto"/>
              </w:rPr>
            </w:pPr>
            <w:r>
              <w:rPr>
                <w:rFonts w:ascii="Arial" w:cs="Arial" w:eastAsia="Arial" w:hAnsi="Arial"/>
                <w:sz w:val="14"/>
                <w:szCs w:val="14"/>
                <w:color w:val="auto"/>
              </w:rPr>
              <w:t>Male</w:t>
            </w:r>
          </w:p>
        </w:tc>
        <w:tc>
          <w:tcPr>
            <w:tcW w:w="1240" w:type="dxa"/>
            <w:vAlign w:val="bottom"/>
            <w:tcBorders>
              <w:bottom w:val="single" w:sz="8" w:color="ADB1C7"/>
            </w:tcBorders>
          </w:tcPr>
          <w:p>
            <w:pPr>
              <w:spacing w:after="0"/>
              <w:rPr>
                <w:sz w:val="20"/>
                <w:szCs w:val="20"/>
                <w:color w:val="auto"/>
              </w:rPr>
            </w:pPr>
          </w:p>
        </w:tc>
        <w:tc>
          <w:tcPr>
            <w:tcW w:w="70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4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0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820" w:type="dxa"/>
            <w:vAlign w:val="bottom"/>
            <w:tcBorders>
              <w:bottom w:val="single" w:sz="8" w:color="ADB1C7"/>
            </w:tcBorders>
          </w:tcPr>
          <w:p>
            <w:pPr>
              <w:jc w:val="center"/>
              <w:ind w:right="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80" w:type="dxa"/>
            <w:vAlign w:val="bottom"/>
            <w:tcBorders>
              <w:bottom w:val="single" w:sz="8" w:color="ADB1C7"/>
            </w:tcBorders>
          </w:tcPr>
          <w:p>
            <w:pPr>
              <w:spacing w:after="0"/>
              <w:rPr>
                <w:sz w:val="20"/>
                <w:szCs w:val="20"/>
                <w:color w:val="auto"/>
              </w:rPr>
            </w:pPr>
          </w:p>
        </w:tc>
        <w:tc>
          <w:tcPr>
            <w:tcW w:w="74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2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72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208"/>
        </w:trPr>
        <w:tc>
          <w:tcPr>
            <w:tcW w:w="3480" w:type="dxa"/>
            <w:vAlign w:val="bottom"/>
          </w:tcPr>
          <w:p>
            <w:pPr>
              <w:ind w:left="100"/>
              <w:spacing w:after="0"/>
              <w:rPr>
                <w:sz w:val="20"/>
                <w:szCs w:val="20"/>
                <w:color w:val="auto"/>
              </w:rPr>
            </w:pPr>
            <w:r>
              <w:rPr>
                <w:rFonts w:ascii="Arial" w:cs="Arial" w:eastAsia="Arial" w:hAnsi="Arial"/>
                <w:sz w:val="14"/>
                <w:szCs w:val="14"/>
                <w:color w:val="auto"/>
              </w:rPr>
              <w:t>Non-Binary Gender</w:t>
            </w: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5"/>
        </w:trPr>
        <w:tc>
          <w:tcPr>
            <w:tcW w:w="3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3"/>
        </w:trPr>
        <w:tc>
          <w:tcPr>
            <w:tcW w:w="348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4"/>
                <w:szCs w:val="14"/>
                <w:b w:val="1"/>
                <w:bCs w:val="1"/>
                <w:color w:val="auto"/>
              </w:rPr>
              <w:t>Demographic Background</w:t>
            </w:r>
          </w:p>
        </w:tc>
        <w:tc>
          <w:tcPr>
            <w:tcW w:w="1240" w:type="dxa"/>
            <w:vAlign w:val="bottom"/>
            <w:tcBorders>
              <w:bottom w:val="single" w:sz="8" w:color="E1D7AC"/>
            </w:tcBorders>
            <w:shd w:val="clear" w:color="auto" w:fill="E1D7AC"/>
          </w:tcPr>
          <w:p>
            <w:pPr>
              <w:spacing w:after="0"/>
              <w:rPr>
                <w:sz w:val="19"/>
                <w:szCs w:val="19"/>
                <w:color w:val="auto"/>
              </w:rPr>
            </w:pPr>
          </w:p>
        </w:tc>
        <w:tc>
          <w:tcPr>
            <w:tcW w:w="700" w:type="dxa"/>
            <w:vAlign w:val="bottom"/>
            <w:tcBorders>
              <w:bottom w:val="single" w:sz="8" w:color="E1D7AC"/>
            </w:tcBorders>
            <w:shd w:val="clear" w:color="auto" w:fill="E1D7AC"/>
          </w:tcPr>
          <w:p>
            <w:pPr>
              <w:spacing w:after="0"/>
              <w:rPr>
                <w:sz w:val="19"/>
                <w:szCs w:val="19"/>
                <w:color w:val="auto"/>
              </w:rPr>
            </w:pPr>
          </w:p>
        </w:tc>
        <w:tc>
          <w:tcPr>
            <w:tcW w:w="740" w:type="dxa"/>
            <w:vAlign w:val="bottom"/>
            <w:tcBorders>
              <w:bottom w:val="single" w:sz="8" w:color="E1D7AC"/>
            </w:tcBorders>
            <w:shd w:val="clear" w:color="auto" w:fill="E1D7AC"/>
          </w:tcPr>
          <w:p>
            <w:pPr>
              <w:spacing w:after="0"/>
              <w:rPr>
                <w:sz w:val="19"/>
                <w:szCs w:val="19"/>
                <w:color w:val="auto"/>
              </w:rPr>
            </w:pPr>
          </w:p>
        </w:tc>
        <w:tc>
          <w:tcPr>
            <w:tcW w:w="700" w:type="dxa"/>
            <w:vAlign w:val="bottom"/>
            <w:tcBorders>
              <w:bottom w:val="single" w:sz="8" w:color="E1D7AC"/>
            </w:tcBorders>
            <w:shd w:val="clear" w:color="auto" w:fill="E1D7AC"/>
          </w:tcPr>
          <w:p>
            <w:pPr>
              <w:spacing w:after="0"/>
              <w:rPr>
                <w:sz w:val="19"/>
                <w:szCs w:val="19"/>
                <w:color w:val="auto"/>
              </w:rPr>
            </w:pPr>
          </w:p>
        </w:tc>
        <w:tc>
          <w:tcPr>
            <w:tcW w:w="820" w:type="dxa"/>
            <w:vAlign w:val="bottom"/>
            <w:tcBorders>
              <w:bottom w:val="single" w:sz="8" w:color="E1D7AC"/>
            </w:tcBorders>
            <w:shd w:val="clear" w:color="auto" w:fill="E1D7AC"/>
          </w:tcPr>
          <w:p>
            <w:pPr>
              <w:spacing w:after="0"/>
              <w:rPr>
                <w:sz w:val="19"/>
                <w:szCs w:val="19"/>
                <w:color w:val="auto"/>
              </w:rPr>
            </w:pPr>
          </w:p>
        </w:tc>
        <w:tc>
          <w:tcPr>
            <w:tcW w:w="580" w:type="dxa"/>
            <w:vAlign w:val="bottom"/>
            <w:tcBorders>
              <w:bottom w:val="single" w:sz="8" w:color="E1D7AC"/>
            </w:tcBorders>
            <w:shd w:val="clear" w:color="auto" w:fill="E1D7AC"/>
          </w:tcPr>
          <w:p>
            <w:pPr>
              <w:spacing w:after="0"/>
              <w:rPr>
                <w:sz w:val="19"/>
                <w:szCs w:val="19"/>
                <w:color w:val="auto"/>
              </w:rPr>
            </w:pPr>
          </w:p>
        </w:tc>
        <w:tc>
          <w:tcPr>
            <w:tcW w:w="740" w:type="dxa"/>
            <w:vAlign w:val="bottom"/>
            <w:tcBorders>
              <w:bottom w:val="single" w:sz="8" w:color="E1D7AC"/>
            </w:tcBorders>
            <w:shd w:val="clear" w:color="auto" w:fill="E1D7AC"/>
          </w:tcPr>
          <w:p>
            <w:pPr>
              <w:spacing w:after="0"/>
              <w:rPr>
                <w:sz w:val="19"/>
                <w:szCs w:val="19"/>
                <w:color w:val="auto"/>
              </w:rPr>
            </w:pPr>
          </w:p>
        </w:tc>
        <w:tc>
          <w:tcPr>
            <w:tcW w:w="720" w:type="dxa"/>
            <w:vAlign w:val="bottom"/>
            <w:tcBorders>
              <w:bottom w:val="single" w:sz="8" w:color="E1D7AC"/>
            </w:tcBorders>
            <w:shd w:val="clear" w:color="auto" w:fill="E1D7AC"/>
          </w:tcPr>
          <w:p>
            <w:pPr>
              <w:spacing w:after="0"/>
              <w:rPr>
                <w:sz w:val="19"/>
                <w:szCs w:val="19"/>
                <w:color w:val="auto"/>
              </w:rPr>
            </w:pPr>
          </w:p>
        </w:tc>
        <w:tc>
          <w:tcPr>
            <w:tcW w:w="720" w:type="dxa"/>
            <w:vAlign w:val="bottom"/>
            <w:tcBorders>
              <w:bottom w:val="single" w:sz="8" w:color="E1D7AC"/>
            </w:tcBorders>
            <w:shd w:val="clear" w:color="auto" w:fill="E1D7AC"/>
          </w:tcPr>
          <w:p>
            <w:pPr>
              <w:spacing w:after="0"/>
              <w:rPr>
                <w:sz w:val="19"/>
                <w:szCs w:val="19"/>
                <w:color w:val="auto"/>
              </w:rPr>
            </w:pPr>
          </w:p>
        </w:tc>
        <w:tc>
          <w:tcPr>
            <w:tcW w:w="720" w:type="dxa"/>
            <w:vAlign w:val="bottom"/>
            <w:tcBorders>
              <w:bottom w:val="single" w:sz="8" w:color="E1D7AC"/>
            </w:tcBorders>
            <w:shd w:val="clear" w:color="auto" w:fill="E1D7AC"/>
          </w:tcPr>
          <w:p>
            <w:pPr>
              <w:spacing w:after="0"/>
              <w:rPr>
                <w:sz w:val="19"/>
                <w:szCs w:val="19"/>
                <w:color w:val="auto"/>
              </w:rPr>
            </w:pPr>
          </w:p>
        </w:tc>
      </w:tr>
      <w:tr>
        <w:trPr>
          <w:trHeight w:val="236"/>
        </w:trPr>
        <w:tc>
          <w:tcPr>
            <w:tcW w:w="3480" w:type="dxa"/>
            <w:vAlign w:val="bottom"/>
            <w:tcBorders>
              <w:bottom w:val="single" w:sz="8" w:color="ADB1C7"/>
            </w:tcBorders>
          </w:tcPr>
          <w:p>
            <w:pPr>
              <w:ind w:left="100"/>
              <w:spacing w:after="0"/>
              <w:rPr>
                <w:sz w:val="20"/>
                <w:szCs w:val="20"/>
                <w:color w:val="auto"/>
              </w:rPr>
            </w:pPr>
            <w:r>
              <w:rPr>
                <w:rFonts w:ascii="Arial" w:cs="Arial" w:eastAsia="Arial" w:hAnsi="Arial"/>
                <w:sz w:val="14"/>
                <w:szCs w:val="14"/>
                <w:color w:val="auto"/>
              </w:rPr>
              <w:t>Black or African American</w:t>
            </w:r>
          </w:p>
        </w:tc>
        <w:tc>
          <w:tcPr>
            <w:tcW w:w="1240" w:type="dxa"/>
            <w:vAlign w:val="bottom"/>
            <w:tcBorders>
              <w:bottom w:val="single" w:sz="8" w:color="ADB1C7"/>
            </w:tcBorders>
          </w:tcPr>
          <w:p>
            <w:pPr>
              <w:spacing w:after="0"/>
              <w:rPr>
                <w:sz w:val="20"/>
                <w:szCs w:val="20"/>
                <w:color w:val="auto"/>
              </w:rPr>
            </w:pPr>
          </w:p>
        </w:tc>
        <w:tc>
          <w:tcPr>
            <w:tcW w:w="700" w:type="dxa"/>
            <w:vAlign w:val="bottom"/>
            <w:tcBorders>
              <w:bottom w:val="single" w:sz="8" w:color="ADB1C7"/>
            </w:tcBorders>
          </w:tcPr>
          <w:p>
            <w:pPr>
              <w:spacing w:after="0"/>
              <w:rPr>
                <w:sz w:val="20"/>
                <w:szCs w:val="20"/>
                <w:color w:val="auto"/>
              </w:rPr>
            </w:pPr>
          </w:p>
        </w:tc>
        <w:tc>
          <w:tcPr>
            <w:tcW w:w="740" w:type="dxa"/>
            <w:vAlign w:val="bottom"/>
            <w:tcBorders>
              <w:bottom w:val="single" w:sz="8" w:color="ADB1C7"/>
            </w:tcBorders>
          </w:tcPr>
          <w:p>
            <w:pPr>
              <w:spacing w:after="0"/>
              <w:rPr>
                <w:sz w:val="20"/>
                <w:szCs w:val="20"/>
                <w:color w:val="auto"/>
              </w:rPr>
            </w:pPr>
          </w:p>
        </w:tc>
        <w:tc>
          <w:tcPr>
            <w:tcW w:w="700" w:type="dxa"/>
            <w:vAlign w:val="bottom"/>
            <w:tcBorders>
              <w:bottom w:val="single" w:sz="8" w:color="ADB1C7"/>
            </w:tcBorders>
          </w:tcPr>
          <w:p>
            <w:pPr>
              <w:spacing w:after="0"/>
              <w:rPr>
                <w:sz w:val="20"/>
                <w:szCs w:val="20"/>
                <w:color w:val="auto"/>
              </w:rPr>
            </w:pPr>
          </w:p>
        </w:tc>
        <w:tc>
          <w:tcPr>
            <w:tcW w:w="820" w:type="dxa"/>
            <w:vAlign w:val="bottom"/>
            <w:tcBorders>
              <w:bottom w:val="single" w:sz="8" w:color="ADB1C7"/>
            </w:tcBorders>
          </w:tcPr>
          <w:p>
            <w:pPr>
              <w:spacing w:after="0"/>
              <w:rPr>
                <w:sz w:val="20"/>
                <w:szCs w:val="20"/>
                <w:color w:val="auto"/>
              </w:rPr>
            </w:pPr>
          </w:p>
        </w:tc>
        <w:tc>
          <w:tcPr>
            <w:tcW w:w="580" w:type="dxa"/>
            <w:vAlign w:val="bottom"/>
            <w:tcBorders>
              <w:bottom w:val="single" w:sz="8" w:color="ADB1C7"/>
            </w:tcBorders>
          </w:tcPr>
          <w:p>
            <w:pPr>
              <w:spacing w:after="0"/>
              <w:rPr>
                <w:sz w:val="20"/>
                <w:szCs w:val="20"/>
                <w:color w:val="auto"/>
              </w:rPr>
            </w:pPr>
          </w:p>
        </w:tc>
        <w:tc>
          <w:tcPr>
            <w:tcW w:w="74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208"/>
        </w:trPr>
        <w:tc>
          <w:tcPr>
            <w:tcW w:w="3480" w:type="dxa"/>
            <w:vAlign w:val="bottom"/>
          </w:tcPr>
          <w:p>
            <w:pPr>
              <w:ind w:left="100"/>
              <w:spacing w:after="0"/>
              <w:rPr>
                <w:sz w:val="20"/>
                <w:szCs w:val="20"/>
                <w:color w:val="auto"/>
              </w:rPr>
            </w:pPr>
            <w:r>
              <w:rPr>
                <w:rFonts w:ascii="Arial" w:cs="Arial" w:eastAsia="Arial" w:hAnsi="Arial"/>
                <w:sz w:val="14"/>
                <w:szCs w:val="14"/>
                <w:color w:val="auto"/>
              </w:rPr>
              <w:t>Hispanic or Latinx</w:t>
            </w: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5"/>
        </w:trPr>
        <w:tc>
          <w:tcPr>
            <w:tcW w:w="3480" w:type="dxa"/>
            <w:vAlign w:val="bottom"/>
            <w:tcBorders>
              <w:bottom w:val="single" w:sz="8" w:color="ADB1C7"/>
            </w:tcBorders>
          </w:tcPr>
          <w:p>
            <w:pPr>
              <w:spacing w:after="0"/>
              <w:rPr>
                <w:sz w:val="3"/>
                <w:szCs w:val="3"/>
                <w:color w:val="auto"/>
              </w:rPr>
            </w:pPr>
          </w:p>
        </w:tc>
        <w:tc>
          <w:tcPr>
            <w:tcW w:w="1240" w:type="dxa"/>
            <w:vAlign w:val="bottom"/>
            <w:tcBorders>
              <w:bottom w:val="single" w:sz="8" w:color="ADB1C7"/>
            </w:tcBorders>
          </w:tcPr>
          <w:p>
            <w:pPr>
              <w:spacing w:after="0"/>
              <w:rPr>
                <w:sz w:val="3"/>
                <w:szCs w:val="3"/>
                <w:color w:val="auto"/>
              </w:rPr>
            </w:pPr>
          </w:p>
        </w:tc>
        <w:tc>
          <w:tcPr>
            <w:tcW w:w="700" w:type="dxa"/>
            <w:vAlign w:val="bottom"/>
            <w:tcBorders>
              <w:bottom w:val="single" w:sz="8" w:color="ADB1C7"/>
            </w:tcBorders>
          </w:tcPr>
          <w:p>
            <w:pPr>
              <w:spacing w:after="0"/>
              <w:rPr>
                <w:sz w:val="3"/>
                <w:szCs w:val="3"/>
                <w:color w:val="auto"/>
              </w:rPr>
            </w:pPr>
          </w:p>
        </w:tc>
        <w:tc>
          <w:tcPr>
            <w:tcW w:w="740" w:type="dxa"/>
            <w:vAlign w:val="bottom"/>
            <w:tcBorders>
              <w:bottom w:val="single" w:sz="8" w:color="ADB1C7"/>
            </w:tcBorders>
          </w:tcPr>
          <w:p>
            <w:pPr>
              <w:spacing w:after="0"/>
              <w:rPr>
                <w:sz w:val="3"/>
                <w:szCs w:val="3"/>
                <w:color w:val="auto"/>
              </w:rPr>
            </w:pPr>
          </w:p>
        </w:tc>
        <w:tc>
          <w:tcPr>
            <w:tcW w:w="700" w:type="dxa"/>
            <w:vAlign w:val="bottom"/>
            <w:tcBorders>
              <w:bottom w:val="single" w:sz="8" w:color="ADB1C7"/>
            </w:tcBorders>
          </w:tcPr>
          <w:p>
            <w:pPr>
              <w:spacing w:after="0"/>
              <w:rPr>
                <w:sz w:val="3"/>
                <w:szCs w:val="3"/>
                <w:color w:val="auto"/>
              </w:rPr>
            </w:pPr>
          </w:p>
        </w:tc>
        <w:tc>
          <w:tcPr>
            <w:tcW w:w="820" w:type="dxa"/>
            <w:vAlign w:val="bottom"/>
            <w:tcBorders>
              <w:bottom w:val="single" w:sz="8" w:color="ADB1C7"/>
            </w:tcBorders>
          </w:tcPr>
          <w:p>
            <w:pPr>
              <w:spacing w:after="0"/>
              <w:rPr>
                <w:sz w:val="3"/>
                <w:szCs w:val="3"/>
                <w:color w:val="auto"/>
              </w:rPr>
            </w:pPr>
          </w:p>
        </w:tc>
        <w:tc>
          <w:tcPr>
            <w:tcW w:w="580" w:type="dxa"/>
            <w:vAlign w:val="bottom"/>
            <w:tcBorders>
              <w:bottom w:val="single" w:sz="8" w:color="ADB1C7"/>
            </w:tcBorders>
          </w:tcPr>
          <w:p>
            <w:pPr>
              <w:spacing w:after="0"/>
              <w:rPr>
                <w:sz w:val="3"/>
                <w:szCs w:val="3"/>
                <w:color w:val="auto"/>
              </w:rPr>
            </w:pPr>
          </w:p>
        </w:tc>
        <w:tc>
          <w:tcPr>
            <w:tcW w:w="74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r>
      <w:tr>
        <w:trPr>
          <w:trHeight w:val="230"/>
        </w:trPr>
        <w:tc>
          <w:tcPr>
            <w:tcW w:w="3480" w:type="dxa"/>
            <w:vAlign w:val="bottom"/>
            <w:tcBorders>
              <w:bottom w:val="single" w:sz="8" w:color="ADB1C7"/>
            </w:tcBorders>
          </w:tcPr>
          <w:p>
            <w:pPr>
              <w:ind w:left="100"/>
              <w:spacing w:after="0"/>
              <w:rPr>
                <w:sz w:val="20"/>
                <w:szCs w:val="20"/>
                <w:color w:val="auto"/>
              </w:rPr>
            </w:pPr>
            <w:r>
              <w:rPr>
                <w:rFonts w:ascii="Arial" w:cs="Arial" w:eastAsia="Arial" w:hAnsi="Arial"/>
                <w:sz w:val="14"/>
                <w:szCs w:val="14"/>
                <w:color w:val="auto"/>
              </w:rPr>
              <w:t>White</w:t>
            </w:r>
          </w:p>
        </w:tc>
        <w:tc>
          <w:tcPr>
            <w:tcW w:w="1240" w:type="dxa"/>
            <w:vAlign w:val="bottom"/>
            <w:tcBorders>
              <w:bottom w:val="single" w:sz="8" w:color="ADB1C7"/>
            </w:tcBorders>
          </w:tcPr>
          <w:p>
            <w:pPr>
              <w:jc w:val="center"/>
              <w:ind w:left="44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0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4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0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820" w:type="dxa"/>
            <w:vAlign w:val="bottom"/>
            <w:tcBorders>
              <w:bottom w:val="single" w:sz="8" w:color="ADB1C7"/>
            </w:tcBorders>
          </w:tcPr>
          <w:p>
            <w:pPr>
              <w:jc w:val="center"/>
              <w:ind w:right="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8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4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2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72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20" w:type="dxa"/>
            <w:vAlign w:val="bottom"/>
            <w:tcBorders>
              <w:bottom w:val="single" w:sz="8" w:color="ADB1C7"/>
            </w:tcBorders>
          </w:tcPr>
          <w:p>
            <w:pPr>
              <w:spacing w:after="0"/>
              <w:rPr>
                <w:sz w:val="20"/>
                <w:szCs w:val="20"/>
                <w:color w:val="auto"/>
              </w:rPr>
            </w:pPr>
          </w:p>
        </w:tc>
      </w:tr>
      <w:tr>
        <w:trPr>
          <w:trHeight w:val="208"/>
        </w:trPr>
        <w:tc>
          <w:tcPr>
            <w:tcW w:w="3480" w:type="dxa"/>
            <w:vAlign w:val="bottom"/>
          </w:tcPr>
          <w:p>
            <w:pPr>
              <w:ind w:left="100"/>
              <w:spacing w:after="0"/>
              <w:rPr>
                <w:sz w:val="20"/>
                <w:szCs w:val="20"/>
                <w:color w:val="auto"/>
              </w:rPr>
            </w:pPr>
            <w:r>
              <w:rPr>
                <w:rFonts w:ascii="Arial" w:cs="Arial" w:eastAsia="Arial" w:hAnsi="Arial"/>
                <w:sz w:val="14"/>
                <w:szCs w:val="14"/>
                <w:color w:val="auto"/>
              </w:rPr>
              <w:t>Asian (including South Asian)</w:t>
            </w: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5"/>
        </w:trPr>
        <w:tc>
          <w:tcPr>
            <w:tcW w:w="3480" w:type="dxa"/>
            <w:vAlign w:val="bottom"/>
            <w:tcBorders>
              <w:bottom w:val="single" w:sz="8" w:color="ADB1C7"/>
            </w:tcBorders>
          </w:tcPr>
          <w:p>
            <w:pPr>
              <w:spacing w:after="0"/>
              <w:rPr>
                <w:sz w:val="3"/>
                <w:szCs w:val="3"/>
                <w:color w:val="auto"/>
              </w:rPr>
            </w:pPr>
          </w:p>
        </w:tc>
        <w:tc>
          <w:tcPr>
            <w:tcW w:w="1240" w:type="dxa"/>
            <w:vAlign w:val="bottom"/>
            <w:tcBorders>
              <w:bottom w:val="single" w:sz="8" w:color="ADB1C7"/>
            </w:tcBorders>
          </w:tcPr>
          <w:p>
            <w:pPr>
              <w:spacing w:after="0"/>
              <w:rPr>
                <w:sz w:val="3"/>
                <w:szCs w:val="3"/>
                <w:color w:val="auto"/>
              </w:rPr>
            </w:pPr>
          </w:p>
        </w:tc>
        <w:tc>
          <w:tcPr>
            <w:tcW w:w="700" w:type="dxa"/>
            <w:vAlign w:val="bottom"/>
            <w:tcBorders>
              <w:bottom w:val="single" w:sz="8" w:color="ADB1C7"/>
            </w:tcBorders>
          </w:tcPr>
          <w:p>
            <w:pPr>
              <w:spacing w:after="0"/>
              <w:rPr>
                <w:sz w:val="3"/>
                <w:szCs w:val="3"/>
                <w:color w:val="auto"/>
              </w:rPr>
            </w:pPr>
          </w:p>
        </w:tc>
        <w:tc>
          <w:tcPr>
            <w:tcW w:w="740" w:type="dxa"/>
            <w:vAlign w:val="bottom"/>
            <w:tcBorders>
              <w:bottom w:val="single" w:sz="8" w:color="ADB1C7"/>
            </w:tcBorders>
          </w:tcPr>
          <w:p>
            <w:pPr>
              <w:spacing w:after="0"/>
              <w:rPr>
                <w:sz w:val="3"/>
                <w:szCs w:val="3"/>
                <w:color w:val="auto"/>
              </w:rPr>
            </w:pPr>
          </w:p>
        </w:tc>
        <w:tc>
          <w:tcPr>
            <w:tcW w:w="700" w:type="dxa"/>
            <w:vAlign w:val="bottom"/>
            <w:tcBorders>
              <w:bottom w:val="single" w:sz="8" w:color="ADB1C7"/>
            </w:tcBorders>
          </w:tcPr>
          <w:p>
            <w:pPr>
              <w:spacing w:after="0"/>
              <w:rPr>
                <w:sz w:val="3"/>
                <w:szCs w:val="3"/>
                <w:color w:val="auto"/>
              </w:rPr>
            </w:pPr>
          </w:p>
        </w:tc>
        <w:tc>
          <w:tcPr>
            <w:tcW w:w="820" w:type="dxa"/>
            <w:vAlign w:val="bottom"/>
            <w:tcBorders>
              <w:bottom w:val="single" w:sz="8" w:color="ADB1C7"/>
            </w:tcBorders>
          </w:tcPr>
          <w:p>
            <w:pPr>
              <w:spacing w:after="0"/>
              <w:rPr>
                <w:sz w:val="3"/>
                <w:szCs w:val="3"/>
                <w:color w:val="auto"/>
              </w:rPr>
            </w:pPr>
          </w:p>
        </w:tc>
        <w:tc>
          <w:tcPr>
            <w:tcW w:w="580" w:type="dxa"/>
            <w:vAlign w:val="bottom"/>
            <w:tcBorders>
              <w:bottom w:val="single" w:sz="8" w:color="ADB1C7"/>
            </w:tcBorders>
          </w:tcPr>
          <w:p>
            <w:pPr>
              <w:spacing w:after="0"/>
              <w:rPr>
                <w:sz w:val="3"/>
                <w:szCs w:val="3"/>
                <w:color w:val="auto"/>
              </w:rPr>
            </w:pPr>
          </w:p>
        </w:tc>
        <w:tc>
          <w:tcPr>
            <w:tcW w:w="74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r>
      <w:tr>
        <w:trPr>
          <w:trHeight w:val="201"/>
        </w:trPr>
        <w:tc>
          <w:tcPr>
            <w:tcW w:w="3480" w:type="dxa"/>
            <w:vAlign w:val="bottom"/>
          </w:tcPr>
          <w:p>
            <w:pPr>
              <w:ind w:left="100"/>
              <w:spacing w:after="0"/>
              <w:rPr>
                <w:sz w:val="20"/>
                <w:szCs w:val="20"/>
                <w:color w:val="auto"/>
              </w:rPr>
            </w:pPr>
            <w:r>
              <w:rPr>
                <w:rFonts w:ascii="Arial" w:cs="Arial" w:eastAsia="Arial" w:hAnsi="Arial"/>
                <w:sz w:val="14"/>
                <w:szCs w:val="14"/>
                <w:color w:val="auto"/>
              </w:rPr>
              <w:t>Native Hawaiian or Pacific Islander</w:t>
            </w: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5"/>
        </w:trPr>
        <w:tc>
          <w:tcPr>
            <w:tcW w:w="3480" w:type="dxa"/>
            <w:vAlign w:val="bottom"/>
            <w:tcBorders>
              <w:bottom w:val="single" w:sz="8" w:color="ADB1C7"/>
            </w:tcBorders>
          </w:tcPr>
          <w:p>
            <w:pPr>
              <w:spacing w:after="0"/>
              <w:rPr>
                <w:sz w:val="3"/>
                <w:szCs w:val="3"/>
                <w:color w:val="auto"/>
              </w:rPr>
            </w:pPr>
          </w:p>
        </w:tc>
        <w:tc>
          <w:tcPr>
            <w:tcW w:w="1240" w:type="dxa"/>
            <w:vAlign w:val="bottom"/>
            <w:tcBorders>
              <w:bottom w:val="single" w:sz="8" w:color="ADB1C7"/>
            </w:tcBorders>
          </w:tcPr>
          <w:p>
            <w:pPr>
              <w:spacing w:after="0"/>
              <w:rPr>
                <w:sz w:val="3"/>
                <w:szCs w:val="3"/>
                <w:color w:val="auto"/>
              </w:rPr>
            </w:pPr>
          </w:p>
        </w:tc>
        <w:tc>
          <w:tcPr>
            <w:tcW w:w="700" w:type="dxa"/>
            <w:vAlign w:val="bottom"/>
            <w:tcBorders>
              <w:bottom w:val="single" w:sz="8" w:color="ADB1C7"/>
            </w:tcBorders>
          </w:tcPr>
          <w:p>
            <w:pPr>
              <w:spacing w:after="0"/>
              <w:rPr>
                <w:sz w:val="3"/>
                <w:szCs w:val="3"/>
                <w:color w:val="auto"/>
              </w:rPr>
            </w:pPr>
          </w:p>
        </w:tc>
        <w:tc>
          <w:tcPr>
            <w:tcW w:w="740" w:type="dxa"/>
            <w:vAlign w:val="bottom"/>
            <w:tcBorders>
              <w:bottom w:val="single" w:sz="8" w:color="ADB1C7"/>
            </w:tcBorders>
          </w:tcPr>
          <w:p>
            <w:pPr>
              <w:spacing w:after="0"/>
              <w:rPr>
                <w:sz w:val="3"/>
                <w:szCs w:val="3"/>
                <w:color w:val="auto"/>
              </w:rPr>
            </w:pPr>
          </w:p>
        </w:tc>
        <w:tc>
          <w:tcPr>
            <w:tcW w:w="700" w:type="dxa"/>
            <w:vAlign w:val="bottom"/>
            <w:tcBorders>
              <w:bottom w:val="single" w:sz="8" w:color="ADB1C7"/>
            </w:tcBorders>
          </w:tcPr>
          <w:p>
            <w:pPr>
              <w:spacing w:after="0"/>
              <w:rPr>
                <w:sz w:val="3"/>
                <w:szCs w:val="3"/>
                <w:color w:val="auto"/>
              </w:rPr>
            </w:pPr>
          </w:p>
        </w:tc>
        <w:tc>
          <w:tcPr>
            <w:tcW w:w="820" w:type="dxa"/>
            <w:vAlign w:val="bottom"/>
            <w:tcBorders>
              <w:bottom w:val="single" w:sz="8" w:color="ADB1C7"/>
            </w:tcBorders>
          </w:tcPr>
          <w:p>
            <w:pPr>
              <w:spacing w:after="0"/>
              <w:rPr>
                <w:sz w:val="3"/>
                <w:szCs w:val="3"/>
                <w:color w:val="auto"/>
              </w:rPr>
            </w:pPr>
          </w:p>
        </w:tc>
        <w:tc>
          <w:tcPr>
            <w:tcW w:w="580" w:type="dxa"/>
            <w:vAlign w:val="bottom"/>
            <w:tcBorders>
              <w:bottom w:val="single" w:sz="8" w:color="ADB1C7"/>
            </w:tcBorders>
          </w:tcPr>
          <w:p>
            <w:pPr>
              <w:spacing w:after="0"/>
              <w:rPr>
                <w:sz w:val="3"/>
                <w:szCs w:val="3"/>
                <w:color w:val="auto"/>
              </w:rPr>
            </w:pPr>
          </w:p>
        </w:tc>
        <w:tc>
          <w:tcPr>
            <w:tcW w:w="74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r>
      <w:tr>
        <w:trPr>
          <w:trHeight w:val="230"/>
        </w:trPr>
        <w:tc>
          <w:tcPr>
            <w:tcW w:w="3480" w:type="dxa"/>
            <w:vAlign w:val="bottom"/>
            <w:tcBorders>
              <w:bottom w:val="single" w:sz="8" w:color="ADB1C7"/>
            </w:tcBorders>
          </w:tcPr>
          <w:p>
            <w:pPr>
              <w:ind w:left="100"/>
              <w:spacing w:after="0"/>
              <w:rPr>
                <w:sz w:val="20"/>
                <w:szCs w:val="20"/>
                <w:color w:val="auto"/>
              </w:rPr>
            </w:pPr>
            <w:r>
              <w:rPr>
                <w:rFonts w:ascii="Arial" w:cs="Arial" w:eastAsia="Arial" w:hAnsi="Arial"/>
                <w:sz w:val="14"/>
                <w:szCs w:val="14"/>
                <w:color w:val="auto"/>
              </w:rPr>
              <w:t>Native American or Alaskan Native</w:t>
            </w:r>
          </w:p>
        </w:tc>
        <w:tc>
          <w:tcPr>
            <w:tcW w:w="1240" w:type="dxa"/>
            <w:vAlign w:val="bottom"/>
            <w:tcBorders>
              <w:bottom w:val="single" w:sz="8" w:color="ADB1C7"/>
            </w:tcBorders>
          </w:tcPr>
          <w:p>
            <w:pPr>
              <w:spacing w:after="0"/>
              <w:rPr>
                <w:sz w:val="20"/>
                <w:szCs w:val="20"/>
                <w:color w:val="auto"/>
              </w:rPr>
            </w:pPr>
          </w:p>
        </w:tc>
        <w:tc>
          <w:tcPr>
            <w:tcW w:w="70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40" w:type="dxa"/>
            <w:vAlign w:val="bottom"/>
            <w:tcBorders>
              <w:bottom w:val="single" w:sz="8" w:color="ADB1C7"/>
            </w:tcBorders>
          </w:tcPr>
          <w:p>
            <w:pPr>
              <w:spacing w:after="0"/>
              <w:rPr>
                <w:sz w:val="20"/>
                <w:szCs w:val="20"/>
                <w:color w:val="auto"/>
              </w:rPr>
            </w:pPr>
          </w:p>
        </w:tc>
        <w:tc>
          <w:tcPr>
            <w:tcW w:w="700" w:type="dxa"/>
            <w:vAlign w:val="bottom"/>
            <w:tcBorders>
              <w:bottom w:val="single" w:sz="8" w:color="ADB1C7"/>
            </w:tcBorders>
          </w:tcPr>
          <w:p>
            <w:pPr>
              <w:spacing w:after="0"/>
              <w:rPr>
                <w:sz w:val="20"/>
                <w:szCs w:val="20"/>
                <w:color w:val="auto"/>
              </w:rPr>
            </w:pPr>
          </w:p>
        </w:tc>
        <w:tc>
          <w:tcPr>
            <w:tcW w:w="820" w:type="dxa"/>
            <w:vAlign w:val="bottom"/>
            <w:tcBorders>
              <w:bottom w:val="single" w:sz="8" w:color="ADB1C7"/>
            </w:tcBorders>
          </w:tcPr>
          <w:p>
            <w:pPr>
              <w:spacing w:after="0"/>
              <w:rPr>
                <w:sz w:val="20"/>
                <w:szCs w:val="20"/>
                <w:color w:val="auto"/>
              </w:rPr>
            </w:pPr>
          </w:p>
        </w:tc>
        <w:tc>
          <w:tcPr>
            <w:tcW w:w="580" w:type="dxa"/>
            <w:vAlign w:val="bottom"/>
            <w:tcBorders>
              <w:bottom w:val="single" w:sz="8" w:color="ADB1C7"/>
            </w:tcBorders>
          </w:tcPr>
          <w:p>
            <w:pPr>
              <w:spacing w:after="0"/>
              <w:rPr>
                <w:sz w:val="20"/>
                <w:szCs w:val="20"/>
                <w:color w:val="auto"/>
              </w:rPr>
            </w:pPr>
          </w:p>
        </w:tc>
        <w:tc>
          <w:tcPr>
            <w:tcW w:w="74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spacing w:after="0"/>
              <w:rPr>
                <w:sz w:val="20"/>
                <w:szCs w:val="20"/>
                <w:color w:val="auto"/>
              </w:rPr>
            </w:pPr>
          </w:p>
        </w:tc>
      </w:tr>
      <w:tr>
        <w:trPr>
          <w:trHeight w:val="237"/>
        </w:trPr>
        <w:tc>
          <w:tcPr>
            <w:tcW w:w="3480" w:type="dxa"/>
            <w:vAlign w:val="bottom"/>
            <w:tcBorders>
              <w:bottom w:val="single" w:sz="8" w:color="ADB1C7"/>
            </w:tcBorders>
          </w:tcPr>
          <w:p>
            <w:pPr>
              <w:ind w:left="100"/>
              <w:spacing w:after="0"/>
              <w:rPr>
                <w:sz w:val="20"/>
                <w:szCs w:val="20"/>
                <w:color w:val="auto"/>
              </w:rPr>
            </w:pPr>
            <w:r>
              <w:rPr>
                <w:rFonts w:ascii="Arial" w:cs="Arial" w:eastAsia="Arial" w:hAnsi="Arial"/>
                <w:sz w:val="14"/>
                <w:szCs w:val="14"/>
                <w:color w:val="auto"/>
              </w:rPr>
              <w:t>Two or More Races or Ethnicities</w:t>
            </w:r>
          </w:p>
        </w:tc>
        <w:tc>
          <w:tcPr>
            <w:tcW w:w="1240" w:type="dxa"/>
            <w:vAlign w:val="bottom"/>
            <w:tcBorders>
              <w:bottom w:val="single" w:sz="8" w:color="ADB1C7"/>
            </w:tcBorders>
          </w:tcPr>
          <w:p>
            <w:pPr>
              <w:spacing w:after="0"/>
              <w:rPr>
                <w:sz w:val="20"/>
                <w:szCs w:val="20"/>
                <w:color w:val="auto"/>
              </w:rPr>
            </w:pPr>
          </w:p>
        </w:tc>
        <w:tc>
          <w:tcPr>
            <w:tcW w:w="70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40" w:type="dxa"/>
            <w:vAlign w:val="bottom"/>
            <w:tcBorders>
              <w:bottom w:val="single" w:sz="8" w:color="ADB1C7"/>
            </w:tcBorders>
          </w:tcPr>
          <w:p>
            <w:pPr>
              <w:spacing w:after="0"/>
              <w:rPr>
                <w:sz w:val="20"/>
                <w:szCs w:val="20"/>
                <w:color w:val="auto"/>
              </w:rPr>
            </w:pPr>
          </w:p>
        </w:tc>
        <w:tc>
          <w:tcPr>
            <w:tcW w:w="700" w:type="dxa"/>
            <w:vAlign w:val="bottom"/>
            <w:tcBorders>
              <w:bottom w:val="single" w:sz="8" w:color="ADB1C7"/>
            </w:tcBorders>
          </w:tcPr>
          <w:p>
            <w:pPr>
              <w:spacing w:after="0"/>
              <w:rPr>
                <w:sz w:val="20"/>
                <w:szCs w:val="20"/>
                <w:color w:val="auto"/>
              </w:rPr>
            </w:pPr>
          </w:p>
        </w:tc>
        <w:tc>
          <w:tcPr>
            <w:tcW w:w="820" w:type="dxa"/>
            <w:vAlign w:val="bottom"/>
            <w:tcBorders>
              <w:bottom w:val="single" w:sz="8" w:color="ADB1C7"/>
            </w:tcBorders>
          </w:tcPr>
          <w:p>
            <w:pPr>
              <w:spacing w:after="0"/>
              <w:rPr>
                <w:sz w:val="20"/>
                <w:szCs w:val="20"/>
                <w:color w:val="auto"/>
              </w:rPr>
            </w:pPr>
          </w:p>
        </w:tc>
        <w:tc>
          <w:tcPr>
            <w:tcW w:w="580" w:type="dxa"/>
            <w:vAlign w:val="bottom"/>
            <w:tcBorders>
              <w:bottom w:val="single" w:sz="8" w:color="ADB1C7"/>
            </w:tcBorders>
          </w:tcPr>
          <w:p>
            <w:pPr>
              <w:spacing w:after="0"/>
              <w:rPr>
                <w:sz w:val="20"/>
                <w:szCs w:val="20"/>
                <w:color w:val="auto"/>
              </w:rPr>
            </w:pPr>
          </w:p>
        </w:tc>
        <w:tc>
          <w:tcPr>
            <w:tcW w:w="74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spacing w:after="0"/>
              <w:rPr>
                <w:sz w:val="20"/>
                <w:szCs w:val="20"/>
                <w:color w:val="auto"/>
              </w:rPr>
            </w:pPr>
          </w:p>
        </w:tc>
      </w:tr>
      <w:tr>
        <w:trPr>
          <w:trHeight w:val="208"/>
        </w:trPr>
        <w:tc>
          <w:tcPr>
            <w:tcW w:w="3480" w:type="dxa"/>
            <w:vAlign w:val="bottom"/>
          </w:tcPr>
          <w:p>
            <w:pPr>
              <w:ind w:left="100"/>
              <w:spacing w:after="0"/>
              <w:rPr>
                <w:sz w:val="20"/>
                <w:szCs w:val="20"/>
                <w:color w:val="auto"/>
              </w:rPr>
            </w:pPr>
            <w:r>
              <w:rPr>
                <w:rFonts w:ascii="Arial" w:cs="Arial" w:eastAsia="Arial" w:hAnsi="Arial"/>
                <w:sz w:val="14"/>
                <w:szCs w:val="14"/>
                <w:color w:val="auto"/>
              </w:rPr>
              <w:t>LGBTQ+</w:t>
            </w: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5"/>
        </w:trPr>
        <w:tc>
          <w:tcPr>
            <w:tcW w:w="3480" w:type="dxa"/>
            <w:vAlign w:val="bottom"/>
            <w:tcBorders>
              <w:bottom w:val="single" w:sz="8" w:color="ADB1C7"/>
            </w:tcBorders>
          </w:tcPr>
          <w:p>
            <w:pPr>
              <w:spacing w:after="0"/>
              <w:rPr>
                <w:sz w:val="3"/>
                <w:szCs w:val="3"/>
                <w:color w:val="auto"/>
              </w:rPr>
            </w:pPr>
          </w:p>
        </w:tc>
        <w:tc>
          <w:tcPr>
            <w:tcW w:w="1240" w:type="dxa"/>
            <w:vAlign w:val="bottom"/>
            <w:tcBorders>
              <w:bottom w:val="single" w:sz="8" w:color="ADB1C7"/>
            </w:tcBorders>
          </w:tcPr>
          <w:p>
            <w:pPr>
              <w:spacing w:after="0"/>
              <w:rPr>
                <w:sz w:val="3"/>
                <w:szCs w:val="3"/>
                <w:color w:val="auto"/>
              </w:rPr>
            </w:pPr>
          </w:p>
        </w:tc>
        <w:tc>
          <w:tcPr>
            <w:tcW w:w="700" w:type="dxa"/>
            <w:vAlign w:val="bottom"/>
            <w:tcBorders>
              <w:bottom w:val="single" w:sz="8" w:color="ADB1C7"/>
            </w:tcBorders>
          </w:tcPr>
          <w:p>
            <w:pPr>
              <w:spacing w:after="0"/>
              <w:rPr>
                <w:sz w:val="3"/>
                <w:szCs w:val="3"/>
                <w:color w:val="auto"/>
              </w:rPr>
            </w:pPr>
          </w:p>
        </w:tc>
        <w:tc>
          <w:tcPr>
            <w:tcW w:w="740" w:type="dxa"/>
            <w:vAlign w:val="bottom"/>
            <w:tcBorders>
              <w:bottom w:val="single" w:sz="8" w:color="ADB1C7"/>
            </w:tcBorders>
          </w:tcPr>
          <w:p>
            <w:pPr>
              <w:spacing w:after="0"/>
              <w:rPr>
                <w:sz w:val="3"/>
                <w:szCs w:val="3"/>
                <w:color w:val="auto"/>
              </w:rPr>
            </w:pPr>
          </w:p>
        </w:tc>
        <w:tc>
          <w:tcPr>
            <w:tcW w:w="700" w:type="dxa"/>
            <w:vAlign w:val="bottom"/>
            <w:tcBorders>
              <w:bottom w:val="single" w:sz="8" w:color="ADB1C7"/>
            </w:tcBorders>
          </w:tcPr>
          <w:p>
            <w:pPr>
              <w:spacing w:after="0"/>
              <w:rPr>
                <w:sz w:val="3"/>
                <w:szCs w:val="3"/>
                <w:color w:val="auto"/>
              </w:rPr>
            </w:pPr>
          </w:p>
        </w:tc>
        <w:tc>
          <w:tcPr>
            <w:tcW w:w="820" w:type="dxa"/>
            <w:vAlign w:val="bottom"/>
            <w:tcBorders>
              <w:bottom w:val="single" w:sz="8" w:color="ADB1C7"/>
            </w:tcBorders>
          </w:tcPr>
          <w:p>
            <w:pPr>
              <w:spacing w:after="0"/>
              <w:rPr>
                <w:sz w:val="3"/>
                <w:szCs w:val="3"/>
                <w:color w:val="auto"/>
              </w:rPr>
            </w:pPr>
          </w:p>
        </w:tc>
        <w:tc>
          <w:tcPr>
            <w:tcW w:w="580" w:type="dxa"/>
            <w:vAlign w:val="bottom"/>
            <w:tcBorders>
              <w:bottom w:val="single" w:sz="8" w:color="ADB1C7"/>
            </w:tcBorders>
          </w:tcPr>
          <w:p>
            <w:pPr>
              <w:spacing w:after="0"/>
              <w:rPr>
                <w:sz w:val="3"/>
                <w:szCs w:val="3"/>
                <w:color w:val="auto"/>
              </w:rPr>
            </w:pPr>
          </w:p>
        </w:tc>
        <w:tc>
          <w:tcPr>
            <w:tcW w:w="74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r>
      <w:tr>
        <w:trPr>
          <w:trHeight w:val="201"/>
        </w:trPr>
        <w:tc>
          <w:tcPr>
            <w:tcW w:w="3480" w:type="dxa"/>
            <w:vAlign w:val="bottom"/>
          </w:tcPr>
          <w:p>
            <w:pPr>
              <w:ind w:left="100"/>
              <w:spacing w:after="0"/>
              <w:rPr>
                <w:sz w:val="20"/>
                <w:szCs w:val="20"/>
                <w:color w:val="auto"/>
              </w:rPr>
            </w:pPr>
            <w:r>
              <w:rPr>
                <w:rFonts w:ascii="Arial" w:cs="Arial" w:eastAsia="Arial" w:hAnsi="Arial"/>
                <w:sz w:val="14"/>
                <w:szCs w:val="14"/>
                <w:color w:val="auto"/>
              </w:rPr>
              <w:t>Did Not Disclose Demographic Background</w:t>
            </w: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5"/>
        </w:trPr>
        <w:tc>
          <w:tcPr>
            <w:tcW w:w="3480" w:type="dxa"/>
            <w:vAlign w:val="bottom"/>
            <w:tcBorders>
              <w:bottom w:val="single" w:sz="8" w:color="ADB1C7"/>
            </w:tcBorders>
          </w:tcPr>
          <w:p>
            <w:pPr>
              <w:spacing w:after="0"/>
              <w:rPr>
                <w:sz w:val="3"/>
                <w:szCs w:val="3"/>
                <w:color w:val="auto"/>
              </w:rPr>
            </w:pPr>
          </w:p>
        </w:tc>
        <w:tc>
          <w:tcPr>
            <w:tcW w:w="1240" w:type="dxa"/>
            <w:vAlign w:val="bottom"/>
            <w:tcBorders>
              <w:bottom w:val="single" w:sz="8" w:color="ADB1C7"/>
            </w:tcBorders>
          </w:tcPr>
          <w:p>
            <w:pPr>
              <w:spacing w:after="0"/>
              <w:rPr>
                <w:sz w:val="3"/>
                <w:szCs w:val="3"/>
                <w:color w:val="auto"/>
              </w:rPr>
            </w:pPr>
          </w:p>
        </w:tc>
        <w:tc>
          <w:tcPr>
            <w:tcW w:w="700" w:type="dxa"/>
            <w:vAlign w:val="bottom"/>
            <w:tcBorders>
              <w:bottom w:val="single" w:sz="8" w:color="ADB1C7"/>
            </w:tcBorders>
          </w:tcPr>
          <w:p>
            <w:pPr>
              <w:spacing w:after="0"/>
              <w:rPr>
                <w:sz w:val="3"/>
                <w:szCs w:val="3"/>
                <w:color w:val="auto"/>
              </w:rPr>
            </w:pPr>
          </w:p>
        </w:tc>
        <w:tc>
          <w:tcPr>
            <w:tcW w:w="740" w:type="dxa"/>
            <w:vAlign w:val="bottom"/>
            <w:tcBorders>
              <w:bottom w:val="single" w:sz="8" w:color="ADB1C7"/>
            </w:tcBorders>
          </w:tcPr>
          <w:p>
            <w:pPr>
              <w:spacing w:after="0"/>
              <w:rPr>
                <w:sz w:val="3"/>
                <w:szCs w:val="3"/>
                <w:color w:val="auto"/>
              </w:rPr>
            </w:pPr>
          </w:p>
        </w:tc>
        <w:tc>
          <w:tcPr>
            <w:tcW w:w="700" w:type="dxa"/>
            <w:vAlign w:val="bottom"/>
            <w:tcBorders>
              <w:bottom w:val="single" w:sz="8" w:color="ADB1C7"/>
            </w:tcBorders>
          </w:tcPr>
          <w:p>
            <w:pPr>
              <w:spacing w:after="0"/>
              <w:rPr>
                <w:sz w:val="3"/>
                <w:szCs w:val="3"/>
                <w:color w:val="auto"/>
              </w:rPr>
            </w:pPr>
          </w:p>
        </w:tc>
        <w:tc>
          <w:tcPr>
            <w:tcW w:w="820" w:type="dxa"/>
            <w:vAlign w:val="bottom"/>
            <w:tcBorders>
              <w:bottom w:val="single" w:sz="8" w:color="ADB1C7"/>
            </w:tcBorders>
          </w:tcPr>
          <w:p>
            <w:pPr>
              <w:spacing w:after="0"/>
              <w:rPr>
                <w:sz w:val="3"/>
                <w:szCs w:val="3"/>
                <w:color w:val="auto"/>
              </w:rPr>
            </w:pPr>
          </w:p>
        </w:tc>
        <w:tc>
          <w:tcPr>
            <w:tcW w:w="580" w:type="dxa"/>
            <w:vAlign w:val="bottom"/>
            <w:tcBorders>
              <w:bottom w:val="single" w:sz="8" w:color="ADB1C7"/>
            </w:tcBorders>
          </w:tcPr>
          <w:p>
            <w:pPr>
              <w:spacing w:after="0"/>
              <w:rPr>
                <w:sz w:val="3"/>
                <w:szCs w:val="3"/>
                <w:color w:val="auto"/>
              </w:rPr>
            </w:pPr>
          </w:p>
        </w:tc>
        <w:tc>
          <w:tcPr>
            <w:tcW w:w="74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c>
          <w:tcPr>
            <w:tcW w:w="720" w:type="dxa"/>
            <w:vAlign w:val="bottom"/>
            <w:tcBorders>
              <w:bottom w:val="single" w:sz="8" w:color="ADB1C7"/>
            </w:tcBorders>
          </w:tcPr>
          <w:p>
            <w:pPr>
              <w:spacing w:after="0"/>
              <w:rPr>
                <w:sz w:val="3"/>
                <w:szCs w:val="3"/>
                <w:color w:val="auto"/>
              </w:rPr>
            </w:pPr>
          </w:p>
        </w:tc>
      </w:tr>
      <w:tr>
        <w:trPr>
          <w:trHeight w:val="230"/>
        </w:trPr>
        <w:tc>
          <w:tcPr>
            <w:tcW w:w="3480" w:type="dxa"/>
            <w:vAlign w:val="bottom"/>
            <w:tcBorders>
              <w:bottom w:val="single" w:sz="8" w:color="ADB1C7"/>
            </w:tcBorders>
          </w:tcPr>
          <w:p>
            <w:pPr>
              <w:ind w:left="100"/>
              <w:spacing w:after="0"/>
              <w:rPr>
                <w:sz w:val="20"/>
                <w:szCs w:val="20"/>
                <w:color w:val="auto"/>
              </w:rPr>
            </w:pPr>
            <w:r>
              <w:rPr>
                <w:rFonts w:ascii="Arial" w:cs="Arial" w:eastAsia="Arial" w:hAnsi="Arial"/>
                <w:sz w:val="14"/>
                <w:szCs w:val="14"/>
                <w:color w:val="auto"/>
              </w:rPr>
              <w:t>Veteran</w:t>
            </w:r>
          </w:p>
        </w:tc>
        <w:tc>
          <w:tcPr>
            <w:tcW w:w="1240" w:type="dxa"/>
            <w:vAlign w:val="bottom"/>
            <w:tcBorders>
              <w:bottom w:val="single" w:sz="8" w:color="ADB1C7"/>
            </w:tcBorders>
          </w:tcPr>
          <w:p>
            <w:pPr>
              <w:spacing w:after="0"/>
              <w:rPr>
                <w:sz w:val="20"/>
                <w:szCs w:val="20"/>
                <w:color w:val="auto"/>
              </w:rPr>
            </w:pPr>
          </w:p>
        </w:tc>
        <w:tc>
          <w:tcPr>
            <w:tcW w:w="700" w:type="dxa"/>
            <w:vAlign w:val="bottom"/>
            <w:tcBorders>
              <w:bottom w:val="single" w:sz="8" w:color="ADB1C7"/>
            </w:tcBorders>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40" w:type="dxa"/>
            <w:vAlign w:val="bottom"/>
            <w:tcBorders>
              <w:bottom w:val="single" w:sz="8" w:color="ADB1C7"/>
            </w:tcBorders>
          </w:tcPr>
          <w:p>
            <w:pPr>
              <w:spacing w:after="0"/>
              <w:rPr>
                <w:sz w:val="20"/>
                <w:szCs w:val="20"/>
                <w:color w:val="auto"/>
              </w:rPr>
            </w:pPr>
          </w:p>
        </w:tc>
        <w:tc>
          <w:tcPr>
            <w:tcW w:w="700" w:type="dxa"/>
            <w:vAlign w:val="bottom"/>
            <w:tcBorders>
              <w:bottom w:val="single" w:sz="8" w:color="ADB1C7"/>
            </w:tcBorders>
          </w:tcPr>
          <w:p>
            <w:pPr>
              <w:spacing w:after="0"/>
              <w:rPr>
                <w:sz w:val="20"/>
                <w:szCs w:val="20"/>
                <w:color w:val="auto"/>
              </w:rPr>
            </w:pPr>
          </w:p>
        </w:tc>
        <w:tc>
          <w:tcPr>
            <w:tcW w:w="820" w:type="dxa"/>
            <w:vAlign w:val="bottom"/>
            <w:tcBorders>
              <w:bottom w:val="single" w:sz="8" w:color="ADB1C7"/>
            </w:tcBorders>
          </w:tcPr>
          <w:p>
            <w:pPr>
              <w:spacing w:after="0"/>
              <w:rPr>
                <w:sz w:val="20"/>
                <w:szCs w:val="20"/>
                <w:color w:val="auto"/>
              </w:rPr>
            </w:pPr>
          </w:p>
        </w:tc>
        <w:tc>
          <w:tcPr>
            <w:tcW w:w="580" w:type="dxa"/>
            <w:vAlign w:val="bottom"/>
            <w:tcBorders>
              <w:bottom w:val="single" w:sz="8" w:color="ADB1C7"/>
            </w:tcBorders>
          </w:tcPr>
          <w:p>
            <w:pPr>
              <w:spacing w:after="0"/>
              <w:rPr>
                <w:sz w:val="20"/>
                <w:szCs w:val="20"/>
                <w:color w:val="auto"/>
              </w:rPr>
            </w:pPr>
          </w:p>
        </w:tc>
        <w:tc>
          <w:tcPr>
            <w:tcW w:w="74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spacing w:after="0"/>
              <w:rPr>
                <w:sz w:val="20"/>
                <w:szCs w:val="20"/>
                <w:color w:val="auto"/>
              </w:rPr>
            </w:pPr>
          </w:p>
        </w:tc>
        <w:tc>
          <w:tcPr>
            <w:tcW w:w="720" w:type="dxa"/>
            <w:vAlign w:val="bottom"/>
            <w:tcBorders>
              <w:bottom w:val="single" w:sz="8" w:color="ADB1C7"/>
            </w:tcBorders>
          </w:tcPr>
          <w:p>
            <w:pPr>
              <w:spacing w:after="0"/>
              <w:rPr>
                <w:sz w:val="20"/>
                <w:szCs w:val="20"/>
                <w:color w:val="auto"/>
              </w:rPr>
            </w:pPr>
          </w:p>
        </w:tc>
      </w:tr>
    </w:tbl>
    <w:p>
      <w:pPr>
        <w:spacing w:after="0" w:line="323"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The Board’s current directors have a balance of age and gender and ethnic diversity that the Board believes provides it with an effective mix of experience and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167640</wp:posOffset>
            </wp:positionV>
            <wp:extent cx="171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201930</wp:posOffset>
            </wp:positionV>
            <wp:extent cx="171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167640</wp:posOffset>
            </wp:positionV>
            <wp:extent cx="1714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201930</wp:posOffset>
            </wp:positionV>
            <wp:extent cx="171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167640</wp:posOffset>
            </wp:positionV>
            <wp:extent cx="171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201930</wp:posOffset>
            </wp:positionV>
            <wp:extent cx="171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167640</wp:posOffset>
            </wp:positionV>
            <wp:extent cx="171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201930</wp:posOffset>
            </wp:positionV>
            <wp:extent cx="171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167640</wp:posOffset>
            </wp:positionV>
            <wp:extent cx="171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201930</wp:posOffset>
            </wp:positionV>
            <wp:extent cx="171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167640</wp:posOffset>
            </wp:positionV>
            <wp:extent cx="1714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201930</wp:posOffset>
            </wp:positionV>
            <wp:extent cx="171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125095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0" w:lineRule="exact"/>
        <w:rPr>
          <w:sz w:val="20"/>
          <w:szCs w:val="20"/>
          <w:color w:val="auto"/>
        </w:rPr>
      </w:pPr>
    </w:p>
    <w:tbl>
      <w:tblPr>
        <w:tblLayout w:type="fixed"/>
        <w:tblInd w:w="1140" w:type="dxa"/>
        <w:tblCellMar>
          <w:top w:w="0" w:type="dxa"/>
          <w:left w:w="0" w:type="dxa"/>
          <w:bottom w:w="0" w:type="dxa"/>
          <w:right w:w="0" w:type="dxa"/>
        </w:tblCellMar>
      </w:tblPr>
      <w:tr>
        <w:trPr>
          <w:trHeight w:val="217"/>
        </w:trPr>
        <w:tc>
          <w:tcPr>
            <w:tcW w:w="2260" w:type="dxa"/>
            <w:vAlign w:val="bottom"/>
          </w:tcPr>
          <w:p>
            <w:pPr>
              <w:jc w:val="center"/>
              <w:ind w:right="917"/>
              <w:spacing w:after="0"/>
              <w:rPr>
                <w:sz w:val="20"/>
                <w:szCs w:val="20"/>
                <w:color w:val="auto"/>
              </w:rPr>
            </w:pPr>
            <w:r>
              <w:rPr>
                <w:rFonts w:ascii="Arial" w:cs="Arial" w:eastAsia="Arial" w:hAnsi="Arial"/>
                <w:sz w:val="18"/>
                <w:szCs w:val="18"/>
                <w:b w:val="1"/>
                <w:bCs w:val="1"/>
                <w:color w:val="EE2724"/>
                <w:w w:val="99"/>
              </w:rPr>
              <w:t>Average Age</w:t>
            </w:r>
          </w:p>
        </w:tc>
        <w:tc>
          <w:tcPr>
            <w:tcW w:w="4300" w:type="dxa"/>
            <w:vAlign w:val="bottom"/>
          </w:tcPr>
          <w:p>
            <w:pPr>
              <w:jc w:val="center"/>
              <w:spacing w:after="0"/>
              <w:rPr>
                <w:sz w:val="20"/>
                <w:szCs w:val="20"/>
                <w:color w:val="auto"/>
              </w:rPr>
            </w:pPr>
            <w:r>
              <w:rPr>
                <w:rFonts w:ascii="Arial" w:cs="Arial" w:eastAsia="Arial" w:hAnsi="Arial"/>
                <w:sz w:val="18"/>
                <w:szCs w:val="18"/>
                <w:b w:val="1"/>
                <w:bCs w:val="1"/>
                <w:color w:val="EF3B35"/>
                <w:w w:val="99"/>
              </w:rPr>
              <w:t>Gender Diversity</w:t>
            </w:r>
          </w:p>
        </w:tc>
        <w:tc>
          <w:tcPr>
            <w:tcW w:w="2480" w:type="dxa"/>
            <w:vAlign w:val="bottom"/>
          </w:tcPr>
          <w:p>
            <w:pPr>
              <w:jc w:val="center"/>
              <w:ind w:left="883"/>
              <w:spacing w:after="0"/>
              <w:rPr>
                <w:sz w:val="20"/>
                <w:szCs w:val="20"/>
                <w:color w:val="auto"/>
              </w:rPr>
            </w:pPr>
            <w:r>
              <w:rPr>
                <w:rFonts w:ascii="Arial" w:cs="Arial" w:eastAsia="Arial" w:hAnsi="Arial"/>
                <w:sz w:val="18"/>
                <w:szCs w:val="18"/>
                <w:b w:val="1"/>
                <w:bCs w:val="1"/>
                <w:color w:val="EF3B35"/>
                <w:w w:val="99"/>
              </w:rPr>
              <w:t>Ethnic Diversity</w:t>
            </w:r>
          </w:p>
        </w:tc>
        <w:tc>
          <w:tcPr>
            <w:tcW w:w="0" w:type="dxa"/>
            <w:vAlign w:val="bottom"/>
          </w:tcPr>
          <w:p>
            <w:pPr>
              <w:spacing w:after="0"/>
              <w:rPr>
                <w:sz w:val="1"/>
                <w:szCs w:val="1"/>
                <w:color w:val="auto"/>
              </w:rPr>
            </w:pPr>
          </w:p>
        </w:tc>
      </w:tr>
      <w:tr>
        <w:trPr>
          <w:trHeight w:val="477"/>
        </w:trPr>
        <w:tc>
          <w:tcPr>
            <w:tcW w:w="2260" w:type="dxa"/>
            <w:vAlign w:val="bottom"/>
          </w:tcPr>
          <w:p>
            <w:pPr>
              <w:jc w:val="right"/>
              <w:ind w:right="1317"/>
              <w:spacing w:after="0"/>
              <w:rPr>
                <w:sz w:val="20"/>
                <w:szCs w:val="20"/>
                <w:color w:val="auto"/>
              </w:rPr>
            </w:pPr>
            <w:r>
              <w:rPr>
                <w:rFonts w:ascii="Arial" w:cs="Arial" w:eastAsia="Arial" w:hAnsi="Arial"/>
                <w:sz w:val="40"/>
                <w:szCs w:val="40"/>
                <w:color w:val="1B4093"/>
              </w:rPr>
              <w:t>62</w:t>
            </w:r>
          </w:p>
        </w:tc>
        <w:tc>
          <w:tcPr>
            <w:tcW w:w="4300" w:type="dxa"/>
            <w:vAlign w:val="bottom"/>
          </w:tcPr>
          <w:p>
            <w:pPr>
              <w:jc w:val="center"/>
              <w:spacing w:after="0"/>
              <w:rPr>
                <w:sz w:val="20"/>
                <w:szCs w:val="20"/>
                <w:color w:val="auto"/>
              </w:rPr>
            </w:pPr>
            <w:r>
              <w:rPr>
                <w:rFonts w:ascii="Arial" w:cs="Arial" w:eastAsia="Arial" w:hAnsi="Arial"/>
                <w:sz w:val="40"/>
                <w:szCs w:val="40"/>
                <w:color w:val="1B4093"/>
                <w:w w:val="97"/>
              </w:rPr>
              <w:t>30%</w:t>
            </w:r>
          </w:p>
        </w:tc>
        <w:tc>
          <w:tcPr>
            <w:tcW w:w="2480" w:type="dxa"/>
            <w:vAlign w:val="bottom"/>
          </w:tcPr>
          <w:p>
            <w:pPr>
              <w:jc w:val="center"/>
              <w:ind w:left="883"/>
              <w:spacing w:after="0"/>
              <w:rPr>
                <w:sz w:val="20"/>
                <w:szCs w:val="20"/>
                <w:color w:val="auto"/>
              </w:rPr>
            </w:pPr>
            <w:r>
              <w:rPr>
                <w:rFonts w:ascii="Arial" w:cs="Arial" w:eastAsia="Arial" w:hAnsi="Arial"/>
                <w:sz w:val="40"/>
                <w:szCs w:val="40"/>
                <w:color w:val="1B4093"/>
                <w:w w:val="99"/>
              </w:rPr>
              <w:t>20%</w:t>
            </w:r>
          </w:p>
        </w:tc>
        <w:tc>
          <w:tcPr>
            <w:tcW w:w="0" w:type="dxa"/>
            <w:vAlign w:val="bottom"/>
          </w:tcPr>
          <w:p>
            <w:pPr>
              <w:spacing w:after="0"/>
              <w:rPr>
                <w:sz w:val="1"/>
                <w:szCs w:val="1"/>
                <w:color w:val="auto"/>
              </w:rPr>
            </w:pPr>
          </w:p>
        </w:tc>
      </w:tr>
      <w:tr>
        <w:trPr>
          <w:trHeight w:val="215"/>
        </w:trPr>
        <w:tc>
          <w:tcPr>
            <w:tcW w:w="2260" w:type="dxa"/>
            <w:vAlign w:val="bottom"/>
          </w:tcPr>
          <w:p>
            <w:pPr>
              <w:jc w:val="center"/>
              <w:ind w:right="917"/>
              <w:spacing w:after="0"/>
              <w:rPr>
                <w:sz w:val="20"/>
                <w:szCs w:val="20"/>
                <w:color w:val="auto"/>
              </w:rPr>
            </w:pPr>
            <w:r>
              <w:rPr>
                <w:rFonts w:ascii="Arial" w:cs="Arial" w:eastAsia="Arial" w:hAnsi="Arial"/>
                <w:sz w:val="16"/>
                <w:szCs w:val="16"/>
                <w:color w:val="auto"/>
              </w:rPr>
              <w:t>Years</w:t>
            </w:r>
          </w:p>
        </w:tc>
        <w:tc>
          <w:tcPr>
            <w:tcW w:w="4300" w:type="dxa"/>
            <w:vAlign w:val="bottom"/>
          </w:tcPr>
          <w:p>
            <w:pPr>
              <w:jc w:val="center"/>
              <w:spacing w:after="0"/>
              <w:rPr>
                <w:sz w:val="20"/>
                <w:szCs w:val="20"/>
                <w:color w:val="auto"/>
              </w:rPr>
            </w:pPr>
            <w:r>
              <w:rPr>
                <w:rFonts w:ascii="Arial" w:cs="Arial" w:eastAsia="Arial" w:hAnsi="Arial"/>
                <w:sz w:val="16"/>
                <w:szCs w:val="16"/>
                <w:color w:val="auto"/>
              </w:rPr>
              <w:t>3 Women</w:t>
            </w:r>
          </w:p>
        </w:tc>
        <w:tc>
          <w:tcPr>
            <w:tcW w:w="2480" w:type="dxa"/>
            <w:vAlign w:val="bottom"/>
          </w:tcPr>
          <w:p>
            <w:pPr>
              <w:jc w:val="center"/>
              <w:ind w:left="883"/>
              <w:spacing w:after="0"/>
              <w:rPr>
                <w:sz w:val="20"/>
                <w:szCs w:val="20"/>
                <w:color w:val="auto"/>
              </w:rPr>
            </w:pPr>
            <w:r>
              <w:rPr>
                <w:rFonts w:ascii="Arial" w:cs="Arial" w:eastAsia="Arial" w:hAnsi="Arial"/>
                <w:sz w:val="16"/>
                <w:szCs w:val="16"/>
                <w:color w:val="auto"/>
              </w:rPr>
              <w:t>2 Minorities</w:t>
            </w:r>
          </w:p>
        </w:tc>
        <w:tc>
          <w:tcPr>
            <w:tcW w:w="0" w:type="dxa"/>
            <w:vAlign w:val="bottom"/>
          </w:tcPr>
          <w:p>
            <w:pPr>
              <w:spacing w:after="0"/>
              <w:rPr>
                <w:sz w:val="1"/>
                <w:szCs w:val="1"/>
                <w:color w:val="auto"/>
              </w:rPr>
            </w:pPr>
          </w:p>
        </w:tc>
      </w:tr>
      <w:tr>
        <w:trPr>
          <w:trHeight w:val="726"/>
        </w:trPr>
        <w:tc>
          <w:tcPr>
            <w:tcW w:w="2260" w:type="dxa"/>
            <w:vAlign w:val="bottom"/>
            <w:vMerge w:val="restart"/>
          </w:tcPr>
          <w:p>
            <w:pPr>
              <w:jc w:val="center"/>
              <w:ind w:right="917"/>
              <w:spacing w:after="0"/>
              <w:rPr>
                <w:sz w:val="20"/>
                <w:szCs w:val="20"/>
                <w:color w:val="auto"/>
              </w:rPr>
            </w:pPr>
            <w:r>
              <w:rPr>
                <w:rFonts w:ascii="Arial" w:cs="Arial" w:eastAsia="Arial" w:hAnsi="Arial"/>
                <w:sz w:val="18"/>
                <w:szCs w:val="18"/>
                <w:b w:val="1"/>
                <w:bCs w:val="1"/>
                <w:color w:val="EE2724"/>
              </w:rPr>
              <w:t>Independence</w:t>
            </w:r>
          </w:p>
        </w:tc>
        <w:tc>
          <w:tcPr>
            <w:tcW w:w="4300" w:type="dxa"/>
            <w:vAlign w:val="bottom"/>
            <w:vMerge w:val="restart"/>
          </w:tcPr>
          <w:p>
            <w:pPr>
              <w:jc w:val="center"/>
              <w:spacing w:after="0"/>
              <w:rPr>
                <w:sz w:val="20"/>
                <w:szCs w:val="20"/>
                <w:color w:val="auto"/>
              </w:rPr>
            </w:pPr>
            <w:r>
              <w:rPr>
                <w:rFonts w:ascii="Arial" w:cs="Arial" w:eastAsia="Arial" w:hAnsi="Arial"/>
                <w:sz w:val="18"/>
                <w:szCs w:val="18"/>
                <w:b w:val="1"/>
                <w:bCs w:val="1"/>
                <w:color w:val="EF3B35"/>
              </w:rPr>
              <w:t>Committee Chair Diversity</w:t>
            </w:r>
          </w:p>
        </w:tc>
        <w:tc>
          <w:tcPr>
            <w:tcW w:w="2480" w:type="dxa"/>
            <w:vAlign w:val="bottom"/>
          </w:tcPr>
          <w:p>
            <w:pPr>
              <w:jc w:val="center"/>
              <w:ind w:left="863"/>
              <w:spacing w:after="0"/>
              <w:rPr>
                <w:sz w:val="20"/>
                <w:szCs w:val="20"/>
                <w:color w:val="auto"/>
              </w:rPr>
            </w:pPr>
            <w:r>
              <w:rPr>
                <w:rFonts w:ascii="Arial" w:cs="Arial" w:eastAsia="Arial" w:hAnsi="Arial"/>
                <w:sz w:val="18"/>
                <w:szCs w:val="18"/>
                <w:b w:val="1"/>
                <w:bCs w:val="1"/>
                <w:color w:val="EF3B35"/>
                <w:w w:val="99"/>
              </w:rPr>
              <w:t>Overall Diversity</w:t>
            </w:r>
          </w:p>
        </w:tc>
        <w:tc>
          <w:tcPr>
            <w:tcW w:w="0" w:type="dxa"/>
            <w:vAlign w:val="bottom"/>
          </w:tcPr>
          <w:p>
            <w:pPr>
              <w:spacing w:after="0"/>
              <w:rPr>
                <w:sz w:val="1"/>
                <w:szCs w:val="1"/>
                <w:color w:val="auto"/>
              </w:rPr>
            </w:pPr>
          </w:p>
        </w:tc>
      </w:tr>
      <w:tr>
        <w:trPr>
          <w:trHeight w:val="95"/>
        </w:trPr>
        <w:tc>
          <w:tcPr>
            <w:tcW w:w="2260" w:type="dxa"/>
            <w:vAlign w:val="bottom"/>
            <w:vMerge w:val="continue"/>
          </w:tcPr>
          <w:p>
            <w:pPr>
              <w:spacing w:after="0"/>
              <w:rPr>
                <w:sz w:val="8"/>
                <w:szCs w:val="8"/>
                <w:color w:val="auto"/>
              </w:rPr>
            </w:pPr>
          </w:p>
        </w:tc>
        <w:tc>
          <w:tcPr>
            <w:tcW w:w="4300" w:type="dxa"/>
            <w:vAlign w:val="bottom"/>
            <w:vMerge w:val="continue"/>
          </w:tcPr>
          <w:p>
            <w:pPr>
              <w:spacing w:after="0"/>
              <w:rPr>
                <w:sz w:val="8"/>
                <w:szCs w:val="8"/>
                <w:color w:val="auto"/>
              </w:rPr>
            </w:pPr>
          </w:p>
        </w:tc>
        <w:tc>
          <w:tcPr>
            <w:tcW w:w="2480" w:type="dxa"/>
            <w:vAlign w:val="bottom"/>
            <w:vMerge w:val="restart"/>
          </w:tcPr>
          <w:p>
            <w:pPr>
              <w:jc w:val="center"/>
              <w:ind w:left="883"/>
              <w:spacing w:after="0"/>
              <w:rPr>
                <w:sz w:val="20"/>
                <w:szCs w:val="20"/>
                <w:color w:val="auto"/>
              </w:rPr>
            </w:pPr>
            <w:r>
              <w:rPr>
                <w:rFonts w:ascii="Arial" w:cs="Arial" w:eastAsia="Arial" w:hAnsi="Arial"/>
                <w:sz w:val="40"/>
                <w:szCs w:val="40"/>
                <w:color w:val="1B4093"/>
                <w:w w:val="99"/>
              </w:rPr>
              <w:t>50%</w:t>
            </w:r>
          </w:p>
        </w:tc>
        <w:tc>
          <w:tcPr>
            <w:tcW w:w="0" w:type="dxa"/>
            <w:vAlign w:val="bottom"/>
          </w:tcPr>
          <w:p>
            <w:pPr>
              <w:spacing w:after="0"/>
              <w:rPr>
                <w:sz w:val="1"/>
                <w:szCs w:val="1"/>
                <w:color w:val="auto"/>
              </w:rPr>
            </w:pPr>
          </w:p>
        </w:tc>
      </w:tr>
      <w:tr>
        <w:trPr>
          <w:trHeight w:val="396"/>
        </w:trPr>
        <w:tc>
          <w:tcPr>
            <w:tcW w:w="2260" w:type="dxa"/>
            <w:vAlign w:val="bottom"/>
          </w:tcPr>
          <w:p>
            <w:pPr>
              <w:jc w:val="right"/>
              <w:ind w:right="1137"/>
              <w:spacing w:after="0" w:line="395" w:lineRule="exact"/>
              <w:rPr>
                <w:sz w:val="20"/>
                <w:szCs w:val="20"/>
                <w:color w:val="auto"/>
              </w:rPr>
            </w:pPr>
            <w:r>
              <w:rPr>
                <w:rFonts w:ascii="Arial" w:cs="Arial" w:eastAsia="Arial" w:hAnsi="Arial"/>
                <w:sz w:val="40"/>
                <w:szCs w:val="40"/>
                <w:color w:val="1B4093"/>
              </w:rPr>
              <w:t>80%</w:t>
            </w:r>
          </w:p>
        </w:tc>
        <w:tc>
          <w:tcPr>
            <w:tcW w:w="4300" w:type="dxa"/>
            <w:vAlign w:val="bottom"/>
          </w:tcPr>
          <w:p>
            <w:pPr>
              <w:jc w:val="center"/>
              <w:spacing w:after="0" w:line="395" w:lineRule="exact"/>
              <w:rPr>
                <w:sz w:val="20"/>
                <w:szCs w:val="20"/>
                <w:color w:val="auto"/>
              </w:rPr>
            </w:pPr>
            <w:r>
              <w:rPr>
                <w:rFonts w:ascii="Arial" w:cs="Arial" w:eastAsia="Arial" w:hAnsi="Arial"/>
                <w:sz w:val="40"/>
                <w:szCs w:val="40"/>
                <w:color w:val="1B4093"/>
                <w:w w:val="97"/>
              </w:rPr>
              <w:t>2 of 3</w:t>
            </w:r>
          </w:p>
        </w:tc>
        <w:tc>
          <w:tcPr>
            <w:tcW w:w="2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jc w:val="center"/>
              <w:ind w:right="917"/>
              <w:spacing w:after="0"/>
              <w:rPr>
                <w:sz w:val="20"/>
                <w:szCs w:val="20"/>
                <w:color w:val="auto"/>
              </w:rPr>
            </w:pPr>
            <w:r>
              <w:rPr>
                <w:rFonts w:ascii="Arial" w:cs="Arial" w:eastAsia="Arial" w:hAnsi="Arial"/>
                <w:sz w:val="16"/>
                <w:szCs w:val="16"/>
                <w:color w:val="auto"/>
              </w:rPr>
              <w:t>8 Directors</w:t>
            </w:r>
          </w:p>
        </w:tc>
        <w:tc>
          <w:tcPr>
            <w:tcW w:w="4300" w:type="dxa"/>
            <w:vAlign w:val="bottom"/>
            <w:vMerge w:val="restart"/>
          </w:tcPr>
          <w:p>
            <w:pPr>
              <w:jc w:val="center"/>
              <w:spacing w:after="0"/>
              <w:rPr>
                <w:sz w:val="20"/>
                <w:szCs w:val="20"/>
                <w:color w:val="auto"/>
              </w:rPr>
            </w:pPr>
            <w:r>
              <w:rPr>
                <w:rFonts w:ascii="Arial" w:cs="Arial" w:eastAsia="Arial" w:hAnsi="Arial"/>
                <w:sz w:val="16"/>
                <w:szCs w:val="16"/>
                <w:color w:val="auto"/>
              </w:rPr>
              <w:t>Committee Chairs are Women</w:t>
            </w:r>
          </w:p>
        </w:tc>
        <w:tc>
          <w:tcPr>
            <w:tcW w:w="2480" w:type="dxa"/>
            <w:vAlign w:val="bottom"/>
          </w:tcPr>
          <w:p>
            <w:pPr>
              <w:jc w:val="center"/>
              <w:ind w:left="883"/>
              <w:spacing w:after="0" w:line="175" w:lineRule="exact"/>
              <w:rPr>
                <w:sz w:val="20"/>
                <w:szCs w:val="20"/>
                <w:color w:val="auto"/>
              </w:rPr>
            </w:pPr>
            <w:r>
              <w:rPr>
                <w:rFonts w:ascii="Arial" w:cs="Arial" w:eastAsia="Arial" w:hAnsi="Arial"/>
                <w:sz w:val="16"/>
                <w:szCs w:val="16"/>
                <w:color w:val="auto"/>
              </w:rPr>
              <w:t>5 Directors who are</w:t>
            </w:r>
          </w:p>
        </w:tc>
        <w:tc>
          <w:tcPr>
            <w:tcW w:w="0" w:type="dxa"/>
            <w:vAlign w:val="bottom"/>
          </w:tcPr>
          <w:p>
            <w:pPr>
              <w:spacing w:after="0"/>
              <w:rPr>
                <w:sz w:val="1"/>
                <w:szCs w:val="1"/>
                <w:color w:val="auto"/>
              </w:rPr>
            </w:pPr>
          </w:p>
        </w:tc>
      </w:tr>
      <w:tr>
        <w:trPr>
          <w:trHeight w:val="120"/>
        </w:trPr>
        <w:tc>
          <w:tcPr>
            <w:tcW w:w="2260" w:type="dxa"/>
            <w:vAlign w:val="bottom"/>
            <w:vMerge w:val="continue"/>
          </w:tcPr>
          <w:p>
            <w:pPr>
              <w:spacing w:after="0"/>
              <w:rPr>
                <w:sz w:val="10"/>
                <w:szCs w:val="10"/>
                <w:color w:val="auto"/>
              </w:rPr>
            </w:pPr>
          </w:p>
        </w:tc>
        <w:tc>
          <w:tcPr>
            <w:tcW w:w="4300" w:type="dxa"/>
            <w:vAlign w:val="bottom"/>
            <w:vMerge w:val="continue"/>
          </w:tcPr>
          <w:p>
            <w:pPr>
              <w:spacing w:after="0"/>
              <w:rPr>
                <w:sz w:val="10"/>
                <w:szCs w:val="10"/>
                <w:color w:val="auto"/>
              </w:rPr>
            </w:pPr>
          </w:p>
        </w:tc>
        <w:tc>
          <w:tcPr>
            <w:tcW w:w="2480" w:type="dxa"/>
            <w:vAlign w:val="bottom"/>
            <w:vMerge w:val="restart"/>
          </w:tcPr>
          <w:p>
            <w:pPr>
              <w:jc w:val="center"/>
              <w:ind w:left="883"/>
              <w:spacing w:after="0"/>
              <w:rPr>
                <w:sz w:val="20"/>
                <w:szCs w:val="20"/>
                <w:color w:val="auto"/>
              </w:rPr>
            </w:pPr>
            <w:r>
              <w:rPr>
                <w:rFonts w:ascii="Arial" w:cs="Arial" w:eastAsia="Arial" w:hAnsi="Arial"/>
                <w:sz w:val="16"/>
                <w:szCs w:val="16"/>
                <w:color w:val="auto"/>
              </w:rPr>
              <w:t>Women or Minorities</w:t>
            </w:r>
          </w:p>
        </w:tc>
        <w:tc>
          <w:tcPr>
            <w:tcW w:w="0" w:type="dxa"/>
            <w:vAlign w:val="bottom"/>
          </w:tcPr>
          <w:p>
            <w:pPr>
              <w:spacing w:after="0"/>
              <w:rPr>
                <w:sz w:val="1"/>
                <w:szCs w:val="1"/>
                <w:color w:val="auto"/>
              </w:rPr>
            </w:pPr>
          </w:p>
        </w:tc>
      </w:tr>
      <w:tr>
        <w:trPr>
          <w:trHeight w:val="95"/>
        </w:trPr>
        <w:tc>
          <w:tcPr>
            <w:tcW w:w="226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-786765</wp:posOffset>
            </wp:positionV>
            <wp:extent cx="7115175" cy="8997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8997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-1575435</wp:posOffset>
            </wp:positionV>
            <wp:extent cx="7115175" cy="668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6686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798195</wp:posOffset>
            </wp:positionV>
            <wp:extent cx="857250"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007EC4"/>
        </w:rPr>
        <w:t xml:space="preserve">10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Nominees for Election to the Board of Directors</w:t>
      </w:r>
    </w:p>
    <w:p>
      <w:pPr>
        <w:spacing w:after="0" w:line="112" w:lineRule="exact"/>
        <w:rPr>
          <w:sz w:val="20"/>
          <w:szCs w:val="20"/>
          <w:color w:val="auto"/>
        </w:rPr>
      </w:pPr>
    </w:p>
    <w:p>
      <w:pPr>
        <w:jc w:val="both"/>
        <w:ind w:right="80"/>
        <w:spacing w:after="0" w:line="285" w:lineRule="auto"/>
        <w:rPr>
          <w:sz w:val="20"/>
          <w:szCs w:val="20"/>
          <w:color w:val="auto"/>
        </w:rPr>
      </w:pPr>
      <w:r>
        <w:rPr>
          <w:rFonts w:ascii="Arial" w:cs="Arial" w:eastAsia="Arial" w:hAnsi="Arial"/>
          <w:sz w:val="16"/>
          <w:szCs w:val="16"/>
          <w:color w:val="auto"/>
        </w:rPr>
        <w:t>Set forth below is certain information regarding each Class II Director nominee. Beneficial ownership of equity securities of the Class II Director nominees is shown under “Ownership of Securities” below</w:t>
      </w:r>
      <w:r>
        <w:rPr>
          <w:rFonts w:ascii="Arial" w:cs="Arial" w:eastAsia="Arial" w:hAnsi="Arial"/>
          <w:sz w:val="17"/>
          <w:szCs w:val="17"/>
          <w:color w:val="auto"/>
        </w:rPr>
        <w:t>.</w:t>
      </w:r>
      <w:r>
        <w:rPr>
          <w:rFonts w:ascii="Arial" w:cs="Arial" w:eastAsia="Arial" w:hAnsi="Arial"/>
          <w:sz w:val="16"/>
          <w:szCs w:val="16"/>
          <w:color w:val="auto"/>
        </w:rPr>
        <w:t xml:space="preserve"> Ms. Beck was recommended to the Board by a third-party search firm and Ms. Turney was recommended to the Board by an independent director.</w:t>
      </w:r>
    </w:p>
    <w:p>
      <w:pPr>
        <w:spacing w:after="0" w:line="127"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EE2724"/>
        </w:rPr>
        <w:t>Wendy A. Beck</w:t>
      </w:r>
    </w:p>
    <w:p>
      <w:pPr>
        <w:spacing w:after="0" w:line="99" w:lineRule="exact"/>
        <w:rPr>
          <w:sz w:val="20"/>
          <w:szCs w:val="20"/>
          <w:color w:val="auto"/>
        </w:rPr>
      </w:pPr>
    </w:p>
    <w:p>
      <w:pPr>
        <w:ind w:left="3000"/>
        <w:spacing w:after="0"/>
        <w:tabs>
          <w:tab w:leader="none" w:pos="7300" w:val="left"/>
          <w:tab w:leader="none" w:pos="9920" w:val="left"/>
        </w:tabs>
        <w:rPr>
          <w:sz w:val="20"/>
          <w:szCs w:val="20"/>
          <w:color w:val="auto"/>
        </w:rPr>
      </w:pPr>
      <w:r>
        <w:rPr>
          <w:rFonts w:ascii="Arial" w:cs="Arial" w:eastAsia="Arial" w:hAnsi="Arial"/>
          <w:sz w:val="16"/>
          <w:szCs w:val="16"/>
          <w:b w:val="1"/>
          <w:bCs w:val="1"/>
          <w:color w:val="0094FF"/>
        </w:rPr>
        <w:t xml:space="preserve">Director since: </w:t>
      </w:r>
      <w:r>
        <w:rPr>
          <w:rFonts w:ascii="Arial" w:cs="Arial" w:eastAsia="Arial" w:hAnsi="Arial"/>
          <w:sz w:val="16"/>
          <w:szCs w:val="16"/>
          <w:b w:val="1"/>
          <w:bCs w:val="1"/>
          <w:color w:val="000000"/>
        </w:rPr>
        <w:t>December 2020</w:t>
      </w:r>
      <w:r>
        <w:rPr>
          <w:sz w:val="20"/>
          <w:szCs w:val="20"/>
          <w:color w:val="auto"/>
        </w:rPr>
        <w:tab/>
      </w:r>
      <w:r>
        <w:rPr>
          <w:rFonts w:ascii="Arial" w:cs="Arial" w:eastAsia="Arial" w:hAnsi="Arial"/>
          <w:sz w:val="16"/>
          <w:szCs w:val="16"/>
          <w:b w:val="1"/>
          <w:bCs w:val="1"/>
          <w:color w:val="0094FF"/>
        </w:rPr>
        <w:t xml:space="preserve">Independent: </w:t>
      </w:r>
      <w:r>
        <w:rPr>
          <w:rFonts w:ascii="Arial" w:cs="Arial" w:eastAsia="Arial" w:hAnsi="Arial"/>
          <w:sz w:val="16"/>
          <w:szCs w:val="16"/>
          <w:b w:val="1"/>
          <w:bCs w:val="1"/>
          <w:color w:val="000000"/>
        </w:rPr>
        <w:t>Yes</w:t>
      </w:r>
      <w:r>
        <w:rPr>
          <w:sz w:val="20"/>
          <w:szCs w:val="20"/>
          <w:color w:val="auto"/>
        </w:rPr>
        <w:tab/>
      </w:r>
      <w:r>
        <w:rPr>
          <w:rFonts w:ascii="Arial" w:cs="Arial" w:eastAsia="Arial" w:hAnsi="Arial"/>
          <w:sz w:val="16"/>
          <w:szCs w:val="16"/>
          <w:b w:val="1"/>
          <w:bCs w:val="1"/>
          <w:color w:val="0094FF"/>
        </w:rPr>
        <w:t xml:space="preserve">Age: </w:t>
      </w:r>
      <w:r>
        <w:rPr>
          <w:rFonts w:ascii="Arial" w:cs="Arial" w:eastAsia="Arial" w:hAnsi="Arial"/>
          <w:sz w:val="16"/>
          <w:szCs w:val="16"/>
          <w:b w:val="1"/>
          <w:bCs w:val="1"/>
          <w:color w:val="00000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46355</wp:posOffset>
            </wp:positionV>
            <wp:extent cx="52463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pacing w:after="0" w:line="8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0094FF"/>
        </w:rPr>
        <w:t xml:space="preserve">Committee Memberships: </w:t>
      </w:r>
      <w:r>
        <w:rPr>
          <w:rFonts w:ascii="Arial" w:cs="Arial" w:eastAsia="Arial" w:hAnsi="Arial"/>
          <w:sz w:val="16"/>
          <w:szCs w:val="16"/>
          <w:b w:val="1"/>
          <w:bCs w:val="1"/>
          <w:color w:val="000000"/>
        </w:rPr>
        <w:t>Audit; Nominating &amp; Governance (Chair)</w:t>
      </w:r>
    </w:p>
    <w:p>
      <w:pPr>
        <w:spacing w:after="0" w:line="91" w:lineRule="exact"/>
        <w:rPr>
          <w:sz w:val="20"/>
          <w:szCs w:val="20"/>
          <w:color w:val="auto"/>
        </w:rPr>
      </w:pPr>
    </w:p>
    <w:p>
      <w:pPr>
        <w:ind w:left="3000"/>
        <w:spacing w:after="0" w:line="261" w:lineRule="auto"/>
        <w:rPr>
          <w:sz w:val="20"/>
          <w:szCs w:val="20"/>
          <w:color w:val="auto"/>
        </w:rPr>
      </w:pPr>
      <w:r>
        <w:rPr>
          <w:rFonts w:ascii="Arial" w:cs="Arial" w:eastAsia="Arial" w:hAnsi="Arial"/>
          <w:sz w:val="14"/>
          <w:szCs w:val="14"/>
          <w:color w:val="auto"/>
        </w:rPr>
        <w:t>Wendy A. Beck has served on the Board and the Audit Committee since December 2020 and as a member and the Chair of the Nominating &amp; Governance Committee since May 2021. Ms. Beck most recently served as Executive Vice President and Chief Financial Officer for Norwegian Cruise Line Holdings, Inc., from September 2010 until March 2018. Prior to that, Ms. Beck served as Executive Vice President and Chief Financial Officer of Domino’s Pizza Inc. from 2008 until 2010, as Senior Vice President, Chief Financial Officer and Treasurer of Whataburger Restaurants, LP from 2004 until 2008 and as their Vice President and Chief Accounting Officer from 2001 through 2004, and as Vice President, Chief Financial Officer, and Treasurer of Checkers Drive-In Restaurants, Inc. from 2000 through 2001. Ms. Beck has served on the Board of Directors of Traeger, Inc., including on its Audit Committee and its Nominating and Corporate Governance Committee since July 2021, and on the Board of Directors of Bloomin’ Brands, Inc. since February 2018, including on its Compensation Committee. Ms. Beck served on the Board of Directors and chaired the Audit Committee of At Home Group Inc. from September 2014 until July 2021, and on the Board of Directors and the Audit Committee of SpartanNash Company from September 2010 until December 2013. She is a graduate of the University of South Florida with a Bachelor of Science in Accounting and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-1096010</wp:posOffset>
            </wp:positionV>
            <wp:extent cx="1200150" cy="12001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0" cy="1200150"/>
                    </a:xfrm>
                    <a:prstGeom prst="rect">
                      <a:avLst/>
                    </a:prstGeom>
                    <a:noFill/>
                  </pic:spPr>
                </pic:pic>
              </a:graphicData>
            </a:graphic>
          </wp:anchor>
        </w:drawing>
      </w:r>
    </w:p>
    <w:p>
      <w:pPr>
        <w:spacing w:after="0" w:line="201" w:lineRule="exact"/>
        <w:rPr>
          <w:sz w:val="20"/>
          <w:szCs w:val="20"/>
          <w:color w:val="auto"/>
        </w:rPr>
      </w:pPr>
    </w:p>
    <w:p>
      <w:pPr>
        <w:ind w:left="3000" w:right="660"/>
        <w:spacing w:after="0" w:line="277" w:lineRule="auto"/>
        <w:rPr>
          <w:sz w:val="20"/>
          <w:szCs w:val="20"/>
          <w:color w:val="auto"/>
        </w:rPr>
      </w:pPr>
      <w:r>
        <w:rPr>
          <w:rFonts w:ascii="Arial" w:cs="Arial" w:eastAsia="Arial" w:hAnsi="Arial"/>
          <w:sz w:val="14"/>
          <w:szCs w:val="14"/>
          <w:b w:val="1"/>
          <w:bCs w:val="1"/>
          <w:color w:val="auto"/>
        </w:rPr>
        <w:t>The Board selected Ms. Beck to serve as a director based on her board, executive leadership and management experience related to the retail industry, which includes governance, strategic, supply chain, logistics, talent management, technology, cybersecurity and extensive accounting and financial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EE2724"/>
        </w:rPr>
        <w:t>Sharen J. Turney</w:t>
      </w:r>
    </w:p>
    <w:p>
      <w:pPr>
        <w:spacing w:after="0" w:line="99" w:lineRule="exact"/>
        <w:rPr>
          <w:sz w:val="20"/>
          <w:szCs w:val="20"/>
          <w:color w:val="auto"/>
        </w:rPr>
      </w:pPr>
    </w:p>
    <w:p>
      <w:pPr>
        <w:ind w:left="3000"/>
        <w:spacing w:after="0"/>
        <w:tabs>
          <w:tab w:leader="none" w:pos="7300" w:val="left"/>
          <w:tab w:leader="none" w:pos="9920" w:val="left"/>
        </w:tabs>
        <w:rPr>
          <w:sz w:val="20"/>
          <w:szCs w:val="20"/>
          <w:color w:val="auto"/>
        </w:rPr>
      </w:pPr>
      <w:r>
        <w:rPr>
          <w:rFonts w:ascii="Arial" w:cs="Arial" w:eastAsia="Arial" w:hAnsi="Arial"/>
          <w:sz w:val="16"/>
          <w:szCs w:val="16"/>
          <w:b w:val="1"/>
          <w:bCs w:val="1"/>
          <w:color w:val="0094FF"/>
        </w:rPr>
        <w:t xml:space="preserve">Director since: </w:t>
      </w:r>
      <w:r>
        <w:rPr>
          <w:rFonts w:ascii="Arial" w:cs="Arial" w:eastAsia="Arial" w:hAnsi="Arial"/>
          <w:sz w:val="16"/>
          <w:szCs w:val="16"/>
          <w:b w:val="1"/>
          <w:bCs w:val="1"/>
          <w:color w:val="000000"/>
        </w:rPr>
        <w:t>August 2021</w:t>
      </w:r>
      <w:r>
        <w:rPr>
          <w:sz w:val="20"/>
          <w:szCs w:val="20"/>
          <w:color w:val="auto"/>
        </w:rPr>
        <w:tab/>
      </w:r>
      <w:r>
        <w:rPr>
          <w:rFonts w:ascii="Arial" w:cs="Arial" w:eastAsia="Arial" w:hAnsi="Arial"/>
          <w:sz w:val="16"/>
          <w:szCs w:val="16"/>
          <w:b w:val="1"/>
          <w:bCs w:val="1"/>
          <w:color w:val="0094FF"/>
        </w:rPr>
        <w:t xml:space="preserve">Independent: </w:t>
      </w:r>
      <w:r>
        <w:rPr>
          <w:rFonts w:ascii="Arial" w:cs="Arial" w:eastAsia="Arial" w:hAnsi="Arial"/>
          <w:sz w:val="16"/>
          <w:szCs w:val="16"/>
          <w:b w:val="1"/>
          <w:bCs w:val="1"/>
          <w:color w:val="000000"/>
        </w:rPr>
        <w:t>Yes</w:t>
      </w:r>
      <w:r>
        <w:rPr>
          <w:sz w:val="20"/>
          <w:szCs w:val="20"/>
          <w:color w:val="auto"/>
        </w:rPr>
        <w:tab/>
      </w:r>
      <w:r>
        <w:rPr>
          <w:rFonts w:ascii="Arial" w:cs="Arial" w:eastAsia="Arial" w:hAnsi="Arial"/>
          <w:sz w:val="16"/>
          <w:szCs w:val="16"/>
          <w:b w:val="1"/>
          <w:bCs w:val="1"/>
          <w:color w:val="0094FF"/>
        </w:rPr>
        <w:t xml:space="preserve">Age: </w:t>
      </w:r>
      <w:r>
        <w:rPr>
          <w:rFonts w:ascii="Arial" w:cs="Arial" w:eastAsia="Arial" w:hAnsi="Arial"/>
          <w:sz w:val="16"/>
          <w:szCs w:val="16"/>
          <w:b w:val="1"/>
          <w:bCs w:val="1"/>
          <w:color w:val="00000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46355</wp:posOffset>
            </wp:positionV>
            <wp:extent cx="52463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pacing w:after="0" w:line="8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0094FF"/>
        </w:rPr>
        <w:t xml:space="preserve">Committee Memberships: </w:t>
      </w:r>
      <w:r>
        <w:rPr>
          <w:rFonts w:ascii="Arial" w:cs="Arial" w:eastAsia="Arial" w:hAnsi="Arial"/>
          <w:sz w:val="16"/>
          <w:szCs w:val="16"/>
          <w:b w:val="1"/>
          <w:bCs w:val="1"/>
          <w:color w:val="000000"/>
        </w:rPr>
        <w:t>Compensation; Nominating &amp; Governance</w:t>
      </w:r>
    </w:p>
    <w:p>
      <w:pPr>
        <w:spacing w:after="0" w:line="64" w:lineRule="exact"/>
        <w:rPr>
          <w:sz w:val="20"/>
          <w:szCs w:val="20"/>
          <w:color w:val="auto"/>
        </w:rPr>
      </w:pPr>
    </w:p>
    <w:p>
      <w:pPr>
        <w:ind w:left="3000"/>
        <w:spacing w:after="0" w:line="260" w:lineRule="auto"/>
        <w:rPr>
          <w:sz w:val="20"/>
          <w:szCs w:val="20"/>
          <w:color w:val="auto"/>
        </w:rPr>
      </w:pPr>
      <w:r>
        <w:rPr>
          <w:rFonts w:ascii="Arial" w:cs="Arial" w:eastAsia="Arial" w:hAnsi="Arial"/>
          <w:sz w:val="14"/>
          <w:szCs w:val="14"/>
          <w:color w:val="auto"/>
        </w:rPr>
        <w:t>Sharen J. Turney has served on the Board, the Compensation Committee, and the Nominating &amp; Governance Committee since August 2021. Ms. Turney served as the Chief Executive Officer of Russia-based jeans brand Gloria Jeans from November 2018 until November 2019. She served as President and Chief Executive Officer of Victoria’s Secret, a division of L Brands, Inc., from July 2006 until February 2016, and as President and Chief Executive Officer of Victoria’s Secret Direct, the brand’s catalogue and eCommerce operation, from May 2000 until July 2006. Prior to that, Ms. Turney spent 10 years in various executive roles, including President and Chief Executive Officer of Neiman Marcus Direct, the direct marketing division of Neiman Marcus Group. Ms. Turney has also served as an advisor to several retailers and technology companies. Currently, Ms. Turney serves on the Board of Directors of Bread Financial (formerly Alliance Data Systems Corp.), including on its Nominating and Governance Committee and as Chair of its Compensation Committee. Previously, Ms. Turney spent two years on the Board of Directors of Sweden-based designer sock and underwear brand Happy Socks AB, seven years on the Board of Directors of M/ I Homes, Inc., and two years on the Board of Directors of FULLBEAUTY Brands. She is a graduate of the University of Oklahoma with a Bachelor’s degree in Business Education and serves on the Baker Retailing Center Industry Advisory Board at the Wharton School at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-1090930</wp:posOffset>
            </wp:positionV>
            <wp:extent cx="1200150" cy="12001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0" cy="1200150"/>
                    </a:xfrm>
                    <a:prstGeom prst="rect">
                      <a:avLst/>
                    </a:prstGeom>
                    <a:noFill/>
                  </pic:spPr>
                </pic:pic>
              </a:graphicData>
            </a:graphic>
          </wp:anchor>
        </w:drawing>
      </w:r>
    </w:p>
    <w:p>
      <w:pPr>
        <w:spacing w:after="0" w:line="371" w:lineRule="exact"/>
        <w:rPr>
          <w:sz w:val="20"/>
          <w:szCs w:val="20"/>
          <w:color w:val="auto"/>
        </w:rPr>
      </w:pPr>
    </w:p>
    <w:p>
      <w:pPr>
        <w:ind w:left="3000" w:right="160"/>
        <w:spacing w:after="0" w:line="276" w:lineRule="auto"/>
        <w:rPr>
          <w:sz w:val="20"/>
          <w:szCs w:val="20"/>
          <w:color w:val="auto"/>
        </w:rPr>
      </w:pPr>
      <w:r>
        <w:rPr>
          <w:rFonts w:ascii="Arial" w:cs="Arial" w:eastAsia="Arial" w:hAnsi="Arial"/>
          <w:sz w:val="14"/>
          <w:szCs w:val="14"/>
          <w:b w:val="1"/>
          <w:bCs w:val="1"/>
          <w:color w:val="auto"/>
        </w:rPr>
        <w:t>The Board selected Ms. Turney because of her board, executive leadership and management experience related to the retail industry, extensive digital/eCommerce, marketing, merchandising, operations, strategic, governance, supply chain, logistics, technology, and financial skills, and her experience as both a retailer and vendor serving the retail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527685</wp:posOffset>
            </wp:positionV>
            <wp:extent cx="710628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EF3B35"/>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-95885</wp:posOffset>
            </wp:positionV>
            <wp:extent cx="300355" cy="3003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15" w:lineRule="exact"/>
        <w:rPr>
          <w:sz w:val="20"/>
          <w:szCs w:val="20"/>
          <w:color w:val="auto"/>
        </w:rPr>
      </w:pPr>
    </w:p>
    <w:p>
      <w:pPr>
        <w:ind w:left="3000" w:right="60"/>
        <w:spacing w:after="0" w:line="298" w:lineRule="auto"/>
        <w:rPr>
          <w:sz w:val="20"/>
          <w:szCs w:val="20"/>
          <w:color w:val="auto"/>
        </w:rPr>
      </w:pPr>
      <w:r>
        <w:rPr>
          <w:rFonts w:ascii="Arial" w:cs="Arial" w:eastAsia="Arial" w:hAnsi="Arial"/>
          <w:sz w:val="16"/>
          <w:szCs w:val="16"/>
          <w:b w:val="1"/>
          <w:bCs w:val="1"/>
          <w:color w:val="093165"/>
        </w:rPr>
        <w:t>The Board recommends that you vote “FOR” the election of each of the Class II Director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0628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6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680085</wp:posOffset>
            </wp:positionV>
            <wp:extent cx="857250"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b w:val="1"/>
          <w:bCs w:val="1"/>
          <w:color w:val="1B4093"/>
        </w:rPr>
        <w:t>Continuing Members of the Board of Directors Who Are Not Standing for Re-Election at This Annual Meeting</w:t>
      </w:r>
    </w:p>
    <w:p>
      <w:pPr>
        <w:spacing w:after="0" w:line="15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Set forth below is certain information regarding each director whose term continues beyond the Annual Meeting and who is not subject to re-election this year. Beneficial ownership of equity securities for these directors is also shown under “Ownership of Securities” below.</w:t>
      </w:r>
    </w:p>
    <w:p>
      <w:pPr>
        <w:spacing w:after="0" w:line="357"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EE2724"/>
        </w:rPr>
        <w:t>Ken C. Hicks</w:t>
      </w:r>
    </w:p>
    <w:p>
      <w:pPr>
        <w:spacing w:after="0" w:line="99" w:lineRule="exact"/>
        <w:rPr>
          <w:sz w:val="20"/>
          <w:szCs w:val="20"/>
          <w:color w:val="auto"/>
        </w:rPr>
      </w:pPr>
    </w:p>
    <w:p>
      <w:pPr>
        <w:ind w:left="3000"/>
        <w:spacing w:after="0"/>
        <w:tabs>
          <w:tab w:leader="none" w:pos="7340" w:val="left"/>
          <w:tab w:leader="none" w:pos="9920" w:val="left"/>
        </w:tabs>
        <w:rPr>
          <w:sz w:val="20"/>
          <w:szCs w:val="20"/>
          <w:color w:val="auto"/>
        </w:rPr>
      </w:pPr>
      <w:r>
        <w:rPr>
          <w:rFonts w:ascii="Arial" w:cs="Arial" w:eastAsia="Arial" w:hAnsi="Arial"/>
          <w:sz w:val="16"/>
          <w:szCs w:val="16"/>
          <w:b w:val="1"/>
          <w:bCs w:val="1"/>
          <w:color w:val="0094FF"/>
        </w:rPr>
        <w:t xml:space="preserve">Director since: </w:t>
      </w:r>
      <w:r>
        <w:rPr>
          <w:rFonts w:ascii="Arial" w:cs="Arial" w:eastAsia="Arial" w:hAnsi="Arial"/>
          <w:sz w:val="16"/>
          <w:szCs w:val="16"/>
          <w:b w:val="1"/>
          <w:bCs w:val="1"/>
          <w:color w:val="000000"/>
        </w:rPr>
        <w:t>June 2020</w:t>
      </w:r>
      <w:r>
        <w:rPr>
          <w:sz w:val="20"/>
          <w:szCs w:val="20"/>
          <w:color w:val="auto"/>
        </w:rPr>
        <w:tab/>
      </w:r>
      <w:r>
        <w:rPr>
          <w:rFonts w:ascii="Arial" w:cs="Arial" w:eastAsia="Arial" w:hAnsi="Arial"/>
          <w:sz w:val="16"/>
          <w:szCs w:val="16"/>
          <w:b w:val="1"/>
          <w:bCs w:val="1"/>
          <w:color w:val="0094FF"/>
        </w:rPr>
        <w:t xml:space="preserve">Independent: </w:t>
      </w:r>
      <w:r>
        <w:rPr>
          <w:rFonts w:ascii="Arial" w:cs="Arial" w:eastAsia="Arial" w:hAnsi="Arial"/>
          <w:sz w:val="16"/>
          <w:szCs w:val="16"/>
          <w:b w:val="1"/>
          <w:bCs w:val="1"/>
          <w:color w:val="000000"/>
        </w:rPr>
        <w:t>No</w:t>
      </w:r>
      <w:r>
        <w:rPr>
          <w:sz w:val="20"/>
          <w:szCs w:val="20"/>
          <w:color w:val="auto"/>
        </w:rPr>
        <w:tab/>
      </w:r>
      <w:r>
        <w:rPr>
          <w:rFonts w:ascii="Arial" w:cs="Arial" w:eastAsia="Arial" w:hAnsi="Arial"/>
          <w:sz w:val="16"/>
          <w:szCs w:val="16"/>
          <w:b w:val="1"/>
          <w:bCs w:val="1"/>
          <w:color w:val="0094FF"/>
        </w:rPr>
        <w:t xml:space="preserve">Age: </w:t>
      </w:r>
      <w:r>
        <w:rPr>
          <w:rFonts w:ascii="Arial" w:cs="Arial" w:eastAsia="Arial" w:hAnsi="Arial"/>
          <w:sz w:val="16"/>
          <w:szCs w:val="16"/>
          <w:b w:val="1"/>
          <w:bCs w:val="1"/>
          <w:color w:val="000000"/>
        </w:rPr>
        <w:t>69</w:t>
      </w:r>
    </w:p>
    <w:p>
      <w:pPr>
        <w:spacing w:after="0" w:line="86"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EE2724"/>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46355</wp:posOffset>
            </wp:positionV>
            <wp:extent cx="52463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8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0094FF"/>
        </w:rPr>
        <w:t xml:space="preserve">Committee Membership: </w:t>
      </w:r>
      <w:r>
        <w:rPr>
          <w:rFonts w:ascii="Arial" w:cs="Arial" w:eastAsia="Arial" w:hAnsi="Arial"/>
          <w:sz w:val="16"/>
          <w:szCs w:val="16"/>
          <w:b w:val="1"/>
          <w:bCs w:val="1"/>
          <w:color w:val="093165"/>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29210</wp:posOffset>
            </wp:positionV>
            <wp:extent cx="1200150" cy="12255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spacing w:after="0" w:line="71" w:lineRule="exact"/>
        <w:rPr>
          <w:sz w:val="20"/>
          <w:szCs w:val="20"/>
          <w:color w:val="auto"/>
        </w:rPr>
      </w:pPr>
    </w:p>
    <w:p>
      <w:pPr>
        <w:ind w:left="3000" w:right="120"/>
        <w:spacing w:after="0" w:line="261" w:lineRule="auto"/>
        <w:rPr>
          <w:sz w:val="20"/>
          <w:szCs w:val="20"/>
          <w:color w:val="auto"/>
        </w:rPr>
      </w:pPr>
      <w:r>
        <w:rPr>
          <w:rFonts w:ascii="Arial" w:cs="Arial" w:eastAsia="Arial" w:hAnsi="Arial"/>
          <w:sz w:val="14"/>
          <w:szCs w:val="14"/>
          <w:color w:val="auto"/>
        </w:rPr>
        <w:t>Ken C. Hicks serves as the Chairman of the Board and as President and Chief Executive Officer, roles he has held since May 2018. Mr. Hicks has served as a member of the Board since June 2020 and served as a member of the board of managers of New Academy Holding Company, LLC from May 2017 until June 2020. Mr. Hicks previously served as President and Chief Executive Officer at Foot Locker, Inc. from August 2009 until February 2010, and also served as Chairman, President and Chief Executive Officer at Foot Locker, Inc. from February 2010 until November 2014, and as Executive Chairman at Foot Locker, Inc. from December 2014 until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served on the board of directors of Whole Foods Market, Inc. from May 2017 until August 2017. Mr. Hicks graduated from the United States Military Academy located in West Point, NY, and served in the U.S. Army. He also earned a Masters of Business Administration with highest distinction from Harvard Business School.</w:t>
      </w:r>
    </w:p>
    <w:p>
      <w:pPr>
        <w:spacing w:after="0" w:line="207" w:lineRule="exact"/>
        <w:rPr>
          <w:sz w:val="20"/>
          <w:szCs w:val="20"/>
          <w:color w:val="auto"/>
        </w:rPr>
      </w:pPr>
    </w:p>
    <w:p>
      <w:pPr>
        <w:ind w:left="3000" w:right="140"/>
        <w:spacing w:after="0" w:line="287" w:lineRule="auto"/>
        <w:rPr>
          <w:sz w:val="20"/>
          <w:szCs w:val="20"/>
          <w:color w:val="auto"/>
        </w:rPr>
      </w:pPr>
      <w:r>
        <w:rPr>
          <w:rFonts w:ascii="Arial" w:cs="Arial" w:eastAsia="Arial" w:hAnsi="Arial"/>
          <w:sz w:val="14"/>
          <w:szCs w:val="14"/>
          <w:b w:val="1"/>
          <w:bCs w:val="1"/>
          <w:color w:val="auto"/>
        </w:rPr>
        <w:t>The Board selected Mr. Hicks to serve as a director based on his board, executive leadership, and management experience related to the retail industry, which includes merchandising, eCommerce, governance, financial, marketing, operations, real estate, sourcing, supply chain, and logistics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EE2724"/>
        </w:rPr>
        <w:t>Tom M. Nealon</w:t>
      </w:r>
    </w:p>
    <w:p>
      <w:pPr>
        <w:spacing w:after="0" w:line="99" w:lineRule="exact"/>
        <w:rPr>
          <w:sz w:val="20"/>
          <w:szCs w:val="20"/>
          <w:color w:val="auto"/>
        </w:rPr>
      </w:pPr>
    </w:p>
    <w:p>
      <w:pPr>
        <w:ind w:left="3000"/>
        <w:spacing w:after="0"/>
        <w:tabs>
          <w:tab w:leader="none" w:pos="7300" w:val="left"/>
          <w:tab w:leader="none" w:pos="9920" w:val="left"/>
        </w:tabs>
        <w:rPr>
          <w:sz w:val="20"/>
          <w:szCs w:val="20"/>
          <w:color w:val="auto"/>
        </w:rPr>
      </w:pPr>
      <w:r>
        <w:rPr>
          <w:rFonts w:ascii="Arial" w:cs="Arial" w:eastAsia="Arial" w:hAnsi="Arial"/>
          <w:sz w:val="16"/>
          <w:szCs w:val="16"/>
          <w:b w:val="1"/>
          <w:bCs w:val="1"/>
          <w:color w:val="0094FF"/>
        </w:rPr>
        <w:t xml:space="preserve">Director since: </w:t>
      </w:r>
      <w:r>
        <w:rPr>
          <w:rFonts w:ascii="Arial" w:cs="Arial" w:eastAsia="Arial" w:hAnsi="Arial"/>
          <w:sz w:val="16"/>
          <w:szCs w:val="16"/>
          <w:b w:val="1"/>
          <w:bCs w:val="1"/>
          <w:color w:val="000000"/>
        </w:rPr>
        <w:t>March 2021</w:t>
      </w:r>
      <w:r>
        <w:rPr>
          <w:sz w:val="20"/>
          <w:szCs w:val="20"/>
          <w:color w:val="auto"/>
        </w:rPr>
        <w:tab/>
      </w:r>
      <w:r>
        <w:rPr>
          <w:rFonts w:ascii="Arial" w:cs="Arial" w:eastAsia="Arial" w:hAnsi="Arial"/>
          <w:sz w:val="16"/>
          <w:szCs w:val="16"/>
          <w:b w:val="1"/>
          <w:bCs w:val="1"/>
          <w:color w:val="0094FF"/>
        </w:rPr>
        <w:t xml:space="preserve">Independent: </w:t>
      </w:r>
      <w:r>
        <w:rPr>
          <w:rFonts w:ascii="Arial" w:cs="Arial" w:eastAsia="Arial" w:hAnsi="Arial"/>
          <w:sz w:val="16"/>
          <w:szCs w:val="16"/>
          <w:b w:val="1"/>
          <w:bCs w:val="1"/>
          <w:color w:val="000000"/>
        </w:rPr>
        <w:t>Yes</w:t>
      </w:r>
      <w:r>
        <w:rPr>
          <w:sz w:val="20"/>
          <w:szCs w:val="20"/>
          <w:color w:val="auto"/>
        </w:rPr>
        <w:tab/>
      </w:r>
      <w:r>
        <w:rPr>
          <w:rFonts w:ascii="Arial" w:cs="Arial" w:eastAsia="Arial" w:hAnsi="Arial"/>
          <w:sz w:val="16"/>
          <w:szCs w:val="16"/>
          <w:b w:val="1"/>
          <w:bCs w:val="1"/>
          <w:color w:val="0094FF"/>
        </w:rPr>
        <w:t xml:space="preserve">Age: </w:t>
      </w:r>
      <w:r>
        <w:rPr>
          <w:rFonts w:ascii="Arial" w:cs="Arial" w:eastAsia="Arial" w:hAnsi="Arial"/>
          <w:sz w:val="16"/>
          <w:szCs w:val="16"/>
          <w:b w:val="1"/>
          <w:bCs w:val="1"/>
          <w:color w:val="000000"/>
        </w:rPr>
        <w:t>61</w:t>
      </w:r>
    </w:p>
    <w:p>
      <w:pPr>
        <w:spacing w:after="0" w:line="10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EE2724"/>
        </w:rPr>
        <w:t xml:space="preserve">Lead Independent Director </w:t>
      </w:r>
      <w:r>
        <w:rPr>
          <w:rFonts w:ascii="Arial" w:cs="Arial" w:eastAsia="Arial" w:hAnsi="Arial"/>
          <w:sz w:val="16"/>
          <w:szCs w:val="16"/>
          <w:b w:val="1"/>
          <w:bCs w:val="1"/>
          <w:color w:val="000000"/>
        </w:rPr>
        <w:t>(or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38100</wp:posOffset>
            </wp:positionV>
            <wp:extent cx="52463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pacing w:after="0" w:line="66"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0094FF"/>
        </w:rPr>
        <w:t xml:space="preserve">Committee Membership: </w:t>
      </w:r>
      <w:r>
        <w:rPr>
          <w:rFonts w:ascii="Arial" w:cs="Arial" w:eastAsia="Arial" w:hAnsi="Arial"/>
          <w:sz w:val="16"/>
          <w:szCs w:val="16"/>
          <w:b w:val="1"/>
          <w:bCs w:val="1"/>
          <w:color w:val="000000"/>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20955</wp:posOffset>
            </wp:positionV>
            <wp:extent cx="1200150" cy="12255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spacing w:after="0" w:line="57" w:lineRule="exact"/>
        <w:rPr>
          <w:sz w:val="20"/>
          <w:szCs w:val="20"/>
          <w:color w:val="auto"/>
        </w:rPr>
      </w:pPr>
    </w:p>
    <w:p>
      <w:pPr>
        <w:ind w:left="3000" w:right="40"/>
        <w:spacing w:after="0" w:line="261" w:lineRule="auto"/>
        <w:rPr>
          <w:sz w:val="20"/>
          <w:szCs w:val="20"/>
          <w:color w:val="auto"/>
        </w:rPr>
      </w:pPr>
      <w:r>
        <w:rPr>
          <w:rFonts w:ascii="Arial" w:cs="Arial" w:eastAsia="Arial" w:hAnsi="Arial"/>
          <w:sz w:val="14"/>
          <w:szCs w:val="14"/>
          <w:color w:val="auto"/>
        </w:rPr>
        <w:t>Tom M. Nealon has served on the Board and the Compensation Committee since March 2021 and as Lead Director since December 2021. Mr. Nealon has served as Senior Advisor of Southwest Airlines Co., a major airline, since September 2021 and President of Southwest Airlines Co. from January 2017 until September 2021. Mr. Nealon also served as Executive Vice President Strategy &amp; Innovation of Southwest Airlines Co. from January 2016 until January 2017. Mr. Nealon has also served as Group Executive Vice President of J.C. Penney Company, Inc., a retail company, from August 2010 until December 2011. In this role Mr. Nealon was responsible for Strategy, jcp.com, Information Technology, Customer Insights, and Digital Ventures. Mr. Nealon held other senior positions and consulting roles at J.C. Penney, The Feld Group, and Frito-Lay, a division of PepsiCo, Inc. Mr. Nealon previously served on Southwest Airlines Co.’s Board of Directors from December 2010 until November 2015, and on the Board of Directors and the Audit Committee of the Fossil Group, Inc. from April 2012 until May 2020. He is a graduate of Villanova University’s School of Business with a Bachelor of Science in Business Administration and earned a Master of Business from the University of Dallas.</w:t>
      </w:r>
    </w:p>
    <w:p>
      <w:pPr>
        <w:spacing w:after="0" w:line="221" w:lineRule="exact"/>
        <w:rPr>
          <w:sz w:val="20"/>
          <w:szCs w:val="20"/>
          <w:color w:val="auto"/>
        </w:rPr>
      </w:pPr>
    </w:p>
    <w:p>
      <w:pPr>
        <w:ind w:left="3000" w:right="80"/>
        <w:spacing w:after="0" w:line="272" w:lineRule="auto"/>
        <w:rPr>
          <w:sz w:val="20"/>
          <w:szCs w:val="20"/>
          <w:color w:val="auto"/>
        </w:rPr>
      </w:pPr>
      <w:r>
        <w:rPr>
          <w:rFonts w:ascii="Arial" w:cs="Arial" w:eastAsia="Arial" w:hAnsi="Arial"/>
          <w:sz w:val="14"/>
          <w:szCs w:val="14"/>
          <w:b w:val="1"/>
          <w:bCs w:val="1"/>
          <w:color w:val="auto"/>
        </w:rPr>
        <w:t>The Board selected Mr. Nealon to serve as a director based on his extensive board, executive leadership, management experience related to the retail and consumer industries, including technology, eCommerce, marketing, merchandising, accounting, finance, governance, strategic planning, supply chain, logistics, technology, cybersecurity, and customer service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793750</wp:posOffset>
            </wp:positionV>
            <wp:extent cx="857250"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color w:val="007EC4"/>
        </w:rPr>
        <w:t xml:space="preserve">12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EE2724"/>
        </w:rPr>
        <w:t>Brian T. Marley</w:t>
      </w:r>
    </w:p>
    <w:p>
      <w:pPr>
        <w:spacing w:after="0" w:line="99" w:lineRule="exact"/>
        <w:rPr>
          <w:sz w:val="20"/>
          <w:szCs w:val="20"/>
          <w:color w:val="auto"/>
        </w:rPr>
      </w:pPr>
    </w:p>
    <w:p>
      <w:pPr>
        <w:ind w:left="3000"/>
        <w:spacing w:after="0"/>
        <w:tabs>
          <w:tab w:leader="none" w:pos="7300" w:val="left"/>
          <w:tab w:leader="none" w:pos="9920" w:val="left"/>
        </w:tabs>
        <w:rPr>
          <w:sz w:val="20"/>
          <w:szCs w:val="20"/>
          <w:color w:val="auto"/>
        </w:rPr>
      </w:pPr>
      <w:r>
        <w:rPr>
          <w:rFonts w:ascii="Arial" w:cs="Arial" w:eastAsia="Arial" w:hAnsi="Arial"/>
          <w:sz w:val="16"/>
          <w:szCs w:val="16"/>
          <w:b w:val="1"/>
          <w:bCs w:val="1"/>
          <w:color w:val="0094FF"/>
        </w:rPr>
        <w:t xml:space="preserve">Director since: </w:t>
      </w:r>
      <w:r>
        <w:rPr>
          <w:rFonts w:ascii="Arial" w:cs="Arial" w:eastAsia="Arial" w:hAnsi="Arial"/>
          <w:sz w:val="16"/>
          <w:szCs w:val="16"/>
          <w:b w:val="1"/>
          <w:bCs w:val="1"/>
          <w:color w:val="000000"/>
        </w:rPr>
        <w:t>June 2020</w:t>
      </w:r>
      <w:r>
        <w:rPr>
          <w:sz w:val="20"/>
          <w:szCs w:val="20"/>
          <w:color w:val="auto"/>
        </w:rPr>
        <w:tab/>
      </w:r>
      <w:r>
        <w:rPr>
          <w:rFonts w:ascii="Arial" w:cs="Arial" w:eastAsia="Arial" w:hAnsi="Arial"/>
          <w:sz w:val="16"/>
          <w:szCs w:val="16"/>
          <w:b w:val="1"/>
          <w:bCs w:val="1"/>
          <w:color w:val="0094FF"/>
        </w:rPr>
        <w:t xml:space="preserve">Independent: </w:t>
      </w:r>
      <w:r>
        <w:rPr>
          <w:rFonts w:ascii="Arial" w:cs="Arial" w:eastAsia="Arial" w:hAnsi="Arial"/>
          <w:sz w:val="16"/>
          <w:szCs w:val="16"/>
          <w:b w:val="1"/>
          <w:bCs w:val="1"/>
          <w:color w:val="000000"/>
        </w:rPr>
        <w:t>Yes</w:t>
      </w:r>
      <w:r>
        <w:rPr>
          <w:sz w:val="20"/>
          <w:szCs w:val="20"/>
          <w:color w:val="auto"/>
        </w:rPr>
        <w:tab/>
      </w:r>
      <w:r>
        <w:rPr>
          <w:rFonts w:ascii="Arial" w:cs="Arial" w:eastAsia="Arial" w:hAnsi="Arial"/>
          <w:sz w:val="16"/>
          <w:szCs w:val="16"/>
          <w:b w:val="1"/>
          <w:bCs w:val="1"/>
          <w:color w:val="0094FF"/>
        </w:rPr>
        <w:t xml:space="preserve">Age: </w:t>
      </w:r>
      <w:r>
        <w:rPr>
          <w:rFonts w:ascii="Arial" w:cs="Arial" w:eastAsia="Arial" w:hAnsi="Arial"/>
          <w:sz w:val="16"/>
          <w:szCs w:val="16"/>
          <w:b w:val="1"/>
          <w:bCs w:val="1"/>
          <w:color w:val="000000"/>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46355</wp:posOffset>
            </wp:positionV>
            <wp:extent cx="52463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8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0094FF"/>
        </w:rPr>
        <w:t xml:space="preserve">Committee Membership: </w:t>
      </w:r>
      <w:r>
        <w:rPr>
          <w:rFonts w:ascii="Arial" w:cs="Arial" w:eastAsia="Arial" w:hAnsi="Arial"/>
          <w:sz w:val="16"/>
          <w:szCs w:val="16"/>
          <w:b w:val="1"/>
          <w:bCs w:val="1"/>
          <w:color w:val="000000"/>
        </w:rPr>
        <w:t>Audit (Chair)</w:t>
      </w:r>
    </w:p>
    <w:p>
      <w:pPr>
        <w:spacing w:after="0" w:line="64" w:lineRule="exact"/>
        <w:rPr>
          <w:sz w:val="20"/>
          <w:szCs w:val="20"/>
          <w:color w:val="auto"/>
        </w:rPr>
      </w:pPr>
    </w:p>
    <w:p>
      <w:pPr>
        <w:ind w:left="3000"/>
        <w:spacing w:after="0" w:line="284" w:lineRule="auto"/>
        <w:rPr>
          <w:sz w:val="20"/>
          <w:szCs w:val="20"/>
          <w:color w:val="auto"/>
        </w:rPr>
      </w:pPr>
      <w:r>
        <w:rPr>
          <w:rFonts w:ascii="Arial" w:cs="Arial" w:eastAsia="Arial" w:hAnsi="Arial"/>
          <w:sz w:val="14"/>
          <w:szCs w:val="14"/>
          <w:color w:val="auto"/>
        </w:rPr>
        <w:t>Brian T. Marley has served on the Board and as a member and Chair of the Audit Committee since June 2020 and served as a member of the board of managers of New Academy Holding Company, LLC from January 2018 until June 2020. Mr. Marley is the founder and has served as Managing Partner of Marley Associates LLC, where he has provided advisory services or a wide variety of consumer and retail firms, since 2014. Mr. Marley previously served as Executive Vice President and Chief Financial Officer of Belk, Inc. from 2000 until 2013. At Belk, Mr. Marley had responsibility for financial planning, accounting, treasury, risk management, process improvement, credit and customer loyalty programs. He also served as Chairman of Belk National Bank from 2000 until 2006. Prior to joining Belk, Mr. Marley was at KPMG LLP for 20 years, during which he was an Audit and Assurance partner in the Retail and Consumer Industry practice for seven years. He is a graduate of the University of North Carolina at Chapel Hill with a Bachelor of Science in Business Administration and where he currently serves as Chairman of the Board of Visitors.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-1022350</wp:posOffset>
            </wp:positionV>
            <wp:extent cx="1200150" cy="12255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spacing w:after="0" w:line="385" w:lineRule="exact"/>
        <w:rPr>
          <w:sz w:val="20"/>
          <w:szCs w:val="20"/>
          <w:color w:val="auto"/>
        </w:rPr>
      </w:pPr>
    </w:p>
    <w:p>
      <w:pPr>
        <w:ind w:left="3000" w:right="120"/>
        <w:spacing w:after="0" w:line="297" w:lineRule="auto"/>
        <w:rPr>
          <w:sz w:val="20"/>
          <w:szCs w:val="20"/>
          <w:color w:val="auto"/>
        </w:rPr>
      </w:pPr>
      <w:r>
        <w:rPr>
          <w:rFonts w:ascii="Arial" w:cs="Arial" w:eastAsia="Arial" w:hAnsi="Arial"/>
          <w:sz w:val="14"/>
          <w:szCs w:val="14"/>
          <w:b w:val="1"/>
          <w:bCs w:val="1"/>
          <w:color w:val="auto"/>
        </w:rPr>
        <w:t>The Board selected Mr. Marley to serve as a director based on his executive leadership, governance, and management experience, including strategy, process improvement, risk management, customer loyalty, marketing, and extensive accounting and financial skills related to the retail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EE2724"/>
        </w:rPr>
        <w:t>Beryl B. Raff</w:t>
      </w:r>
    </w:p>
    <w:p>
      <w:pPr>
        <w:spacing w:after="0" w:line="126" w:lineRule="exact"/>
        <w:rPr>
          <w:sz w:val="20"/>
          <w:szCs w:val="20"/>
          <w:color w:val="auto"/>
        </w:rPr>
      </w:pPr>
    </w:p>
    <w:p>
      <w:pPr>
        <w:ind w:left="3000"/>
        <w:spacing w:after="0"/>
        <w:tabs>
          <w:tab w:leader="none" w:pos="7300" w:val="left"/>
          <w:tab w:leader="none" w:pos="9920" w:val="left"/>
        </w:tabs>
        <w:rPr>
          <w:sz w:val="20"/>
          <w:szCs w:val="20"/>
          <w:color w:val="auto"/>
        </w:rPr>
      </w:pPr>
      <w:r>
        <w:rPr>
          <w:rFonts w:ascii="Arial" w:cs="Arial" w:eastAsia="Arial" w:hAnsi="Arial"/>
          <w:sz w:val="16"/>
          <w:szCs w:val="16"/>
          <w:b w:val="1"/>
          <w:bCs w:val="1"/>
          <w:color w:val="0094FF"/>
        </w:rPr>
        <w:t xml:space="preserve">Director since: </w:t>
      </w:r>
      <w:r>
        <w:rPr>
          <w:rFonts w:ascii="Arial" w:cs="Arial" w:eastAsia="Arial" w:hAnsi="Arial"/>
          <w:sz w:val="16"/>
          <w:szCs w:val="16"/>
          <w:b w:val="1"/>
          <w:bCs w:val="1"/>
          <w:color w:val="000000"/>
        </w:rPr>
        <w:t>May 2021</w:t>
      </w:r>
      <w:r>
        <w:rPr>
          <w:sz w:val="20"/>
          <w:szCs w:val="20"/>
          <w:color w:val="auto"/>
        </w:rPr>
        <w:tab/>
      </w:r>
      <w:r>
        <w:rPr>
          <w:rFonts w:ascii="Arial" w:cs="Arial" w:eastAsia="Arial" w:hAnsi="Arial"/>
          <w:sz w:val="16"/>
          <w:szCs w:val="16"/>
          <w:b w:val="1"/>
          <w:bCs w:val="1"/>
          <w:color w:val="0094FF"/>
        </w:rPr>
        <w:t xml:space="preserve">Independent: </w:t>
      </w:r>
      <w:r>
        <w:rPr>
          <w:rFonts w:ascii="Arial" w:cs="Arial" w:eastAsia="Arial" w:hAnsi="Arial"/>
          <w:sz w:val="16"/>
          <w:szCs w:val="16"/>
          <w:b w:val="1"/>
          <w:bCs w:val="1"/>
          <w:color w:val="000000"/>
        </w:rPr>
        <w:t>Yes</w:t>
      </w:r>
      <w:r>
        <w:rPr>
          <w:sz w:val="20"/>
          <w:szCs w:val="20"/>
          <w:color w:val="auto"/>
        </w:rPr>
        <w:tab/>
      </w:r>
      <w:r>
        <w:rPr>
          <w:rFonts w:ascii="Arial" w:cs="Arial" w:eastAsia="Arial" w:hAnsi="Arial"/>
          <w:sz w:val="16"/>
          <w:szCs w:val="16"/>
          <w:b w:val="1"/>
          <w:bCs w:val="1"/>
          <w:color w:val="0094FF"/>
        </w:rPr>
        <w:t xml:space="preserve">Age: </w:t>
      </w:r>
      <w:r>
        <w:rPr>
          <w:rFonts w:ascii="Arial" w:cs="Arial" w:eastAsia="Arial" w:hAnsi="Arial"/>
          <w:sz w:val="16"/>
          <w:szCs w:val="16"/>
          <w:b w:val="1"/>
          <w:bCs w:val="1"/>
          <w:color w:val="000000"/>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46355</wp:posOffset>
            </wp:positionV>
            <wp:extent cx="52463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8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0094FF"/>
        </w:rPr>
        <w:t xml:space="preserve">Committee Membership: </w:t>
      </w:r>
      <w:r>
        <w:rPr>
          <w:rFonts w:ascii="Arial" w:cs="Arial" w:eastAsia="Arial" w:hAnsi="Arial"/>
          <w:sz w:val="16"/>
          <w:szCs w:val="16"/>
          <w:b w:val="1"/>
          <w:bCs w:val="1"/>
          <w:color w:val="000000"/>
        </w:rPr>
        <w:t>Compensation (Chair)</w:t>
      </w:r>
    </w:p>
    <w:p>
      <w:pPr>
        <w:spacing w:after="0" w:line="91" w:lineRule="exact"/>
        <w:rPr>
          <w:sz w:val="20"/>
          <w:szCs w:val="20"/>
          <w:color w:val="auto"/>
        </w:rPr>
      </w:pPr>
    </w:p>
    <w:p>
      <w:pPr>
        <w:ind w:left="3000" w:right="40"/>
        <w:spacing w:after="0" w:line="281" w:lineRule="auto"/>
        <w:rPr>
          <w:sz w:val="20"/>
          <w:szCs w:val="20"/>
          <w:color w:val="auto"/>
        </w:rPr>
      </w:pPr>
      <w:r>
        <w:rPr>
          <w:rFonts w:ascii="Arial" w:cs="Arial" w:eastAsia="Arial" w:hAnsi="Arial"/>
          <w:sz w:val="14"/>
          <w:szCs w:val="14"/>
          <w:color w:val="auto"/>
        </w:rPr>
        <w:t>Beryl B. Raff has served on the Board and the Compensation Committee since May 2021 and as the Chair of the Compensation Committee since October 2021. Ms. Raff has been the Chairman and Chief Executive Officer of Helzberg Diamonds, a wholly owned subsidiary of Berkshire Hathaway Inc., a multinational conglomerate holding company, since 2009. Before joining Helzberg Diamonds, from 2001 until 2009, Ms. Raff held senior merchandising positions with J.C. Penney Company, Inc. (“JC Penney”), most recently as Executive Vice President and General Merchandise Manager, where she was responsible for the day to day operation of the fine jewelry business and served on its Executive Board, which determined strategic direction and initiatives for JC Penney. Prior to JC Penney, Ms. Raff also was Chairman and Chief Executive Officer at Zale Corporation and held senior merchant positions at R. H. Macy &amp; Company. Currently, Ms. Raff serves on the Board of Directors of Helen of Troy, Ltd., including on its Audit Committee and formerly on its Compensation Committee, and on the Board of Directors of Larry H. Miller Company, including on its Governance and Compensation Committees. Previously, Ms. Raff spent seven years on the Board of Directors of The Michaels Companies, Inc., including on its Audit and Compensation Committees, eight years on the Board of Directors of Group 1 Automotive, Inc., including on its Compensation Committee and as chair of its Governance &amp; Nominating Committee, and ten years on the Board of Directors of Jo-Ann’s Stores, Inc., including on its Audit and Governance Committees and as chair of its Compensation Committee. She is a graduate of Boston University with a Bachelors of Business Administration and a Masters of Business Administration from Drexel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-1317625</wp:posOffset>
            </wp:positionV>
            <wp:extent cx="1200150" cy="12255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spacing w:after="0" w:line="204" w:lineRule="exact"/>
        <w:rPr>
          <w:sz w:val="20"/>
          <w:szCs w:val="20"/>
          <w:color w:val="auto"/>
        </w:rPr>
      </w:pPr>
    </w:p>
    <w:p>
      <w:pPr>
        <w:ind w:left="3000" w:right="200"/>
        <w:spacing w:after="0" w:line="297" w:lineRule="auto"/>
        <w:rPr>
          <w:sz w:val="20"/>
          <w:szCs w:val="20"/>
          <w:color w:val="auto"/>
        </w:rPr>
      </w:pPr>
      <w:r>
        <w:rPr>
          <w:rFonts w:ascii="Arial" w:cs="Arial" w:eastAsia="Arial" w:hAnsi="Arial"/>
          <w:sz w:val="14"/>
          <w:szCs w:val="14"/>
          <w:b w:val="1"/>
          <w:bCs w:val="1"/>
          <w:color w:val="auto"/>
        </w:rPr>
        <w:t>The Board selected Ms. Raff because of her board, executive leadership and management experience related to the retail industry, which includes accounting, finance, governance, marketing, merchandising, sourcing, manufacturing, operations, strategic, supply chain logistics, and talent management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1598295</wp:posOffset>
            </wp:positionV>
            <wp:extent cx="857250"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EE2724"/>
        </w:rPr>
        <w:t>Chris L. Turner</w:t>
      </w:r>
    </w:p>
    <w:p>
      <w:pPr>
        <w:spacing w:after="0" w:line="99" w:lineRule="exact"/>
        <w:rPr>
          <w:sz w:val="20"/>
          <w:szCs w:val="20"/>
          <w:color w:val="auto"/>
        </w:rPr>
      </w:pPr>
    </w:p>
    <w:p>
      <w:pPr>
        <w:ind w:left="1880"/>
        <w:spacing w:after="0"/>
        <w:tabs>
          <w:tab w:leader="none" w:pos="6180" w:val="left"/>
          <w:tab w:leader="none" w:pos="8800" w:val="left"/>
        </w:tabs>
        <w:rPr>
          <w:sz w:val="20"/>
          <w:szCs w:val="20"/>
          <w:color w:val="auto"/>
        </w:rPr>
      </w:pPr>
      <w:r>
        <w:rPr>
          <w:rFonts w:ascii="Arial" w:cs="Arial" w:eastAsia="Arial" w:hAnsi="Arial"/>
          <w:sz w:val="16"/>
          <w:szCs w:val="16"/>
          <w:b w:val="1"/>
          <w:bCs w:val="1"/>
          <w:color w:val="0094FF"/>
        </w:rPr>
        <w:t xml:space="preserve">Director since: </w:t>
      </w:r>
      <w:r>
        <w:rPr>
          <w:rFonts w:ascii="Arial" w:cs="Arial" w:eastAsia="Arial" w:hAnsi="Arial"/>
          <w:sz w:val="16"/>
          <w:szCs w:val="16"/>
          <w:b w:val="1"/>
          <w:bCs w:val="1"/>
          <w:color w:val="000000"/>
        </w:rPr>
        <w:t>December 2021</w:t>
      </w:r>
      <w:r>
        <w:rPr>
          <w:sz w:val="20"/>
          <w:szCs w:val="20"/>
          <w:color w:val="auto"/>
        </w:rPr>
        <w:tab/>
      </w:r>
      <w:r>
        <w:rPr>
          <w:rFonts w:ascii="Arial" w:cs="Arial" w:eastAsia="Arial" w:hAnsi="Arial"/>
          <w:sz w:val="16"/>
          <w:szCs w:val="16"/>
          <w:b w:val="1"/>
          <w:bCs w:val="1"/>
          <w:color w:val="0094FF"/>
        </w:rPr>
        <w:t xml:space="preserve">Independent: </w:t>
      </w:r>
      <w:r>
        <w:rPr>
          <w:rFonts w:ascii="Arial" w:cs="Arial" w:eastAsia="Arial" w:hAnsi="Arial"/>
          <w:sz w:val="16"/>
          <w:szCs w:val="16"/>
          <w:b w:val="1"/>
          <w:bCs w:val="1"/>
          <w:color w:val="000000"/>
        </w:rPr>
        <w:t>Yes</w:t>
      </w:r>
      <w:r>
        <w:rPr>
          <w:sz w:val="20"/>
          <w:szCs w:val="20"/>
          <w:color w:val="auto"/>
        </w:rPr>
        <w:tab/>
      </w:r>
      <w:r>
        <w:rPr>
          <w:rFonts w:ascii="Arial" w:cs="Arial" w:eastAsia="Arial" w:hAnsi="Arial"/>
          <w:sz w:val="16"/>
          <w:szCs w:val="16"/>
          <w:b w:val="1"/>
          <w:bCs w:val="1"/>
          <w:color w:val="0094FF"/>
        </w:rPr>
        <w:t xml:space="preserve">Age: </w:t>
      </w:r>
      <w:r>
        <w:rPr>
          <w:rFonts w:ascii="Arial" w:cs="Arial" w:eastAsia="Arial" w:hAnsi="Arial"/>
          <w:sz w:val="16"/>
          <w:szCs w:val="16"/>
          <w:b w:val="1"/>
          <w:bCs w:val="1"/>
          <w:color w:val="00000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46355</wp:posOffset>
            </wp:positionV>
            <wp:extent cx="52463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80"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0094FF"/>
        </w:rPr>
        <w:t xml:space="preserve">Committee Membership: </w:t>
      </w:r>
      <w:r>
        <w:rPr>
          <w:rFonts w:ascii="Arial" w:cs="Arial" w:eastAsia="Arial" w:hAnsi="Arial"/>
          <w:sz w:val="16"/>
          <w:szCs w:val="16"/>
          <w:b w:val="1"/>
          <w:bCs w:val="1"/>
          <w:color w:val="000000"/>
        </w:rPr>
        <w:t>Audit</w:t>
      </w:r>
    </w:p>
    <w:p>
      <w:pPr>
        <w:spacing w:after="0" w:line="91" w:lineRule="exact"/>
        <w:rPr>
          <w:sz w:val="20"/>
          <w:szCs w:val="20"/>
          <w:color w:val="auto"/>
        </w:rPr>
      </w:pPr>
    </w:p>
    <w:p>
      <w:pPr>
        <w:ind w:left="1880" w:right="40"/>
        <w:spacing w:after="0" w:line="282" w:lineRule="auto"/>
        <w:rPr>
          <w:sz w:val="20"/>
          <w:szCs w:val="20"/>
          <w:color w:val="auto"/>
        </w:rPr>
      </w:pPr>
      <w:r>
        <w:rPr>
          <w:rFonts w:ascii="Arial" w:cs="Arial" w:eastAsia="Arial" w:hAnsi="Arial"/>
          <w:sz w:val="14"/>
          <w:szCs w:val="14"/>
          <w:color w:val="auto"/>
        </w:rPr>
        <w:t>Chris Turner has served on the Board and the Audit Committee since December 2021. Mr. Turner has served as the Chief Financial Officer of Yum! Brands, a fast food corporation, since August 2019 where he has global responsibility for finance, corporate strategy, supply chain and information technology. Before joining Yum! Brands, he served as Senior Vice President and General Manager at PepsiCo, Inc., an multinational food, snack, and beverage corporation, leading PepsiCo’s retail and eCommerce businesses with Walmart in the U.S. and more than 25 countries and across PepsiCo’s brands from December 2017 until July 2019. Prior to leading PepsiCo’s Walmart business, he served in various positions including Senior Vice President of Transformation for PepsiCo’s Frito-Lay North America business from July 2017 until December 2017 and Senior Vice President of Strategy for Frito-Lay from February 2016 until June 2017. Prior to joining PepsiCo, Mr. Turner spent more than 13 years at McKinsey &amp; Company, a strategic management consulting firm, where he was a Partner in the firm’s Dallas office. During this time, he served clients in the retail, restaurant, consumer packaged goods, airline, high-tech and media industries. He is a graduate of the University of Arkansas with a Bachelor’s degree in Industrial Engineering and earned a Masters of Business Administration from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-1075055</wp:posOffset>
            </wp:positionV>
            <wp:extent cx="1200150" cy="12255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spacing w:after="0" w:line="383" w:lineRule="exact"/>
        <w:rPr>
          <w:sz w:val="20"/>
          <w:szCs w:val="20"/>
          <w:color w:val="auto"/>
        </w:rPr>
      </w:pPr>
    </w:p>
    <w:p>
      <w:pPr>
        <w:ind w:left="1880" w:right="380"/>
        <w:spacing w:after="0" w:line="308" w:lineRule="auto"/>
        <w:rPr>
          <w:sz w:val="20"/>
          <w:szCs w:val="20"/>
          <w:color w:val="auto"/>
        </w:rPr>
      </w:pPr>
      <w:r>
        <w:rPr>
          <w:rFonts w:ascii="Arial" w:cs="Arial" w:eastAsia="Arial" w:hAnsi="Arial"/>
          <w:sz w:val="14"/>
          <w:szCs w:val="14"/>
          <w:b w:val="1"/>
          <w:bCs w:val="1"/>
          <w:color w:val="auto"/>
        </w:rPr>
        <w:t>The Board selected Mr. Turner to serve as a director based on his significant business and management leadership experience related to the retail and consumer industries, including supply chain, logistics, digital/eCommerce, operations, technology, cybersecurity, and extensive financial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EE2724"/>
        </w:rPr>
        <w:t>Jeff C. Tweedy</w:t>
      </w:r>
    </w:p>
    <w:p>
      <w:pPr>
        <w:spacing w:after="0" w:line="99" w:lineRule="exact"/>
        <w:rPr>
          <w:sz w:val="20"/>
          <w:szCs w:val="20"/>
          <w:color w:val="auto"/>
        </w:rPr>
      </w:pPr>
    </w:p>
    <w:p>
      <w:pPr>
        <w:ind w:left="1880"/>
        <w:spacing w:after="0"/>
        <w:tabs>
          <w:tab w:leader="none" w:pos="6180" w:val="left"/>
          <w:tab w:leader="none" w:pos="8800" w:val="left"/>
        </w:tabs>
        <w:rPr>
          <w:sz w:val="20"/>
          <w:szCs w:val="20"/>
          <w:color w:val="auto"/>
        </w:rPr>
      </w:pPr>
      <w:r>
        <w:rPr>
          <w:rFonts w:ascii="Arial" w:cs="Arial" w:eastAsia="Arial" w:hAnsi="Arial"/>
          <w:sz w:val="16"/>
          <w:szCs w:val="16"/>
          <w:b w:val="1"/>
          <w:bCs w:val="1"/>
          <w:color w:val="0094FF"/>
        </w:rPr>
        <w:t xml:space="preserve">Director since: </w:t>
      </w:r>
      <w:r>
        <w:rPr>
          <w:rFonts w:ascii="Arial" w:cs="Arial" w:eastAsia="Arial" w:hAnsi="Arial"/>
          <w:sz w:val="16"/>
          <w:szCs w:val="16"/>
          <w:b w:val="1"/>
          <w:bCs w:val="1"/>
          <w:color w:val="000000"/>
        </w:rPr>
        <w:t>October 2020</w:t>
      </w:r>
      <w:r>
        <w:rPr>
          <w:sz w:val="20"/>
          <w:szCs w:val="20"/>
          <w:color w:val="auto"/>
        </w:rPr>
        <w:tab/>
      </w:r>
      <w:r>
        <w:rPr>
          <w:rFonts w:ascii="Arial" w:cs="Arial" w:eastAsia="Arial" w:hAnsi="Arial"/>
          <w:sz w:val="16"/>
          <w:szCs w:val="16"/>
          <w:b w:val="1"/>
          <w:bCs w:val="1"/>
          <w:color w:val="0094FF"/>
        </w:rPr>
        <w:t xml:space="preserve">Independent: </w:t>
      </w:r>
      <w:r>
        <w:rPr>
          <w:rFonts w:ascii="Arial" w:cs="Arial" w:eastAsia="Arial" w:hAnsi="Arial"/>
          <w:sz w:val="16"/>
          <w:szCs w:val="16"/>
          <w:b w:val="1"/>
          <w:bCs w:val="1"/>
          <w:color w:val="000000"/>
        </w:rPr>
        <w:t>Yes</w:t>
      </w:r>
      <w:r>
        <w:rPr>
          <w:sz w:val="20"/>
          <w:szCs w:val="20"/>
          <w:color w:val="auto"/>
        </w:rPr>
        <w:tab/>
      </w:r>
      <w:r>
        <w:rPr>
          <w:rFonts w:ascii="Arial" w:cs="Arial" w:eastAsia="Arial" w:hAnsi="Arial"/>
          <w:sz w:val="16"/>
          <w:szCs w:val="16"/>
          <w:b w:val="1"/>
          <w:bCs w:val="1"/>
          <w:color w:val="0094FF"/>
        </w:rPr>
        <w:t xml:space="preserve">Age: </w:t>
      </w:r>
      <w:r>
        <w:rPr>
          <w:rFonts w:ascii="Arial" w:cs="Arial" w:eastAsia="Arial" w:hAnsi="Arial"/>
          <w:sz w:val="16"/>
          <w:szCs w:val="16"/>
          <w:b w:val="1"/>
          <w:bCs w:val="1"/>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46355</wp:posOffset>
            </wp:positionV>
            <wp:extent cx="52463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pacing w:after="0" w:line="80"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0094FF"/>
        </w:rPr>
        <w:t xml:space="preserve">Committee Memberships: </w:t>
      </w:r>
      <w:r>
        <w:rPr>
          <w:rFonts w:ascii="Arial" w:cs="Arial" w:eastAsia="Arial" w:hAnsi="Arial"/>
          <w:sz w:val="16"/>
          <w:szCs w:val="16"/>
          <w:b w:val="1"/>
          <w:bCs w:val="1"/>
          <w:color w:val="000000"/>
        </w:rPr>
        <w:t>Compensation; Nominating &amp;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-38735</wp:posOffset>
            </wp:positionV>
            <wp:extent cx="1200150" cy="12001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0" cy="1200150"/>
                    </a:xfrm>
                    <a:prstGeom prst="rect">
                      <a:avLst/>
                    </a:prstGeom>
                    <a:noFill/>
                  </pic:spPr>
                </pic:pic>
              </a:graphicData>
            </a:graphic>
          </wp:anchor>
        </w:drawing>
      </w:r>
    </w:p>
    <w:p>
      <w:pPr>
        <w:spacing w:after="0" w:line="71" w:lineRule="exact"/>
        <w:rPr>
          <w:sz w:val="20"/>
          <w:szCs w:val="20"/>
          <w:color w:val="auto"/>
        </w:rPr>
      </w:pPr>
    </w:p>
    <w:p>
      <w:pPr>
        <w:ind w:left="1880" w:right="20"/>
        <w:spacing w:after="0" w:line="285" w:lineRule="auto"/>
        <w:rPr>
          <w:sz w:val="20"/>
          <w:szCs w:val="20"/>
          <w:color w:val="auto"/>
        </w:rPr>
      </w:pPr>
      <w:r>
        <w:rPr>
          <w:rFonts w:ascii="Arial" w:cs="Arial" w:eastAsia="Arial" w:hAnsi="Arial"/>
          <w:sz w:val="14"/>
          <w:szCs w:val="14"/>
          <w:color w:val="auto"/>
        </w:rPr>
        <w:t>Jeff C. Tweedy has served on the Board, the Compensation Committee, and the Nominating &amp; Governance Committee since October 2020. In March of 2021, Mr. Tweedy transitioned to an advisory role with Sean John Clothing, having served as its Chief Executive Officer from November 2007 until March 2021, and previously as its Executive Vice President from February 1998 until March 2005. He has served on the Board of Directors of The Piney Woods School since February 2019, and the advisory board of the Fashion Institute of Technology since January 2020, where he previously studied Menswear Design and Marketing. He served as Vice President of Karl Kani Jeans from March 1993 until June 1996. Mr. Tweedy served as Vice President of Spike Lee from February 1992 until June 1993 and as East Coast Sales Manager of Ralph Lauren Womenswear from February 1990 until December 1992.</w:t>
      </w:r>
    </w:p>
    <w:p>
      <w:pPr>
        <w:spacing w:after="0" w:line="212" w:lineRule="exact"/>
        <w:rPr>
          <w:sz w:val="20"/>
          <w:szCs w:val="20"/>
          <w:color w:val="auto"/>
        </w:rPr>
      </w:pPr>
    </w:p>
    <w:p>
      <w:pPr>
        <w:ind w:left="1880" w:right="240"/>
        <w:spacing w:after="0" w:line="297" w:lineRule="auto"/>
        <w:rPr>
          <w:sz w:val="20"/>
          <w:szCs w:val="20"/>
          <w:color w:val="auto"/>
        </w:rPr>
      </w:pPr>
      <w:r>
        <w:rPr>
          <w:rFonts w:ascii="Arial" w:cs="Arial" w:eastAsia="Arial" w:hAnsi="Arial"/>
          <w:sz w:val="14"/>
          <w:szCs w:val="14"/>
          <w:b w:val="1"/>
          <w:bCs w:val="1"/>
          <w:color w:val="auto"/>
        </w:rPr>
        <w:t>The Board selected Mr. Tweedy to serve as a director based on his extensive executive leadership and management experience related to the retail industry, including merchandising, marketing, sourcing, manufacturing, strategic, and talent management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1555115</wp:posOffset>
            </wp:positionV>
            <wp:extent cx="857250"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color w:val="007EC4"/>
        </w:rPr>
        <w:t xml:space="preserve">14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49"/>
          <w:szCs w:val="49"/>
          <w:b w:val="1"/>
          <w:bCs w:val="1"/>
          <w:color w:val="1B4093"/>
        </w:rPr>
        <w:t>Board Governance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Board Oversight</w:t>
      </w:r>
    </w:p>
    <w:p>
      <w:pPr>
        <w:spacing w:after="0" w:line="139"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The primary role of the Board is to direct and oversee the management of the business and affairs of the Company in a manner that it considers in the best interests of the Company and its stockholders, in accordance with applicable laws and the Nasdaq Stock Market LLC (“Nasdaq”) Listing Rules. The Board’s responsibility is one of oversight and, in performing its oversight role, the Board serves as the ultimate decision-making body of the Company, except for those matters reserved to or shared with our stockholders. The Board selects our Chief Executive Officer and oversees our executive officers, who are charged by the Board with conducting our business. As part of its responsibility, the Board exercises direct oversight of strategic matters such as strategic planning, budgeting, capital planning, compensation, governance, succession planning, cybersecurity, risk management, compliance, and environmental, social and governance (“ESG”) matters. The Board has a dedicated annual strategic planning meeting with senior management and receives quarterly strategic updates during its regular meetings.</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To assist it in fulfilling its responsibilities, the Board has delegated certain authority to its standing committees: the Audit Committee, the Nominating and Governance Committee (the “Governance Committee”) and the Compensation Committee, each of which is composed entirely of independent directors. The roles and responsibilities of these standing committees are described below under “Board Committees.”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Corporate Governance Guidelines</w:t>
      </w:r>
    </w:p>
    <w:p>
      <w:pPr>
        <w:spacing w:after="0" w:line="13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Our commitment to good corporate governance is reflected in the Board’s Corporate Governance Guidelines, which describe the principles and practices that the Board is expected to follow in carrying out its responsibilities. The Corporate Governance Guidelines are reviewed from time to time by the Governance Committee and updated to the extent deemed appropriate in light of emerging practices and to ensure compliance with applicable laws, regulations, governance documents, and Nasdaq Listing Rules, upon recommendation to and approval by the Board. Copies of the Corporate Governance Guidelines and other corporate governance information are available on our investor relations website at investors.academy.com.</w:t>
      </w:r>
    </w:p>
    <w:p>
      <w:pPr>
        <w:spacing w:after="0" w:line="19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Our recently updated Corporate Governance Guidelines address topics such as the role and responsibility of the Board, Board composition, structure and policies, Board meetings, committees of the Board, expectations of directors, management succession planning for the Chief Executive Officer and other executive officers, annual Board and committee evaluations, director compensation, director independence and qualifications, nomination, and selection, Board refreshment and retirement age/term limits, selection and separation or combination of the Chairperson of the Board and Chief Executive Officer, responsibilities of the Lead Director, director orientation and continuing education, director access to officers and employees, changes in directors’ principal occupation, outside directorships/overboarding, investor and other stakeholder communications with the Board and its non-management directors, and strategic planning and budgeting.</w:t>
      </w:r>
    </w:p>
    <w:p>
      <w:pPr>
        <w:spacing w:after="0" w:line="176"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Corporate Governance Guidelines limit the number of public company boards on which a director may serve (including our Board), to four and the number of public company audit committees on which an Audit Committee member may serve (including our Audit Committee) to three. Further, directors who also serve as executive officers (or in equivalent positions) generally should not serve on more than three public company boards (including our Board). All of our directors, director nominees, and executive officers currently comply with our overboarding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857250"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Director Independence</w:t>
      </w:r>
    </w:p>
    <w:p>
      <w:pPr>
        <w:spacing w:after="0" w:line="193"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Under the Corporate Governance Guidelines and the independence standards of the SEC and the Nasdaq Listing Rules, a director is not independent unless the Board affirmatively determines that he or she does not have a relationship with us or our management which, in the opinion of the Board, would impair their independence.</w:t>
      </w:r>
    </w:p>
    <w:p>
      <w:pPr>
        <w:spacing w:after="0" w:line="11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Corporate Governance Guidelines define independence in accordance with Nasdaq Listing Rules, and require the Board to review and determine the independence of all directors at least annually.</w:t>
      </w:r>
    </w:p>
    <w:p>
      <w:pPr>
        <w:spacing w:after="0" w:line="115"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Board has affirmatively determined that each of Wendy Beck, Brian Marley, Tom Nealon, Allen Questrom, Beryl Raff, Chris Turner, Sharen Turney, and Jeff Tweedy is “independent” under SEC rules, the Corporate Governance Guidelines and Nasdaq Listing Rules, including under the heightened independence standards applicable to audit and compensation committee members. In making its independence determinations, the Board considered and reviewed all information known to it (including information identified through annual directors’ questionnaires).</w:t>
      </w:r>
    </w:p>
    <w:p>
      <w:pPr>
        <w:spacing w:after="0" w:line="119"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Since our initial public offering (“IPO”) in October 2020, we have added eight independent directors to the Board, who now comprise 80% of the Board’s ten current directors. Following the Annual Meeting, our Board will be 88% independent.</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Controlled Company Exemption</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Immediately after our IPO, affiliates of KKR beneficially owned shares representing more than 50% of the voting power in the election of directors. As a result, we were a “controlled company” within the meaning of the Nasdaq Listing Rules. As a “controlled company” we were entitled to, and elected to, utilize certain Nasdaq corporate governance exemptions, including not being required to have a majority of independent directors on the Board and not have a compensation or nominating committee that was composed entirely of independent directors. Effective April 12, 2021, we no longer qualified as a “controlled company”. As such, we were required to comply with the Nasdaq corporate governance requirements within transition periods of 90 days for the Compensation Committee to consist of a majority of independent directors, one year for the Compensation Committee and Governance Committee to consist entirely of independent directors, and one year for the Board to consist of a majority of independent directors, each of which were timely satisfied. The Board is now 80% independent and all of the Board’s committees are now fully independent.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Leadership Structure of the Board</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do not have a formal policy regarding the combination or separation of the Chairperson of the Board and Chief Executive Officer positions or whether a separate Chairperson should be selected from the independent directors. The Corporate Governance Guidelines provide the Board with the flexibility to combine or separate the positions of Chairman of the Board and Chief Executive Officer in accordance with its determination that utilizing one or the other structure would be in the best interests of the Company and its stockholders at any given time. Currently, Ken Hicks serves as Chairman of the Board and as our Chief Executive Officer. We believe this combination of roles benefits the Company, as a combined Chairman of the Board/Chief Executive Officer role helps provide strong, unified leadership for our management team and the Board.</w:t>
      </w:r>
    </w:p>
    <w:p>
      <w:pPr>
        <w:spacing w:after="0" w:line="122"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The Board also believes that strong, independent Board leadership and oversight are a critical aspect of effective corporate governance. The Corporate Governance Guidelines enable the independent directors to elect a lead independent director (or “Lead Director”) to serve for a period of at least one year, whenever the Chairperson of the Board is also our Chief Executive Officer or a non-independent director. Accordingly, because the role of Chairman of the Board is currently combined with that of the Chief Executive Officer, in December 2021, the independent members of the Board appointed Tom Nealon to serve as the Lead Director for a period of no less than one year, succeeding Allen Questrom, who served as Lead Director from December 2020 to December 2021.</w:t>
      </w:r>
    </w:p>
    <w:p>
      <w:pPr>
        <w:spacing w:after="0" w:line="136" w:lineRule="exact"/>
        <w:rPr>
          <w:sz w:val="20"/>
          <w:szCs w:val="20"/>
          <w:color w:val="auto"/>
        </w:rPr>
      </w:pPr>
    </w:p>
    <w:p>
      <w:pPr>
        <w:ind w:right="860"/>
        <w:spacing w:after="0" w:line="286" w:lineRule="auto"/>
        <w:rPr>
          <w:sz w:val="20"/>
          <w:szCs w:val="20"/>
          <w:color w:val="auto"/>
        </w:rPr>
      </w:pPr>
      <w:r>
        <w:rPr>
          <w:rFonts w:ascii="Arial" w:cs="Arial" w:eastAsia="Arial" w:hAnsi="Arial"/>
          <w:sz w:val="16"/>
          <w:szCs w:val="16"/>
          <w:color w:val="auto"/>
        </w:rPr>
        <w:t>The position of Lead Director has a clear mandate, significant authority and well-defined responsibilities as set forth in the Corporate Governance Guidelines. These responsibilities and authority include, among others:</w:t>
      </w:r>
    </w:p>
    <w:p>
      <w:pPr>
        <w:spacing w:after="0" w:line="48" w:lineRule="exact"/>
        <w:rPr>
          <w:sz w:val="20"/>
          <w:szCs w:val="20"/>
          <w:color w:val="auto"/>
        </w:rPr>
      </w:pPr>
    </w:p>
    <w:p>
      <w:pPr>
        <w:ind w:left="460" w:hanging="209"/>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presiding at meetings of the Board at which the Chairperson is not present, including at executive sessions of the independent directors;</w:t>
      </w:r>
    </w:p>
    <w:p>
      <w:pPr>
        <w:spacing w:after="0" w:line="72" w:lineRule="exact"/>
        <w:rPr>
          <w:rFonts w:ascii="Arial" w:cs="Arial" w:eastAsia="Arial" w:hAnsi="Arial"/>
          <w:sz w:val="16"/>
          <w:szCs w:val="16"/>
          <w:color w:val="auto"/>
        </w:rPr>
      </w:pPr>
    </w:p>
    <w:p>
      <w:pPr>
        <w:ind w:left="460" w:hanging="209"/>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collaborating with the Chairperson of the Board regarding the information sent to the Board;</w:t>
      </w:r>
    </w:p>
    <w:p>
      <w:pPr>
        <w:spacing w:after="0" w:line="59" w:lineRule="exact"/>
        <w:rPr>
          <w:rFonts w:ascii="Arial" w:cs="Arial" w:eastAsia="Arial" w:hAnsi="Arial"/>
          <w:sz w:val="16"/>
          <w:szCs w:val="16"/>
          <w:color w:val="auto"/>
        </w:rPr>
      </w:pPr>
    </w:p>
    <w:p>
      <w:pPr>
        <w:ind w:left="460" w:hanging="209"/>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collaborating with the Chairperson of the Board regarding the agendas and schedules for the meetings of the Board;</w:t>
      </w:r>
    </w:p>
    <w:p>
      <w:pPr>
        <w:spacing w:after="0" w:line="59" w:lineRule="exact"/>
        <w:rPr>
          <w:rFonts w:ascii="Arial" w:cs="Arial" w:eastAsia="Arial" w:hAnsi="Arial"/>
          <w:sz w:val="16"/>
          <w:szCs w:val="16"/>
          <w:color w:val="auto"/>
        </w:rPr>
      </w:pPr>
    </w:p>
    <w:p>
      <w:pPr>
        <w:ind w:left="460" w:hanging="209"/>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assisting in scheduling Board meetings and approving meeting schedules to ensure that there is sufficient time for discussion of agenda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457835</wp:posOffset>
            </wp:positionV>
            <wp:extent cx="857250"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color w:val="007EC4"/>
        </w:rPr>
        <w:t xml:space="preserve">16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hanging="209"/>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serving as liaison between the Chairperson of the Board and the independent directors and/or with management, as appropriate;</w:t>
      </w:r>
    </w:p>
    <w:p>
      <w:pPr>
        <w:spacing w:after="0" w:line="59" w:lineRule="exact"/>
        <w:rPr>
          <w:rFonts w:ascii="Arial" w:cs="Arial" w:eastAsia="Arial" w:hAnsi="Arial"/>
          <w:sz w:val="16"/>
          <w:szCs w:val="16"/>
          <w:color w:val="auto"/>
        </w:rPr>
      </w:pPr>
    </w:p>
    <w:p>
      <w:pPr>
        <w:ind w:left="500" w:right="220" w:hanging="249"/>
        <w:spacing w:after="0" w:line="275" w:lineRule="auto"/>
        <w:tabs>
          <w:tab w:leader="none" w:pos="476" w:val="left"/>
        </w:tabs>
        <w:numPr>
          <w:ilvl w:val="0"/>
          <w:numId w:val="4"/>
        </w:numPr>
        <w:rPr>
          <w:rFonts w:ascii="Arial" w:cs="Arial" w:eastAsia="Arial" w:hAnsi="Arial"/>
          <w:sz w:val="16"/>
          <w:szCs w:val="16"/>
          <w:color w:val="auto"/>
        </w:rPr>
      </w:pPr>
      <w:r>
        <w:rPr>
          <w:rFonts w:ascii="Arial" w:cs="Arial" w:eastAsia="Arial" w:hAnsi="Arial"/>
          <w:sz w:val="16"/>
          <w:szCs w:val="16"/>
          <w:color w:val="auto"/>
        </w:rPr>
        <w:t>working with the Board and its committees to oversee the Company’s engagement with stockholders, proxy advisory firms, and other interested parties, reviewing stockholder inquiries, and making recommendations to the Board regarding responding to those inquiries, and being available for consultation and communication with major stockholders, upon request;</w:t>
      </w:r>
    </w:p>
    <w:p>
      <w:pPr>
        <w:spacing w:after="0" w:line="15" w:lineRule="exact"/>
        <w:rPr>
          <w:rFonts w:ascii="Arial" w:cs="Arial" w:eastAsia="Arial" w:hAnsi="Arial"/>
          <w:sz w:val="16"/>
          <w:szCs w:val="16"/>
          <w:color w:val="auto"/>
        </w:rPr>
      </w:pPr>
    </w:p>
    <w:p>
      <w:pPr>
        <w:ind w:left="460" w:hanging="209"/>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calling meetings/executive sessions of the independent directors, as appropriate;</w:t>
      </w:r>
    </w:p>
    <w:p>
      <w:pPr>
        <w:spacing w:after="0" w:line="59" w:lineRule="exact"/>
        <w:rPr>
          <w:rFonts w:ascii="Arial" w:cs="Arial" w:eastAsia="Arial" w:hAnsi="Arial"/>
          <w:sz w:val="16"/>
          <w:szCs w:val="16"/>
          <w:color w:val="auto"/>
        </w:rPr>
      </w:pPr>
    </w:p>
    <w:p>
      <w:pPr>
        <w:ind w:left="460" w:hanging="209"/>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collaborating with the Chairperson of the Board in determining the need for special meetings of the Board; and</w:t>
      </w:r>
    </w:p>
    <w:p>
      <w:pPr>
        <w:spacing w:after="0" w:line="59" w:lineRule="exact"/>
        <w:rPr>
          <w:rFonts w:ascii="Arial" w:cs="Arial" w:eastAsia="Arial" w:hAnsi="Arial"/>
          <w:sz w:val="16"/>
          <w:szCs w:val="16"/>
          <w:color w:val="auto"/>
        </w:rPr>
      </w:pPr>
    </w:p>
    <w:p>
      <w:pPr>
        <w:ind w:left="500" w:right="180" w:hanging="249"/>
        <w:spacing w:after="0" w:line="304" w:lineRule="auto"/>
        <w:tabs>
          <w:tab w:leader="none" w:pos="476"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recommending to the Board, in consultation with the applicable committee chairs, the retention of consultants and advisors who directly report to the Board, including independent legal, financial or compensation advisors.</w:t>
      </w:r>
    </w:p>
    <w:p>
      <w:pPr>
        <w:spacing w:after="0" w:line="87"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 believe that the current Board leadership structure provides appropriate governance and risk oversight. However, the Board will continue to periodically review our leadership structure and may make such changes in the future as it deems appropriate.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Executive Sessions</w:t>
      </w:r>
    </w:p>
    <w:p>
      <w:pPr>
        <w:spacing w:after="0" w:line="19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To promote free and open discussion and communication among the non-management directors of the Board, the non-management directors will meet in executive session with no members of management present from time to time. In addition, to the extent that the non-management directors include any non-independent directors, the independent directors also will meet separately at least once a year in a private session that excludes management and non-independent directors. The Lead Director presides at the executive sessions of both non-management and independent directors. In fiscal 2021, the independent directors separately met at least twice in private session that excluded management and non-independent directors.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Board Committees</w:t>
      </w:r>
    </w:p>
    <w:p>
      <w:pPr>
        <w:spacing w:after="0" w:line="180"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The Board has established an Audit Committee, a Compensation Committee and a Governance Committee, each of which is entirely comprised of independent directors. These committees are each described below. The Governance Committee is responsible for identifying Board members qualified to serve on each committee and recommending that the Board appoint members to each committee. Each committee reports regularly to the full Board summarizing the committee’s actions and any significant issues considered by the committee.</w:t>
      </w:r>
    </w:p>
    <w:p>
      <w:pPr>
        <w:spacing w:after="0" w:line="114"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Each of the Board’s committees acts under a written charter, which was approved and adopted by the Board and describes the responsibilities of the committee. Copies of the Audit Committee, Compensation Committee, and Governance Committee charters are available on our investor relations website at investors.academy.com.</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current memberships of each of the Board’s committees.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200" w:type="dxa"/>
            <w:vAlign w:val="bottom"/>
            <w:shd w:val="clear" w:color="auto" w:fill="E1D7AC"/>
          </w:tcPr>
          <w:p>
            <w:pPr>
              <w:spacing w:after="0"/>
              <w:rPr>
                <w:sz w:val="23"/>
                <w:szCs w:val="23"/>
                <w:color w:val="auto"/>
              </w:rPr>
            </w:pPr>
          </w:p>
        </w:tc>
        <w:tc>
          <w:tcPr>
            <w:tcW w:w="2440" w:type="dxa"/>
            <w:vAlign w:val="bottom"/>
            <w:shd w:val="clear" w:color="auto" w:fill="E1D7AC"/>
          </w:tcPr>
          <w:p>
            <w:pPr>
              <w:jc w:val="center"/>
              <w:ind w:left="388"/>
              <w:spacing w:after="0"/>
              <w:rPr>
                <w:sz w:val="20"/>
                <w:szCs w:val="20"/>
                <w:color w:val="auto"/>
              </w:rPr>
            </w:pPr>
            <w:r>
              <w:rPr>
                <w:rFonts w:ascii="Arial" w:cs="Arial" w:eastAsia="Arial" w:hAnsi="Arial"/>
                <w:sz w:val="14"/>
                <w:szCs w:val="14"/>
                <w:b w:val="1"/>
                <w:bCs w:val="1"/>
                <w:color w:val="auto"/>
              </w:rPr>
              <w:t>Audit Committee</w:t>
            </w:r>
          </w:p>
        </w:tc>
        <w:tc>
          <w:tcPr>
            <w:tcW w:w="2740" w:type="dxa"/>
            <w:vAlign w:val="bottom"/>
            <w:shd w:val="clear" w:color="auto" w:fill="E1D7AC"/>
          </w:tcPr>
          <w:p>
            <w:pPr>
              <w:jc w:val="center"/>
              <w:ind w:right="48"/>
              <w:spacing w:after="0"/>
              <w:rPr>
                <w:sz w:val="20"/>
                <w:szCs w:val="20"/>
                <w:color w:val="auto"/>
              </w:rPr>
            </w:pPr>
            <w:r>
              <w:rPr>
                <w:rFonts w:ascii="Arial" w:cs="Arial" w:eastAsia="Arial" w:hAnsi="Arial"/>
                <w:sz w:val="14"/>
                <w:szCs w:val="14"/>
                <w:b w:val="1"/>
                <w:bCs w:val="1"/>
                <w:color w:val="auto"/>
              </w:rPr>
              <w:t>Compensation Committee</w:t>
            </w:r>
          </w:p>
        </w:tc>
        <w:tc>
          <w:tcPr>
            <w:tcW w:w="3860" w:type="dxa"/>
            <w:vAlign w:val="bottom"/>
            <w:shd w:val="clear" w:color="auto" w:fill="E1D7AC"/>
          </w:tcPr>
          <w:p>
            <w:pPr>
              <w:jc w:val="center"/>
              <w:spacing w:after="0"/>
              <w:rPr>
                <w:sz w:val="20"/>
                <w:szCs w:val="20"/>
                <w:color w:val="auto"/>
              </w:rPr>
            </w:pPr>
            <w:r>
              <w:rPr>
                <w:rFonts w:ascii="Arial" w:cs="Arial" w:eastAsia="Arial" w:hAnsi="Arial"/>
                <w:sz w:val="14"/>
                <w:szCs w:val="14"/>
                <w:b w:val="1"/>
                <w:bCs w:val="1"/>
                <w:color w:val="auto"/>
              </w:rPr>
              <w:t>Nominating and Governance Committee</w:t>
            </w:r>
          </w:p>
        </w:tc>
      </w:tr>
      <w:tr>
        <w:trPr>
          <w:trHeight w:val="83"/>
        </w:trPr>
        <w:tc>
          <w:tcPr>
            <w:tcW w:w="2200" w:type="dxa"/>
            <w:vAlign w:val="bottom"/>
            <w:shd w:val="clear" w:color="auto" w:fill="E1D7AC"/>
          </w:tcPr>
          <w:p>
            <w:pPr>
              <w:spacing w:after="0"/>
              <w:rPr>
                <w:sz w:val="7"/>
                <w:szCs w:val="7"/>
                <w:color w:val="auto"/>
              </w:rPr>
            </w:pPr>
          </w:p>
        </w:tc>
        <w:tc>
          <w:tcPr>
            <w:tcW w:w="2440" w:type="dxa"/>
            <w:vAlign w:val="bottom"/>
            <w:shd w:val="clear" w:color="auto" w:fill="E1D7AC"/>
          </w:tcPr>
          <w:p>
            <w:pPr>
              <w:spacing w:after="0"/>
              <w:rPr>
                <w:sz w:val="7"/>
                <w:szCs w:val="7"/>
                <w:color w:val="auto"/>
              </w:rPr>
            </w:pPr>
          </w:p>
        </w:tc>
        <w:tc>
          <w:tcPr>
            <w:tcW w:w="2740" w:type="dxa"/>
            <w:vAlign w:val="bottom"/>
            <w:shd w:val="clear" w:color="auto" w:fill="E1D7AC"/>
          </w:tcPr>
          <w:p>
            <w:pPr>
              <w:spacing w:after="0"/>
              <w:rPr>
                <w:sz w:val="7"/>
                <w:szCs w:val="7"/>
                <w:color w:val="auto"/>
              </w:rPr>
            </w:pPr>
          </w:p>
        </w:tc>
        <w:tc>
          <w:tcPr>
            <w:tcW w:w="3860" w:type="dxa"/>
            <w:vAlign w:val="bottom"/>
            <w:shd w:val="clear" w:color="auto" w:fill="E1D7AC"/>
          </w:tcPr>
          <w:p>
            <w:pPr>
              <w:spacing w:after="0"/>
              <w:rPr>
                <w:sz w:val="7"/>
                <w:szCs w:val="7"/>
                <w:color w:val="auto"/>
              </w:rPr>
            </w:pPr>
          </w:p>
        </w:tc>
      </w:tr>
      <w:tr>
        <w:trPr>
          <w:trHeight w:val="223"/>
        </w:trPr>
        <w:tc>
          <w:tcPr>
            <w:tcW w:w="22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 xml:space="preserve">Ken Hicks </w:t>
            </w:r>
            <w:r>
              <w:rPr>
                <w:rFonts w:ascii="Arial" w:cs="Arial" w:eastAsia="Arial" w:hAnsi="Arial"/>
                <w:sz w:val="9"/>
                <w:szCs w:val="9"/>
                <w:b w:val="1"/>
                <w:bCs w:val="1"/>
                <w:color w:val="auto"/>
              </w:rPr>
              <w:t>(C)</w:t>
            </w:r>
          </w:p>
        </w:tc>
        <w:tc>
          <w:tcPr>
            <w:tcW w:w="2440" w:type="dxa"/>
            <w:vAlign w:val="bottom"/>
            <w:tcBorders>
              <w:bottom w:val="single" w:sz="8" w:color="DBDBDB"/>
            </w:tcBorders>
            <w:shd w:val="clear" w:color="auto" w:fill="DBDBDB"/>
          </w:tcPr>
          <w:p>
            <w:pPr>
              <w:spacing w:after="0"/>
              <w:rPr>
                <w:sz w:val="19"/>
                <w:szCs w:val="19"/>
                <w:color w:val="auto"/>
              </w:rPr>
            </w:pPr>
          </w:p>
        </w:tc>
        <w:tc>
          <w:tcPr>
            <w:tcW w:w="2740" w:type="dxa"/>
            <w:vAlign w:val="bottom"/>
            <w:tcBorders>
              <w:bottom w:val="single" w:sz="8" w:color="DBDBDB"/>
            </w:tcBorders>
            <w:shd w:val="clear" w:color="auto" w:fill="DBDBDB"/>
          </w:tcPr>
          <w:p>
            <w:pPr>
              <w:spacing w:after="0"/>
              <w:rPr>
                <w:sz w:val="19"/>
                <w:szCs w:val="19"/>
                <w:color w:val="auto"/>
              </w:rPr>
            </w:pPr>
          </w:p>
        </w:tc>
        <w:tc>
          <w:tcPr>
            <w:tcW w:w="3860" w:type="dxa"/>
            <w:vAlign w:val="bottom"/>
            <w:tcBorders>
              <w:bottom w:val="single" w:sz="8" w:color="DBDBDB"/>
            </w:tcBorders>
            <w:shd w:val="clear" w:color="auto" w:fill="DBDBDB"/>
          </w:tcPr>
          <w:p>
            <w:pPr>
              <w:spacing w:after="0"/>
              <w:rPr>
                <w:sz w:val="19"/>
                <w:szCs w:val="19"/>
                <w:color w:val="auto"/>
              </w:rPr>
            </w:pPr>
          </w:p>
        </w:tc>
      </w:tr>
      <w:tr>
        <w:trPr>
          <w:trHeight w:val="214"/>
        </w:trPr>
        <w:tc>
          <w:tcPr>
            <w:tcW w:w="2200" w:type="dxa"/>
            <w:vAlign w:val="bottom"/>
          </w:tcPr>
          <w:p>
            <w:pPr>
              <w:ind w:left="100"/>
              <w:spacing w:after="0"/>
              <w:rPr>
                <w:sz w:val="20"/>
                <w:szCs w:val="20"/>
                <w:color w:val="auto"/>
              </w:rPr>
            </w:pPr>
            <w:r>
              <w:rPr>
                <w:rFonts w:ascii="Arial" w:cs="Arial" w:eastAsia="Arial" w:hAnsi="Arial"/>
                <w:sz w:val="14"/>
                <w:szCs w:val="14"/>
                <w:b w:val="1"/>
                <w:bCs w:val="1"/>
                <w:color w:val="auto"/>
              </w:rPr>
              <w:t xml:space="preserve">Wendy Beck </w:t>
            </w:r>
            <w:r>
              <w:rPr>
                <w:rFonts w:ascii="Arial" w:cs="Arial" w:eastAsia="Arial" w:hAnsi="Arial"/>
                <w:sz w:val="9"/>
                <w:szCs w:val="9"/>
                <w:b w:val="1"/>
                <w:bCs w:val="1"/>
                <w:color w:val="auto"/>
              </w:rPr>
              <w:t>(I)</w:t>
            </w:r>
            <w:r>
              <w:rPr>
                <w:rFonts w:ascii="Arial" w:cs="Arial" w:eastAsia="Arial" w:hAnsi="Arial"/>
                <w:sz w:val="14"/>
                <w:szCs w:val="14"/>
                <w:b w:val="1"/>
                <w:bCs w:val="1"/>
                <w:color w:val="auto"/>
              </w:rPr>
              <w:t>*</w:t>
            </w:r>
          </w:p>
        </w:tc>
        <w:tc>
          <w:tcPr>
            <w:tcW w:w="2440" w:type="dxa"/>
            <w:vAlign w:val="bottom"/>
          </w:tcPr>
          <w:p>
            <w:pPr>
              <w:jc w:val="center"/>
              <w:ind w:left="388"/>
              <w:spacing w:after="0"/>
              <w:rPr>
                <w:sz w:val="20"/>
                <w:szCs w:val="20"/>
                <w:color w:val="auto"/>
              </w:rPr>
            </w:pPr>
            <w:r>
              <w:rPr>
                <w:rFonts w:ascii="Arial" w:cs="Arial" w:eastAsia="Arial" w:hAnsi="Arial"/>
                <w:sz w:val="14"/>
                <w:szCs w:val="14"/>
                <w:color w:val="auto"/>
              </w:rPr>
              <w:t>X</w:t>
            </w:r>
          </w:p>
        </w:tc>
        <w:tc>
          <w:tcPr>
            <w:tcW w:w="274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Arial" w:cs="Arial" w:eastAsia="Arial" w:hAnsi="Arial"/>
                <w:sz w:val="14"/>
                <w:szCs w:val="14"/>
                <w:color w:val="auto"/>
              </w:rPr>
              <w:t>Chair</w:t>
            </w:r>
          </w:p>
        </w:tc>
      </w:tr>
      <w:tr>
        <w:trPr>
          <w:trHeight w:val="29"/>
        </w:trPr>
        <w:tc>
          <w:tcPr>
            <w:tcW w:w="2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23"/>
        </w:trPr>
        <w:tc>
          <w:tcPr>
            <w:tcW w:w="22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 xml:space="preserve">Brian Marley </w:t>
            </w:r>
            <w:r>
              <w:rPr>
                <w:rFonts w:ascii="Arial" w:cs="Arial" w:eastAsia="Arial" w:hAnsi="Arial"/>
                <w:sz w:val="9"/>
                <w:szCs w:val="9"/>
                <w:b w:val="1"/>
                <w:bCs w:val="1"/>
                <w:color w:val="auto"/>
              </w:rPr>
              <w:t>(I)</w:t>
            </w:r>
            <w:r>
              <w:rPr>
                <w:rFonts w:ascii="Arial" w:cs="Arial" w:eastAsia="Arial" w:hAnsi="Arial"/>
                <w:sz w:val="14"/>
                <w:szCs w:val="14"/>
                <w:b w:val="1"/>
                <w:bCs w:val="1"/>
                <w:color w:val="auto"/>
              </w:rPr>
              <w:t>*</w:t>
            </w:r>
          </w:p>
        </w:tc>
        <w:tc>
          <w:tcPr>
            <w:tcW w:w="2440" w:type="dxa"/>
            <w:vAlign w:val="bottom"/>
            <w:tcBorders>
              <w:bottom w:val="single" w:sz="8" w:color="DBDBDB"/>
            </w:tcBorders>
            <w:shd w:val="clear" w:color="auto" w:fill="DBDBDB"/>
          </w:tcPr>
          <w:p>
            <w:pPr>
              <w:jc w:val="center"/>
              <w:ind w:left="388"/>
              <w:spacing w:after="0"/>
              <w:rPr>
                <w:sz w:val="20"/>
                <w:szCs w:val="20"/>
                <w:color w:val="auto"/>
              </w:rPr>
            </w:pPr>
            <w:r>
              <w:rPr>
                <w:rFonts w:ascii="Arial" w:cs="Arial" w:eastAsia="Arial" w:hAnsi="Arial"/>
                <w:sz w:val="14"/>
                <w:szCs w:val="14"/>
                <w:color w:val="auto"/>
              </w:rPr>
              <w:t>Chair</w:t>
            </w:r>
          </w:p>
        </w:tc>
        <w:tc>
          <w:tcPr>
            <w:tcW w:w="2740" w:type="dxa"/>
            <w:vAlign w:val="bottom"/>
            <w:tcBorders>
              <w:bottom w:val="single" w:sz="8" w:color="DBDBDB"/>
            </w:tcBorders>
            <w:shd w:val="clear" w:color="auto" w:fill="DBDBDB"/>
          </w:tcPr>
          <w:p>
            <w:pPr>
              <w:spacing w:after="0"/>
              <w:rPr>
                <w:sz w:val="19"/>
                <w:szCs w:val="19"/>
                <w:color w:val="auto"/>
              </w:rPr>
            </w:pPr>
          </w:p>
        </w:tc>
        <w:tc>
          <w:tcPr>
            <w:tcW w:w="3860" w:type="dxa"/>
            <w:vAlign w:val="bottom"/>
            <w:tcBorders>
              <w:bottom w:val="single" w:sz="8" w:color="DBDBDB"/>
            </w:tcBorders>
            <w:shd w:val="clear" w:color="auto" w:fill="DBDBDB"/>
          </w:tcPr>
          <w:p>
            <w:pPr>
              <w:spacing w:after="0"/>
              <w:rPr>
                <w:sz w:val="19"/>
                <w:szCs w:val="19"/>
                <w:color w:val="auto"/>
              </w:rPr>
            </w:pPr>
          </w:p>
        </w:tc>
      </w:tr>
      <w:tr>
        <w:trPr>
          <w:trHeight w:val="214"/>
        </w:trPr>
        <w:tc>
          <w:tcPr>
            <w:tcW w:w="2200" w:type="dxa"/>
            <w:vAlign w:val="bottom"/>
          </w:tcPr>
          <w:p>
            <w:pPr>
              <w:ind w:left="100"/>
              <w:spacing w:after="0"/>
              <w:rPr>
                <w:sz w:val="20"/>
                <w:szCs w:val="20"/>
                <w:color w:val="auto"/>
              </w:rPr>
            </w:pPr>
            <w:r>
              <w:rPr>
                <w:rFonts w:ascii="Arial" w:cs="Arial" w:eastAsia="Arial" w:hAnsi="Arial"/>
                <w:sz w:val="14"/>
                <w:szCs w:val="14"/>
                <w:b w:val="1"/>
                <w:bCs w:val="1"/>
                <w:color w:val="auto"/>
              </w:rPr>
              <w:t xml:space="preserve">Tom Nealon </w:t>
            </w:r>
            <w:r>
              <w:rPr>
                <w:rFonts w:ascii="Arial" w:cs="Arial" w:eastAsia="Arial" w:hAnsi="Arial"/>
                <w:sz w:val="9"/>
                <w:szCs w:val="9"/>
                <w:b w:val="1"/>
                <w:bCs w:val="1"/>
                <w:color w:val="auto"/>
              </w:rPr>
              <w:t>(I) LD</w:t>
            </w:r>
          </w:p>
        </w:tc>
        <w:tc>
          <w:tcPr>
            <w:tcW w:w="2440" w:type="dxa"/>
            <w:vAlign w:val="bottom"/>
          </w:tcPr>
          <w:p>
            <w:pPr>
              <w:spacing w:after="0"/>
              <w:rPr>
                <w:sz w:val="18"/>
                <w:szCs w:val="18"/>
                <w:color w:val="auto"/>
              </w:rPr>
            </w:pPr>
          </w:p>
        </w:tc>
        <w:tc>
          <w:tcPr>
            <w:tcW w:w="2740" w:type="dxa"/>
            <w:vAlign w:val="bottom"/>
          </w:tcPr>
          <w:p>
            <w:pPr>
              <w:jc w:val="center"/>
              <w:ind w:right="68"/>
              <w:spacing w:after="0"/>
              <w:rPr>
                <w:sz w:val="20"/>
                <w:szCs w:val="20"/>
                <w:color w:val="auto"/>
              </w:rPr>
            </w:pPr>
            <w:r>
              <w:rPr>
                <w:rFonts w:ascii="Arial" w:cs="Arial" w:eastAsia="Arial" w:hAnsi="Arial"/>
                <w:sz w:val="14"/>
                <w:szCs w:val="14"/>
                <w:color w:val="auto"/>
                <w:w w:val="85"/>
              </w:rPr>
              <w:t>X</w:t>
            </w:r>
          </w:p>
        </w:tc>
        <w:tc>
          <w:tcPr>
            <w:tcW w:w="3860" w:type="dxa"/>
            <w:vAlign w:val="bottom"/>
          </w:tcPr>
          <w:p>
            <w:pPr>
              <w:spacing w:after="0"/>
              <w:rPr>
                <w:sz w:val="18"/>
                <w:szCs w:val="18"/>
                <w:color w:val="auto"/>
              </w:rPr>
            </w:pPr>
          </w:p>
        </w:tc>
      </w:tr>
      <w:tr>
        <w:trPr>
          <w:trHeight w:val="29"/>
        </w:trPr>
        <w:tc>
          <w:tcPr>
            <w:tcW w:w="2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23"/>
        </w:trPr>
        <w:tc>
          <w:tcPr>
            <w:tcW w:w="22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Allen Questrom</w:t>
            </w:r>
            <w:r>
              <w:rPr>
                <w:rFonts w:ascii="Arial" w:cs="Arial" w:eastAsia="Arial" w:hAnsi="Arial"/>
                <w:sz w:val="9"/>
                <w:szCs w:val="9"/>
                <w:b w:val="1"/>
                <w:bCs w:val="1"/>
                <w:color w:val="auto"/>
              </w:rPr>
              <w:t>(I)</w:t>
            </w:r>
            <w:r>
              <w:rPr>
                <w:rFonts w:ascii="Arial" w:cs="Arial" w:eastAsia="Arial" w:hAnsi="Arial"/>
                <w:sz w:val="14"/>
                <w:szCs w:val="14"/>
                <w:b w:val="1"/>
                <w:bCs w:val="1"/>
                <w:color w:val="auto"/>
              </w:rPr>
              <w:t>*</w:t>
            </w:r>
          </w:p>
        </w:tc>
        <w:tc>
          <w:tcPr>
            <w:tcW w:w="2440" w:type="dxa"/>
            <w:vAlign w:val="bottom"/>
            <w:tcBorders>
              <w:bottom w:val="single" w:sz="8" w:color="DBDBDB"/>
            </w:tcBorders>
            <w:shd w:val="clear" w:color="auto" w:fill="DBDBDB"/>
          </w:tcPr>
          <w:p>
            <w:pPr>
              <w:jc w:val="center"/>
              <w:ind w:left="388"/>
              <w:spacing w:after="0"/>
              <w:rPr>
                <w:sz w:val="20"/>
                <w:szCs w:val="20"/>
                <w:color w:val="auto"/>
              </w:rPr>
            </w:pPr>
            <w:r>
              <w:rPr>
                <w:rFonts w:ascii="Arial" w:cs="Arial" w:eastAsia="Arial" w:hAnsi="Arial"/>
                <w:sz w:val="14"/>
                <w:szCs w:val="14"/>
                <w:color w:val="auto"/>
              </w:rPr>
              <w:t>X</w:t>
            </w:r>
          </w:p>
        </w:tc>
        <w:tc>
          <w:tcPr>
            <w:tcW w:w="2740" w:type="dxa"/>
            <w:vAlign w:val="bottom"/>
            <w:tcBorders>
              <w:bottom w:val="single" w:sz="8" w:color="DBDBDB"/>
            </w:tcBorders>
            <w:shd w:val="clear" w:color="auto" w:fill="DBDBDB"/>
          </w:tcPr>
          <w:p>
            <w:pPr>
              <w:spacing w:after="0"/>
              <w:rPr>
                <w:sz w:val="19"/>
                <w:szCs w:val="19"/>
                <w:color w:val="auto"/>
              </w:rPr>
            </w:pPr>
          </w:p>
        </w:tc>
        <w:tc>
          <w:tcPr>
            <w:tcW w:w="38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X</w:t>
            </w:r>
          </w:p>
        </w:tc>
      </w:tr>
      <w:tr>
        <w:trPr>
          <w:trHeight w:val="214"/>
        </w:trPr>
        <w:tc>
          <w:tcPr>
            <w:tcW w:w="2200" w:type="dxa"/>
            <w:vAlign w:val="bottom"/>
          </w:tcPr>
          <w:p>
            <w:pPr>
              <w:ind w:left="100"/>
              <w:spacing w:after="0"/>
              <w:rPr>
                <w:sz w:val="20"/>
                <w:szCs w:val="20"/>
                <w:color w:val="auto"/>
              </w:rPr>
            </w:pPr>
            <w:r>
              <w:rPr>
                <w:rFonts w:ascii="Arial" w:cs="Arial" w:eastAsia="Arial" w:hAnsi="Arial"/>
                <w:sz w:val="14"/>
                <w:szCs w:val="14"/>
                <w:b w:val="1"/>
                <w:bCs w:val="1"/>
                <w:color w:val="auto"/>
              </w:rPr>
              <w:t xml:space="preserve">Beryl Raff </w:t>
            </w:r>
            <w:r>
              <w:rPr>
                <w:rFonts w:ascii="Arial" w:cs="Arial" w:eastAsia="Arial" w:hAnsi="Arial"/>
                <w:sz w:val="9"/>
                <w:szCs w:val="9"/>
                <w:b w:val="1"/>
                <w:bCs w:val="1"/>
                <w:color w:val="auto"/>
              </w:rPr>
              <w:t>(I)</w:t>
            </w:r>
          </w:p>
        </w:tc>
        <w:tc>
          <w:tcPr>
            <w:tcW w:w="2440" w:type="dxa"/>
            <w:vAlign w:val="bottom"/>
          </w:tcPr>
          <w:p>
            <w:pPr>
              <w:spacing w:after="0"/>
              <w:rPr>
                <w:sz w:val="18"/>
                <w:szCs w:val="18"/>
                <w:color w:val="auto"/>
              </w:rPr>
            </w:pPr>
          </w:p>
        </w:tc>
        <w:tc>
          <w:tcPr>
            <w:tcW w:w="2740" w:type="dxa"/>
            <w:vAlign w:val="bottom"/>
          </w:tcPr>
          <w:p>
            <w:pPr>
              <w:jc w:val="center"/>
              <w:ind w:right="68"/>
              <w:spacing w:after="0"/>
              <w:rPr>
                <w:sz w:val="20"/>
                <w:szCs w:val="20"/>
                <w:color w:val="auto"/>
              </w:rPr>
            </w:pPr>
            <w:r>
              <w:rPr>
                <w:rFonts w:ascii="Arial" w:cs="Arial" w:eastAsia="Arial" w:hAnsi="Arial"/>
                <w:sz w:val="14"/>
                <w:szCs w:val="14"/>
                <w:color w:val="auto"/>
              </w:rPr>
              <w:t>Chair</w:t>
            </w:r>
          </w:p>
        </w:tc>
        <w:tc>
          <w:tcPr>
            <w:tcW w:w="3860" w:type="dxa"/>
            <w:vAlign w:val="bottom"/>
          </w:tcPr>
          <w:p>
            <w:pPr>
              <w:spacing w:after="0"/>
              <w:rPr>
                <w:sz w:val="18"/>
                <w:szCs w:val="18"/>
                <w:color w:val="auto"/>
              </w:rPr>
            </w:pPr>
          </w:p>
        </w:tc>
      </w:tr>
      <w:tr>
        <w:trPr>
          <w:trHeight w:val="29"/>
        </w:trPr>
        <w:tc>
          <w:tcPr>
            <w:tcW w:w="2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23"/>
        </w:trPr>
        <w:tc>
          <w:tcPr>
            <w:tcW w:w="22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Nate Taylor</w:t>
            </w:r>
          </w:p>
        </w:tc>
        <w:tc>
          <w:tcPr>
            <w:tcW w:w="2440" w:type="dxa"/>
            <w:vAlign w:val="bottom"/>
            <w:tcBorders>
              <w:bottom w:val="single" w:sz="8" w:color="DBDBDB"/>
            </w:tcBorders>
            <w:shd w:val="clear" w:color="auto" w:fill="DBDBDB"/>
          </w:tcPr>
          <w:p>
            <w:pPr>
              <w:spacing w:after="0"/>
              <w:rPr>
                <w:sz w:val="19"/>
                <w:szCs w:val="19"/>
                <w:color w:val="auto"/>
              </w:rPr>
            </w:pPr>
          </w:p>
        </w:tc>
        <w:tc>
          <w:tcPr>
            <w:tcW w:w="2740" w:type="dxa"/>
            <w:vAlign w:val="bottom"/>
            <w:tcBorders>
              <w:bottom w:val="single" w:sz="8" w:color="DBDBDB"/>
            </w:tcBorders>
            <w:shd w:val="clear" w:color="auto" w:fill="DBDBDB"/>
          </w:tcPr>
          <w:p>
            <w:pPr>
              <w:spacing w:after="0"/>
              <w:rPr>
                <w:sz w:val="19"/>
                <w:szCs w:val="19"/>
                <w:color w:val="auto"/>
              </w:rPr>
            </w:pPr>
          </w:p>
        </w:tc>
        <w:tc>
          <w:tcPr>
            <w:tcW w:w="3860" w:type="dxa"/>
            <w:vAlign w:val="bottom"/>
            <w:tcBorders>
              <w:bottom w:val="single" w:sz="8" w:color="DBDBDB"/>
            </w:tcBorders>
            <w:shd w:val="clear" w:color="auto" w:fill="DBDBDB"/>
          </w:tcPr>
          <w:p>
            <w:pPr>
              <w:spacing w:after="0"/>
              <w:rPr>
                <w:sz w:val="19"/>
                <w:szCs w:val="19"/>
                <w:color w:val="auto"/>
              </w:rPr>
            </w:pPr>
          </w:p>
        </w:tc>
      </w:tr>
      <w:tr>
        <w:trPr>
          <w:trHeight w:val="214"/>
        </w:trPr>
        <w:tc>
          <w:tcPr>
            <w:tcW w:w="2200" w:type="dxa"/>
            <w:vAlign w:val="bottom"/>
          </w:tcPr>
          <w:p>
            <w:pPr>
              <w:ind w:left="100"/>
              <w:spacing w:after="0"/>
              <w:rPr>
                <w:sz w:val="20"/>
                <w:szCs w:val="20"/>
                <w:color w:val="auto"/>
              </w:rPr>
            </w:pPr>
            <w:r>
              <w:rPr>
                <w:rFonts w:ascii="Arial" w:cs="Arial" w:eastAsia="Arial" w:hAnsi="Arial"/>
                <w:sz w:val="14"/>
                <w:szCs w:val="14"/>
                <w:b w:val="1"/>
                <w:bCs w:val="1"/>
                <w:color w:val="auto"/>
              </w:rPr>
              <w:t xml:space="preserve">Chris Turner </w:t>
            </w:r>
            <w:r>
              <w:rPr>
                <w:rFonts w:ascii="Arial" w:cs="Arial" w:eastAsia="Arial" w:hAnsi="Arial"/>
                <w:sz w:val="9"/>
                <w:szCs w:val="9"/>
                <w:b w:val="1"/>
                <w:bCs w:val="1"/>
                <w:color w:val="auto"/>
              </w:rPr>
              <w:t>(I)</w:t>
            </w:r>
            <w:r>
              <w:rPr>
                <w:rFonts w:ascii="Arial" w:cs="Arial" w:eastAsia="Arial" w:hAnsi="Arial"/>
                <w:sz w:val="14"/>
                <w:szCs w:val="14"/>
                <w:b w:val="1"/>
                <w:bCs w:val="1"/>
                <w:color w:val="auto"/>
              </w:rPr>
              <w:t>*</w:t>
            </w:r>
          </w:p>
        </w:tc>
        <w:tc>
          <w:tcPr>
            <w:tcW w:w="2440" w:type="dxa"/>
            <w:vAlign w:val="bottom"/>
          </w:tcPr>
          <w:p>
            <w:pPr>
              <w:jc w:val="center"/>
              <w:ind w:left="388"/>
              <w:spacing w:after="0"/>
              <w:rPr>
                <w:sz w:val="20"/>
                <w:szCs w:val="20"/>
                <w:color w:val="auto"/>
              </w:rPr>
            </w:pPr>
            <w:r>
              <w:rPr>
                <w:rFonts w:ascii="Arial" w:cs="Arial" w:eastAsia="Arial" w:hAnsi="Arial"/>
                <w:sz w:val="14"/>
                <w:szCs w:val="14"/>
                <w:color w:val="auto"/>
              </w:rPr>
              <w:t>X</w:t>
            </w:r>
          </w:p>
        </w:tc>
        <w:tc>
          <w:tcPr>
            <w:tcW w:w="274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9"/>
        </w:trPr>
        <w:tc>
          <w:tcPr>
            <w:tcW w:w="2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23"/>
        </w:trPr>
        <w:tc>
          <w:tcPr>
            <w:tcW w:w="22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 xml:space="preserve">Sharen Turney </w:t>
            </w:r>
            <w:r>
              <w:rPr>
                <w:rFonts w:ascii="Arial" w:cs="Arial" w:eastAsia="Arial" w:hAnsi="Arial"/>
                <w:sz w:val="9"/>
                <w:szCs w:val="9"/>
                <w:b w:val="1"/>
                <w:bCs w:val="1"/>
                <w:color w:val="auto"/>
              </w:rPr>
              <w:t>(I)</w:t>
            </w:r>
          </w:p>
        </w:tc>
        <w:tc>
          <w:tcPr>
            <w:tcW w:w="2440" w:type="dxa"/>
            <w:vAlign w:val="bottom"/>
            <w:tcBorders>
              <w:bottom w:val="single" w:sz="8" w:color="DBDBDB"/>
            </w:tcBorders>
            <w:shd w:val="clear" w:color="auto" w:fill="DBDBDB"/>
          </w:tcPr>
          <w:p>
            <w:pPr>
              <w:spacing w:after="0"/>
              <w:rPr>
                <w:sz w:val="19"/>
                <w:szCs w:val="19"/>
                <w:color w:val="auto"/>
              </w:rPr>
            </w:pPr>
          </w:p>
        </w:tc>
        <w:tc>
          <w:tcPr>
            <w:tcW w:w="2740" w:type="dxa"/>
            <w:vAlign w:val="bottom"/>
            <w:tcBorders>
              <w:bottom w:val="single" w:sz="8" w:color="DBDBDB"/>
            </w:tcBorders>
            <w:shd w:val="clear" w:color="auto" w:fill="DBDBDB"/>
          </w:tcPr>
          <w:p>
            <w:pPr>
              <w:jc w:val="center"/>
              <w:ind w:right="68"/>
              <w:spacing w:after="0"/>
              <w:rPr>
                <w:sz w:val="20"/>
                <w:szCs w:val="20"/>
                <w:color w:val="auto"/>
              </w:rPr>
            </w:pPr>
            <w:r>
              <w:rPr>
                <w:rFonts w:ascii="Arial" w:cs="Arial" w:eastAsia="Arial" w:hAnsi="Arial"/>
                <w:sz w:val="14"/>
                <w:szCs w:val="14"/>
                <w:color w:val="auto"/>
                <w:w w:val="85"/>
              </w:rPr>
              <w:t>X</w:t>
            </w:r>
          </w:p>
        </w:tc>
        <w:tc>
          <w:tcPr>
            <w:tcW w:w="38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X</w:t>
            </w:r>
          </w:p>
        </w:tc>
      </w:tr>
      <w:tr>
        <w:trPr>
          <w:trHeight w:val="214"/>
        </w:trPr>
        <w:tc>
          <w:tcPr>
            <w:tcW w:w="2200" w:type="dxa"/>
            <w:vAlign w:val="bottom"/>
          </w:tcPr>
          <w:p>
            <w:pPr>
              <w:ind w:left="100"/>
              <w:spacing w:after="0"/>
              <w:rPr>
                <w:sz w:val="20"/>
                <w:szCs w:val="20"/>
                <w:color w:val="auto"/>
              </w:rPr>
            </w:pPr>
            <w:r>
              <w:rPr>
                <w:rFonts w:ascii="Arial" w:cs="Arial" w:eastAsia="Arial" w:hAnsi="Arial"/>
                <w:sz w:val="14"/>
                <w:szCs w:val="14"/>
                <w:b w:val="1"/>
                <w:bCs w:val="1"/>
                <w:color w:val="auto"/>
              </w:rPr>
              <w:t xml:space="preserve">Jeff Tweedy </w:t>
            </w:r>
            <w:r>
              <w:rPr>
                <w:rFonts w:ascii="Arial" w:cs="Arial" w:eastAsia="Arial" w:hAnsi="Arial"/>
                <w:sz w:val="9"/>
                <w:szCs w:val="9"/>
                <w:b w:val="1"/>
                <w:bCs w:val="1"/>
                <w:color w:val="auto"/>
              </w:rPr>
              <w:t>(I)</w:t>
            </w:r>
          </w:p>
        </w:tc>
        <w:tc>
          <w:tcPr>
            <w:tcW w:w="2440" w:type="dxa"/>
            <w:vAlign w:val="bottom"/>
          </w:tcPr>
          <w:p>
            <w:pPr>
              <w:spacing w:after="0"/>
              <w:rPr>
                <w:sz w:val="18"/>
                <w:szCs w:val="18"/>
                <w:color w:val="auto"/>
              </w:rPr>
            </w:pPr>
          </w:p>
        </w:tc>
        <w:tc>
          <w:tcPr>
            <w:tcW w:w="2740" w:type="dxa"/>
            <w:vAlign w:val="bottom"/>
          </w:tcPr>
          <w:p>
            <w:pPr>
              <w:jc w:val="center"/>
              <w:ind w:right="68"/>
              <w:spacing w:after="0"/>
              <w:rPr>
                <w:sz w:val="20"/>
                <w:szCs w:val="20"/>
                <w:color w:val="auto"/>
              </w:rPr>
            </w:pPr>
            <w:r>
              <w:rPr>
                <w:rFonts w:ascii="Arial" w:cs="Arial" w:eastAsia="Arial" w:hAnsi="Arial"/>
                <w:sz w:val="14"/>
                <w:szCs w:val="14"/>
                <w:color w:val="auto"/>
                <w:w w:val="85"/>
              </w:rPr>
              <w:t>X</w:t>
            </w:r>
          </w:p>
        </w:tc>
        <w:tc>
          <w:tcPr>
            <w:tcW w:w="386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9"/>
        </w:trPr>
        <w:tc>
          <w:tcPr>
            <w:tcW w:w="2200" w:type="dxa"/>
            <w:vAlign w:val="bottom"/>
            <w:tcBorders>
              <w:bottom w:val="single" w:sz="8" w:color="ADB1C7"/>
            </w:tcBorders>
          </w:tcPr>
          <w:p>
            <w:pPr>
              <w:spacing w:after="0"/>
              <w:rPr>
                <w:sz w:val="2"/>
                <w:szCs w:val="2"/>
                <w:color w:val="auto"/>
              </w:rPr>
            </w:pPr>
          </w:p>
        </w:tc>
        <w:tc>
          <w:tcPr>
            <w:tcW w:w="2440" w:type="dxa"/>
            <w:vAlign w:val="bottom"/>
            <w:tcBorders>
              <w:bottom w:val="single" w:sz="8" w:color="ADB1C7"/>
            </w:tcBorders>
          </w:tcPr>
          <w:p>
            <w:pPr>
              <w:spacing w:after="0"/>
              <w:rPr>
                <w:sz w:val="2"/>
                <w:szCs w:val="2"/>
                <w:color w:val="auto"/>
              </w:rPr>
            </w:pPr>
          </w:p>
        </w:tc>
        <w:tc>
          <w:tcPr>
            <w:tcW w:w="2740" w:type="dxa"/>
            <w:vAlign w:val="bottom"/>
            <w:tcBorders>
              <w:bottom w:val="single" w:sz="8" w:color="ADB1C7"/>
            </w:tcBorders>
          </w:tcPr>
          <w:p>
            <w:pPr>
              <w:spacing w:after="0"/>
              <w:rPr>
                <w:sz w:val="2"/>
                <w:szCs w:val="2"/>
                <w:color w:val="auto"/>
              </w:rPr>
            </w:pPr>
          </w:p>
        </w:tc>
        <w:tc>
          <w:tcPr>
            <w:tcW w:w="3860" w:type="dxa"/>
            <w:vAlign w:val="bottom"/>
            <w:tcBorders>
              <w:bottom w:val="single" w:sz="8" w:color="ADB1C7"/>
            </w:tcBorders>
          </w:tcPr>
          <w:p>
            <w:pPr>
              <w:spacing w:after="0"/>
              <w:rPr>
                <w:sz w:val="2"/>
                <w:szCs w:val="2"/>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vertAlign w:val="superscript"/>
        </w:rPr>
        <w:t>(I)</w:t>
      </w:r>
      <w:r>
        <w:rPr>
          <w:rFonts w:ascii="Arial" w:cs="Arial" w:eastAsia="Arial" w:hAnsi="Arial"/>
          <w:sz w:val="14"/>
          <w:szCs w:val="14"/>
          <w:color w:val="auto"/>
        </w:rPr>
        <w:t xml:space="preserve"> Independent Director </w:t>
      </w:r>
      <w:r>
        <w:rPr>
          <w:rFonts w:ascii="Arial" w:cs="Arial" w:eastAsia="Arial" w:hAnsi="Arial"/>
          <w:sz w:val="19"/>
          <w:szCs w:val="19"/>
          <w:color w:val="auto"/>
        </w:rPr>
        <w:t>*</w:t>
      </w:r>
      <w:r>
        <w:rPr>
          <w:rFonts w:ascii="Arial" w:cs="Arial" w:eastAsia="Arial" w:hAnsi="Arial"/>
          <w:sz w:val="14"/>
          <w:szCs w:val="14"/>
          <w:color w:val="auto"/>
        </w:rPr>
        <w:t xml:space="preserve"> SEC Audit Committee Financial Expert </w:t>
      </w:r>
      <w:r>
        <w:rPr>
          <w:rFonts w:ascii="Arial" w:cs="Arial" w:eastAsia="Arial" w:hAnsi="Arial"/>
          <w:sz w:val="18"/>
          <w:szCs w:val="18"/>
          <w:b w:val="1"/>
          <w:bCs w:val="1"/>
          <w:color w:val="auto"/>
          <w:vertAlign w:val="superscript"/>
        </w:rPr>
        <w:t>LD</w:t>
      </w:r>
      <w:r>
        <w:rPr>
          <w:rFonts w:ascii="Arial" w:cs="Arial" w:eastAsia="Arial" w:hAnsi="Arial"/>
          <w:sz w:val="14"/>
          <w:szCs w:val="14"/>
          <w:color w:val="auto"/>
        </w:rPr>
        <w:t xml:space="preserve"> Lead Director </w:t>
      </w:r>
      <w:r>
        <w:rPr>
          <w:rFonts w:ascii="Arial" w:cs="Arial" w:eastAsia="Arial" w:hAnsi="Arial"/>
          <w:sz w:val="18"/>
          <w:szCs w:val="18"/>
          <w:b w:val="1"/>
          <w:bCs w:val="1"/>
          <w:color w:val="auto"/>
          <w:vertAlign w:val="superscript"/>
        </w:rPr>
        <w:t>X</w:t>
      </w:r>
      <w:r>
        <w:rPr>
          <w:rFonts w:ascii="Arial" w:cs="Arial" w:eastAsia="Arial" w:hAnsi="Arial"/>
          <w:sz w:val="14"/>
          <w:szCs w:val="14"/>
          <w:color w:val="auto"/>
        </w:rPr>
        <w:t xml:space="preserve"> Member </w:t>
      </w:r>
      <w:r>
        <w:rPr>
          <w:rFonts w:ascii="Arial" w:cs="Arial" w:eastAsia="Arial" w:hAnsi="Arial"/>
          <w:sz w:val="18"/>
          <w:szCs w:val="18"/>
          <w:color w:val="auto"/>
          <w:vertAlign w:val="superscript"/>
        </w:rPr>
        <w:t>(</w:t>
      </w:r>
      <w:r>
        <w:rPr>
          <w:rFonts w:ascii="Arial" w:cs="Arial" w:eastAsia="Arial" w:hAnsi="Arial"/>
          <w:sz w:val="18"/>
          <w:szCs w:val="18"/>
          <w:b w:val="1"/>
          <w:bCs w:val="1"/>
          <w:color w:val="auto"/>
          <w:vertAlign w:val="superscript"/>
        </w:rPr>
        <w:t>C)</w:t>
      </w:r>
      <w:r>
        <w:rPr>
          <w:rFonts w:ascii="Arial" w:cs="Arial" w:eastAsia="Arial" w:hAnsi="Arial"/>
          <w:sz w:val="14"/>
          <w:szCs w:val="14"/>
          <w:color w:val="auto"/>
        </w:rPr>
        <w:t xml:space="preser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857250"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Audit Committee</w:t>
      </w:r>
    </w:p>
    <w:p>
      <w:pPr>
        <w:spacing w:after="0" w:line="6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Audit Committee consists of Brian Marley, who serves as the Chair, Wendy Beck, Allen Questrom, and Chris Turner. The Board has determined that each member of the Audit Committee is “independent,” as required by Rule 10A-3 under the Securities Exchange Act of 1934, as amended (the “Exchange Act”), and the Nasdaq Listing Rules applicable to directors and audit committee members, and meets the “financial sophistication” requirement within the meanings of the Nasdaq Listing Rules, and has also determined that each member of the Audit Committee qualifies as an “audit committee financial expert,” as defined in Item 407(d)(5) of Regulation S-K.</w:t>
      </w:r>
    </w:p>
    <w:p>
      <w:pPr>
        <w:spacing w:after="0" w:line="172"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Under the Audit Committee’s charter, which is reviewed by the Audit Committee annually, the oversight responsibilities of the Audit Committee involve the following (among others):</w:t>
      </w:r>
    </w:p>
    <w:p>
      <w:pPr>
        <w:spacing w:after="0" w:line="33" w:lineRule="exact"/>
        <w:rPr>
          <w:sz w:val="20"/>
          <w:szCs w:val="20"/>
          <w:color w:val="auto"/>
        </w:rPr>
      </w:pPr>
    </w:p>
    <w:p>
      <w:pPr>
        <w:ind w:left="460" w:hanging="209"/>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overseeing our consolidated financial statements and the audits thereof, earnings press releases, and earnings guidance;</w:t>
      </w:r>
    </w:p>
    <w:p>
      <w:pPr>
        <w:spacing w:after="0" w:line="113" w:lineRule="exact"/>
        <w:rPr>
          <w:rFonts w:ascii="Arial" w:cs="Arial" w:eastAsia="Arial" w:hAnsi="Arial"/>
          <w:sz w:val="16"/>
          <w:szCs w:val="16"/>
          <w:color w:val="auto"/>
        </w:rPr>
      </w:pPr>
    </w:p>
    <w:p>
      <w:pPr>
        <w:ind w:left="500" w:right="40" w:hanging="249"/>
        <w:spacing w:after="0" w:line="304" w:lineRule="auto"/>
        <w:tabs>
          <w:tab w:leader="none" w:pos="476" w:val="left"/>
        </w:tabs>
        <w:numPr>
          <w:ilvl w:val="0"/>
          <w:numId w:val="5"/>
        </w:numPr>
        <w:rPr>
          <w:rFonts w:ascii="Arial" w:cs="Arial" w:eastAsia="Arial" w:hAnsi="Arial"/>
          <w:sz w:val="16"/>
          <w:szCs w:val="16"/>
          <w:color w:val="auto"/>
        </w:rPr>
      </w:pPr>
      <w:r>
        <w:rPr>
          <w:rFonts w:ascii="Arial" w:cs="Arial" w:eastAsia="Arial" w:hAnsi="Arial"/>
          <w:sz w:val="16"/>
          <w:szCs w:val="16"/>
          <w:color w:val="auto"/>
        </w:rPr>
        <w:t>engaging our independent registered public accounting firm and reviewing, and approving or confirming its compensation, qualifications, performance, and independence;</w:t>
      </w:r>
    </w:p>
    <w:p>
      <w:pPr>
        <w:spacing w:after="0" w:line="33" w:lineRule="exact"/>
        <w:rPr>
          <w:rFonts w:ascii="Arial" w:cs="Arial" w:eastAsia="Arial" w:hAnsi="Arial"/>
          <w:sz w:val="16"/>
          <w:szCs w:val="16"/>
          <w:color w:val="auto"/>
        </w:rPr>
      </w:pPr>
    </w:p>
    <w:p>
      <w:pPr>
        <w:ind w:left="460" w:hanging="209"/>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overseeing our accounting, financial reporting, and disclosure processes, practices and controls, and the quality and integrity thereof;</w:t>
      </w:r>
    </w:p>
    <w:p>
      <w:pPr>
        <w:spacing w:after="0" w:line="126" w:lineRule="exact"/>
        <w:rPr>
          <w:rFonts w:ascii="Arial" w:cs="Arial" w:eastAsia="Arial" w:hAnsi="Arial"/>
          <w:sz w:val="16"/>
          <w:szCs w:val="16"/>
          <w:color w:val="auto"/>
        </w:rPr>
      </w:pPr>
    </w:p>
    <w:p>
      <w:pPr>
        <w:ind w:left="460" w:hanging="209"/>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overseeing our systems of internal controls regarding financial reporting and the adequacy and soundness thereof;</w:t>
      </w:r>
    </w:p>
    <w:p>
      <w:pPr>
        <w:spacing w:after="0" w:line="113" w:lineRule="exact"/>
        <w:rPr>
          <w:rFonts w:ascii="Arial" w:cs="Arial" w:eastAsia="Arial" w:hAnsi="Arial"/>
          <w:sz w:val="16"/>
          <w:szCs w:val="16"/>
          <w:color w:val="auto"/>
        </w:rPr>
      </w:pPr>
    </w:p>
    <w:p>
      <w:pPr>
        <w:ind w:left="460" w:hanging="209"/>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overseeing our internal audit function and its performance;</w:t>
      </w:r>
    </w:p>
    <w:p>
      <w:pPr>
        <w:spacing w:after="0" w:line="113" w:lineRule="exact"/>
        <w:rPr>
          <w:rFonts w:ascii="Arial" w:cs="Arial" w:eastAsia="Arial" w:hAnsi="Arial"/>
          <w:sz w:val="16"/>
          <w:szCs w:val="16"/>
          <w:color w:val="auto"/>
        </w:rPr>
      </w:pPr>
    </w:p>
    <w:p>
      <w:pPr>
        <w:ind w:left="460" w:hanging="209"/>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overseeing our enterprise, information technology, and cybersecurity/data protection risk management programs;</w:t>
      </w:r>
    </w:p>
    <w:p>
      <w:pPr>
        <w:spacing w:after="0" w:line="126" w:lineRule="exact"/>
        <w:rPr>
          <w:rFonts w:ascii="Arial" w:cs="Arial" w:eastAsia="Arial" w:hAnsi="Arial"/>
          <w:sz w:val="16"/>
          <w:szCs w:val="16"/>
          <w:color w:val="auto"/>
        </w:rPr>
      </w:pPr>
    </w:p>
    <w:p>
      <w:pPr>
        <w:ind w:left="460" w:hanging="209"/>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reviewing our legal, compliance, ethics and whistleblower programs, and matters;</w:t>
      </w:r>
    </w:p>
    <w:p>
      <w:pPr>
        <w:spacing w:after="0" w:line="113" w:lineRule="exact"/>
        <w:rPr>
          <w:rFonts w:ascii="Arial" w:cs="Arial" w:eastAsia="Arial" w:hAnsi="Arial"/>
          <w:sz w:val="16"/>
          <w:szCs w:val="16"/>
          <w:color w:val="auto"/>
        </w:rPr>
      </w:pPr>
    </w:p>
    <w:p>
      <w:pPr>
        <w:ind w:left="460" w:hanging="209"/>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pre-approving, eligible audit and non-audit services to be performed by the independent registered public accounting firm;</w:t>
      </w:r>
    </w:p>
    <w:p>
      <w:pPr>
        <w:spacing w:after="0" w:line="126" w:lineRule="exact"/>
        <w:rPr>
          <w:rFonts w:ascii="Arial" w:cs="Arial" w:eastAsia="Arial" w:hAnsi="Arial"/>
          <w:sz w:val="16"/>
          <w:szCs w:val="16"/>
          <w:color w:val="auto"/>
        </w:rPr>
      </w:pPr>
    </w:p>
    <w:p>
      <w:pPr>
        <w:ind w:left="460" w:hanging="209"/>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reviewing and approving, if applicable, related person transactions and overseeing other related person transactions under the accounting rules; and</w:t>
      </w:r>
    </w:p>
    <w:p>
      <w:pPr>
        <w:spacing w:after="0" w:line="113" w:lineRule="exact"/>
        <w:rPr>
          <w:rFonts w:ascii="Arial" w:cs="Arial" w:eastAsia="Arial" w:hAnsi="Arial"/>
          <w:sz w:val="16"/>
          <w:szCs w:val="16"/>
          <w:color w:val="auto"/>
        </w:rPr>
      </w:pPr>
    </w:p>
    <w:p>
      <w:pPr>
        <w:ind w:left="460" w:hanging="209"/>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reviewing and approving the Report of the Audit Committee for inclusion in the Proxy Statement. See “Report of the Audit Committee.”</w:t>
      </w:r>
    </w:p>
    <w:p>
      <w:pPr>
        <w:spacing w:after="0" w:line="16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Along with the Board, the Audit Committee receives regular reports from management to help ensure its effective and efficient oversight and to assist in its proper risk management and ongoing evaluation of management controls. Through its regular meetings with management, including the accounting, finance, legal, internal audit, risk, business continuity, and information technology functions and discussions, as appropriate, with our independent registered public accounting firm and internal auditors, the Audit Committee reviews and discusses significant areas of our business, including areas of risk and appropriate mitigating factors. Our internal auditors report functionally and administratively to our Chief Financial Officer and directly to the Audit Committee.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Compensation Committee</w:t>
      </w:r>
    </w:p>
    <w:p>
      <w:pPr>
        <w:spacing w:after="0" w:line="81"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Our Compensation Committee consists of Beryl Raff, who serves as the Chair, Tom Nealon, Sharen Turney, and Jeff Tweedy. The Board has determined that each member of the Compensation Committee is “independent” as required under the Nasdaq Listing Rules applicable to directors and members of a compensation committee and also qualifies as a “non-employee” director for purposes of Section 16 of the Exchange Act.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Under the Compensation Committee’s charter, which is reviewed by the Compensation Committee annually, the oversight responsibilities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involve the following (among others):</w:t>
      </w:r>
    </w:p>
    <w:p>
      <w:pPr>
        <w:spacing w:after="0" w:line="111" w:lineRule="exact"/>
        <w:rPr>
          <w:sz w:val="20"/>
          <w:szCs w:val="20"/>
          <w:color w:val="auto"/>
        </w:rPr>
      </w:pPr>
    </w:p>
    <w:p>
      <w:pPr>
        <w:ind w:left="460" w:hanging="209"/>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establishing and reviewing the overall compensation philosophy of the Company;</w:t>
      </w:r>
    </w:p>
    <w:p>
      <w:pPr>
        <w:spacing w:after="0" w:line="126" w:lineRule="exact"/>
        <w:rPr>
          <w:rFonts w:ascii="Arial" w:cs="Arial" w:eastAsia="Arial" w:hAnsi="Arial"/>
          <w:sz w:val="16"/>
          <w:szCs w:val="16"/>
          <w:color w:val="auto"/>
        </w:rPr>
      </w:pPr>
    </w:p>
    <w:p>
      <w:pPr>
        <w:ind w:left="500" w:right="760" w:hanging="249"/>
        <w:spacing w:after="0" w:line="321" w:lineRule="auto"/>
        <w:tabs>
          <w:tab w:leader="none" w:pos="476"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reviewing and recommending corporate goals and performance objectives of the Chief Executive Officer and approving corporate goals and performance objectives of other executive officers, relevant to their compensation;</w:t>
      </w:r>
    </w:p>
    <w:p>
      <w:pPr>
        <w:spacing w:after="0" w:line="34" w:lineRule="exact"/>
        <w:rPr>
          <w:rFonts w:ascii="Arial" w:cs="Arial" w:eastAsia="Arial" w:hAnsi="Arial"/>
          <w:sz w:val="16"/>
          <w:szCs w:val="16"/>
          <w:color w:val="auto"/>
        </w:rPr>
      </w:pPr>
    </w:p>
    <w:p>
      <w:pPr>
        <w:ind w:left="460" w:hanging="209"/>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reviewing and evaluating the performance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501015</wp:posOffset>
            </wp:positionV>
            <wp:extent cx="857250"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color w:val="007EC4"/>
        </w:rPr>
        <w:t xml:space="preserve">18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hanging="209"/>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reviewing and recommending compensation of directors and the CEO and approving compensation of other executive officers;</w:t>
      </w:r>
    </w:p>
    <w:p>
      <w:pPr>
        <w:spacing w:after="0" w:line="140" w:lineRule="exact"/>
        <w:rPr>
          <w:rFonts w:ascii="Arial" w:cs="Arial" w:eastAsia="Arial" w:hAnsi="Arial"/>
          <w:sz w:val="16"/>
          <w:szCs w:val="16"/>
          <w:color w:val="auto"/>
        </w:rPr>
      </w:pPr>
    </w:p>
    <w:p>
      <w:pPr>
        <w:ind w:left="500" w:right="300" w:hanging="249"/>
        <w:spacing w:after="0" w:line="304" w:lineRule="auto"/>
        <w:tabs>
          <w:tab w:leader="none" w:pos="476"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reviewing and recommending policies and practices concerning executive officer compensation programs, benefit plans, perquisites, and expense accounts;</w:t>
      </w:r>
    </w:p>
    <w:p>
      <w:pPr>
        <w:spacing w:after="0" w:line="60" w:lineRule="exact"/>
        <w:rPr>
          <w:rFonts w:ascii="Arial" w:cs="Arial" w:eastAsia="Arial" w:hAnsi="Arial"/>
          <w:sz w:val="16"/>
          <w:szCs w:val="16"/>
          <w:color w:val="auto"/>
        </w:rPr>
      </w:pPr>
    </w:p>
    <w:p>
      <w:pPr>
        <w:jc w:val="both"/>
        <w:ind w:left="500" w:right="200" w:hanging="249"/>
        <w:spacing w:after="0" w:line="292" w:lineRule="auto"/>
        <w:tabs>
          <w:tab w:leader="none" w:pos="476" w:val="left"/>
        </w:tabs>
        <w:numPr>
          <w:ilvl w:val="0"/>
          <w:numId w:val="7"/>
        </w:numPr>
        <w:rPr>
          <w:rFonts w:ascii="Arial" w:cs="Arial" w:eastAsia="Arial" w:hAnsi="Arial"/>
          <w:sz w:val="16"/>
          <w:szCs w:val="16"/>
          <w:color w:val="auto"/>
        </w:rPr>
      </w:pPr>
      <w:r>
        <w:rPr>
          <w:rFonts w:ascii="Arial" w:cs="Arial" w:eastAsia="Arial" w:hAnsi="Arial"/>
          <w:sz w:val="16"/>
          <w:szCs w:val="16"/>
          <w:color w:val="auto"/>
        </w:rPr>
        <w:t>overseeing the Company’s strategies and policies related to talent management (and work with the Lead Director and the Board’s other committees with respect to matters overseen by such other committees), including with respect to matters such as talent development and retention, workplace environment and culture, and diversity and inclusion;</w:t>
      </w:r>
    </w:p>
    <w:p>
      <w:pPr>
        <w:spacing w:after="0" w:line="70" w:lineRule="exact"/>
        <w:rPr>
          <w:rFonts w:ascii="Arial" w:cs="Arial" w:eastAsia="Arial" w:hAnsi="Arial"/>
          <w:sz w:val="16"/>
          <w:szCs w:val="16"/>
          <w:color w:val="auto"/>
        </w:rPr>
      </w:pPr>
    </w:p>
    <w:p>
      <w:pPr>
        <w:ind w:left="500" w:right="180" w:hanging="249"/>
        <w:spacing w:after="0" w:line="304" w:lineRule="auto"/>
        <w:tabs>
          <w:tab w:leader="none" w:pos="476" w:val="left"/>
        </w:tabs>
        <w:numPr>
          <w:ilvl w:val="0"/>
          <w:numId w:val="7"/>
        </w:numPr>
        <w:rPr>
          <w:rFonts w:ascii="Arial" w:cs="Arial" w:eastAsia="Arial" w:hAnsi="Arial"/>
          <w:sz w:val="16"/>
          <w:szCs w:val="16"/>
          <w:color w:val="auto"/>
        </w:rPr>
      </w:pPr>
      <w:r>
        <w:rPr>
          <w:rFonts w:ascii="Arial" w:cs="Arial" w:eastAsia="Arial" w:hAnsi="Arial"/>
          <w:sz w:val="16"/>
          <w:szCs w:val="16"/>
          <w:color w:val="auto"/>
        </w:rPr>
        <w:t>administering or overseeing incentive compensation, stock incentive and stock purchase plans, including determining grants of equity awards under the stock-based plans;</w:t>
      </w:r>
    </w:p>
    <w:p>
      <w:pPr>
        <w:spacing w:after="0" w:line="60" w:lineRule="exact"/>
        <w:rPr>
          <w:rFonts w:ascii="Arial" w:cs="Arial" w:eastAsia="Arial" w:hAnsi="Arial"/>
          <w:sz w:val="16"/>
          <w:szCs w:val="16"/>
          <w:color w:val="auto"/>
        </w:rPr>
      </w:pPr>
    </w:p>
    <w:p>
      <w:pPr>
        <w:ind w:left="460" w:hanging="209"/>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undertaking annual review and risk assessment of compensation policies and practices;</w:t>
      </w:r>
    </w:p>
    <w:p>
      <w:pPr>
        <w:spacing w:after="0" w:line="126" w:lineRule="exact"/>
        <w:rPr>
          <w:rFonts w:ascii="Arial" w:cs="Arial" w:eastAsia="Arial" w:hAnsi="Arial"/>
          <w:sz w:val="16"/>
          <w:szCs w:val="16"/>
          <w:color w:val="auto"/>
        </w:rPr>
      </w:pPr>
    </w:p>
    <w:p>
      <w:pPr>
        <w:ind w:left="460" w:hanging="209"/>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overseeing executive officer succession planning;</w:t>
      </w:r>
    </w:p>
    <w:p>
      <w:pPr>
        <w:spacing w:after="0" w:line="140" w:lineRule="exact"/>
        <w:rPr>
          <w:rFonts w:ascii="Arial" w:cs="Arial" w:eastAsia="Arial" w:hAnsi="Arial"/>
          <w:sz w:val="16"/>
          <w:szCs w:val="16"/>
          <w:color w:val="auto"/>
        </w:rPr>
      </w:pPr>
    </w:p>
    <w:p>
      <w:pPr>
        <w:ind w:left="500" w:right="360" w:hanging="249"/>
        <w:spacing w:after="0" w:line="321" w:lineRule="auto"/>
        <w:tabs>
          <w:tab w:leader="none" w:pos="476"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reviewing and/or recommending any employment contracts or transactions involving directors or executive officers and any related compensation arrangements;</w:t>
      </w:r>
    </w:p>
    <w:p>
      <w:pPr>
        <w:spacing w:after="0" w:line="34" w:lineRule="exact"/>
        <w:rPr>
          <w:rFonts w:ascii="Arial" w:cs="Arial" w:eastAsia="Arial" w:hAnsi="Arial"/>
          <w:sz w:val="16"/>
          <w:szCs w:val="16"/>
          <w:color w:val="auto"/>
        </w:rPr>
      </w:pPr>
    </w:p>
    <w:p>
      <w:pPr>
        <w:ind w:left="460" w:hanging="209"/>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assessing and monitoring the independence of its compensation consultant and legal counsel;</w:t>
      </w:r>
    </w:p>
    <w:p>
      <w:pPr>
        <w:spacing w:after="0" w:line="140" w:lineRule="exact"/>
        <w:rPr>
          <w:rFonts w:ascii="Arial" w:cs="Arial" w:eastAsia="Arial" w:hAnsi="Arial"/>
          <w:sz w:val="16"/>
          <w:szCs w:val="16"/>
          <w:color w:val="auto"/>
        </w:rPr>
      </w:pPr>
    </w:p>
    <w:p>
      <w:pPr>
        <w:ind w:left="460" w:hanging="209"/>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pre-approving services to be provided to the Company by its compensation consultant;</w:t>
      </w:r>
    </w:p>
    <w:p>
      <w:pPr>
        <w:spacing w:after="0" w:line="126" w:lineRule="exact"/>
        <w:rPr>
          <w:rFonts w:ascii="Arial" w:cs="Arial" w:eastAsia="Arial" w:hAnsi="Arial"/>
          <w:sz w:val="16"/>
          <w:szCs w:val="16"/>
          <w:color w:val="auto"/>
        </w:rPr>
      </w:pPr>
    </w:p>
    <w:p>
      <w:pPr>
        <w:ind w:left="460" w:hanging="209"/>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reviewing and discussing with management the Company’s engagement efforts with stockholders on the subject of executive officer compensation;</w:t>
      </w:r>
    </w:p>
    <w:p>
      <w:pPr>
        <w:spacing w:after="0" w:line="140" w:lineRule="exact"/>
        <w:rPr>
          <w:rFonts w:ascii="Arial" w:cs="Arial" w:eastAsia="Arial" w:hAnsi="Arial"/>
          <w:sz w:val="16"/>
          <w:szCs w:val="16"/>
          <w:color w:val="auto"/>
        </w:rPr>
      </w:pPr>
    </w:p>
    <w:p>
      <w:pPr>
        <w:ind w:left="500" w:right="260" w:hanging="249"/>
        <w:spacing w:after="0" w:line="321" w:lineRule="auto"/>
        <w:tabs>
          <w:tab w:leader="none" w:pos="476"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reviewing, approving, and monitoring compliance with stock ownership guidelines for directors and executive officers and the Company’s clawback policy; and</w:t>
      </w:r>
    </w:p>
    <w:p>
      <w:pPr>
        <w:spacing w:after="0" w:line="34" w:lineRule="exact"/>
        <w:rPr>
          <w:rFonts w:ascii="Arial" w:cs="Arial" w:eastAsia="Arial" w:hAnsi="Arial"/>
          <w:sz w:val="16"/>
          <w:szCs w:val="16"/>
          <w:color w:val="auto"/>
        </w:rPr>
      </w:pPr>
    </w:p>
    <w:p>
      <w:pPr>
        <w:ind w:left="500" w:right="100" w:hanging="249"/>
        <w:spacing w:after="0" w:line="321" w:lineRule="auto"/>
        <w:tabs>
          <w:tab w:leader="none" w:pos="476"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reviewing and approving the Compensation and Discussion Analysis and Compensation Committee Report for inclusion in the Proxy Statement. See “Compensation &amp; Discussion Analysis.”</w:t>
      </w:r>
    </w:p>
    <w:p>
      <w:pPr>
        <w:spacing w:after="0" w:line="34"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Along with the Board, the Compensation Committee receives regular reports from management to help ensure its effective and efficient oversight and to assist in its proper risk management and ongoing evaluation of compensation programs. Through its regular meetings with management, including the human resources, compensation, and legal functions and discussions, as appropriate, with its independent compensation consultant, the Compensation Committee reviews and discusses significant areas of our business, including areas of risk and appropriate mitigating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Nominating and Governance Committee</w:t>
      </w:r>
    </w:p>
    <w:p>
      <w:pPr>
        <w:spacing w:after="0" w:line="6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Our Governance Committee consists of Wendy Beck, who serves as the Chair, Allen Questrom, Sharen Turney, and Jeff Tweedy. The Board has determined that each member of the Governance Committee is “independent” as required under the Nasdaq rules applicable to directors.</w:t>
      </w:r>
    </w:p>
    <w:p>
      <w:pPr>
        <w:spacing w:after="0" w:line="14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the Governance Committee’s charter, which is reviewed by the Governance Committee annually and, the oversight responsibilities of the Governance Committee involve the following (among others):</w:t>
      </w:r>
    </w:p>
    <w:p>
      <w:pPr>
        <w:spacing w:after="0" w:line="61" w:lineRule="exact"/>
        <w:rPr>
          <w:sz w:val="20"/>
          <w:szCs w:val="20"/>
          <w:color w:val="auto"/>
        </w:rPr>
      </w:pPr>
    </w:p>
    <w:p>
      <w:pPr>
        <w:ind w:left="460" w:hanging="209"/>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developing the Company’s corporate governance practices, policies, and documents and overseeing the related risks;</w:t>
      </w:r>
    </w:p>
    <w:p>
      <w:pPr>
        <w:spacing w:after="0" w:line="126" w:lineRule="exact"/>
        <w:rPr>
          <w:rFonts w:ascii="Arial" w:cs="Arial" w:eastAsia="Arial" w:hAnsi="Arial"/>
          <w:sz w:val="16"/>
          <w:szCs w:val="16"/>
          <w:color w:val="auto"/>
        </w:rPr>
      </w:pPr>
    </w:p>
    <w:p>
      <w:pPr>
        <w:ind w:left="460" w:hanging="209"/>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reviewing and monitoring the composition, size, structure, functioning, and performance of the Board and its committees;</w:t>
      </w:r>
    </w:p>
    <w:p>
      <w:pPr>
        <w:spacing w:after="0" w:line="140" w:lineRule="exact"/>
        <w:rPr>
          <w:rFonts w:ascii="Arial" w:cs="Arial" w:eastAsia="Arial" w:hAnsi="Arial"/>
          <w:sz w:val="16"/>
          <w:szCs w:val="16"/>
          <w:color w:val="auto"/>
        </w:rPr>
      </w:pPr>
    </w:p>
    <w:p>
      <w:pPr>
        <w:ind w:left="460" w:hanging="209"/>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establishing criteria for the selection of candidates and nominees for appointment or election as directors to serve on the Board;</w:t>
      </w:r>
    </w:p>
    <w:p>
      <w:pPr>
        <w:spacing w:after="0" w:line="140" w:lineRule="exact"/>
        <w:rPr>
          <w:rFonts w:ascii="Arial" w:cs="Arial" w:eastAsia="Arial" w:hAnsi="Arial"/>
          <w:sz w:val="16"/>
          <w:szCs w:val="16"/>
          <w:color w:val="auto"/>
        </w:rPr>
      </w:pPr>
    </w:p>
    <w:p>
      <w:pPr>
        <w:ind w:left="500" w:right="280" w:hanging="249"/>
        <w:spacing w:after="0" w:line="304" w:lineRule="auto"/>
        <w:tabs>
          <w:tab w:leader="none" w:pos="476" w:val="left"/>
        </w:tabs>
        <w:numPr>
          <w:ilvl w:val="0"/>
          <w:numId w:val="8"/>
        </w:numPr>
        <w:rPr>
          <w:rFonts w:ascii="Arial" w:cs="Arial" w:eastAsia="Arial" w:hAnsi="Arial"/>
          <w:sz w:val="16"/>
          <w:szCs w:val="16"/>
          <w:color w:val="auto"/>
        </w:rPr>
      </w:pPr>
      <w:r>
        <w:rPr>
          <w:rFonts w:ascii="Arial" w:cs="Arial" w:eastAsia="Arial" w:hAnsi="Arial"/>
          <w:sz w:val="16"/>
          <w:szCs w:val="16"/>
          <w:color w:val="auto"/>
        </w:rPr>
        <w:t>identifying and recommending individuals believed to be qualified as director candidates or nominees, including recommendations whether current directors should stand for re-election, and the class of directors in which the candidate or nominee should serve;</w:t>
      </w:r>
    </w:p>
    <w:p>
      <w:pPr>
        <w:spacing w:after="0" w:line="60" w:lineRule="exact"/>
        <w:rPr>
          <w:rFonts w:ascii="Arial" w:cs="Arial" w:eastAsia="Arial" w:hAnsi="Arial"/>
          <w:sz w:val="16"/>
          <w:szCs w:val="16"/>
          <w:color w:val="auto"/>
        </w:rPr>
      </w:pPr>
    </w:p>
    <w:p>
      <w:pPr>
        <w:ind w:left="500" w:right="660" w:hanging="249"/>
        <w:spacing w:after="0" w:line="304" w:lineRule="auto"/>
        <w:tabs>
          <w:tab w:leader="none" w:pos="476" w:val="left"/>
        </w:tabs>
        <w:numPr>
          <w:ilvl w:val="0"/>
          <w:numId w:val="8"/>
        </w:numPr>
        <w:rPr>
          <w:rFonts w:ascii="Arial" w:cs="Arial" w:eastAsia="Arial" w:hAnsi="Arial"/>
          <w:sz w:val="16"/>
          <w:szCs w:val="16"/>
          <w:color w:val="auto"/>
        </w:rPr>
      </w:pPr>
      <w:r>
        <w:rPr>
          <w:rFonts w:ascii="Arial" w:cs="Arial" w:eastAsia="Arial" w:hAnsi="Arial"/>
          <w:sz w:val="16"/>
          <w:szCs w:val="16"/>
          <w:color w:val="auto"/>
        </w:rPr>
        <w:t>evaluating director candidates or nominees recommended by stockholders on a substantially similar basis as it considers other candidates 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85725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hanging="209"/>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recommending directors to serve on the Board’s committees;</w:t>
      </w:r>
    </w:p>
    <w:p>
      <w:pPr>
        <w:spacing w:after="0" w:line="113" w:lineRule="exact"/>
        <w:rPr>
          <w:rFonts w:ascii="Arial" w:cs="Arial" w:eastAsia="Arial" w:hAnsi="Arial"/>
          <w:sz w:val="16"/>
          <w:szCs w:val="16"/>
          <w:color w:val="auto"/>
        </w:rPr>
      </w:pPr>
    </w:p>
    <w:p>
      <w:pPr>
        <w:ind w:left="460" w:hanging="209"/>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reviewing the independence and possible conflicts of interest of directors;</w:t>
      </w:r>
    </w:p>
    <w:p>
      <w:pPr>
        <w:spacing w:after="0" w:line="126" w:lineRule="exact"/>
        <w:rPr>
          <w:rFonts w:ascii="Arial" w:cs="Arial" w:eastAsia="Arial" w:hAnsi="Arial"/>
          <w:sz w:val="16"/>
          <w:szCs w:val="16"/>
          <w:color w:val="auto"/>
        </w:rPr>
      </w:pPr>
    </w:p>
    <w:p>
      <w:pPr>
        <w:ind w:left="460" w:hanging="209"/>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recommending an independent director to serve as Lead Director;</w:t>
      </w:r>
    </w:p>
    <w:p>
      <w:pPr>
        <w:spacing w:after="0" w:line="113" w:lineRule="exact"/>
        <w:rPr>
          <w:rFonts w:ascii="Arial" w:cs="Arial" w:eastAsia="Arial" w:hAnsi="Arial"/>
          <w:sz w:val="16"/>
          <w:szCs w:val="16"/>
          <w:color w:val="auto"/>
        </w:rPr>
      </w:pPr>
    </w:p>
    <w:p>
      <w:pPr>
        <w:ind w:left="500" w:right="520" w:hanging="249"/>
        <w:spacing w:after="0" w:line="304" w:lineRule="auto"/>
        <w:tabs>
          <w:tab w:leader="none" w:pos="476"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providing oversight and making recommendations for the Company’s corporate social responsibility efforts, including ESG matters, and political contributions;</w:t>
      </w:r>
    </w:p>
    <w:p>
      <w:pPr>
        <w:spacing w:after="0" w:line="46" w:lineRule="exact"/>
        <w:rPr>
          <w:rFonts w:ascii="Arial" w:cs="Arial" w:eastAsia="Arial" w:hAnsi="Arial"/>
          <w:sz w:val="16"/>
          <w:szCs w:val="16"/>
          <w:color w:val="auto"/>
        </w:rPr>
      </w:pPr>
    </w:p>
    <w:p>
      <w:pPr>
        <w:ind w:left="460" w:hanging="209"/>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approving directorships at other for-profit organizations offered to directors and executive officers;</w:t>
      </w:r>
    </w:p>
    <w:p>
      <w:pPr>
        <w:spacing w:after="0" w:line="113" w:lineRule="exact"/>
        <w:rPr>
          <w:rFonts w:ascii="Arial" w:cs="Arial" w:eastAsia="Arial" w:hAnsi="Arial"/>
          <w:sz w:val="16"/>
          <w:szCs w:val="16"/>
          <w:color w:val="auto"/>
        </w:rPr>
      </w:pPr>
    </w:p>
    <w:p>
      <w:pPr>
        <w:ind w:left="500" w:right="140" w:hanging="249"/>
        <w:spacing w:after="0" w:line="292" w:lineRule="auto"/>
        <w:tabs>
          <w:tab w:leader="none" w:pos="476" w:val="left"/>
        </w:tabs>
        <w:numPr>
          <w:ilvl w:val="0"/>
          <w:numId w:val="9"/>
        </w:numPr>
        <w:rPr>
          <w:rFonts w:ascii="Arial" w:cs="Arial" w:eastAsia="Arial" w:hAnsi="Arial"/>
          <w:sz w:val="16"/>
          <w:szCs w:val="16"/>
          <w:color w:val="auto"/>
        </w:rPr>
      </w:pPr>
      <w:r>
        <w:rPr>
          <w:rFonts w:ascii="Arial" w:cs="Arial" w:eastAsia="Arial" w:hAnsi="Arial"/>
          <w:sz w:val="16"/>
          <w:szCs w:val="16"/>
          <w:color w:val="auto"/>
        </w:rPr>
        <w:t>working with Lead Director to oversee communications with stockholders, proxy advisory firms and other interested parties concerning governance and other related matters and reviewing stockholder proposals and making recommendations to address them (and work with other committees with respect to matters overseen by them);</w:t>
      </w:r>
    </w:p>
    <w:p>
      <w:pPr>
        <w:spacing w:after="0" w:line="43" w:lineRule="exact"/>
        <w:rPr>
          <w:rFonts w:ascii="Arial" w:cs="Arial" w:eastAsia="Arial" w:hAnsi="Arial"/>
          <w:sz w:val="16"/>
          <w:szCs w:val="16"/>
          <w:color w:val="auto"/>
        </w:rPr>
      </w:pPr>
    </w:p>
    <w:p>
      <w:pPr>
        <w:ind w:left="460" w:hanging="209"/>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overseeing evaluations of the Board and its committees; and</w:t>
      </w:r>
    </w:p>
    <w:p>
      <w:pPr>
        <w:spacing w:after="0" w:line="126" w:lineRule="exact"/>
        <w:rPr>
          <w:rFonts w:ascii="Arial" w:cs="Arial" w:eastAsia="Arial" w:hAnsi="Arial"/>
          <w:sz w:val="16"/>
          <w:szCs w:val="16"/>
          <w:color w:val="auto"/>
        </w:rPr>
      </w:pPr>
    </w:p>
    <w:p>
      <w:pPr>
        <w:ind w:left="460" w:hanging="209"/>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overseeing director engagement, education, and orientation activities.</w:t>
      </w:r>
    </w:p>
    <w:p>
      <w:pPr>
        <w:spacing w:after="0" w:line="12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Along with the Board, the Governance Committee receives regular reports from management to help ensure its effective and efficient oversight and to assist in its proper risk management and ongoing evaluation of governance practices and policies. Through its regular meetings with management, including the legal, ESG, and investor relations functions and discussions, as appropriate, with its legal counsel, the Governance Committee reviews and discusses significant areas of our business, including areas of risk and appropriate mitigating factors.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Board and Committee Meetings and Attendance</w:t>
      </w:r>
    </w:p>
    <w:p>
      <w:pPr>
        <w:spacing w:after="0" w:line="12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All directors are expected to attend all meetings of the Board, meetings of the committees of which they are members, and the annual meeting of stockholders. During 2021, the Board held six meetings, the Audit Committee held six meetings, the Compensation Committee held four meetings, and the Governance Committee held four meetings. In addition, the Board, the Audit Committee, the Compensation Committee, and the Governance Committee acted by unanimous written consent several times during 2021. In 2021, all of our incumbent directors attended at least 75% of the meetings of the Board of Directors and its committees during the time in which he or she served as a member of the Board or such committee. In addition, all of our directors are expected to attend our Annual Meetings of Stockholders, and all of our then serving directors attended the 2021 Annual Meeting of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Board and Committee Evaluations</w:t>
      </w:r>
    </w:p>
    <w:p>
      <w:pPr>
        <w:spacing w:after="0" w:line="13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order to assess the functioning and effectiveness of the Board and its committees, the Corporate Governance Guidelines and the charters of each of the Board’s committees require the Board and each of its committees to conduct a formal performance evaluation on at least an annual basis, generally at the first regularly scheduled meetings of the Board or such committee in the fiscal year. This annual evaluation process is overseen by the Governance Committee in concert with the Lead Director and requires that the Board and its committees each review and evaluate their respective performances against the requirements of the Corporate Governance Guidelines and the appropriate committee charters,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evaluation process enables directors to provide anonymous and confidential feedback on topics including:</w:t>
      </w:r>
    </w:p>
    <w:p>
      <w:pPr>
        <w:spacing w:after="0" w:line="113" w:lineRule="exact"/>
        <w:rPr>
          <w:sz w:val="20"/>
          <w:szCs w:val="20"/>
          <w:color w:val="auto"/>
        </w:rPr>
      </w:pPr>
    </w:p>
    <w:p>
      <w:pPr>
        <w:ind w:left="500" w:right="940" w:hanging="249"/>
        <w:spacing w:after="0" w:line="286" w:lineRule="auto"/>
        <w:tabs>
          <w:tab w:leader="none" w:pos="4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Board/committee responsibilities and accountability (including with respect to strategy, operating performance, corporate governance, risk management, succession planning, senior management development, ESG, and corporate culture);</w:t>
      </w:r>
    </w:p>
    <w:p>
      <w:pPr>
        <w:spacing w:after="0" w:line="34" w:lineRule="exact"/>
        <w:rPr>
          <w:rFonts w:ascii="Arial" w:cs="Arial" w:eastAsia="Arial" w:hAnsi="Arial"/>
          <w:sz w:val="16"/>
          <w:szCs w:val="16"/>
          <w:color w:val="auto"/>
        </w:rPr>
      </w:pPr>
    </w:p>
    <w:p>
      <w:pPr>
        <w:ind w:left="460" w:hanging="209"/>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Board/committee composition and structure (including the mix of director experience, skills, qualifications, viewpoints, and backgrounds);</w:t>
      </w:r>
    </w:p>
    <w:p>
      <w:pPr>
        <w:spacing w:after="0" w:line="99" w:lineRule="exact"/>
        <w:rPr>
          <w:rFonts w:ascii="Arial" w:cs="Arial" w:eastAsia="Arial" w:hAnsi="Arial"/>
          <w:sz w:val="16"/>
          <w:szCs w:val="16"/>
          <w:color w:val="auto"/>
        </w:rPr>
      </w:pPr>
    </w:p>
    <w:p>
      <w:pPr>
        <w:ind w:left="460" w:hanging="209"/>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Board/committee meeting mechanics;</w:t>
      </w:r>
    </w:p>
    <w:p>
      <w:pPr>
        <w:spacing w:after="0" w:line="113" w:lineRule="exact"/>
        <w:rPr>
          <w:rFonts w:ascii="Arial" w:cs="Arial" w:eastAsia="Arial" w:hAnsi="Arial"/>
          <w:sz w:val="16"/>
          <w:szCs w:val="16"/>
          <w:color w:val="auto"/>
        </w:rPr>
      </w:pPr>
    </w:p>
    <w:p>
      <w:pPr>
        <w:ind w:left="460" w:hanging="209"/>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Board/committee meeting information and materials;</w:t>
      </w:r>
    </w:p>
    <w:p>
      <w:pPr>
        <w:spacing w:after="0" w:line="99" w:lineRule="exact"/>
        <w:rPr>
          <w:rFonts w:ascii="Arial" w:cs="Arial" w:eastAsia="Arial" w:hAnsi="Arial"/>
          <w:sz w:val="16"/>
          <w:szCs w:val="16"/>
          <w:color w:val="auto"/>
        </w:rPr>
      </w:pPr>
    </w:p>
    <w:p>
      <w:pPr>
        <w:ind w:left="460" w:hanging="209"/>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Board/committee member’s conduct and culture;</w:t>
      </w:r>
    </w:p>
    <w:p>
      <w:pPr>
        <w:spacing w:after="0" w:line="99" w:lineRule="exact"/>
        <w:rPr>
          <w:rFonts w:ascii="Arial" w:cs="Arial" w:eastAsia="Arial" w:hAnsi="Arial"/>
          <w:sz w:val="16"/>
          <w:szCs w:val="16"/>
          <w:color w:val="auto"/>
        </w:rPr>
      </w:pPr>
    </w:p>
    <w:p>
      <w:pPr>
        <w:ind w:left="460" w:hanging="209"/>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Board/committee engagement, orientation, and continuing education;</w:t>
      </w:r>
    </w:p>
    <w:p>
      <w:pPr>
        <w:spacing w:after="0" w:line="99" w:lineRule="exact"/>
        <w:rPr>
          <w:rFonts w:ascii="Arial" w:cs="Arial" w:eastAsia="Arial" w:hAnsi="Arial"/>
          <w:sz w:val="16"/>
          <w:szCs w:val="16"/>
          <w:color w:val="auto"/>
        </w:rPr>
      </w:pPr>
    </w:p>
    <w:p>
      <w:pPr>
        <w:ind w:left="460" w:hanging="209"/>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Board/committee interaction with management; and</w:t>
      </w:r>
    </w:p>
    <w:p>
      <w:pPr>
        <w:spacing w:after="0" w:line="99" w:lineRule="exact"/>
        <w:rPr>
          <w:rFonts w:ascii="Arial" w:cs="Arial" w:eastAsia="Arial" w:hAnsi="Arial"/>
          <w:sz w:val="16"/>
          <w:szCs w:val="16"/>
          <w:color w:val="auto"/>
        </w:rPr>
      </w:pPr>
    </w:p>
    <w:p>
      <w:pPr>
        <w:ind w:left="460" w:hanging="209"/>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Overall performance/effectiveness of the Board/committee and its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552450</wp:posOffset>
            </wp:positionV>
            <wp:extent cx="857250"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color w:val="007EC4"/>
        </w:rPr>
        <w:t xml:space="preserve">20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results of the feedback are reviewed and addressed by the members of the Board or applicable committee, the Governance Committee, and the Lead Director in an executive session of the Board and/or applicable committee.</w:t>
      </w:r>
    </w:p>
    <w:p>
      <w:pPr>
        <w:spacing w:after="0" w:line="169"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Our Lead Director also conducts individual interviews with each of the directors. These interviews address similar topics, with the one-on-one setting permitting more detailed feedback on Board operations and director performance, as well as providing opportunities for mentoring newer directors. The feedback from these interviews is typically discussed with the full Board at its first regular meeting of the fiscal year.</w:t>
      </w:r>
    </w:p>
    <w:p>
      <w:pPr>
        <w:spacing w:after="0" w:line="16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In addition to conducting formal performance evaluations, the directors share their perspectives, feedback and suggestions, year-round, both during and outside of Board and committee meetings.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Director Nomination Process</w:t>
      </w:r>
    </w:p>
    <w:p>
      <w:pPr>
        <w:spacing w:after="0" w:line="112"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Governance Committee is responsible for recommending director nominees to the Board for annual election by the stockholders. The Board seeks to promote refreshment of its directors, while also balancing the need for institutional knowledge and stability that comes from longer-term service on the Board. As part of the Board’s ongoing refreshment efforts, the Corporate Governance Guidelines prohibit a director from being nominated for re-election at any annual meeting following the earlier of their 75th birthday or after they achieve 15 years of service on the Board. Current members of the Board whose class term is expiring are considered for nomination for reelection unless they have notified the Board that they do not wish to stand for re-election. Nevertheless, the Board believes that directors should not expect to be re-nominated at the end of their term. In determining whether to recommend a current director for re-election, the Governance Committee considers the director’s qualifications, participation in and contributions to the activities of the Board, the results of the annual Board evaluation, and past meeting attendance.</w:t>
      </w:r>
    </w:p>
    <w:p>
      <w:pPr>
        <w:spacing w:after="0" w:line="18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Governance Committee may also consider director nominees identified by other sources, including current members of the Board, members of management, and stockholders. From time to time, the Governance Committee may retain a third-party search firm to assist in the identification of possible Board candidates. Services provided by the search firms include identifying and assessing potential director candidates meeting criteria established by the Governance Committee, verifying information about the prospective candidate’s credentials, and obtaining a preliminary indication of interest and willingness to serve as a Board member.</w:t>
      </w:r>
    </w:p>
    <w:p>
      <w:pPr>
        <w:spacing w:after="0" w:line="17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Board will consider director candidates recommended by stockholders on a substantially similar basis as it considers other candidates. Any such recommendation should be submitted to the Corporate Secretary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Stockholders wishing to propose a candidate for consideration may do so by submitting the above information to the attention of the Corporate Secretary at Academy Sports and Outdoors, Inc., 1800 North Mason Road, Katy, Texas 77449. All recommendations for nomination received by our Corporate Secretary that satisfy our Bylaws’s requirements relating to director nominations will be presented to the Board for its consideration. Stockholders also must satisfy the notification, timeliness, consent, and information requirements set forth in our Bylaws. These requirements are also described in this Proxy Statement under “Stockholder Proposals for the 2023 Annual Meeting.”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Director Qualification Criteria</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Board is responsible for considering the long-term make-up of the Board and monitoring the mix of specific experience, skills, qualifications, and attributes of its directors so that the Board, as a whole, has the necessary tools to perform its oversight function effectively in light of our business and structure. The Governance Committee is responsible for identifying director candidates, evaluating the qualifications of director candidates, and selecting and recommending director candidates to the full Board for initial appointment to the Board and/or nomination for annual election by our stockholders. When considering whether our current directors (including the director nominees) have the experience, skills, qualifications, or attributes, needed by the Board, the Board and the Governance Committee focus on each person’s background, primarily as reflected in the information discussed in each director’s individual biography set forth above. The Board and the Governance Committee believe that our current directors (including the director nominees) provide an appropriate mix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534670</wp:posOffset>
            </wp:positionV>
            <wp:extent cx="857250"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experience, skills, qualifications and attributes necessary for the Board, as a whole, to perform its oversight function in light of our business and structure.</w:t>
      </w:r>
    </w:p>
    <w:p>
      <w:pPr>
        <w:spacing w:after="0" w:line="22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Governance Committee evaluates all candidates based on the same criteria, which is established by the Governance Committee and approved by the Board. The Governance Committee evaluates each director candidate on the basis of the length, breadth and quality of the candidate’s business experience, the applicability of the candidate’s skills and expertise to the Company’s business and strategic direction, the perspectives that the candidate will bring to the entire Board, and the personality or fit of the candidate with the existing members of the Board and management. As required by its charter and the Corporate Governance Guidelines, the Governance Committee seeks directors who are independent, have executive officer, consumer retail, and public board experience, and demonstrate strong character, mature judgment, an understanding of Academy’s business and industry, deep business acumen, independence of thought, and collegiality. In addition, the Governance Committee considers all other factors it considers appropriate, which may include the candidate’s personal familiarity with Academy, diversity of viewpoints, personal ethnic and national background, gender, race, geography and sexual orientation, age, existing commitments to other businesses, potential conflicts of interest, legal considerations, corporate governance background, career experience, relevant technical skills, governmental acumen, financial sophistication, and executive compensation experience, as well as the size, composition, combined expertise, and needs of the Board. The Board assesses the criteria for director candidates and nominees in connection with its annual evaluation of the Board and its committees.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Board recognizes the importance of selecting directors from various backgrounds and professions, as well as who are diverse as to age, gender, race, ethnicity, and sexual orientation. The Board believes that developing a diverse board is beneficial because it enhances the Board’s performance. Thus, the Board is considerate of diversity, including diversity of gender and race, when evaluating the Board’s composition needs, as set forth in the Corporate Governance Guidelines and Governance Committee’s charter. Since the IPO in October 2020, the Board has taken actions to build a diverse membership. The Board now includes three female directors and two minority directors, collectively representing 50% of the Board’s 10 current directors. The Board also recently updated its Corporate Governance Guidelines to require that, as part of the search process for each new director, the Governance Committee should include women and minorities in each pool of candidates (and direct any third-party search firm to do so), and will interview at least one woman or one minority candidate.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Director Orientation, Engagement, and Continuing Education</w:t>
      </w:r>
    </w:p>
    <w:p>
      <w:pPr>
        <w:spacing w:after="0" w:line="13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Governance Committee oversees our director orientation program, ongoing director engagement, and continuing education, which includes both internal activities and access to external programming. We have a structured director orientation program for new directors during their first year on the Board to accelerate their onboarding. This program includes information sessions with directors and senior management and visits to our stores and other facilities. Our director engagement programs includes in-depth meetings with management to provide our directors with the opportunity and periodic walks of our stores and other facilities to expand their insight into business operations and activities and observe our strategic initiatives in action. We provide all directors with membership in the National Association of Corporate Directors and relevant educational presentations and board-related periodicals.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Management Succession</w:t>
      </w:r>
    </w:p>
    <w:p>
      <w:pPr>
        <w:spacing w:after="0" w:line="13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 Board is responsible for the development and retention of senior leadership and ensuring that an appropriate succession plan is in place for our Chief Executive Officer and other executive officers. Both the Board and the Compensation Committee are regularly engaged in succession planning. The Compensation Committee primarily oversees the development and implementation of succession plans for senior leadership positions. This process includes review and discussion of the performance and development of senior leadership on a regular basis, along with management’s evaluation and recommendations for senior leadership succession, including both long-term succession plans and emergency succession plans. The Board also regularly reviews succession plans for senior management and the Chief Executive Officer. To assist the Board, our Chief Executive Officer annually provides his assessment of senior leaders and their potential to succeed at key senior management positions. The Board also meets potential leaders at many levels across the organization through formal presentations, informal events, one-on-one meetings, and store and other facility walks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534670</wp:posOffset>
            </wp:positionV>
            <wp:extent cx="85725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color w:val="007EC4"/>
        </w:rPr>
        <w:t xml:space="preserve">22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Environmental, Social, and Governance (ESG)</w:t>
      </w:r>
    </w:p>
    <w:p>
      <w:pPr>
        <w:spacing w:after="0" w:line="13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At Academy, responsible leadership and integrity are values that are fundamental to the way we conduct our business. We believe that practicing corporate responsibility strengthens the accountability and performance of the Board and executive management team, supports the long-term interests of our stockholders and other stakeholders (including our team members, our customers, and their communities), and furthers the achievement of Our Vision to be the best sports + outdoors retailer in the country. Our commitment to meaningful environmental, social and governance (“ESG”) practices reflects our belief that we must engage in responsible corporate leadership to be our best.</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ESG oversight is performed by the Board and its committees. The Governance Committee is primarily responsible for monitoring of our ESG practices. This includes reviewing our ESG initiatives and progress against general corporate responsibility trends and the views of our stakeholders and making recommendations to the Board, its other committees, and our executive leadership regarding our ESG strategy. The Governance Committee manages its oversight of our ESG practices by having regular discussions with management and quarterly updates of our ESG initiatives and progress during committee meetings. The Governance Committee is also responsible for overseeing ESG matters related to governance, investor relations, and political contributions. The Compensation Committee oversees ESG matters related to team members, including diversity, equity, inclusion, and belonging, compensation, benefits, and wellness, engagement and training, and succession planning. The Audit Committee oversees ESG matters related to compliance (including ethics, whistleblower hotline, and safety), cybersecurity, data privacy, and enterprise risk management. The Board oversees ESG as part of its oversight of our business and strategy. Each committee provides an update to the full Board on matters discussed and actions taken or recommended in its meeting held, including with respect to ESG matters. Each year, the Board receives a report on our ESG initiatives and progress, including a discussion of our ESG reporting and communications.</w:t>
      </w:r>
    </w:p>
    <w:p>
      <w:pPr>
        <w:spacing w:after="0" w:line="18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At the management level, senior leaders comprise a cross-functional team that drives our ESG efforts. The ESG team focuses on identifying key ESG matters that are important to our business and stakeholders, developing initiatives that advance our ESG efforts, and reporting and communicating our ESG progress. The ESG team works with the major functions of the Company, including executive management, merchandising, global sourcing, supply &amp; logistics, community giving, communications, human resources, legal &amp; compliance, safety, information technology, store and distribution center operations, facilities management, and internal audit to align our efforts with general corporate responsibility trends and the views of our stakeholders and report and communicate our progress on these efforts using the leading ESG framework and standards, as further described below.</w:t>
      </w:r>
    </w:p>
    <w:p>
      <w:pPr>
        <w:spacing w:after="0" w:line="17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Our ESG efforts primarily relate to keeping our customers active and connected with experiences, contributing to a diverse and inclusive society and workplace, investing in our team members, ensuring the quality and safety of our products, workplaces and retail experience, supporting and giving to our communities, enhancing our governance practices, strengthening our compliance programs, ensuring our cybersecurity, and minimizing our environmental impact. Going forward, we will continue to review and appropriately enhance the scope of our evolving ESG efforts.</w:t>
      </w:r>
    </w:p>
    <w:p>
      <w:pPr>
        <w:spacing w:after="0" w:line="168"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In June 2021, we updated our investor relations website at investors.academy.com to provide a page dedicated to our ESG initiatives. On a periodic basis, we issue a report describing our ESG initiatives and progress. In Spring 2022, we expect to issue an updated ESG Report that will be posted on our ESG webpage. The 2021 ESG Report will provide more transparent and quantitative disclosures, including reporting informed by the Sustainability Accounting Standard Board (“SASB”) standard and in reference to the Global Reporting Initiative (“GRI”) standard. In addition the 2021 ESG Report will include tear sheets that contain disclosures of certain standard metrics to improve the convenience of reviewing our achievements.</w:t>
      </w:r>
    </w:p>
    <w:p>
      <w:pPr>
        <w:spacing w:after="0" w:line="172"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The following are notable highlights of our ESG achievements regarding Diversity, Inclusion and Belonging; Corporate Governance; Firearms Safety, Compliance, and Responsibility; Product and Environmental Sustainability; and Supporting our Communities, which will be further covered in the updated ESG Report along with other recent key ESG achievements.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Commitment to Diversity, Inclusion and Belonging</w:t>
      </w:r>
    </w:p>
    <w:p>
      <w:pPr>
        <w:spacing w:after="0" w:line="68"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At Academy, we believe the diversity of the Board, team members, customers, and all others with whom we interact enhances the quality of our work environment and the shopping experience of our customers. Academy encourages diversity, inclusion, and belonging (“DIB”) and requires that all team members and vendors interact fairly, equally, and respectfully towards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524510</wp:posOffset>
            </wp:positionV>
            <wp:extent cx="85725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commitment to DIB begins at the top with the Board and senior management. Since our IPO in October 2020, the Board has taken actions to build a diverse membership. The Board now includes three female directors and two ethnic minority directors, representing 50% of its current directors. In addition, our Chairman of the Board is an ethnic minority and the Compensation Committee and the Governance Committee are chaired by females. We recently updated the Corporate Governance Guidelines to provide that women and minorities should be reflected in any pool of candidates being considered for a Board position and at least one woman or one minority candidate should be interviewed. Our senior executives include three females and three ethnic minorities, representing 60% of our executive officers. Further, throughout our organization, we continue to attract, recruit, develop, and retain team members with backgrounds that are representative of our diverse customer base, because it makes us stronger. During 2021, we increased the racial/ethnic diversity of our overall management level positions (i.e., store and corporate managers and above) by approximately 10%.</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a DIB Committee comprised of a diverse group of cross-functional leadership, which leads the promotion and development of our ongoing DIB initiatives. In 2021, the DIB Committee led the launch of our DIB programs in our stores, distribution centers and corporate headquarters. The DIB Committee also introduced and supports several Team Member Resource Groups (“TRGs”) and Academy Networking Groups (“ANGs”), which are team member-led and -organized groups formed with the purpose of building meaningful connections with their fellow team members around their diverse cultures and common interests. TRGs and ANGs are opportunities for team members to actively engage around a central unifying purpose, mission, background or activity. TRGs, which include Black Alliance for Social and Enterprise Success (BASES), LGBTQ+ Pride and Allies, ¡Vamos!, Veterans Engagement Team and Supports (VETS), and Women in Leadership, celebrate the diversity of our team members and promote DIB throughout the Company. TRGs promote the overall well-being of team members and establish mutually beneficial relationships between Academy, our workforce, members of the TRG, and the communities we serve. Academy provides TRGs with executive sponsorship, budgetary support and other meaningful resources to best enable the groups to successfully fulfill their purposes. ANGs, which include Academy Cycling Group, Academy Sneakerheads, Cookeville Distribution Center DIY, and Academy Running Club, enjoy a special recreational interest that is commonly shared by the members of the group. ANGs offer another environment where team members can meet new people, learn new things, and pursue their interests together.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Responsible Corporate Governance</w:t>
      </w:r>
    </w:p>
    <w:p>
      <w:pPr>
        <w:spacing w:after="0" w:line="6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Since the beginning of 2021, we have taken important actions to improve our corporate governance. We added four independent directors and the Board now includes eight independent directors, representing 80% of its current membership. In addition, all of the Board’s committees are now fully independent. Following the conclusion of election of directors at the Annual Meeting, our Board will have only one non-independent director.</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also recently updated the Board’s Corporate Governance Guidelines and each Committee’s charters to strengthen our corporate governance. We revised the Corporate Governance Guidelines to outline the Lead Director’s responsibilities, reduce the number of outside public company boards on which our directors can serve, and adopt a director mandatory retirement/term limit policy. We also revised the Corporate Governance Guidelines and the Governance Committee’s charter to provide that women and minority candidates should be included in each search pool of director candidates. We further revised the Governance Committee’s charter to reflect its approval of outside directorships, oversight of director engagement, orientation, and education, approval of political contributions, and oversight of stockholder engagement. We revised the Compensation Committee’s and Audit Committee’s charters to clarify their ESG oversight and risk management responsibilities. We also revised the Audit Committee’s charter to reflect its oversight of our compliance program.</w:t>
      </w:r>
    </w:p>
    <w:p>
      <w:pPr>
        <w:spacing w:after="0" w:line="18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updated our Ethics and Code of Conduct Policy and Vendor Code of Conduct Policy to acknowledge that Academy is committed to ensuring fair and safe working conditions throughout our business, align with the United Nations Universal Declaration of Human Rights, acknowledge team members’ basic rights to assemble as protected under law, and prohibit discrimination based on inherited social status. We also adopted our conflict minerals policy and will issue our first conflict minerals report for calendar year 2022 on Form SD in 2023. We established a formal enterprise risk management (ERM) program and chartered an ERM Committee of senior leadership to identify, assess and manage our top enterprise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529590</wp:posOffset>
            </wp:positionV>
            <wp:extent cx="857250"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color w:val="007EC4"/>
        </w:rPr>
        <w:t xml:space="preserve">24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Firearms Safety, Compliance and Responsibility</w:t>
      </w:r>
    </w:p>
    <w:p>
      <w:pPr>
        <w:spacing w:after="0" w:line="6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are deeply committed to ensuring the safe, compliant, and responsible sale and transfer of firearms. As a Federal Firearms Licensee, we follow, and in most cases exceed, all applicable regulations and regularly review our internal policies and processes to ensure full compliance with the law. To this end, we consistently adhere to rigorous procedures to ensure the safe, compliant, and responsible storage, sale, and transfer of firearms.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Core Objectives. </w:t>
      </w:r>
      <w:r>
        <w:rPr>
          <w:rFonts w:ascii="Arial" w:cs="Arial" w:eastAsia="Arial" w:hAnsi="Arial"/>
          <w:sz w:val="16"/>
          <w:szCs w:val="16"/>
          <w:color w:val="auto"/>
        </w:rPr>
        <w:t>We focus on three core objectives, as outlined below, in our approach to responsible firearms sales:</w:t>
      </w:r>
    </w:p>
    <w:p>
      <w:pPr>
        <w:spacing w:after="0" w:line="113" w:lineRule="exact"/>
        <w:rPr>
          <w:sz w:val="20"/>
          <w:szCs w:val="20"/>
          <w:color w:val="auto"/>
        </w:rPr>
      </w:pPr>
    </w:p>
    <w:p>
      <w:pPr>
        <w:ind w:left="720" w:hanging="226"/>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Entrust the sale or transfer of firearms to team members who are qualified and trained;</w:t>
      </w:r>
    </w:p>
    <w:p>
      <w:pPr>
        <w:spacing w:after="0" w:line="59" w:lineRule="exact"/>
        <w:rPr>
          <w:rFonts w:ascii="Arial" w:cs="Arial" w:eastAsia="Arial" w:hAnsi="Arial"/>
          <w:sz w:val="16"/>
          <w:szCs w:val="16"/>
          <w:color w:val="auto"/>
        </w:rPr>
      </w:pPr>
    </w:p>
    <w:p>
      <w:pPr>
        <w:ind w:left="720" w:hanging="226"/>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Maintain integrity and strict compliance during the sale and transfer process; and</w:t>
      </w:r>
    </w:p>
    <w:p>
      <w:pPr>
        <w:spacing w:after="0" w:line="72" w:lineRule="exact"/>
        <w:rPr>
          <w:rFonts w:ascii="Arial" w:cs="Arial" w:eastAsia="Arial" w:hAnsi="Arial"/>
          <w:sz w:val="16"/>
          <w:szCs w:val="16"/>
          <w:color w:val="auto"/>
        </w:rPr>
      </w:pPr>
    </w:p>
    <w:p>
      <w:pPr>
        <w:ind w:left="720" w:hanging="226"/>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Encourage, educate and support our customers on the safe and responsible usage and ownership of firearms during and after the sale process.</w:t>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From our team members and the procedures we use to conduct firearms sales and transfers, to how we promote responsible gun ownership, we strive to be the most responsible seller of firearms in the country. In 2021, we further invested in and implemented the technology and processes we use to responsibly transfer firearms.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Product and Environmental Sustainability</w:t>
      </w:r>
    </w:p>
    <w:p>
      <w:pPr>
        <w:spacing w:after="0" w:line="8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We are committed to being an environmentally responsible corporate citizen, including compliance with all applicable environmental regulations, and we seek opportunities to minimize our environmental impact and capture associated cost savings where possible.</w:t>
      </w:r>
    </w:p>
    <w:p>
      <w:pPr>
        <w:spacing w:after="0" w:line="156" w:lineRule="exact"/>
        <w:rPr>
          <w:sz w:val="20"/>
          <w:szCs w:val="20"/>
          <w:color w:val="auto"/>
        </w:rPr>
      </w:pPr>
    </w:p>
    <w:p>
      <w:pPr>
        <w:ind w:left="260" w:right="600"/>
        <w:spacing w:after="0" w:line="275" w:lineRule="auto"/>
        <w:rPr>
          <w:sz w:val="20"/>
          <w:szCs w:val="20"/>
          <w:color w:val="auto"/>
        </w:rPr>
      </w:pPr>
      <w:r>
        <w:rPr>
          <w:rFonts w:ascii="Arial" w:cs="Arial" w:eastAsia="Arial" w:hAnsi="Arial"/>
          <w:sz w:val="16"/>
          <w:szCs w:val="16"/>
          <w:b w:val="1"/>
          <w:bCs w:val="1"/>
          <w:color w:val="auto"/>
        </w:rPr>
        <w:t xml:space="preserve">Product Sustainability. </w:t>
      </w:r>
      <w:r>
        <w:rPr>
          <w:rFonts w:ascii="Arial" w:cs="Arial" w:eastAsia="Arial" w:hAnsi="Arial"/>
          <w:sz w:val="16"/>
          <w:szCs w:val="16"/>
          <w:color w:val="auto"/>
        </w:rPr>
        <w:t>Guided by our Product Sustainability Roadmap, we are working to reduce the environmental impact of our products and</w:t>
      </w:r>
      <w:r>
        <w:rPr>
          <w:rFonts w:ascii="Arial" w:cs="Arial" w:eastAsia="Arial" w:hAnsi="Arial"/>
          <w:sz w:val="16"/>
          <w:szCs w:val="16"/>
          <w:b w:val="1"/>
          <w:bCs w:val="1"/>
          <w:color w:val="auto"/>
        </w:rPr>
        <w:t xml:space="preserve"> </w:t>
      </w:r>
      <w:r>
        <w:rPr>
          <w:rFonts w:ascii="Arial" w:cs="Arial" w:eastAsia="Arial" w:hAnsi="Arial"/>
          <w:sz w:val="16"/>
          <w:szCs w:val="16"/>
          <w:color w:val="auto"/>
        </w:rPr>
        <w:t>packaging by increasing the recycled materials used in our private label products. We have set measurable goals for our Product Sustainability Roadmap. By the end of 2024, we aim and are on track to exceed the following objectives:</w:t>
      </w:r>
    </w:p>
    <w:p>
      <w:pPr>
        <w:spacing w:after="0" w:line="70" w:lineRule="exact"/>
        <w:rPr>
          <w:sz w:val="20"/>
          <w:szCs w:val="20"/>
          <w:color w:val="auto"/>
        </w:rPr>
      </w:pPr>
    </w:p>
    <w:p>
      <w:pPr>
        <w:ind w:left="720" w:hanging="226"/>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least 35% of our private label apparel will be made from recycled materials;</w:t>
      </w:r>
    </w:p>
    <w:p>
      <w:pPr>
        <w:spacing w:after="0" w:line="59" w:lineRule="exact"/>
        <w:rPr>
          <w:rFonts w:ascii="Arial" w:cs="Arial" w:eastAsia="Arial" w:hAnsi="Arial"/>
          <w:sz w:val="16"/>
          <w:szCs w:val="16"/>
          <w:color w:val="auto"/>
        </w:rPr>
      </w:pPr>
    </w:p>
    <w:p>
      <w:pPr>
        <w:ind w:left="720" w:hanging="226"/>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least 50% of our private label apparel packaging will be made from recycled materials; and</w:t>
      </w:r>
    </w:p>
    <w:p>
      <w:pPr>
        <w:spacing w:after="0" w:line="59" w:lineRule="exact"/>
        <w:rPr>
          <w:rFonts w:ascii="Arial" w:cs="Arial" w:eastAsia="Arial" w:hAnsi="Arial"/>
          <w:sz w:val="16"/>
          <w:szCs w:val="16"/>
          <w:color w:val="auto"/>
        </w:rPr>
      </w:pPr>
    </w:p>
    <w:p>
      <w:pPr>
        <w:ind w:left="720" w:hanging="226"/>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least 50% of our private label footwear insole boards will be made from recycled materials.</w:t>
      </w:r>
    </w:p>
    <w:p>
      <w:pPr>
        <w:spacing w:after="0" w:line="113" w:lineRule="exact"/>
        <w:rPr>
          <w:sz w:val="20"/>
          <w:szCs w:val="20"/>
          <w:color w:val="auto"/>
        </w:rPr>
      </w:pPr>
    </w:p>
    <w:p>
      <w:pPr>
        <w:ind w:left="260"/>
        <w:spacing w:after="0" w:line="243" w:lineRule="auto"/>
        <w:rPr>
          <w:sz w:val="20"/>
          <w:szCs w:val="20"/>
          <w:color w:val="auto"/>
        </w:rPr>
      </w:pPr>
      <w:r>
        <w:rPr>
          <w:rFonts w:ascii="Arial" w:cs="Arial" w:eastAsia="Arial" w:hAnsi="Arial"/>
          <w:sz w:val="16"/>
          <w:szCs w:val="16"/>
          <w:b w:val="1"/>
          <w:bCs w:val="1"/>
          <w:color w:val="auto"/>
        </w:rPr>
        <w:t xml:space="preserve">Environmental Sustainability. </w:t>
      </w:r>
      <w:r>
        <w:rPr>
          <w:rFonts w:ascii="Arial" w:cs="Arial" w:eastAsia="Arial" w:hAnsi="Arial"/>
          <w:sz w:val="16"/>
          <w:szCs w:val="16"/>
          <w:color w:val="auto"/>
        </w:rPr>
        <w:t>We continue to find ways to reduce the impact of our facilities (i.e., stores, distributions centers, and corporate campus)</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We embrace environmentally-friendly facility design elements, such as variable speed HVAC systems, automatic sensors and timers to regulate water and electricity usage, LED light fixtures, and clerestories and skylights to harvest daylight, to conserve valuable natural resources and reduce harmful carbon emissions. Improvements to our operations enable us to minimize energy use and associated emissions, use water more efficiently, and divert waste from landfills. In 2021, our landfill avoidance percentage was 48%, based on approximately 16,000 recycled tons and savings of approximately 251,000 trees, 53.2 million kilowatt hours, 167,000 barrels of oil, 103.2 million gallons of water, and 17,000 tons of landfill.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Supporting Our Communities</w:t>
      </w:r>
    </w:p>
    <w:p>
      <w:pPr>
        <w:spacing w:after="0" w:line="8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a leading national sports and outdoors retailer, we focus our efforts on providing our customers with the gear and confidence to be active, have fun, and enjoy life together. We further serve the communities we operate in by supporting local non-profits, and preparing for and responding to crises when needed, such as by providing essential supplies and monetary support. We maximize our local impact by supporting and forming partnerships with numerous non-profit and community-based organizations throughout our footprint. Our efforts are organized into three priority areas:</w:t>
      </w:r>
    </w:p>
    <w:p>
      <w:pPr>
        <w:spacing w:after="0" w:line="173" w:lineRule="exact"/>
        <w:rPr>
          <w:sz w:val="20"/>
          <w:szCs w:val="20"/>
          <w:color w:val="auto"/>
        </w:rPr>
      </w:pPr>
    </w:p>
    <w:p>
      <w:pPr>
        <w:ind w:left="260" w:right="20"/>
        <w:spacing w:after="0" w:line="304" w:lineRule="auto"/>
        <w:rPr>
          <w:sz w:val="20"/>
          <w:szCs w:val="20"/>
          <w:color w:val="auto"/>
        </w:rPr>
      </w:pPr>
      <w:r>
        <w:rPr>
          <w:rFonts w:ascii="Arial" w:cs="Arial" w:eastAsia="Arial" w:hAnsi="Arial"/>
          <w:sz w:val="16"/>
          <w:szCs w:val="16"/>
          <w:b w:val="1"/>
          <w:bCs w:val="1"/>
          <w:i w:val="1"/>
          <w:iCs w:val="1"/>
          <w:color w:val="auto"/>
        </w:rPr>
        <w:t xml:space="preserve">Encourage Safety. </w:t>
      </w:r>
      <w:r>
        <w:rPr>
          <w:rFonts w:ascii="Arial" w:cs="Arial" w:eastAsia="Arial" w:hAnsi="Arial"/>
          <w:sz w:val="16"/>
          <w:szCs w:val="16"/>
          <w:color w:val="auto"/>
        </w:rPr>
        <w:t>We encourage safety so that everyone can feel confident and comfortable doing what they love. We help people gear up properly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sports and outdoor activities, and we promote ways to be smart and stay safe.</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 xml:space="preserve">Empowering Fun. </w:t>
      </w:r>
      <w:r>
        <w:rPr>
          <w:rFonts w:ascii="Arial" w:cs="Arial" w:eastAsia="Arial" w:hAnsi="Arial"/>
          <w:sz w:val="16"/>
          <w:szCs w:val="16"/>
          <w:color w:val="auto"/>
        </w:rPr>
        <w:t>We make it possible for people to enjoy more sports and outdoors activities. We believe being active is an essential part of life.</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Starting with our product assortment, we motivate people to try new things and give them opportunities to enjoy a variety of fun activities.</w:t>
      </w:r>
    </w:p>
    <w:p>
      <w:pPr>
        <w:spacing w:after="0" w:line="111" w:lineRule="exact"/>
        <w:rPr>
          <w:sz w:val="20"/>
          <w:szCs w:val="20"/>
          <w:color w:val="auto"/>
        </w:rPr>
      </w:pPr>
    </w:p>
    <w:p>
      <w:pPr>
        <w:ind w:left="260" w:right="660"/>
        <w:spacing w:after="0" w:line="286" w:lineRule="auto"/>
        <w:rPr>
          <w:sz w:val="20"/>
          <w:szCs w:val="20"/>
          <w:color w:val="auto"/>
        </w:rPr>
      </w:pPr>
      <w:r>
        <w:rPr>
          <w:rFonts w:ascii="Arial" w:cs="Arial" w:eastAsia="Arial" w:hAnsi="Arial"/>
          <w:sz w:val="16"/>
          <w:szCs w:val="16"/>
          <w:b w:val="1"/>
          <w:bCs w:val="1"/>
          <w:i w:val="1"/>
          <w:iCs w:val="1"/>
          <w:color w:val="auto"/>
        </w:rPr>
        <w:t xml:space="preserve">Building Connections. </w:t>
      </w:r>
      <w:r>
        <w:rPr>
          <w:rFonts w:ascii="Arial" w:cs="Arial" w:eastAsia="Arial" w:hAnsi="Arial"/>
          <w:sz w:val="16"/>
          <w:szCs w:val="16"/>
          <w:color w:val="auto"/>
        </w:rPr>
        <w:t>We create ways for members of the community to connect and have fun with each other. We build connections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community by supporting events, programs, and organizations that may a positive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519430</wp:posOffset>
            </wp:positionV>
            <wp:extent cx="857250" cy="205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have a long history of providing essential supplies for crisis preparedness and have helped our communities, customers, and team members through various natural disasters and crises. In 2020, during the COVID-19 pandemic, we donated ponchos and footwear for health care workers to use as personal protective equipment as they continued serving their communities. In August 2021, Hurricane Ida caused significant flooding, loss of power, and damage throughout its path in Louisiana and Mississippi, and we coordinated with the Red Cross and our stores to deploy several trailers of free bottled water, ice, and gasoline to impacted communities and team members. By being there in times of need, we help to solidify our role as a trusted partner where we operate and to better enable our customers to improve their quality of life.</w:t>
      </w:r>
    </w:p>
    <w:p>
      <w:pPr>
        <w:spacing w:after="0" w:line="25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Partnerships and sponsorships represent our largest investment in communities. In 2021, we invested $5.1 million in these partnerships in local communities benefiting 400 youth teams sports leagues, and thousands of kids. Another important way we support communities is through partnerships with sports teams and outdoor organizations. We now maintain exclusive multi-year relationships with collegiate athletic conferences (including the Southwestern Athletic Conference, or “SWAC”, Southern Intercollegiate Athletic Conference, or “SIAC”, and Central Intercollegiate Athletic Association, or “CIAA”) whose member institutions are comprised of mostly historically black colleges and universities or “HBCUs”. Our relationships with SWAC, SIAC and CIAA support meaningful community initiatives with a focus on grassroots programming, including youth outreach and mentorship programs.</w:t>
      </w:r>
    </w:p>
    <w:p>
      <w:pPr>
        <w:spacing w:after="0" w:line="32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2021, we offered discounts to Military, First Responders and Teachers as part of key holiday events, which totaled over $21.4 million in merchandise discounts. We also partnered with over 50 first responder/military organizations to promote fun and safety with an investment of nearly $400,000, including in-kind and cash donations that positively impacted 3,000 families. Also, as part of Teacher Appreciation Month in August 2021, we hosted over 30 giveback events and donated approximately $80,000 to teachers, schools and more across our footprint. During 2019 to 2021, our Team Members volunteered their time and we invested $466,000 to support National Night Out, a community-building campaign that promotes police-community partnerships and neighborhood camaraderie. During the 2021 holidays season, we teamed up with St. Jude Children’s Research Hospital for the second consecutive year to sell festive long-sleeved t-shirts, which allowed us to donate $500,000 as part of the proceeds from each shirt sold.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Board Oversight of Risk Management</w:t>
      </w:r>
    </w:p>
    <w:p>
      <w:pPr>
        <w:spacing w:after="0" w:line="13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Management is responsible for the day-to-day management of risk, while the Board is primarily responsible for risk management oversight and delegates oversight of certain risk management to its committees. The Board oversees our long-range strategic and financial planning, annual budget and capital plans, stockholder return principles, and financing risks. The Audit Committee oversees the administration of our enterprise risk management (“ERM”) program and risk management of financial exposures, statements, controls, systems and reporting; regulatory and compliance, including ethics, anti-corruption, safety, and whistleblower programs; cybersecurity and data privacy; internal audit and related matters; shrink; and related party transactions. The Compensation Committee oversees risk management of our compensation policies and practices; talent recruitment, management, and retention; succession planning; and non-employee director compensation. The Governance Committee oversees risk management of our corporate governance; Board composition; director succession planning; ESG strategy; and political contributions. Each committee submits reports and recommendations to the Board regarding risk-related matters.</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Board and its committees receive regular reports from management regarding specific risks and trends to help ensure effective and efficient oversight of our activities and to assist in proper risk management and the ongoing evaluation of management controls. The Board and its committees discuss selected risks in greater detail throughout the year with management and in executive sessions of the Board and/or the independent directors.</w:t>
      </w:r>
    </w:p>
    <w:p>
      <w:pPr>
        <w:spacing w:after="0" w:line="16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Risks facing the Company include macroeconomic, supply chain, legal, regulatory and compliance, operational, information technology, cybersecurity, labor, business continuity, competitive, financial, safety (including COVID-19), reputational, and other business risk exposures. For more information on the risks that affect our business, please see the Annual Report.</w:t>
      </w:r>
    </w:p>
    <w:p>
      <w:pPr>
        <w:spacing w:after="0" w:line="164"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Leaders from our Risk Management and Internal Audit functions (the “ERM Team”) administer our ERM program, which is designed to identify, assess and manage our top enterprise risks. Responsibility for managing each of top exposures driving our enterprise risks is assigned to one or more members of management, who we refer to as “risk owners.” The ERM Team’s responsibility is to regularly identify our top enterprise risks (including emerging risks); assess the likelihood of their occurrence, the significance of their potential impact, and the effectiveness of our existing strategies to mitigate their risk; and develop plans with risk owners to monitor, manage and mitigate these risks. The ERM Team holds regular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521335</wp:posOffset>
            </wp:positionV>
            <wp:extent cx="857250"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color w:val="007EC4"/>
        </w:rPr>
        <w:t xml:space="preserve">26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discussions with enterprise risk owners and senior management, which inform the development, updating, and mitigation of the top enterprise risks. In addition, the ERM Team holds regular meetings to discuss key risks and their mitigation.</w:t>
      </w:r>
    </w:p>
    <w:p>
      <w:pPr>
        <w:spacing w:after="0" w:line="169"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Company also maintains an Enterprise Risk Management Committee (or “ERM Committee”), composed of senior leaders from certain principal functional areas of the Company, which meets monthly to discuss and address significant new or emerging risks with our ERM Team and risk owners. The Company’s enterprise risks are assessed annually by the ERM Committee through leadership interviews, surveys, and calibrations based on risk management reviews conducted by the ERM Team.</w:t>
      </w:r>
    </w:p>
    <w:p>
      <w:pPr>
        <w:spacing w:after="0" w:line="173"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In its oversight of our ERM program, the Audit Committee reviews the Company’s processes governing management’s assessment and management of the Company’s exposure to risk, including the steps management takes to monitor and control such exposures. The Audit Committee stays apprised of significant actual and potential risks in part through their review of quarterly reports of the Company’s top enterprise risks prepared and presented by management, including the General Counsel and the heads of Risk Management and/or Internal Audit.</w:t>
      </w:r>
    </w:p>
    <w:p>
      <w:pPr>
        <w:spacing w:after="0" w:line="168"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The Audit Committee has primary responsibility for overseeing risks related to cybersecurity and data privacy, although the full Board also exercises oversight over these risks. As frequently as needed, but at least on a quarterly basis, the Audit Committee and/or full Board receive detailed reports on cybersecurity and data privacy matters from our Chief Information Officer (who has primary responsibility for information security). The topics covered include risk identification and management strategies, risk mitigation activities, results of third-party assessments and testing, team member training and other preparedness activities, and strategy and governance. In addition, our Internal Audit function routinely performs audits on various aspects of cybersecurity and data privacy and reports the results of these audits in its quarterly reports to the Audit Committee.</w:t>
      </w:r>
    </w:p>
    <w:p>
      <w:pPr>
        <w:spacing w:after="0" w:line="17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Audit Committee also has primary responsibility for overseeing risks related to compliance with regulations, policies, and our Ethics and Code of Conduct Policy, including risks and concerns relating to ethics, gifts &amp; entertainment, conflicts of interest, fraud, corruption, violations, theft, misuse of assets, discrimination, harassment, retaliation, and safety (including COVID-19), although the full Board also exercises oversight over these risks. On a quarterly basis or more frequently as needed, the Audit Committee and/or full Board receive detailed reports on these risks and on concerns reported through the Company’s whistleblower hotline from our General Counsel (who is our chief compliance officer).</w:t>
      </w:r>
    </w:p>
    <w:p>
      <w:pPr>
        <w:spacing w:after="0" w:line="172"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We believe that the leadership structure of the Board, along with the allocation of risk management responsibilities described above, provides appropriate risk oversight of our activities.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Code of Ethics</w:t>
      </w:r>
    </w:p>
    <w:p>
      <w:pPr>
        <w:spacing w:after="0" w:line="13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maintain a written code of ethics (our Ethics and Code of Conduct Policy), that applies to our directors, officers and team members, including our principal executive officer, principal financial officer, principal accounting officer, controller, or persons performing similar functions. The Ethics and Code of Conduct Policy covers the following topics, among others: respectful work &amp; shopping environments, diversity and inclusion, safety and health, discrimination and harassment, vendor expectations, bribes and improper payments, conflicts of interest, insider trading, antitrust and competition, political activity and contributions, and reporting ethical concerns.</w:t>
      </w:r>
    </w:p>
    <w:p>
      <w:pPr>
        <w:spacing w:after="0" w:line="19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Our Ethics and Code of Conduct Policy is a “code of ethics,” as defined in item 406(b) of Regulation S-K under the Securities Act of 1933, as amended (the “Securities Act”), and can be viewed on our investor relations website at investors.academy.com. We intend to make any legally required disclosure regarding amendments to, or waivers of, provisions of our Ethics and Code of Conduct Policy on our website.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Prohibition on Hedging and Pledging of Company Stock</w:t>
      </w:r>
    </w:p>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Insider Trading Policy requires executive officers and directors to consult the General Counsel prior to engaging in transactions involving the Company’s securities. 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Our Insider Trading Policy also prohibits our directors, officers and team members from purchasing the Company’s securities on margin, or borrowing against any account in which the Company’s securities are held, or pledging the Company’s securities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523875</wp:posOffset>
            </wp:positionV>
            <wp:extent cx="857250" cy="20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Communications with the Board</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As described in the Corporate Governance Guidelines, anyone, including stockholders and any other interested parties, who would like to communicate with, or otherwise make his or her concerns known directly to the chairperson of the Board or the chairperson of the Audit, Governance, and/or Compensation Committees, any then-serving Lead Director or, if there is no Lead Director, the director designated by the non-management or independent directors as the presiding director, or to the non-management or independent directors as a group, may do so by addressing such communications or concerns to the attention of our Corporate Secretary at Academy Sports and Outdoors, Inc., 1800 North Mason Road, Katy, Texas 77449, who will forward such communications to the appropriate party, except that the Corporate Secretary reserves the right not to forward advertisements or solicitations, obscene or offensive items, communications unrelated to the Company’s affairs, business or governance, or otherwise inappropriate materials.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Compensation of Directors</w:t>
      </w:r>
    </w:p>
    <w:p>
      <w:pPr>
        <w:spacing w:after="0" w:line="126" w:lineRule="exact"/>
        <w:rPr>
          <w:sz w:val="20"/>
          <w:szCs w:val="20"/>
          <w:color w:val="auto"/>
        </w:rPr>
      </w:pPr>
    </w:p>
    <w:p>
      <w:pPr>
        <w:ind w:right="600"/>
        <w:spacing w:after="0" w:line="304" w:lineRule="auto"/>
        <w:rPr>
          <w:sz w:val="20"/>
          <w:szCs w:val="20"/>
          <w:color w:val="auto"/>
        </w:rPr>
      </w:pPr>
      <w:r>
        <w:rPr>
          <w:rFonts w:ascii="Arial" w:cs="Arial" w:eastAsia="Arial" w:hAnsi="Arial"/>
          <w:sz w:val="16"/>
          <w:szCs w:val="16"/>
          <w:color w:val="auto"/>
        </w:rPr>
        <w:t>Under the Board compensation program, non-employee directors receive the following compensation (references to non-employee directors exclude directors employed by the Company or KKR):</w:t>
      </w:r>
    </w:p>
    <w:p>
      <w:pPr>
        <w:spacing w:after="0" w:line="33" w:lineRule="exact"/>
        <w:rPr>
          <w:sz w:val="20"/>
          <w:szCs w:val="20"/>
          <w:color w:val="auto"/>
        </w:rPr>
      </w:pPr>
    </w:p>
    <w:p>
      <w:pPr>
        <w:ind w:left="460" w:hanging="209"/>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annual cash retainer of $100,000, which is payable quarterly in arrears in installments of $25,000;</w:t>
      </w:r>
    </w:p>
    <w:p>
      <w:pPr>
        <w:spacing w:after="0" w:line="126" w:lineRule="exact"/>
        <w:rPr>
          <w:rFonts w:ascii="Arial" w:cs="Arial" w:eastAsia="Arial" w:hAnsi="Arial"/>
          <w:sz w:val="16"/>
          <w:szCs w:val="16"/>
          <w:color w:val="auto"/>
        </w:rPr>
      </w:pPr>
    </w:p>
    <w:p>
      <w:pPr>
        <w:ind w:left="500" w:right="60" w:hanging="249"/>
        <w:spacing w:after="0" w:line="286" w:lineRule="auto"/>
        <w:tabs>
          <w:tab w:leader="none" w:pos="4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non-employee director serving in the following positions on the Board will receive the following additional annual cash retainers, each of which is also payable quarterly installments in arrears:</w:t>
      </w:r>
    </w:p>
    <w:p>
      <w:pPr>
        <w:spacing w:after="0" w:line="47" w:lineRule="exact"/>
        <w:rPr>
          <w:rFonts w:ascii="Arial" w:cs="Arial" w:eastAsia="Arial" w:hAnsi="Arial"/>
          <w:sz w:val="16"/>
          <w:szCs w:val="16"/>
          <w:color w:val="auto"/>
        </w:rPr>
      </w:pPr>
    </w:p>
    <w:p>
      <w:pPr>
        <w:ind w:left="720" w:hanging="226"/>
        <w:spacing w:after="0"/>
        <w:tabs>
          <w:tab w:leader="none" w:pos="7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Lead Director: $30,000;</w:t>
      </w:r>
    </w:p>
    <w:p>
      <w:pPr>
        <w:spacing w:after="0" w:line="126" w:lineRule="exact"/>
        <w:rPr>
          <w:rFonts w:ascii="Arial" w:cs="Arial" w:eastAsia="Arial" w:hAnsi="Arial"/>
          <w:sz w:val="16"/>
          <w:szCs w:val="16"/>
          <w:color w:val="auto"/>
        </w:rPr>
      </w:pPr>
    </w:p>
    <w:p>
      <w:pPr>
        <w:ind w:left="720" w:hanging="226"/>
        <w:spacing w:after="0"/>
        <w:tabs>
          <w:tab w:leader="none" w:pos="7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Audit Committee Chair: $25,000;</w:t>
      </w:r>
    </w:p>
    <w:p>
      <w:pPr>
        <w:spacing w:after="0" w:line="113" w:lineRule="exact"/>
        <w:rPr>
          <w:rFonts w:ascii="Arial" w:cs="Arial" w:eastAsia="Arial" w:hAnsi="Arial"/>
          <w:sz w:val="16"/>
          <w:szCs w:val="16"/>
          <w:color w:val="auto"/>
        </w:rPr>
      </w:pPr>
    </w:p>
    <w:p>
      <w:pPr>
        <w:ind w:left="720" w:hanging="226"/>
        <w:spacing w:after="0"/>
        <w:tabs>
          <w:tab w:leader="none" w:pos="7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Compensation Committee Chair: $25,000; and</w:t>
      </w:r>
    </w:p>
    <w:p>
      <w:pPr>
        <w:spacing w:after="0" w:line="113" w:lineRule="exact"/>
        <w:rPr>
          <w:rFonts w:ascii="Arial" w:cs="Arial" w:eastAsia="Arial" w:hAnsi="Arial"/>
          <w:sz w:val="16"/>
          <w:szCs w:val="16"/>
          <w:color w:val="auto"/>
        </w:rPr>
      </w:pPr>
    </w:p>
    <w:p>
      <w:pPr>
        <w:ind w:left="720" w:hanging="226"/>
        <w:spacing w:after="0"/>
        <w:tabs>
          <w:tab w:leader="none" w:pos="7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Nominating and Governance Committee Chair: $15,000.</w:t>
      </w:r>
    </w:p>
    <w:p>
      <w:pPr>
        <w:spacing w:after="0" w:line="126" w:lineRule="exact"/>
        <w:rPr>
          <w:rFonts w:ascii="Arial" w:cs="Arial" w:eastAsia="Arial" w:hAnsi="Arial"/>
          <w:sz w:val="16"/>
          <w:szCs w:val="16"/>
          <w:color w:val="auto"/>
        </w:rPr>
      </w:pPr>
    </w:p>
    <w:p>
      <w:pPr>
        <w:ind w:left="500" w:right="40" w:hanging="249"/>
        <w:spacing w:after="0" w:line="260" w:lineRule="auto"/>
        <w:tabs>
          <w:tab w:leader="none" w:pos="4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annual grant of Restricted Stock Units, or “RSUs,” valued at $130,000 to be granted on the first business day following our annual meeting of stockholders and which is converted into the number of RSUs to be granted based on the prior 30 calendar day average closing price of our common stock as of the grant date. These RSUs vest 100% on the earliest of (i) the first anniversary of the date of grant, or, the date which is the business day immediately preceding the date of the next annual meeting of stockholders, (ii) the director’s termination due to death or Disability (as defined in the Company’s 2020 Omnibus Incentive Plan) or (iii) a Change of Control (as defined in the Company’s 2020 Omnibus Incentive Plan).</w:t>
      </w:r>
    </w:p>
    <w:p>
      <w:pPr>
        <w:spacing w:after="0" w:line="8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However, if a non-employee director is appointed to the Board after the first business day following an annual meeting of stockholders but more than 60 days prior to the next annual meeting of stockholders, such non-employee director will be paid the above-described annual cash retainer(s) and granted the above-described annual RSU grant prorated based on the number of calendar days remaining before (a) the next annual meeting of stockholders, if scheduled, or (b) the date of the first anniversary of the last annual meeting of stockholders, if the next annual meeting of stockholders is not scheduled, divided by (x) the number of calendar days between the last and next scheduled annual meeting of stockholders, or (y) 365, if either the last or the next annual meeting of stockholders date does not exist and ending on the vesting date for such prorated grant (which vesting date will be the same vesting date on which the corresponding annual grant that was made to the other non-employee directors will vest). A non-employee director appointed within 60 days of the next annual meeting of stockholders will receive a prorated cash retainer as described above, and an annual RSU grant the first business day following the next annual meeting of stockholders as set forth in the director compensation policy.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Our directors will also be reimbursed for travel and lodging expenses associated with attendance at Board or committee meetings.</w:t>
      </w:r>
    </w:p>
    <w:p>
      <w:pPr>
        <w:spacing w:after="0" w:line="23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following table contains information concerning the compensation of our non-employee directors in 2021, specifically, Mses. Beck, Raff and Turney, and Messrs. Nealon, Marley, Questrom, Turner and Tweedy. Mr. Hicks did not receive any additional compensation for his service as Chairman of the Board in 2021 (and his compensation for services as our Chief Executive Officer is disclosed in the Summary Compensation Table in this Proxy Statement) and none of the directors who were employed by KKR are compensated by the Company for their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530225</wp:posOffset>
            </wp:positionV>
            <wp:extent cx="857250"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color w:val="007EC4"/>
        </w:rPr>
        <w:t xml:space="preserve">28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Director Compensation Table for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 w:type="dxa"/>
            <w:vAlign w:val="bottom"/>
            <w:shd w:val="clear" w:color="auto" w:fill="E1D7AC"/>
          </w:tcPr>
          <w:p>
            <w:pPr>
              <w:spacing w:after="0"/>
              <w:rPr>
                <w:sz w:val="21"/>
                <w:szCs w:val="21"/>
                <w:color w:val="auto"/>
              </w:rPr>
            </w:pPr>
          </w:p>
        </w:tc>
        <w:tc>
          <w:tcPr>
            <w:tcW w:w="400" w:type="dxa"/>
            <w:vAlign w:val="bottom"/>
            <w:shd w:val="clear" w:color="auto" w:fill="E1D7AC"/>
          </w:tcPr>
          <w:p>
            <w:pPr>
              <w:spacing w:after="0"/>
              <w:rPr>
                <w:sz w:val="21"/>
                <w:szCs w:val="21"/>
                <w:color w:val="auto"/>
              </w:rPr>
            </w:pPr>
          </w:p>
        </w:tc>
        <w:tc>
          <w:tcPr>
            <w:tcW w:w="2280" w:type="dxa"/>
            <w:vAlign w:val="bottom"/>
            <w:shd w:val="clear" w:color="auto" w:fill="E1D7AC"/>
          </w:tcPr>
          <w:p>
            <w:pPr>
              <w:spacing w:after="0"/>
              <w:rPr>
                <w:sz w:val="21"/>
                <w:szCs w:val="21"/>
                <w:color w:val="auto"/>
              </w:rPr>
            </w:pPr>
          </w:p>
        </w:tc>
        <w:tc>
          <w:tcPr>
            <w:tcW w:w="2800" w:type="dxa"/>
            <w:vAlign w:val="bottom"/>
            <w:gridSpan w:val="3"/>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Fees Earned or Paid in Cash</w:t>
            </w:r>
          </w:p>
        </w:tc>
        <w:tc>
          <w:tcPr>
            <w:tcW w:w="3900" w:type="dxa"/>
            <w:vAlign w:val="bottom"/>
            <w:shd w:val="clear" w:color="auto" w:fill="E1D7AC"/>
          </w:tcPr>
          <w:p>
            <w:pPr>
              <w:jc w:val="right"/>
              <w:ind w:right="1031"/>
              <w:spacing w:after="0"/>
              <w:rPr>
                <w:sz w:val="20"/>
                <w:szCs w:val="20"/>
                <w:color w:val="auto"/>
              </w:rPr>
            </w:pPr>
            <w:r>
              <w:rPr>
                <w:rFonts w:ascii="Arial" w:cs="Arial" w:eastAsia="Arial" w:hAnsi="Arial"/>
                <w:sz w:val="14"/>
                <w:szCs w:val="14"/>
                <w:b w:val="1"/>
                <w:bCs w:val="1"/>
                <w:color w:val="auto"/>
              </w:rPr>
              <w:t>Stock Awards</w:t>
            </w:r>
          </w:p>
        </w:tc>
        <w:tc>
          <w:tcPr>
            <w:tcW w:w="1760" w:type="dxa"/>
            <w:vAlign w:val="bottom"/>
            <w:shd w:val="clear" w:color="auto" w:fill="E1D7AC"/>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00" w:type="dxa"/>
            <w:vAlign w:val="bottom"/>
            <w:shd w:val="clear" w:color="auto" w:fill="E1D7AC"/>
          </w:tcPr>
          <w:p>
            <w:pPr>
              <w:spacing w:after="0"/>
              <w:rPr>
                <w:sz w:val="12"/>
                <w:szCs w:val="12"/>
                <w:color w:val="auto"/>
              </w:rPr>
            </w:pPr>
          </w:p>
        </w:tc>
        <w:tc>
          <w:tcPr>
            <w:tcW w:w="400" w:type="dxa"/>
            <w:vAlign w:val="bottom"/>
            <w:vMerge w:val="restart"/>
            <w:shd w:val="clear" w:color="auto" w:fill="E1D7AC"/>
          </w:tcPr>
          <w:p>
            <w:pPr>
              <w:spacing w:after="0"/>
              <w:rPr>
                <w:sz w:val="20"/>
                <w:szCs w:val="20"/>
                <w:color w:val="auto"/>
              </w:rPr>
            </w:pPr>
            <w:r>
              <w:rPr>
                <w:rFonts w:ascii="Arial" w:cs="Arial" w:eastAsia="Arial" w:hAnsi="Arial"/>
                <w:sz w:val="14"/>
                <w:szCs w:val="14"/>
                <w:b w:val="1"/>
                <w:bCs w:val="1"/>
                <w:color w:val="auto"/>
                <w:w w:val="99"/>
                <w:shd w:val="clear" w:color="auto" w:fill="E1D7AC"/>
              </w:rPr>
              <w:t>Name</w:t>
            </w:r>
          </w:p>
        </w:tc>
        <w:tc>
          <w:tcPr>
            <w:tcW w:w="2280" w:type="dxa"/>
            <w:vAlign w:val="bottom"/>
            <w:shd w:val="clear" w:color="auto" w:fill="E1D7AC"/>
          </w:tcPr>
          <w:p>
            <w:pPr>
              <w:spacing w:after="0"/>
              <w:rPr>
                <w:sz w:val="12"/>
                <w:szCs w:val="12"/>
                <w:color w:val="auto"/>
              </w:rPr>
            </w:pPr>
          </w:p>
        </w:tc>
        <w:tc>
          <w:tcPr>
            <w:tcW w:w="2500" w:type="dxa"/>
            <w:vAlign w:val="bottom"/>
            <w:shd w:val="clear" w:color="auto" w:fill="E1D7AC"/>
          </w:tcPr>
          <w:p>
            <w:pPr>
              <w:spacing w:after="0"/>
              <w:rPr>
                <w:sz w:val="12"/>
                <w:szCs w:val="12"/>
                <w:color w:val="auto"/>
              </w:rPr>
            </w:pPr>
          </w:p>
        </w:tc>
        <w:tc>
          <w:tcPr>
            <w:tcW w:w="180" w:type="dxa"/>
            <w:vAlign w:val="bottom"/>
            <w:vMerge w:val="restart"/>
            <w:shd w:val="clear" w:color="auto" w:fill="E1D7AC"/>
          </w:tcPr>
          <w:p>
            <w:pPr>
              <w:jc w:val="right"/>
              <w:spacing w:after="0"/>
              <w:rPr>
                <w:sz w:val="20"/>
                <w:szCs w:val="20"/>
                <w:color w:val="auto"/>
              </w:rPr>
            </w:pPr>
            <w:r>
              <w:rPr>
                <w:rFonts w:ascii="Arial" w:cs="Arial" w:eastAsia="Arial" w:hAnsi="Arial"/>
                <w:sz w:val="14"/>
                <w:szCs w:val="14"/>
                <w:b w:val="1"/>
                <w:bCs w:val="1"/>
                <w:color w:val="auto"/>
                <w:w w:val="93"/>
                <w:shd w:val="clear" w:color="auto" w:fill="E1D7AC"/>
              </w:rPr>
              <w:t>($)</w:t>
            </w:r>
          </w:p>
        </w:tc>
        <w:tc>
          <w:tcPr>
            <w:tcW w:w="120" w:type="dxa"/>
            <w:vAlign w:val="bottom"/>
            <w:shd w:val="clear" w:color="auto" w:fill="E1D7AC"/>
          </w:tcPr>
          <w:p>
            <w:pPr>
              <w:jc w:val="right"/>
              <w:spacing w:after="0"/>
              <w:rPr>
                <w:sz w:val="20"/>
                <w:szCs w:val="20"/>
                <w:color w:val="auto"/>
              </w:rPr>
            </w:pPr>
            <w:r>
              <w:rPr>
                <w:rFonts w:ascii="Arial" w:cs="Arial" w:eastAsia="Arial" w:hAnsi="Arial"/>
                <w:sz w:val="9"/>
                <w:szCs w:val="9"/>
                <w:b w:val="1"/>
                <w:bCs w:val="1"/>
                <w:color w:val="auto"/>
                <w:w w:val="90"/>
                <w:shd w:val="clear" w:color="auto" w:fill="E1D7AC"/>
              </w:rPr>
              <w:t>(1)</w:t>
            </w:r>
          </w:p>
        </w:tc>
        <w:tc>
          <w:tcPr>
            <w:tcW w:w="3900" w:type="dxa"/>
            <w:vAlign w:val="bottom"/>
            <w:vMerge w:val="restart"/>
            <w:shd w:val="clear" w:color="auto" w:fill="E1D7AC"/>
          </w:tcPr>
          <w:p>
            <w:pPr>
              <w:jc w:val="right"/>
              <w:ind w:right="1031"/>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(2)(3)</w:t>
            </w:r>
          </w:p>
        </w:tc>
        <w:tc>
          <w:tcPr>
            <w:tcW w:w="1760" w:type="dxa"/>
            <w:vAlign w:val="bottom"/>
            <w:vMerge w:val="restart"/>
            <w:shd w:val="clear" w:color="auto" w:fill="E1D7AC"/>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7"/>
        </w:trPr>
        <w:tc>
          <w:tcPr>
            <w:tcW w:w="100" w:type="dxa"/>
            <w:vAlign w:val="bottom"/>
            <w:shd w:val="clear" w:color="auto" w:fill="E1D7AC"/>
          </w:tcPr>
          <w:p>
            <w:pPr>
              <w:spacing w:after="0"/>
              <w:rPr>
                <w:sz w:val="4"/>
                <w:szCs w:val="4"/>
                <w:color w:val="auto"/>
              </w:rPr>
            </w:pPr>
          </w:p>
        </w:tc>
        <w:tc>
          <w:tcPr>
            <w:tcW w:w="400" w:type="dxa"/>
            <w:vAlign w:val="bottom"/>
            <w:vMerge w:val="continue"/>
            <w:shd w:val="clear" w:color="auto" w:fill="E1D7AC"/>
          </w:tcPr>
          <w:p>
            <w:pPr>
              <w:spacing w:after="0"/>
              <w:rPr>
                <w:sz w:val="4"/>
                <w:szCs w:val="4"/>
                <w:color w:val="auto"/>
              </w:rPr>
            </w:pPr>
          </w:p>
        </w:tc>
        <w:tc>
          <w:tcPr>
            <w:tcW w:w="2280" w:type="dxa"/>
            <w:vAlign w:val="bottom"/>
            <w:shd w:val="clear" w:color="auto" w:fill="E1D7AC"/>
          </w:tcPr>
          <w:p>
            <w:pPr>
              <w:spacing w:after="0"/>
              <w:rPr>
                <w:sz w:val="4"/>
                <w:szCs w:val="4"/>
                <w:color w:val="auto"/>
              </w:rPr>
            </w:pPr>
          </w:p>
        </w:tc>
        <w:tc>
          <w:tcPr>
            <w:tcW w:w="2500" w:type="dxa"/>
            <w:vAlign w:val="bottom"/>
            <w:shd w:val="clear" w:color="auto" w:fill="E1D7AC"/>
          </w:tcPr>
          <w:p>
            <w:pPr>
              <w:spacing w:after="0"/>
              <w:rPr>
                <w:sz w:val="4"/>
                <w:szCs w:val="4"/>
                <w:color w:val="auto"/>
              </w:rPr>
            </w:pPr>
          </w:p>
        </w:tc>
        <w:tc>
          <w:tcPr>
            <w:tcW w:w="180" w:type="dxa"/>
            <w:vAlign w:val="bottom"/>
            <w:vMerge w:val="continue"/>
            <w:shd w:val="clear" w:color="auto" w:fill="E1D7AC"/>
          </w:tcPr>
          <w:p>
            <w:pPr>
              <w:spacing w:after="0"/>
              <w:rPr>
                <w:sz w:val="4"/>
                <w:szCs w:val="4"/>
                <w:color w:val="auto"/>
              </w:rPr>
            </w:pPr>
          </w:p>
        </w:tc>
        <w:tc>
          <w:tcPr>
            <w:tcW w:w="120" w:type="dxa"/>
            <w:vAlign w:val="bottom"/>
            <w:shd w:val="clear" w:color="auto" w:fill="E1D7AC"/>
          </w:tcPr>
          <w:p>
            <w:pPr>
              <w:spacing w:after="0"/>
              <w:rPr>
                <w:sz w:val="4"/>
                <w:szCs w:val="4"/>
                <w:color w:val="auto"/>
              </w:rPr>
            </w:pPr>
          </w:p>
        </w:tc>
        <w:tc>
          <w:tcPr>
            <w:tcW w:w="3900" w:type="dxa"/>
            <w:vAlign w:val="bottom"/>
            <w:vMerge w:val="continue"/>
            <w:shd w:val="clear" w:color="auto" w:fill="E1D7AC"/>
          </w:tcPr>
          <w:p>
            <w:pPr>
              <w:spacing w:after="0"/>
              <w:rPr>
                <w:sz w:val="4"/>
                <w:szCs w:val="4"/>
                <w:color w:val="auto"/>
              </w:rPr>
            </w:pPr>
          </w:p>
        </w:tc>
        <w:tc>
          <w:tcPr>
            <w:tcW w:w="1760" w:type="dxa"/>
            <w:vAlign w:val="bottom"/>
            <w:vMerge w:val="continue"/>
            <w:shd w:val="clear" w:color="auto" w:fill="E1D7AC"/>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00" w:type="dxa"/>
            <w:vAlign w:val="bottom"/>
            <w:shd w:val="clear" w:color="auto" w:fill="E1D7AC"/>
          </w:tcPr>
          <w:p>
            <w:pPr>
              <w:spacing w:after="0"/>
              <w:rPr>
                <w:sz w:val="9"/>
                <w:szCs w:val="9"/>
                <w:color w:val="auto"/>
              </w:rPr>
            </w:pPr>
          </w:p>
        </w:tc>
        <w:tc>
          <w:tcPr>
            <w:tcW w:w="400" w:type="dxa"/>
            <w:vAlign w:val="bottom"/>
            <w:shd w:val="clear" w:color="auto" w:fill="E1D7AC"/>
          </w:tcPr>
          <w:p>
            <w:pPr>
              <w:spacing w:after="0"/>
              <w:rPr>
                <w:sz w:val="9"/>
                <w:szCs w:val="9"/>
                <w:color w:val="auto"/>
              </w:rPr>
            </w:pPr>
          </w:p>
        </w:tc>
        <w:tc>
          <w:tcPr>
            <w:tcW w:w="2280" w:type="dxa"/>
            <w:vAlign w:val="bottom"/>
            <w:shd w:val="clear" w:color="auto" w:fill="E1D7AC"/>
          </w:tcPr>
          <w:p>
            <w:pPr>
              <w:spacing w:after="0"/>
              <w:rPr>
                <w:sz w:val="9"/>
                <w:szCs w:val="9"/>
                <w:color w:val="auto"/>
              </w:rPr>
            </w:pPr>
          </w:p>
        </w:tc>
        <w:tc>
          <w:tcPr>
            <w:tcW w:w="2500" w:type="dxa"/>
            <w:vAlign w:val="bottom"/>
            <w:shd w:val="clear" w:color="auto" w:fill="E1D7AC"/>
          </w:tcPr>
          <w:p>
            <w:pPr>
              <w:spacing w:after="0"/>
              <w:rPr>
                <w:sz w:val="9"/>
                <w:szCs w:val="9"/>
                <w:color w:val="auto"/>
              </w:rPr>
            </w:pPr>
          </w:p>
        </w:tc>
        <w:tc>
          <w:tcPr>
            <w:tcW w:w="180" w:type="dxa"/>
            <w:vAlign w:val="bottom"/>
            <w:shd w:val="clear" w:color="auto" w:fill="E1D7AC"/>
          </w:tcPr>
          <w:p>
            <w:pPr>
              <w:spacing w:after="0"/>
              <w:rPr>
                <w:sz w:val="9"/>
                <w:szCs w:val="9"/>
                <w:color w:val="auto"/>
              </w:rPr>
            </w:pPr>
          </w:p>
        </w:tc>
        <w:tc>
          <w:tcPr>
            <w:tcW w:w="120" w:type="dxa"/>
            <w:vAlign w:val="bottom"/>
            <w:shd w:val="clear" w:color="auto" w:fill="E1D7AC"/>
          </w:tcPr>
          <w:p>
            <w:pPr>
              <w:spacing w:after="0"/>
              <w:rPr>
                <w:sz w:val="9"/>
                <w:szCs w:val="9"/>
                <w:color w:val="auto"/>
              </w:rPr>
            </w:pPr>
          </w:p>
        </w:tc>
        <w:tc>
          <w:tcPr>
            <w:tcW w:w="3900" w:type="dxa"/>
            <w:vAlign w:val="bottom"/>
            <w:shd w:val="clear" w:color="auto" w:fill="E1D7AC"/>
          </w:tcPr>
          <w:p>
            <w:pPr>
              <w:spacing w:after="0"/>
              <w:rPr>
                <w:sz w:val="9"/>
                <w:szCs w:val="9"/>
                <w:color w:val="auto"/>
              </w:rPr>
            </w:pPr>
          </w:p>
        </w:tc>
        <w:tc>
          <w:tcPr>
            <w:tcW w:w="1760" w:type="dxa"/>
            <w:vAlign w:val="bottom"/>
            <w:shd w:val="clear" w:color="auto" w:fill="E1D7A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00" w:type="dxa"/>
            <w:vAlign w:val="bottom"/>
            <w:tcBorders>
              <w:bottom w:val="single" w:sz="8" w:color="DBDBDB"/>
            </w:tcBorders>
            <w:shd w:val="clear" w:color="auto" w:fill="DBDBDB"/>
          </w:tcPr>
          <w:p>
            <w:pPr>
              <w:spacing w:after="0"/>
              <w:rPr>
                <w:sz w:val="19"/>
                <w:szCs w:val="19"/>
                <w:color w:val="auto"/>
              </w:rPr>
            </w:pPr>
          </w:p>
        </w:tc>
        <w:tc>
          <w:tcPr>
            <w:tcW w:w="268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4"/>
                <w:szCs w:val="14"/>
                <w:b w:val="1"/>
                <w:bCs w:val="1"/>
                <w:color w:val="auto"/>
              </w:rPr>
              <w:t>Tom Nealon</w:t>
            </w:r>
          </w:p>
        </w:tc>
        <w:tc>
          <w:tcPr>
            <w:tcW w:w="280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4"/>
                <w:szCs w:val="14"/>
                <w:color w:val="auto"/>
              </w:rPr>
              <w:t>95,769</w:t>
            </w:r>
          </w:p>
        </w:tc>
        <w:tc>
          <w:tcPr>
            <w:tcW w:w="3900" w:type="dxa"/>
            <w:vAlign w:val="bottom"/>
            <w:tcBorders>
              <w:bottom w:val="single" w:sz="8" w:color="DBDBDB"/>
            </w:tcBorders>
            <w:shd w:val="clear" w:color="auto" w:fill="DBDBDB"/>
          </w:tcPr>
          <w:p>
            <w:pPr>
              <w:jc w:val="right"/>
              <w:ind w:right="1031"/>
              <w:spacing w:after="0"/>
              <w:rPr>
                <w:sz w:val="20"/>
                <w:szCs w:val="20"/>
                <w:color w:val="auto"/>
              </w:rPr>
            </w:pPr>
            <w:r>
              <w:rPr>
                <w:rFonts w:ascii="Arial" w:cs="Arial" w:eastAsia="Arial" w:hAnsi="Arial"/>
                <w:sz w:val="14"/>
                <w:szCs w:val="14"/>
                <w:color w:val="auto"/>
              </w:rPr>
              <w:t>172,128</w:t>
            </w:r>
          </w:p>
        </w:tc>
        <w:tc>
          <w:tcPr>
            <w:tcW w:w="176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267,897</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Wendy Beck</w:t>
            </w:r>
          </w:p>
        </w:tc>
        <w:tc>
          <w:tcPr>
            <w:tcW w:w="2800" w:type="dxa"/>
            <w:vAlign w:val="bottom"/>
            <w:gridSpan w:val="3"/>
          </w:tcPr>
          <w:p>
            <w:pPr>
              <w:jc w:val="right"/>
              <w:spacing w:after="0"/>
              <w:rPr>
                <w:sz w:val="20"/>
                <w:szCs w:val="20"/>
                <w:color w:val="auto"/>
              </w:rPr>
            </w:pPr>
            <w:r>
              <w:rPr>
                <w:rFonts w:ascii="Arial" w:cs="Arial" w:eastAsia="Arial" w:hAnsi="Arial"/>
                <w:sz w:val="14"/>
                <w:szCs w:val="14"/>
                <w:color w:val="auto"/>
              </w:rPr>
              <w:t>110,920</w:t>
            </w:r>
          </w:p>
        </w:tc>
        <w:tc>
          <w:tcPr>
            <w:tcW w:w="3900" w:type="dxa"/>
            <w:vAlign w:val="bottom"/>
          </w:tcPr>
          <w:p>
            <w:pPr>
              <w:jc w:val="right"/>
              <w:ind w:right="1031"/>
              <w:spacing w:after="0"/>
              <w:rPr>
                <w:sz w:val="20"/>
                <w:szCs w:val="20"/>
                <w:color w:val="auto"/>
              </w:rPr>
            </w:pPr>
            <w:r>
              <w:rPr>
                <w:rFonts w:ascii="Arial" w:cs="Arial" w:eastAsia="Arial" w:hAnsi="Arial"/>
                <w:sz w:val="14"/>
                <w:szCs w:val="14"/>
                <w:color w:val="auto"/>
              </w:rPr>
              <w:t>138,346</w:t>
            </w:r>
          </w:p>
        </w:tc>
        <w:tc>
          <w:tcPr>
            <w:tcW w:w="1760" w:type="dxa"/>
            <w:vAlign w:val="bottom"/>
          </w:tcPr>
          <w:p>
            <w:pPr>
              <w:jc w:val="right"/>
              <w:ind w:right="88"/>
              <w:spacing w:after="0"/>
              <w:rPr>
                <w:sz w:val="20"/>
                <w:szCs w:val="20"/>
                <w:color w:val="auto"/>
              </w:rPr>
            </w:pPr>
            <w:r>
              <w:rPr>
                <w:rFonts w:ascii="Arial" w:cs="Arial" w:eastAsia="Arial" w:hAnsi="Arial"/>
                <w:sz w:val="14"/>
                <w:szCs w:val="14"/>
                <w:color w:val="auto"/>
              </w:rPr>
              <w:t>249,266</w:t>
            </w: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Borders>
              <w:bottom w:val="single" w:sz="8" w:color="DBDBDB"/>
            </w:tcBorders>
            <w:shd w:val="clear" w:color="auto" w:fill="DBDBDB"/>
          </w:tcPr>
          <w:p>
            <w:pPr>
              <w:spacing w:after="0"/>
              <w:rPr>
                <w:sz w:val="19"/>
                <w:szCs w:val="19"/>
                <w:color w:val="auto"/>
              </w:rPr>
            </w:pPr>
          </w:p>
        </w:tc>
        <w:tc>
          <w:tcPr>
            <w:tcW w:w="268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4"/>
                <w:szCs w:val="14"/>
                <w:b w:val="1"/>
                <w:bCs w:val="1"/>
                <w:color w:val="auto"/>
              </w:rPr>
              <w:t>Brian Marley</w:t>
            </w:r>
          </w:p>
        </w:tc>
        <w:tc>
          <w:tcPr>
            <w:tcW w:w="280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4"/>
                <w:szCs w:val="14"/>
                <w:color w:val="auto"/>
              </w:rPr>
              <w:t>125,000</w:t>
            </w:r>
          </w:p>
        </w:tc>
        <w:tc>
          <w:tcPr>
            <w:tcW w:w="3900" w:type="dxa"/>
            <w:vAlign w:val="bottom"/>
            <w:tcBorders>
              <w:bottom w:val="single" w:sz="8" w:color="DBDBDB"/>
            </w:tcBorders>
            <w:shd w:val="clear" w:color="auto" w:fill="DBDBDB"/>
          </w:tcPr>
          <w:p>
            <w:pPr>
              <w:jc w:val="right"/>
              <w:ind w:right="1031"/>
              <w:spacing w:after="0"/>
              <w:rPr>
                <w:sz w:val="20"/>
                <w:szCs w:val="20"/>
                <w:color w:val="auto"/>
              </w:rPr>
            </w:pPr>
            <w:r>
              <w:rPr>
                <w:rFonts w:ascii="Arial" w:cs="Arial" w:eastAsia="Arial" w:hAnsi="Arial"/>
                <w:sz w:val="14"/>
                <w:szCs w:val="14"/>
                <w:color w:val="auto"/>
              </w:rPr>
              <w:t>138,346</w:t>
            </w:r>
          </w:p>
        </w:tc>
        <w:tc>
          <w:tcPr>
            <w:tcW w:w="176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263,346</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Allen Questrom</w:t>
            </w:r>
          </w:p>
        </w:tc>
        <w:tc>
          <w:tcPr>
            <w:tcW w:w="2800" w:type="dxa"/>
            <w:vAlign w:val="bottom"/>
            <w:gridSpan w:val="3"/>
          </w:tcPr>
          <w:p>
            <w:pPr>
              <w:jc w:val="right"/>
              <w:spacing w:after="0"/>
              <w:rPr>
                <w:sz w:val="20"/>
                <w:szCs w:val="20"/>
                <w:color w:val="auto"/>
              </w:rPr>
            </w:pPr>
            <w:r>
              <w:rPr>
                <w:rFonts w:ascii="Arial" w:cs="Arial" w:eastAsia="Arial" w:hAnsi="Arial"/>
                <w:sz w:val="14"/>
                <w:szCs w:val="14"/>
                <w:color w:val="auto"/>
              </w:rPr>
              <w:t>129,794</w:t>
            </w:r>
          </w:p>
        </w:tc>
        <w:tc>
          <w:tcPr>
            <w:tcW w:w="3900" w:type="dxa"/>
            <w:vAlign w:val="bottom"/>
          </w:tcPr>
          <w:p>
            <w:pPr>
              <w:jc w:val="right"/>
              <w:ind w:right="1031"/>
              <w:spacing w:after="0"/>
              <w:rPr>
                <w:sz w:val="20"/>
                <w:szCs w:val="20"/>
                <w:color w:val="auto"/>
              </w:rPr>
            </w:pPr>
            <w:r>
              <w:rPr>
                <w:rFonts w:ascii="Arial" w:cs="Arial" w:eastAsia="Arial" w:hAnsi="Arial"/>
                <w:sz w:val="14"/>
                <w:szCs w:val="14"/>
                <w:color w:val="auto"/>
              </w:rPr>
              <w:t>138,346</w:t>
            </w:r>
          </w:p>
        </w:tc>
        <w:tc>
          <w:tcPr>
            <w:tcW w:w="1760" w:type="dxa"/>
            <w:vAlign w:val="bottom"/>
          </w:tcPr>
          <w:p>
            <w:pPr>
              <w:jc w:val="right"/>
              <w:ind w:right="88"/>
              <w:spacing w:after="0"/>
              <w:rPr>
                <w:sz w:val="20"/>
                <w:szCs w:val="20"/>
                <w:color w:val="auto"/>
              </w:rPr>
            </w:pPr>
            <w:r>
              <w:rPr>
                <w:rFonts w:ascii="Arial" w:cs="Arial" w:eastAsia="Arial" w:hAnsi="Arial"/>
                <w:sz w:val="14"/>
                <w:szCs w:val="14"/>
                <w:color w:val="auto"/>
              </w:rPr>
              <w:t>268,140</w:t>
            </w: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Borders>
              <w:bottom w:val="single" w:sz="8" w:color="DBDBDB"/>
            </w:tcBorders>
            <w:shd w:val="clear" w:color="auto" w:fill="DBDBDB"/>
          </w:tcPr>
          <w:p>
            <w:pPr>
              <w:spacing w:after="0"/>
              <w:rPr>
                <w:sz w:val="19"/>
                <w:szCs w:val="19"/>
                <w:color w:val="auto"/>
              </w:rPr>
            </w:pPr>
          </w:p>
        </w:tc>
        <w:tc>
          <w:tcPr>
            <w:tcW w:w="268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4"/>
                <w:szCs w:val="14"/>
                <w:b w:val="1"/>
                <w:bCs w:val="1"/>
                <w:color w:val="auto"/>
              </w:rPr>
              <w:t>Beryl Raff</w:t>
            </w:r>
          </w:p>
        </w:tc>
        <w:tc>
          <w:tcPr>
            <w:tcW w:w="280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4"/>
                <w:szCs w:val="14"/>
                <w:color w:val="auto"/>
              </w:rPr>
              <w:t>80,838</w:t>
            </w:r>
          </w:p>
        </w:tc>
        <w:tc>
          <w:tcPr>
            <w:tcW w:w="3900" w:type="dxa"/>
            <w:vAlign w:val="bottom"/>
            <w:tcBorders>
              <w:bottom w:val="single" w:sz="8" w:color="DBDBDB"/>
            </w:tcBorders>
            <w:shd w:val="clear" w:color="auto" w:fill="DBDBDB"/>
          </w:tcPr>
          <w:p>
            <w:pPr>
              <w:jc w:val="right"/>
              <w:ind w:right="1031"/>
              <w:spacing w:after="0"/>
              <w:rPr>
                <w:sz w:val="20"/>
                <w:szCs w:val="20"/>
                <w:color w:val="auto"/>
              </w:rPr>
            </w:pPr>
            <w:r>
              <w:rPr>
                <w:rFonts w:ascii="Arial" w:cs="Arial" w:eastAsia="Arial" w:hAnsi="Arial"/>
                <w:sz w:val="14"/>
                <w:szCs w:val="14"/>
                <w:color w:val="auto"/>
              </w:rPr>
              <w:t>138,346</w:t>
            </w:r>
          </w:p>
        </w:tc>
        <w:tc>
          <w:tcPr>
            <w:tcW w:w="176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219,184</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William Simon</w:t>
            </w:r>
            <w:r>
              <w:rPr>
                <w:rFonts w:ascii="Arial" w:cs="Arial" w:eastAsia="Arial" w:hAnsi="Arial"/>
                <w:sz w:val="9"/>
                <w:szCs w:val="9"/>
                <w:b w:val="1"/>
                <w:bCs w:val="1"/>
                <w:color w:val="auto"/>
              </w:rPr>
              <w:t>(4)</w:t>
            </w:r>
          </w:p>
        </w:tc>
        <w:tc>
          <w:tcPr>
            <w:tcW w:w="2800" w:type="dxa"/>
            <w:vAlign w:val="bottom"/>
            <w:gridSpan w:val="3"/>
          </w:tcPr>
          <w:p>
            <w:pPr>
              <w:jc w:val="right"/>
              <w:spacing w:after="0"/>
              <w:rPr>
                <w:sz w:val="20"/>
                <w:szCs w:val="20"/>
                <w:color w:val="auto"/>
              </w:rPr>
            </w:pPr>
            <w:r>
              <w:rPr>
                <w:rFonts w:ascii="Arial" w:cs="Arial" w:eastAsia="Arial" w:hAnsi="Arial"/>
                <w:sz w:val="14"/>
                <w:szCs w:val="14"/>
                <w:color w:val="auto"/>
              </w:rPr>
              <w:t>33,791</w:t>
            </w:r>
          </w:p>
        </w:tc>
        <w:tc>
          <w:tcPr>
            <w:tcW w:w="3900" w:type="dxa"/>
            <w:vAlign w:val="bottom"/>
          </w:tcPr>
          <w:p>
            <w:pPr>
              <w:jc w:val="right"/>
              <w:ind w:right="1031"/>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88"/>
              <w:spacing w:after="0"/>
              <w:rPr>
                <w:sz w:val="20"/>
                <w:szCs w:val="20"/>
                <w:color w:val="auto"/>
              </w:rPr>
            </w:pPr>
            <w:r>
              <w:rPr>
                <w:rFonts w:ascii="Arial" w:cs="Arial" w:eastAsia="Arial" w:hAnsi="Arial"/>
                <w:sz w:val="14"/>
                <w:szCs w:val="14"/>
                <w:color w:val="auto"/>
              </w:rPr>
              <w:t>33,791</w:t>
            </w: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Borders>
              <w:bottom w:val="single" w:sz="8" w:color="DBDBDB"/>
            </w:tcBorders>
            <w:shd w:val="clear" w:color="auto" w:fill="DBDBDB"/>
          </w:tcPr>
          <w:p>
            <w:pPr>
              <w:spacing w:after="0"/>
              <w:rPr>
                <w:sz w:val="19"/>
                <w:szCs w:val="19"/>
                <w:color w:val="auto"/>
              </w:rPr>
            </w:pPr>
          </w:p>
        </w:tc>
        <w:tc>
          <w:tcPr>
            <w:tcW w:w="268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4"/>
                <w:szCs w:val="14"/>
                <w:b w:val="1"/>
                <w:bCs w:val="1"/>
                <w:color w:val="auto"/>
              </w:rPr>
              <w:t>Chris Turner</w:t>
            </w:r>
          </w:p>
        </w:tc>
        <w:tc>
          <w:tcPr>
            <w:tcW w:w="280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4"/>
                <w:szCs w:val="14"/>
                <w:color w:val="auto"/>
              </w:rPr>
              <w:t>12,088</w:t>
            </w:r>
          </w:p>
        </w:tc>
        <w:tc>
          <w:tcPr>
            <w:tcW w:w="3900" w:type="dxa"/>
            <w:vAlign w:val="bottom"/>
            <w:tcBorders>
              <w:bottom w:val="single" w:sz="8" w:color="DBDBDB"/>
            </w:tcBorders>
            <w:shd w:val="clear" w:color="auto" w:fill="DBDBDB"/>
          </w:tcPr>
          <w:p>
            <w:pPr>
              <w:jc w:val="right"/>
              <w:ind w:right="1031"/>
              <w:spacing w:after="0"/>
              <w:rPr>
                <w:sz w:val="20"/>
                <w:szCs w:val="20"/>
                <w:color w:val="auto"/>
              </w:rPr>
            </w:pPr>
            <w:r>
              <w:rPr>
                <w:rFonts w:ascii="Arial" w:cs="Arial" w:eastAsia="Arial" w:hAnsi="Arial"/>
                <w:sz w:val="14"/>
                <w:szCs w:val="14"/>
                <w:color w:val="auto"/>
              </w:rPr>
              <w:t>53,413</w:t>
            </w:r>
          </w:p>
        </w:tc>
        <w:tc>
          <w:tcPr>
            <w:tcW w:w="176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65,501</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Sharen Turney</w:t>
            </w:r>
          </w:p>
        </w:tc>
        <w:tc>
          <w:tcPr>
            <w:tcW w:w="2800" w:type="dxa"/>
            <w:vAlign w:val="bottom"/>
            <w:gridSpan w:val="3"/>
          </w:tcPr>
          <w:p>
            <w:pPr>
              <w:jc w:val="right"/>
              <w:spacing w:after="0"/>
              <w:rPr>
                <w:sz w:val="20"/>
                <w:szCs w:val="20"/>
                <w:color w:val="auto"/>
              </w:rPr>
            </w:pPr>
            <w:r>
              <w:rPr>
                <w:rFonts w:ascii="Arial" w:cs="Arial" w:eastAsia="Arial" w:hAnsi="Arial"/>
                <w:sz w:val="14"/>
                <w:szCs w:val="14"/>
                <w:color w:val="auto"/>
              </w:rPr>
              <w:t>48,901</w:t>
            </w:r>
          </w:p>
        </w:tc>
        <w:tc>
          <w:tcPr>
            <w:tcW w:w="3900" w:type="dxa"/>
            <w:vAlign w:val="bottom"/>
          </w:tcPr>
          <w:p>
            <w:pPr>
              <w:jc w:val="right"/>
              <w:ind w:right="1031"/>
              <w:spacing w:after="0"/>
              <w:rPr>
                <w:sz w:val="20"/>
                <w:szCs w:val="20"/>
                <w:color w:val="auto"/>
              </w:rPr>
            </w:pPr>
            <w:r>
              <w:rPr>
                <w:rFonts w:ascii="Arial" w:cs="Arial" w:eastAsia="Arial" w:hAnsi="Arial"/>
                <w:sz w:val="14"/>
                <w:szCs w:val="14"/>
                <w:color w:val="auto"/>
              </w:rPr>
              <w:t>99,704</w:t>
            </w:r>
          </w:p>
        </w:tc>
        <w:tc>
          <w:tcPr>
            <w:tcW w:w="1760" w:type="dxa"/>
            <w:vAlign w:val="bottom"/>
          </w:tcPr>
          <w:p>
            <w:pPr>
              <w:jc w:val="right"/>
              <w:ind w:right="88"/>
              <w:spacing w:after="0"/>
              <w:rPr>
                <w:sz w:val="20"/>
                <w:szCs w:val="20"/>
                <w:color w:val="auto"/>
              </w:rPr>
            </w:pPr>
            <w:r>
              <w:rPr>
                <w:rFonts w:ascii="Arial" w:cs="Arial" w:eastAsia="Arial" w:hAnsi="Arial"/>
                <w:sz w:val="14"/>
                <w:szCs w:val="14"/>
                <w:color w:val="auto"/>
              </w:rPr>
              <w:t>148,605</w:t>
            </w: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0" w:type="dxa"/>
            <w:vAlign w:val="bottom"/>
            <w:shd w:val="clear" w:color="auto" w:fill="DBDBDB"/>
          </w:tcPr>
          <w:p>
            <w:pPr>
              <w:spacing w:after="0"/>
              <w:rPr>
                <w:sz w:val="18"/>
                <w:szCs w:val="18"/>
                <w:color w:val="auto"/>
              </w:rPr>
            </w:pPr>
          </w:p>
        </w:tc>
        <w:tc>
          <w:tcPr>
            <w:tcW w:w="268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auto"/>
              </w:rPr>
              <w:t>Jeff Tweedy</w:t>
            </w:r>
          </w:p>
        </w:tc>
        <w:tc>
          <w:tcPr>
            <w:tcW w:w="280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100,000</w:t>
            </w:r>
          </w:p>
        </w:tc>
        <w:tc>
          <w:tcPr>
            <w:tcW w:w="3900" w:type="dxa"/>
            <w:vAlign w:val="bottom"/>
            <w:shd w:val="clear" w:color="auto" w:fill="DBDBDB"/>
          </w:tcPr>
          <w:p>
            <w:pPr>
              <w:jc w:val="right"/>
              <w:ind w:right="1031"/>
              <w:spacing w:after="0"/>
              <w:rPr>
                <w:sz w:val="20"/>
                <w:szCs w:val="20"/>
                <w:color w:val="auto"/>
              </w:rPr>
            </w:pPr>
            <w:r>
              <w:rPr>
                <w:rFonts w:ascii="Arial" w:cs="Arial" w:eastAsia="Arial" w:hAnsi="Arial"/>
                <w:sz w:val="14"/>
                <w:szCs w:val="14"/>
                <w:color w:val="auto"/>
              </w:rPr>
              <w:t>138,346</w:t>
            </w:r>
          </w:p>
        </w:tc>
        <w:tc>
          <w:tcPr>
            <w:tcW w:w="17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238,346</w:t>
            </w:r>
          </w:p>
        </w:tc>
        <w:tc>
          <w:tcPr>
            <w:tcW w:w="0" w:type="dxa"/>
            <w:vAlign w:val="bottom"/>
          </w:tcPr>
          <w:p>
            <w:pPr>
              <w:spacing w:after="0"/>
              <w:rPr>
                <w:sz w:val="1"/>
                <w:szCs w:val="1"/>
                <w:color w:val="auto"/>
              </w:rPr>
            </w:pPr>
          </w:p>
        </w:tc>
      </w:tr>
      <w:tr>
        <w:trPr>
          <w:trHeight w:val="29"/>
        </w:trPr>
        <w:tc>
          <w:tcPr>
            <w:tcW w:w="100" w:type="dxa"/>
            <w:vAlign w:val="bottom"/>
            <w:shd w:val="clear" w:color="auto" w:fill="DBDBDB"/>
          </w:tcPr>
          <w:p>
            <w:pPr>
              <w:spacing w:after="0"/>
              <w:rPr>
                <w:sz w:val="2"/>
                <w:szCs w:val="2"/>
                <w:color w:val="auto"/>
              </w:rPr>
            </w:pPr>
          </w:p>
        </w:tc>
        <w:tc>
          <w:tcPr>
            <w:tcW w:w="400" w:type="dxa"/>
            <w:vAlign w:val="bottom"/>
            <w:shd w:val="clear" w:color="auto" w:fill="DBDBDB"/>
          </w:tcPr>
          <w:p>
            <w:pPr>
              <w:spacing w:after="0"/>
              <w:rPr>
                <w:sz w:val="2"/>
                <w:szCs w:val="2"/>
                <w:color w:val="auto"/>
              </w:rPr>
            </w:pPr>
          </w:p>
        </w:tc>
        <w:tc>
          <w:tcPr>
            <w:tcW w:w="2280" w:type="dxa"/>
            <w:vAlign w:val="bottom"/>
            <w:shd w:val="clear" w:color="auto" w:fill="DBDBDB"/>
          </w:tcPr>
          <w:p>
            <w:pPr>
              <w:spacing w:after="0"/>
              <w:rPr>
                <w:sz w:val="2"/>
                <w:szCs w:val="2"/>
                <w:color w:val="auto"/>
              </w:rPr>
            </w:pPr>
          </w:p>
        </w:tc>
        <w:tc>
          <w:tcPr>
            <w:tcW w:w="25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900" w:type="dxa"/>
            <w:vAlign w:val="bottom"/>
            <w:shd w:val="clear" w:color="auto" w:fill="DBDBDB"/>
          </w:tcPr>
          <w:p>
            <w:pPr>
              <w:spacing w:after="0"/>
              <w:rPr>
                <w:sz w:val="2"/>
                <w:szCs w:val="2"/>
                <w:color w:val="auto"/>
              </w:rPr>
            </w:pPr>
          </w:p>
        </w:tc>
        <w:tc>
          <w:tcPr>
            <w:tcW w:w="17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40" w:hanging="332"/>
        <w:spacing w:after="0" w:line="286" w:lineRule="auto"/>
        <w:tabs>
          <w:tab w:leader="none" w:pos="337" w:val="left"/>
        </w:tabs>
        <w:numPr>
          <w:ilvl w:val="0"/>
          <w:numId w:val="14"/>
        </w:numPr>
        <w:rPr>
          <w:rFonts w:ascii="Arial" w:cs="Arial" w:eastAsia="Arial" w:hAnsi="Arial"/>
          <w:sz w:val="13"/>
          <w:szCs w:val="13"/>
          <w:color w:val="auto"/>
        </w:rPr>
      </w:pPr>
      <w:r>
        <w:rPr>
          <w:rFonts w:ascii="Arial" w:cs="Arial" w:eastAsia="Arial" w:hAnsi="Arial"/>
          <w:sz w:val="13"/>
          <w:szCs w:val="13"/>
          <w:color w:val="auto"/>
        </w:rPr>
        <w:t>Amounts reflect the aggregate amount of cash retainers earned during 2021 inclusive of prorated retainers for the Lead Director position and committee chairs. The amounts reported for Mses. Beck, Raff and Turney and Messrs. Questrom, Nealon and Turner reflect prorated amounts since each served as a director and/or in a committee chair position for a partial year.</w:t>
      </w:r>
    </w:p>
    <w:p>
      <w:pPr>
        <w:spacing w:after="0" w:line="75" w:lineRule="exact"/>
        <w:rPr>
          <w:rFonts w:ascii="Arial" w:cs="Arial" w:eastAsia="Arial" w:hAnsi="Arial"/>
          <w:sz w:val="13"/>
          <w:szCs w:val="13"/>
          <w:color w:val="auto"/>
        </w:rPr>
      </w:pPr>
    </w:p>
    <w:p>
      <w:pPr>
        <w:ind w:left="340" w:right="200" w:hanging="332"/>
        <w:spacing w:after="0" w:line="286" w:lineRule="auto"/>
        <w:tabs>
          <w:tab w:leader="none" w:pos="337" w:val="left"/>
        </w:tabs>
        <w:numPr>
          <w:ilvl w:val="0"/>
          <w:numId w:val="14"/>
        </w:numPr>
        <w:rPr>
          <w:rFonts w:ascii="Arial" w:cs="Arial" w:eastAsia="Arial" w:hAnsi="Arial"/>
          <w:sz w:val="13"/>
          <w:szCs w:val="13"/>
          <w:color w:val="auto"/>
        </w:rPr>
      </w:pPr>
      <w:r>
        <w:rPr>
          <w:rFonts w:ascii="Arial" w:cs="Arial" w:eastAsia="Arial" w:hAnsi="Arial"/>
          <w:sz w:val="13"/>
          <w:szCs w:val="13"/>
          <w:color w:val="auto"/>
        </w:rPr>
        <w:t>Amounts reflect the full grant-date fair value of RSUs granted during 2021 computed in accordance with ASC Topic 718. See Note 9, Equity and Share-Based Compensation to our consolidated financial statements included in the Annual Report for the assumptions used in calculating these values.</w:t>
      </w:r>
    </w:p>
    <w:p>
      <w:pPr>
        <w:spacing w:after="0" w:line="75" w:lineRule="exact"/>
        <w:rPr>
          <w:rFonts w:ascii="Arial" w:cs="Arial" w:eastAsia="Arial" w:hAnsi="Arial"/>
          <w:sz w:val="13"/>
          <w:szCs w:val="13"/>
          <w:color w:val="auto"/>
        </w:rPr>
      </w:pPr>
    </w:p>
    <w:p>
      <w:pPr>
        <w:ind w:left="340" w:right="240" w:hanging="332"/>
        <w:spacing w:after="0" w:line="317" w:lineRule="auto"/>
        <w:tabs>
          <w:tab w:leader="none" w:pos="337" w:val="left"/>
        </w:tabs>
        <w:numPr>
          <w:ilvl w:val="0"/>
          <w:numId w:val="14"/>
        </w:numPr>
        <w:rPr>
          <w:rFonts w:ascii="Arial" w:cs="Arial" w:eastAsia="Arial" w:hAnsi="Arial"/>
          <w:sz w:val="12"/>
          <w:szCs w:val="12"/>
          <w:color w:val="auto"/>
        </w:rPr>
      </w:pPr>
      <w:r>
        <w:rPr>
          <w:rFonts w:ascii="Arial" w:cs="Arial" w:eastAsia="Arial" w:hAnsi="Arial"/>
          <w:sz w:val="12"/>
          <w:szCs w:val="12"/>
          <w:color w:val="auto"/>
        </w:rPr>
        <w:t>Amounts reflected RSUs granted in 2021 under the Company’s 2020 Omnibus Incentive Plan. The amounts reported for Ms. Turney and Mr. Turner reflect prorated annual grant amounts since each commenced providing services mid-year. The amount reported for Mr. Nealon reflects a prorated 2020 annual grant since he commenced services mid-year (March of 2021) and the full annual grant made in June of 2021. Grants under the Company’s 2020 Omnibus Incentive Plan contain the vesting terms described above under the Board compensation program.</w:t>
      </w:r>
    </w:p>
    <w:p>
      <w:pPr>
        <w:spacing w:after="0" w:line="60" w:lineRule="exact"/>
        <w:rPr>
          <w:rFonts w:ascii="Arial" w:cs="Arial" w:eastAsia="Arial" w:hAnsi="Arial"/>
          <w:sz w:val="12"/>
          <w:szCs w:val="12"/>
          <w:color w:val="auto"/>
        </w:rPr>
      </w:pPr>
    </w:p>
    <w:p>
      <w:pPr>
        <w:ind w:left="320" w:hanging="312"/>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Mr. Simon ceased being a member of the Board on June 3, 2021.</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As of January 29, 2022, the following non-employee directors held the following number of RSUs: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0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4"/>
                <w:szCs w:val="14"/>
                <w:b w:val="1"/>
                <w:bCs w:val="1"/>
                <w:color w:val="auto"/>
                <w:shd w:val="clear" w:color="auto" w:fill="E1D7AC"/>
              </w:rPr>
              <w:t>Name</w:t>
            </w:r>
          </w:p>
        </w:tc>
        <w:tc>
          <w:tcPr>
            <w:tcW w:w="6940" w:type="dxa"/>
            <w:vAlign w:val="bottom"/>
            <w:tcBorders>
              <w:bottom w:val="single" w:sz="8" w:color="E1D7AC"/>
            </w:tcBorders>
            <w:shd w:val="clear" w:color="auto" w:fill="E1D7AC"/>
          </w:tcPr>
          <w:p>
            <w:pPr>
              <w:ind w:left="3120"/>
              <w:spacing w:after="0"/>
              <w:rPr>
                <w:sz w:val="20"/>
                <w:szCs w:val="20"/>
                <w:color w:val="auto"/>
              </w:rPr>
            </w:pPr>
            <w:r>
              <w:rPr>
                <w:rFonts w:ascii="Arial" w:cs="Arial" w:eastAsia="Arial" w:hAnsi="Arial"/>
                <w:sz w:val="14"/>
                <w:szCs w:val="14"/>
                <w:b w:val="1"/>
                <w:bCs w:val="1"/>
                <w:color w:val="auto"/>
              </w:rPr>
              <w:t>Number of RSUs Outstanding</w:t>
            </w:r>
          </w:p>
        </w:tc>
      </w:tr>
      <w:tr>
        <w:trPr>
          <w:trHeight w:val="223"/>
        </w:trPr>
        <w:tc>
          <w:tcPr>
            <w:tcW w:w="43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Tom Nealon</w:t>
            </w:r>
          </w:p>
        </w:tc>
        <w:tc>
          <w:tcPr>
            <w:tcW w:w="6940" w:type="dxa"/>
            <w:vAlign w:val="bottom"/>
            <w:tcBorders>
              <w:bottom w:val="single" w:sz="8" w:color="DBDBDB"/>
            </w:tcBorders>
            <w:shd w:val="clear" w:color="auto" w:fill="DBDBDB"/>
          </w:tcPr>
          <w:p>
            <w:pPr>
              <w:jc w:val="center"/>
              <w:ind w:left="1268"/>
              <w:spacing w:after="0"/>
              <w:rPr>
                <w:sz w:val="20"/>
                <w:szCs w:val="20"/>
                <w:color w:val="auto"/>
              </w:rPr>
            </w:pPr>
            <w:r>
              <w:rPr>
                <w:rFonts w:ascii="Arial" w:cs="Arial" w:eastAsia="Arial" w:hAnsi="Arial"/>
                <w:sz w:val="14"/>
                <w:szCs w:val="14"/>
                <w:color w:val="auto"/>
              </w:rPr>
              <w:t>3,727</w:t>
            </w:r>
          </w:p>
        </w:tc>
      </w:tr>
      <w:tr>
        <w:trPr>
          <w:trHeight w:val="214"/>
        </w:trPr>
        <w:tc>
          <w:tcPr>
            <w:tcW w:w="4300" w:type="dxa"/>
            <w:vAlign w:val="bottom"/>
          </w:tcPr>
          <w:p>
            <w:pPr>
              <w:ind w:left="100"/>
              <w:spacing w:after="0"/>
              <w:rPr>
                <w:sz w:val="20"/>
                <w:szCs w:val="20"/>
                <w:color w:val="auto"/>
              </w:rPr>
            </w:pPr>
            <w:r>
              <w:rPr>
                <w:rFonts w:ascii="Arial" w:cs="Arial" w:eastAsia="Arial" w:hAnsi="Arial"/>
                <w:sz w:val="14"/>
                <w:szCs w:val="14"/>
                <w:b w:val="1"/>
                <w:bCs w:val="1"/>
                <w:color w:val="auto"/>
              </w:rPr>
              <w:t>Wendy Beck</w:t>
            </w:r>
          </w:p>
        </w:tc>
        <w:tc>
          <w:tcPr>
            <w:tcW w:w="6940" w:type="dxa"/>
            <w:vAlign w:val="bottom"/>
          </w:tcPr>
          <w:p>
            <w:pPr>
              <w:jc w:val="center"/>
              <w:ind w:left="1268"/>
              <w:spacing w:after="0"/>
              <w:rPr>
                <w:sz w:val="20"/>
                <w:szCs w:val="20"/>
                <w:color w:val="auto"/>
              </w:rPr>
            </w:pPr>
            <w:r>
              <w:rPr>
                <w:rFonts w:ascii="Arial" w:cs="Arial" w:eastAsia="Arial" w:hAnsi="Arial"/>
                <w:sz w:val="14"/>
                <w:szCs w:val="14"/>
                <w:color w:val="auto"/>
              </w:rPr>
              <w:t>3,727</w:t>
            </w:r>
          </w:p>
        </w:tc>
      </w:tr>
      <w:tr>
        <w:trPr>
          <w:trHeight w:val="29"/>
        </w:trPr>
        <w:tc>
          <w:tcPr>
            <w:tcW w:w="4300" w:type="dxa"/>
            <w:vAlign w:val="bottom"/>
          </w:tcPr>
          <w:p>
            <w:pPr>
              <w:spacing w:after="0"/>
              <w:rPr>
                <w:sz w:val="2"/>
                <w:szCs w:val="2"/>
                <w:color w:val="auto"/>
              </w:rPr>
            </w:pPr>
          </w:p>
        </w:tc>
        <w:tc>
          <w:tcPr>
            <w:tcW w:w="6940" w:type="dxa"/>
            <w:vAlign w:val="bottom"/>
          </w:tcPr>
          <w:p>
            <w:pPr>
              <w:spacing w:after="0"/>
              <w:rPr>
                <w:sz w:val="2"/>
                <w:szCs w:val="2"/>
                <w:color w:val="auto"/>
              </w:rPr>
            </w:pPr>
          </w:p>
        </w:tc>
      </w:tr>
      <w:tr>
        <w:trPr>
          <w:trHeight w:val="223"/>
        </w:trPr>
        <w:tc>
          <w:tcPr>
            <w:tcW w:w="43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Brian Marley</w:t>
            </w:r>
          </w:p>
        </w:tc>
        <w:tc>
          <w:tcPr>
            <w:tcW w:w="6940" w:type="dxa"/>
            <w:vAlign w:val="bottom"/>
            <w:tcBorders>
              <w:bottom w:val="single" w:sz="8" w:color="DBDBDB"/>
            </w:tcBorders>
            <w:shd w:val="clear" w:color="auto" w:fill="DBDBDB"/>
          </w:tcPr>
          <w:p>
            <w:pPr>
              <w:jc w:val="center"/>
              <w:ind w:left="1268"/>
              <w:spacing w:after="0"/>
              <w:rPr>
                <w:sz w:val="20"/>
                <w:szCs w:val="20"/>
                <w:color w:val="auto"/>
              </w:rPr>
            </w:pPr>
            <w:r>
              <w:rPr>
                <w:rFonts w:ascii="Arial" w:cs="Arial" w:eastAsia="Arial" w:hAnsi="Arial"/>
                <w:sz w:val="14"/>
                <w:szCs w:val="14"/>
                <w:color w:val="auto"/>
              </w:rPr>
              <w:t>3,727</w:t>
            </w:r>
          </w:p>
        </w:tc>
      </w:tr>
      <w:tr>
        <w:trPr>
          <w:trHeight w:val="214"/>
        </w:trPr>
        <w:tc>
          <w:tcPr>
            <w:tcW w:w="4300" w:type="dxa"/>
            <w:vAlign w:val="bottom"/>
          </w:tcPr>
          <w:p>
            <w:pPr>
              <w:ind w:left="100"/>
              <w:spacing w:after="0"/>
              <w:rPr>
                <w:sz w:val="20"/>
                <w:szCs w:val="20"/>
                <w:color w:val="auto"/>
              </w:rPr>
            </w:pPr>
            <w:r>
              <w:rPr>
                <w:rFonts w:ascii="Arial" w:cs="Arial" w:eastAsia="Arial" w:hAnsi="Arial"/>
                <w:sz w:val="14"/>
                <w:szCs w:val="14"/>
                <w:b w:val="1"/>
                <w:bCs w:val="1"/>
                <w:color w:val="auto"/>
              </w:rPr>
              <w:t>Allen Questrom</w:t>
            </w:r>
          </w:p>
        </w:tc>
        <w:tc>
          <w:tcPr>
            <w:tcW w:w="6940" w:type="dxa"/>
            <w:vAlign w:val="bottom"/>
          </w:tcPr>
          <w:p>
            <w:pPr>
              <w:jc w:val="center"/>
              <w:ind w:left="1268"/>
              <w:spacing w:after="0"/>
              <w:rPr>
                <w:sz w:val="20"/>
                <w:szCs w:val="20"/>
                <w:color w:val="auto"/>
              </w:rPr>
            </w:pPr>
            <w:r>
              <w:rPr>
                <w:rFonts w:ascii="Arial" w:cs="Arial" w:eastAsia="Arial" w:hAnsi="Arial"/>
                <w:sz w:val="14"/>
                <w:szCs w:val="14"/>
                <w:color w:val="auto"/>
              </w:rPr>
              <w:t>3,727</w:t>
            </w:r>
          </w:p>
        </w:tc>
      </w:tr>
      <w:tr>
        <w:trPr>
          <w:trHeight w:val="29"/>
        </w:trPr>
        <w:tc>
          <w:tcPr>
            <w:tcW w:w="4300" w:type="dxa"/>
            <w:vAlign w:val="bottom"/>
          </w:tcPr>
          <w:p>
            <w:pPr>
              <w:spacing w:after="0"/>
              <w:rPr>
                <w:sz w:val="2"/>
                <w:szCs w:val="2"/>
                <w:color w:val="auto"/>
              </w:rPr>
            </w:pPr>
          </w:p>
        </w:tc>
        <w:tc>
          <w:tcPr>
            <w:tcW w:w="6940" w:type="dxa"/>
            <w:vAlign w:val="bottom"/>
          </w:tcPr>
          <w:p>
            <w:pPr>
              <w:spacing w:after="0"/>
              <w:rPr>
                <w:sz w:val="2"/>
                <w:szCs w:val="2"/>
                <w:color w:val="auto"/>
              </w:rPr>
            </w:pPr>
          </w:p>
        </w:tc>
      </w:tr>
      <w:tr>
        <w:trPr>
          <w:trHeight w:val="223"/>
        </w:trPr>
        <w:tc>
          <w:tcPr>
            <w:tcW w:w="43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Beryl Raff</w:t>
            </w:r>
          </w:p>
        </w:tc>
        <w:tc>
          <w:tcPr>
            <w:tcW w:w="6940" w:type="dxa"/>
            <w:vAlign w:val="bottom"/>
            <w:tcBorders>
              <w:bottom w:val="single" w:sz="8" w:color="DBDBDB"/>
            </w:tcBorders>
            <w:shd w:val="clear" w:color="auto" w:fill="DBDBDB"/>
          </w:tcPr>
          <w:p>
            <w:pPr>
              <w:jc w:val="center"/>
              <w:ind w:left="1268"/>
              <w:spacing w:after="0"/>
              <w:rPr>
                <w:sz w:val="20"/>
                <w:szCs w:val="20"/>
                <w:color w:val="auto"/>
              </w:rPr>
            </w:pPr>
            <w:r>
              <w:rPr>
                <w:rFonts w:ascii="Arial" w:cs="Arial" w:eastAsia="Arial" w:hAnsi="Arial"/>
                <w:sz w:val="14"/>
                <w:szCs w:val="14"/>
                <w:color w:val="auto"/>
              </w:rPr>
              <w:t>3,727</w:t>
            </w:r>
          </w:p>
        </w:tc>
      </w:tr>
      <w:tr>
        <w:trPr>
          <w:trHeight w:val="243"/>
        </w:trPr>
        <w:tc>
          <w:tcPr>
            <w:tcW w:w="4300" w:type="dxa"/>
            <w:vAlign w:val="bottom"/>
          </w:tcPr>
          <w:p>
            <w:pPr>
              <w:ind w:left="100"/>
              <w:spacing w:after="0"/>
              <w:rPr>
                <w:sz w:val="20"/>
                <w:szCs w:val="20"/>
                <w:color w:val="auto"/>
              </w:rPr>
            </w:pPr>
            <w:r>
              <w:rPr>
                <w:rFonts w:ascii="Arial" w:cs="Arial" w:eastAsia="Arial" w:hAnsi="Arial"/>
                <w:sz w:val="14"/>
                <w:szCs w:val="14"/>
                <w:b w:val="1"/>
                <w:bCs w:val="1"/>
                <w:color w:val="auto"/>
              </w:rPr>
              <w:t>William Simon</w:t>
            </w:r>
            <w:r>
              <w:rPr>
                <w:rFonts w:ascii="Arial" w:cs="Arial" w:eastAsia="Arial" w:hAnsi="Arial"/>
                <w:sz w:val="18"/>
                <w:szCs w:val="18"/>
                <w:b w:val="1"/>
                <w:bCs w:val="1"/>
                <w:color w:val="auto"/>
                <w:vertAlign w:val="superscript"/>
              </w:rPr>
              <w:t>(1)</w:t>
            </w:r>
          </w:p>
        </w:tc>
        <w:tc>
          <w:tcPr>
            <w:tcW w:w="6940" w:type="dxa"/>
            <w:vAlign w:val="bottom"/>
          </w:tcPr>
          <w:p>
            <w:pPr>
              <w:jc w:val="center"/>
              <w:ind w:left="1248"/>
              <w:spacing w:after="0"/>
              <w:rPr>
                <w:sz w:val="20"/>
                <w:szCs w:val="20"/>
                <w:color w:val="auto"/>
              </w:rPr>
            </w:pPr>
            <w:r>
              <w:rPr>
                <w:rFonts w:ascii="Arial" w:cs="Arial" w:eastAsia="Arial" w:hAnsi="Arial"/>
                <w:sz w:val="14"/>
                <w:szCs w:val="14"/>
                <w:color w:val="auto"/>
                <w:w w:val="99"/>
              </w:rPr>
              <w:t>—</w:t>
            </w:r>
          </w:p>
        </w:tc>
      </w:tr>
      <w:tr>
        <w:trPr>
          <w:trHeight w:val="223"/>
        </w:trPr>
        <w:tc>
          <w:tcPr>
            <w:tcW w:w="43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Chris Turner</w:t>
            </w:r>
          </w:p>
        </w:tc>
        <w:tc>
          <w:tcPr>
            <w:tcW w:w="6940" w:type="dxa"/>
            <w:vAlign w:val="bottom"/>
            <w:tcBorders>
              <w:bottom w:val="single" w:sz="8" w:color="DBDBDB"/>
            </w:tcBorders>
            <w:shd w:val="clear" w:color="auto" w:fill="DBDBDB"/>
          </w:tcPr>
          <w:p>
            <w:pPr>
              <w:jc w:val="center"/>
              <w:ind w:left="1268"/>
              <w:spacing w:after="0"/>
              <w:rPr>
                <w:sz w:val="20"/>
                <w:szCs w:val="20"/>
                <w:color w:val="auto"/>
              </w:rPr>
            </w:pPr>
            <w:r>
              <w:rPr>
                <w:rFonts w:ascii="Arial" w:cs="Arial" w:eastAsia="Arial" w:hAnsi="Arial"/>
                <w:sz w:val="14"/>
                <w:szCs w:val="14"/>
                <w:color w:val="auto"/>
              </w:rPr>
              <w:t>1,334</w:t>
            </w:r>
          </w:p>
        </w:tc>
      </w:tr>
      <w:tr>
        <w:trPr>
          <w:trHeight w:val="214"/>
        </w:trPr>
        <w:tc>
          <w:tcPr>
            <w:tcW w:w="4300" w:type="dxa"/>
            <w:vAlign w:val="bottom"/>
          </w:tcPr>
          <w:p>
            <w:pPr>
              <w:ind w:left="100"/>
              <w:spacing w:after="0"/>
              <w:rPr>
                <w:sz w:val="20"/>
                <w:szCs w:val="20"/>
                <w:color w:val="auto"/>
              </w:rPr>
            </w:pPr>
            <w:r>
              <w:rPr>
                <w:rFonts w:ascii="Arial" w:cs="Arial" w:eastAsia="Arial" w:hAnsi="Arial"/>
                <w:sz w:val="14"/>
                <w:szCs w:val="14"/>
                <w:b w:val="1"/>
                <w:bCs w:val="1"/>
                <w:color w:val="auto"/>
              </w:rPr>
              <w:t>Sharen Turney</w:t>
            </w:r>
          </w:p>
        </w:tc>
        <w:tc>
          <w:tcPr>
            <w:tcW w:w="6940" w:type="dxa"/>
            <w:vAlign w:val="bottom"/>
          </w:tcPr>
          <w:p>
            <w:pPr>
              <w:jc w:val="center"/>
              <w:ind w:left="1268"/>
              <w:spacing w:after="0"/>
              <w:rPr>
                <w:sz w:val="20"/>
                <w:szCs w:val="20"/>
                <w:color w:val="auto"/>
              </w:rPr>
            </w:pPr>
            <w:r>
              <w:rPr>
                <w:rFonts w:ascii="Arial" w:cs="Arial" w:eastAsia="Arial" w:hAnsi="Arial"/>
                <w:sz w:val="14"/>
                <w:szCs w:val="14"/>
                <w:color w:val="auto"/>
              </w:rPr>
              <w:t>2,870</w:t>
            </w:r>
          </w:p>
        </w:tc>
      </w:tr>
      <w:tr>
        <w:trPr>
          <w:trHeight w:val="29"/>
        </w:trPr>
        <w:tc>
          <w:tcPr>
            <w:tcW w:w="4300" w:type="dxa"/>
            <w:vAlign w:val="bottom"/>
          </w:tcPr>
          <w:p>
            <w:pPr>
              <w:spacing w:after="0"/>
              <w:rPr>
                <w:sz w:val="2"/>
                <w:szCs w:val="2"/>
                <w:color w:val="auto"/>
              </w:rPr>
            </w:pPr>
          </w:p>
        </w:tc>
        <w:tc>
          <w:tcPr>
            <w:tcW w:w="6940" w:type="dxa"/>
            <w:vAlign w:val="bottom"/>
          </w:tcPr>
          <w:p>
            <w:pPr>
              <w:spacing w:after="0"/>
              <w:rPr>
                <w:sz w:val="2"/>
                <w:szCs w:val="2"/>
                <w:color w:val="auto"/>
              </w:rPr>
            </w:pPr>
          </w:p>
        </w:tc>
      </w:tr>
      <w:tr>
        <w:trPr>
          <w:trHeight w:val="214"/>
        </w:trPr>
        <w:tc>
          <w:tcPr>
            <w:tcW w:w="430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Jeff Tweedy</w:t>
            </w:r>
          </w:p>
        </w:tc>
        <w:tc>
          <w:tcPr>
            <w:tcW w:w="6940" w:type="dxa"/>
            <w:vAlign w:val="bottom"/>
            <w:shd w:val="clear" w:color="auto" w:fill="DBDBDB"/>
          </w:tcPr>
          <w:p>
            <w:pPr>
              <w:jc w:val="center"/>
              <w:ind w:left="1268"/>
              <w:spacing w:after="0"/>
              <w:rPr>
                <w:sz w:val="20"/>
                <w:szCs w:val="20"/>
                <w:color w:val="auto"/>
              </w:rPr>
            </w:pPr>
            <w:r>
              <w:rPr>
                <w:rFonts w:ascii="Arial" w:cs="Arial" w:eastAsia="Arial" w:hAnsi="Arial"/>
                <w:sz w:val="14"/>
                <w:szCs w:val="14"/>
                <w:color w:val="auto"/>
              </w:rPr>
              <w:t>3,727</w:t>
            </w:r>
          </w:p>
        </w:tc>
      </w:tr>
      <w:tr>
        <w:trPr>
          <w:trHeight w:val="29"/>
        </w:trPr>
        <w:tc>
          <w:tcPr>
            <w:tcW w:w="4300" w:type="dxa"/>
            <w:vAlign w:val="bottom"/>
            <w:shd w:val="clear" w:color="auto" w:fill="DBDBDB"/>
          </w:tcPr>
          <w:p>
            <w:pPr>
              <w:spacing w:after="0"/>
              <w:rPr>
                <w:sz w:val="2"/>
                <w:szCs w:val="2"/>
                <w:color w:val="auto"/>
              </w:rPr>
            </w:pPr>
          </w:p>
        </w:tc>
        <w:tc>
          <w:tcPr>
            <w:tcW w:w="6940" w:type="dxa"/>
            <w:vAlign w:val="bottom"/>
            <w:shd w:val="clear" w:color="auto" w:fill="DBDBDB"/>
          </w:tcPr>
          <w:p>
            <w:pPr>
              <w:spacing w:after="0"/>
              <w:rPr>
                <w:sz w:val="2"/>
                <w:szCs w:val="2"/>
                <w:color w:val="auto"/>
              </w:rPr>
            </w:pPr>
          </w:p>
        </w:tc>
      </w:tr>
    </w:tbl>
    <w:p>
      <w:pPr>
        <w:spacing w:after="0" w:line="18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Mr. Simon ceased being a member of the Board on June 3, 2021.</w:t>
      </w:r>
    </w:p>
    <w:p>
      <w:pPr>
        <w:spacing w:after="0" w:line="1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Compensation Committee reviews and assesses non-employee director pay levels every year. This process involves a review of competitive market data, including an assessment of our director compensation policy against the director compensation programs of companies in our executive compensation peer group and an update on recent trends in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857250"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Board has adopted Stock Ownership Guidelines applicable to the non-employee directors, the Chief Executive Officer, and the other covered executives (see “Stock Ownership Guidelines” for more information). For non-employee directors the requirement is to hold 3.0x the annual cash retainer, not inclusive of any additional fees. The guidelines allow covered directors and executives up to five years from their compliance date to comply with the guidelines. Covered directors and executives who do not achieve the required levels of ownership within the prescribed amount of time will be required to retain 100% of any Company equity acquired (net of taxes) until the next compliance date on which their ownership of eligible securities meets applicable required guidelines. The non-employee directors are either in compliance with the Stock Ownership Guidelines or within the prescribed time period for complying with such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665480</wp:posOffset>
            </wp:positionV>
            <wp:extent cx="857250"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color w:val="007EC4"/>
        </w:rPr>
        <w:t xml:space="preserve">30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49"/>
          <w:szCs w:val="49"/>
          <w:b w:val="1"/>
          <w:bCs w:val="1"/>
          <w:color w:val="EF3B35"/>
        </w:rPr>
        <w:t>Proposal Two</w:t>
      </w:r>
    </w:p>
    <w:p>
      <w:pPr>
        <w:spacing w:after="0" w:line="108" w:lineRule="exact"/>
        <w:rPr>
          <w:sz w:val="20"/>
          <w:szCs w:val="20"/>
          <w:color w:val="auto"/>
        </w:rPr>
      </w:pPr>
    </w:p>
    <w:p>
      <w:pPr>
        <w:ind w:right="1180"/>
        <w:spacing w:after="0" w:line="311" w:lineRule="auto"/>
        <w:rPr>
          <w:sz w:val="20"/>
          <w:szCs w:val="20"/>
          <w:color w:val="auto"/>
        </w:rPr>
      </w:pPr>
      <w:r>
        <w:rPr>
          <w:rFonts w:ascii="Arial" w:cs="Arial" w:eastAsia="Arial" w:hAnsi="Arial"/>
          <w:sz w:val="48"/>
          <w:szCs w:val="48"/>
          <w:b w:val="1"/>
          <w:bCs w:val="1"/>
          <w:color w:val="1B4093"/>
        </w:rPr>
        <w:t>Ratification of Appointment of Independent Registered Public Accounting Firm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has appointed Deloitte &amp; Touche LLP to serve as our independent registered public accounting firm for fiscal 2022.</w:t>
      </w:r>
    </w:p>
    <w:p>
      <w:pPr>
        <w:spacing w:after="0" w:line="23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Although ratification is not required by our Bylaws or otherwise, the Board is submitting the appointment of Deloitte &amp; Touche LLP to our stockholders for ratification because we value our stockholders’ views on the Company’s independent registered public accounting firm. If our stockholders fail to ratify the appointment, it will be considered as notice to the Board and the Audit Committee to consider the selection of a different firm. Further, if the appointment is ratified, the Audit Committee, in its discretion, may appoint a different independent registered public accounting firm at any time during the year if it determines that such a change would be in the best interests of the Company and our stockholders. A representative of Deloitte &amp; Touche LLP is expected to be present at the Annual Meeting. The representative will have an opportunity to make a statement if they desire and will be available to respond to questions from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shares represented by your proxy will be voted “FOR” the ratification of the appointment of Deloitte &amp; Touche LLP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1517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41"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EF3B35"/>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32385</wp:posOffset>
            </wp:positionV>
            <wp:extent cx="360045" cy="3600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0045" cy="360045"/>
                    </a:xfrm>
                    <a:prstGeom prst="rect">
                      <a:avLst/>
                    </a:prstGeom>
                    <a:noFill/>
                  </pic:spPr>
                </pic:pic>
              </a:graphicData>
            </a:graphic>
          </wp:anchor>
        </w:drawing>
      </w:r>
    </w:p>
    <w:p>
      <w:pPr>
        <w:spacing w:after="0" w:line="56" w:lineRule="exact"/>
        <w:rPr>
          <w:sz w:val="20"/>
          <w:szCs w:val="20"/>
          <w:color w:val="auto"/>
        </w:rPr>
      </w:pPr>
    </w:p>
    <w:p>
      <w:pPr>
        <w:ind w:left="3000"/>
        <w:spacing w:after="0" w:line="283" w:lineRule="auto"/>
        <w:rPr>
          <w:sz w:val="20"/>
          <w:szCs w:val="20"/>
          <w:color w:val="auto"/>
        </w:rPr>
      </w:pPr>
      <w:r>
        <w:rPr>
          <w:rFonts w:ascii="Arial" w:cs="Arial" w:eastAsia="Arial" w:hAnsi="Arial"/>
          <w:sz w:val="22"/>
          <w:szCs w:val="22"/>
          <w:b w:val="1"/>
          <w:bCs w:val="1"/>
          <w:color w:val="093165"/>
        </w:rPr>
        <w:t>The Board recommends that you vote “FOR” the ratification of appointment of Deloitte &amp; Touche LLP as our independent registered public accounting firm for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1517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1292860</wp:posOffset>
            </wp:positionV>
            <wp:extent cx="857250"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Audit and Non-Audit Fees</w:t>
      </w:r>
    </w:p>
    <w:p>
      <w:pPr>
        <w:spacing w:after="0" w:line="139"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The following table presents fees for professional services rendered by our independent registered public accounting firm, Deloitte &amp; Touche LLP for the audit of our financial statements for fiscal 2021 and fiscal 2020 and for fees billed for other services rendered by affiliates of Deloitte &amp; Touche LLP during those periods.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80" w:type="dxa"/>
            <w:vAlign w:val="bottom"/>
            <w:tcBorders>
              <w:bottom w:val="single" w:sz="8" w:color="E1D7AC"/>
            </w:tcBorders>
            <w:shd w:val="clear" w:color="auto" w:fill="E1D7AC"/>
          </w:tcPr>
          <w:p>
            <w:pPr>
              <w:spacing w:after="0"/>
              <w:rPr>
                <w:sz w:val="19"/>
                <w:szCs w:val="19"/>
                <w:color w:val="auto"/>
              </w:rPr>
            </w:pPr>
          </w:p>
        </w:tc>
        <w:tc>
          <w:tcPr>
            <w:tcW w:w="4200" w:type="dxa"/>
            <w:vAlign w:val="bottom"/>
            <w:tcBorders>
              <w:bottom w:val="single" w:sz="8" w:color="E1D7AC"/>
            </w:tcBorders>
            <w:shd w:val="clear" w:color="auto" w:fill="E1D7AC"/>
          </w:tcPr>
          <w:p>
            <w:pPr>
              <w:ind w:left="1940"/>
              <w:spacing w:after="0"/>
              <w:rPr>
                <w:sz w:val="20"/>
                <w:szCs w:val="20"/>
                <w:color w:val="auto"/>
              </w:rPr>
            </w:pPr>
            <w:r>
              <w:rPr>
                <w:rFonts w:ascii="Arial" w:cs="Arial" w:eastAsia="Arial" w:hAnsi="Arial"/>
                <w:sz w:val="14"/>
                <w:szCs w:val="14"/>
                <w:b w:val="1"/>
                <w:bCs w:val="1"/>
                <w:color w:val="auto"/>
              </w:rPr>
              <w:t>Fiscal 2021</w:t>
            </w:r>
          </w:p>
        </w:tc>
        <w:tc>
          <w:tcPr>
            <w:tcW w:w="3760" w:type="dxa"/>
            <w:vAlign w:val="bottom"/>
            <w:tcBorders>
              <w:bottom w:val="single" w:sz="8" w:color="E1D7AC"/>
            </w:tcBorders>
            <w:shd w:val="clear" w:color="auto" w:fill="E1D7AC"/>
          </w:tcPr>
          <w:p>
            <w:pPr>
              <w:ind w:left="1500"/>
              <w:spacing w:after="0"/>
              <w:rPr>
                <w:sz w:val="20"/>
                <w:szCs w:val="20"/>
                <w:color w:val="auto"/>
              </w:rPr>
            </w:pPr>
            <w:r>
              <w:rPr>
                <w:rFonts w:ascii="Arial" w:cs="Arial" w:eastAsia="Arial" w:hAnsi="Arial"/>
                <w:sz w:val="14"/>
                <w:szCs w:val="14"/>
                <w:b w:val="1"/>
                <w:bCs w:val="1"/>
                <w:color w:val="auto"/>
              </w:rPr>
              <w:t>Fiscal 2020</w:t>
            </w:r>
          </w:p>
        </w:tc>
      </w:tr>
      <w:tr>
        <w:trPr>
          <w:trHeight w:val="243"/>
        </w:trPr>
        <w:tc>
          <w:tcPr>
            <w:tcW w:w="328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(1)</w:t>
            </w:r>
          </w:p>
        </w:tc>
        <w:tc>
          <w:tcPr>
            <w:tcW w:w="4200" w:type="dxa"/>
            <w:vAlign w:val="bottom"/>
            <w:shd w:val="clear" w:color="auto" w:fill="DBDBDB"/>
          </w:tcPr>
          <w:p>
            <w:pPr>
              <w:jc w:val="center"/>
              <w:ind w:left="408"/>
              <w:spacing w:after="0"/>
              <w:rPr>
                <w:sz w:val="20"/>
                <w:szCs w:val="20"/>
                <w:color w:val="auto"/>
              </w:rPr>
            </w:pPr>
            <w:r>
              <w:rPr>
                <w:rFonts w:ascii="Arial" w:cs="Arial" w:eastAsia="Arial" w:hAnsi="Arial"/>
                <w:sz w:val="14"/>
                <w:szCs w:val="14"/>
                <w:color w:val="auto"/>
              </w:rPr>
              <w:t>$2,057,500</w:t>
            </w:r>
          </w:p>
        </w:tc>
        <w:tc>
          <w:tcPr>
            <w:tcW w:w="37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$2,380,000</w:t>
            </w:r>
          </w:p>
        </w:tc>
      </w:tr>
      <w:tr>
        <w:trPr>
          <w:trHeight w:val="243"/>
        </w:trPr>
        <w:tc>
          <w:tcPr>
            <w:tcW w:w="3280" w:type="dxa"/>
            <w:vAlign w:val="bottom"/>
          </w:tcPr>
          <w:p>
            <w:pPr>
              <w:ind w:left="100"/>
              <w:spacing w:after="0"/>
              <w:rPr>
                <w:sz w:val="20"/>
                <w:szCs w:val="20"/>
                <w:color w:val="auto"/>
              </w:rPr>
            </w:pPr>
            <w:r>
              <w:rPr>
                <w:rFonts w:ascii="Arial" w:cs="Arial" w:eastAsia="Arial" w:hAnsi="Arial"/>
                <w:sz w:val="14"/>
                <w:szCs w:val="14"/>
                <w:color w:val="auto"/>
              </w:rPr>
              <w:t>Audit-related fees</w:t>
            </w:r>
            <w:r>
              <w:rPr>
                <w:rFonts w:ascii="Arial" w:cs="Arial" w:eastAsia="Arial" w:hAnsi="Arial"/>
                <w:sz w:val="18"/>
                <w:szCs w:val="18"/>
                <w:color w:val="auto"/>
                <w:vertAlign w:val="superscript"/>
              </w:rPr>
              <w:t>(2)</w:t>
            </w:r>
          </w:p>
        </w:tc>
        <w:tc>
          <w:tcPr>
            <w:tcW w:w="4200" w:type="dxa"/>
            <w:vAlign w:val="bottom"/>
          </w:tcPr>
          <w:p>
            <w:pPr>
              <w:jc w:val="center"/>
              <w:ind w:left="408"/>
              <w:spacing w:after="0"/>
              <w:rPr>
                <w:sz w:val="20"/>
                <w:szCs w:val="20"/>
                <w:color w:val="auto"/>
              </w:rPr>
            </w:pPr>
            <w:r>
              <w:rPr>
                <w:rFonts w:ascii="Arial" w:cs="Arial" w:eastAsia="Arial" w:hAnsi="Arial"/>
                <w:sz w:val="14"/>
                <w:szCs w:val="14"/>
                <w:color w:val="auto"/>
              </w:rPr>
              <w:t>$30,000</w:t>
            </w:r>
          </w:p>
        </w:tc>
        <w:tc>
          <w:tcPr>
            <w:tcW w:w="3760" w:type="dxa"/>
            <w:vAlign w:val="bottom"/>
          </w:tcPr>
          <w:p>
            <w:pPr>
              <w:jc w:val="center"/>
              <w:spacing w:after="0"/>
              <w:rPr>
                <w:sz w:val="20"/>
                <w:szCs w:val="20"/>
                <w:color w:val="auto"/>
              </w:rPr>
            </w:pPr>
            <w:r>
              <w:rPr>
                <w:rFonts w:ascii="Arial" w:cs="Arial" w:eastAsia="Arial" w:hAnsi="Arial"/>
                <w:sz w:val="14"/>
                <w:szCs w:val="14"/>
                <w:color w:val="auto"/>
              </w:rPr>
              <w:t>$1,792,500</w:t>
            </w:r>
          </w:p>
        </w:tc>
      </w:tr>
      <w:tr>
        <w:trPr>
          <w:trHeight w:val="243"/>
        </w:trPr>
        <w:tc>
          <w:tcPr>
            <w:tcW w:w="3280" w:type="dxa"/>
            <w:vAlign w:val="bottom"/>
            <w:shd w:val="clear" w:color="auto" w:fill="DBDBDB"/>
          </w:tcPr>
          <w:p>
            <w:pPr>
              <w:ind w:left="100"/>
              <w:spacing w:after="0"/>
              <w:rPr>
                <w:sz w:val="20"/>
                <w:szCs w:val="20"/>
                <w:color w:val="auto"/>
              </w:rPr>
            </w:pPr>
            <w:r>
              <w:rPr>
                <w:rFonts w:ascii="Arial" w:cs="Arial" w:eastAsia="Arial" w:hAnsi="Arial"/>
                <w:sz w:val="14"/>
                <w:szCs w:val="14"/>
                <w:color w:val="auto"/>
              </w:rPr>
              <w:t>Tax fees</w:t>
            </w:r>
            <w:r>
              <w:rPr>
                <w:rFonts w:ascii="Arial" w:cs="Arial" w:eastAsia="Arial" w:hAnsi="Arial"/>
                <w:sz w:val="18"/>
                <w:szCs w:val="18"/>
                <w:color w:val="auto"/>
                <w:vertAlign w:val="superscript"/>
              </w:rPr>
              <w:t>(3)</w:t>
            </w:r>
          </w:p>
        </w:tc>
        <w:tc>
          <w:tcPr>
            <w:tcW w:w="4200" w:type="dxa"/>
            <w:vAlign w:val="bottom"/>
            <w:shd w:val="clear" w:color="auto" w:fill="DBDBDB"/>
          </w:tcPr>
          <w:p>
            <w:pPr>
              <w:jc w:val="center"/>
              <w:ind w:left="408"/>
              <w:spacing w:after="0"/>
              <w:rPr>
                <w:sz w:val="20"/>
                <w:szCs w:val="20"/>
                <w:color w:val="auto"/>
              </w:rPr>
            </w:pPr>
            <w:r>
              <w:rPr>
                <w:rFonts w:ascii="Arial" w:cs="Arial" w:eastAsia="Arial" w:hAnsi="Arial"/>
                <w:sz w:val="14"/>
                <w:szCs w:val="14"/>
                <w:color w:val="auto"/>
              </w:rPr>
              <w:t>$475,665</w:t>
            </w:r>
          </w:p>
        </w:tc>
        <w:tc>
          <w:tcPr>
            <w:tcW w:w="37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$646,020</w:t>
            </w:r>
          </w:p>
        </w:tc>
      </w:tr>
      <w:tr>
        <w:trPr>
          <w:trHeight w:val="243"/>
        </w:trPr>
        <w:tc>
          <w:tcPr>
            <w:tcW w:w="3280" w:type="dxa"/>
            <w:vAlign w:val="bottom"/>
          </w:tcPr>
          <w:p>
            <w:pPr>
              <w:ind w:left="100"/>
              <w:spacing w:after="0"/>
              <w:rPr>
                <w:sz w:val="20"/>
                <w:szCs w:val="20"/>
                <w:color w:val="auto"/>
              </w:rPr>
            </w:pPr>
            <w:r>
              <w:rPr>
                <w:rFonts w:ascii="Arial" w:cs="Arial" w:eastAsia="Arial" w:hAnsi="Arial"/>
                <w:sz w:val="14"/>
                <w:szCs w:val="14"/>
                <w:color w:val="auto"/>
              </w:rPr>
              <w:t>All other fees</w:t>
            </w:r>
            <w:r>
              <w:rPr>
                <w:rFonts w:ascii="Arial" w:cs="Arial" w:eastAsia="Arial" w:hAnsi="Arial"/>
                <w:sz w:val="18"/>
                <w:szCs w:val="18"/>
                <w:color w:val="auto"/>
                <w:vertAlign w:val="superscript"/>
              </w:rPr>
              <w:t>(4)</w:t>
            </w:r>
          </w:p>
        </w:tc>
        <w:tc>
          <w:tcPr>
            <w:tcW w:w="4200" w:type="dxa"/>
            <w:vAlign w:val="bottom"/>
          </w:tcPr>
          <w:p>
            <w:pPr>
              <w:jc w:val="center"/>
              <w:ind w:left="408"/>
              <w:spacing w:after="0"/>
              <w:rPr>
                <w:sz w:val="20"/>
                <w:szCs w:val="20"/>
                <w:color w:val="auto"/>
              </w:rPr>
            </w:pPr>
            <w:r>
              <w:rPr>
                <w:rFonts w:ascii="Arial" w:cs="Arial" w:eastAsia="Arial" w:hAnsi="Arial"/>
                <w:sz w:val="14"/>
                <w:szCs w:val="14"/>
                <w:color w:val="auto"/>
              </w:rPr>
              <w:t>$771,322</w:t>
            </w:r>
          </w:p>
        </w:tc>
        <w:tc>
          <w:tcPr>
            <w:tcW w:w="3760" w:type="dxa"/>
            <w:vAlign w:val="bottom"/>
          </w:tcPr>
          <w:p>
            <w:pPr>
              <w:jc w:val="center"/>
              <w:spacing w:after="0"/>
              <w:rPr>
                <w:sz w:val="20"/>
                <w:szCs w:val="20"/>
                <w:color w:val="auto"/>
              </w:rPr>
            </w:pPr>
            <w:r>
              <w:rPr>
                <w:rFonts w:ascii="Arial" w:cs="Arial" w:eastAsia="Arial" w:hAnsi="Arial"/>
                <w:sz w:val="14"/>
                <w:szCs w:val="14"/>
                <w:color w:val="auto"/>
              </w:rPr>
              <w:t>$193,790</w:t>
            </w:r>
          </w:p>
        </w:tc>
      </w:tr>
      <w:tr>
        <w:trPr>
          <w:trHeight w:val="214"/>
        </w:trPr>
        <w:tc>
          <w:tcPr>
            <w:tcW w:w="328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Total</w:t>
            </w:r>
          </w:p>
        </w:tc>
        <w:tc>
          <w:tcPr>
            <w:tcW w:w="4200" w:type="dxa"/>
            <w:vAlign w:val="bottom"/>
            <w:shd w:val="clear" w:color="auto" w:fill="DBDBDB"/>
          </w:tcPr>
          <w:p>
            <w:pPr>
              <w:jc w:val="center"/>
              <w:ind w:left="408"/>
              <w:spacing w:after="0"/>
              <w:rPr>
                <w:sz w:val="20"/>
                <w:szCs w:val="20"/>
                <w:color w:val="auto"/>
              </w:rPr>
            </w:pPr>
            <w:r>
              <w:rPr>
                <w:rFonts w:ascii="Arial" w:cs="Arial" w:eastAsia="Arial" w:hAnsi="Arial"/>
                <w:sz w:val="14"/>
                <w:szCs w:val="14"/>
                <w:b w:val="1"/>
                <w:bCs w:val="1"/>
                <w:color w:val="auto"/>
              </w:rPr>
              <w:t>$3,334,487</w:t>
            </w:r>
          </w:p>
        </w:tc>
        <w:tc>
          <w:tcPr>
            <w:tcW w:w="376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$5,012,310</w:t>
            </w:r>
          </w:p>
        </w:tc>
      </w:tr>
      <w:tr>
        <w:trPr>
          <w:trHeight w:val="29"/>
        </w:trPr>
        <w:tc>
          <w:tcPr>
            <w:tcW w:w="3280" w:type="dxa"/>
            <w:vAlign w:val="bottom"/>
            <w:shd w:val="clear" w:color="auto" w:fill="DBDBDB"/>
          </w:tcPr>
          <w:p>
            <w:pPr>
              <w:spacing w:after="0"/>
              <w:rPr>
                <w:sz w:val="2"/>
                <w:szCs w:val="2"/>
                <w:color w:val="auto"/>
              </w:rPr>
            </w:pPr>
          </w:p>
        </w:tc>
        <w:tc>
          <w:tcPr>
            <w:tcW w:w="4200" w:type="dxa"/>
            <w:vAlign w:val="bottom"/>
            <w:shd w:val="clear" w:color="auto" w:fill="DBDBDB"/>
          </w:tcPr>
          <w:p>
            <w:pPr>
              <w:spacing w:after="0"/>
              <w:rPr>
                <w:sz w:val="2"/>
                <w:szCs w:val="2"/>
                <w:color w:val="auto"/>
              </w:rPr>
            </w:pPr>
          </w:p>
        </w:tc>
        <w:tc>
          <w:tcPr>
            <w:tcW w:w="3760" w:type="dxa"/>
            <w:vAlign w:val="bottom"/>
            <w:shd w:val="clear" w:color="auto" w:fill="DBDBDB"/>
          </w:tcPr>
          <w:p>
            <w:pPr>
              <w:spacing w:after="0"/>
              <w:rPr>
                <w:sz w:val="2"/>
                <w:szCs w:val="2"/>
                <w:color w:val="auto"/>
              </w:rPr>
            </w:pPr>
          </w:p>
        </w:tc>
      </w:tr>
    </w:tbl>
    <w:p>
      <w:pPr>
        <w:spacing w:after="0" w:line="185" w:lineRule="exact"/>
        <w:rPr>
          <w:sz w:val="20"/>
          <w:szCs w:val="20"/>
          <w:color w:val="auto"/>
        </w:rPr>
      </w:pPr>
    </w:p>
    <w:p>
      <w:pPr>
        <w:ind w:left="340" w:right="340" w:hanging="332"/>
        <w:spacing w:after="0" w:line="264" w:lineRule="auto"/>
        <w:tabs>
          <w:tab w:leader="none" w:pos="337"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the aggregate fees for professional services rendered for the audit of the Company’s annual financial statements and the quarterly reviews of its financial statements, assistance with documents filed with the SEC, and assistance with documents related to our IPO process.</w:t>
      </w:r>
    </w:p>
    <w:p>
      <w:pPr>
        <w:spacing w:after="0" w:line="76" w:lineRule="exact"/>
        <w:rPr>
          <w:rFonts w:ascii="Arial" w:cs="Arial" w:eastAsia="Arial" w:hAnsi="Arial"/>
          <w:sz w:val="13"/>
          <w:szCs w:val="13"/>
          <w:color w:val="auto"/>
        </w:rPr>
      </w:pPr>
    </w:p>
    <w:p>
      <w:pPr>
        <w:ind w:left="340" w:right="180" w:hanging="332"/>
        <w:spacing w:after="0" w:line="264" w:lineRule="auto"/>
        <w:tabs>
          <w:tab w:leader="none" w:pos="337" w:val="left"/>
        </w:tabs>
        <w:numPr>
          <w:ilvl w:val="0"/>
          <w:numId w:val="16"/>
        </w:numPr>
        <w:rPr>
          <w:rFonts w:ascii="Arial" w:cs="Arial" w:eastAsia="Arial" w:hAnsi="Arial"/>
          <w:sz w:val="13"/>
          <w:szCs w:val="13"/>
          <w:color w:val="auto"/>
        </w:rPr>
      </w:pPr>
      <w:r>
        <w:rPr>
          <w:rFonts w:ascii="Arial" w:cs="Arial" w:eastAsia="Arial" w:hAnsi="Arial"/>
          <w:sz w:val="13"/>
          <w:szCs w:val="13"/>
          <w:color w:val="auto"/>
        </w:rPr>
        <w:t>Audit-related fees consist principally of services performed in connection with registration statements filed with the SEC, statutory audits, and assurance and related services that are reasonably related to the performance of the audit or review of the Company’s consolidated financial statements.</w:t>
      </w:r>
    </w:p>
    <w:p>
      <w:pPr>
        <w:spacing w:after="0" w:line="76" w:lineRule="exact"/>
        <w:rPr>
          <w:rFonts w:ascii="Arial" w:cs="Arial" w:eastAsia="Arial" w:hAnsi="Arial"/>
          <w:sz w:val="13"/>
          <w:szCs w:val="13"/>
          <w:color w:val="auto"/>
        </w:rPr>
      </w:pPr>
    </w:p>
    <w:p>
      <w:pPr>
        <w:ind w:left="320" w:hanging="312"/>
        <w:spacing w:after="0"/>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the aggregate fees for professional services rendered for tax compliance, and tax consultation and planning.</w:t>
      </w:r>
    </w:p>
    <w:p>
      <w:pPr>
        <w:spacing w:after="0" w:line="120" w:lineRule="exact"/>
        <w:rPr>
          <w:rFonts w:ascii="Arial" w:cs="Arial" w:eastAsia="Arial" w:hAnsi="Arial"/>
          <w:sz w:val="13"/>
          <w:szCs w:val="13"/>
          <w:color w:val="auto"/>
        </w:rPr>
      </w:pPr>
    </w:p>
    <w:p>
      <w:pPr>
        <w:ind w:left="320" w:hanging="312"/>
        <w:spacing w:after="0"/>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All other fees relate to accounting research tool fees and permitted services other than those that meet the criteria above, which are primarily related to consulting and advisory services.</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Audit Committee Pre-Approval Policy</w:t>
      </w:r>
    </w:p>
    <w:p>
      <w:pPr>
        <w:spacing w:after="0" w:line="11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 independent registered public accounting firm for additional services not contemplated in the original pre-approval or for services in excess of the originally pre-approved amount. In those instances, the Audit Committee requires specific pre-approval before engaging the independent registered public accounting firm. If pre-approval is required between Audit Committee meetings, the Chair of the Audit Committee may pre-approve the services, provided that notice of such pre-approval is given to the other members of the Audit Committee and presented to the full Audit Committee at its next regularly scheduled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1102995</wp:posOffset>
            </wp:positionV>
            <wp:extent cx="857250"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color w:val="007EC4"/>
        </w:rPr>
        <w:t xml:space="preserve">32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49"/>
          <w:szCs w:val="49"/>
          <w:b w:val="1"/>
          <w:bCs w:val="1"/>
          <w:color w:val="1B4093"/>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Committee’s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and the Securities and Exchange Commission.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w:t>
      </w:r>
    </w:p>
    <w:p>
      <w:pPr>
        <w:spacing w:after="0" w:line="375"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Based upon the review and discussions described in the preceding paragraph, the Audit Committee recommended to the Board that the audited financial statements of the Company be included in the Annual Report on Form 10-K for the fiscal year ended January 29, 2022 filed with the SEC.</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Submitted by the Audit Committee of the Company’s Board of Directors: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Audit Committee</w:t>
      </w:r>
    </w:p>
    <w:p>
      <w:pPr>
        <w:spacing w:after="0" w:line="81" w:lineRule="exact"/>
        <w:rPr>
          <w:sz w:val="20"/>
          <w:szCs w:val="20"/>
          <w:color w:val="auto"/>
        </w:rPr>
      </w:pPr>
    </w:p>
    <w:p>
      <w:pPr>
        <w:ind w:left="460" w:hanging="209"/>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Brian T. Marley, Chair</w:t>
      </w:r>
    </w:p>
    <w:p>
      <w:pPr>
        <w:spacing w:after="0" w:line="21" w:lineRule="exact"/>
        <w:rPr>
          <w:rFonts w:ascii="Arial" w:cs="Arial" w:eastAsia="Arial" w:hAnsi="Arial"/>
          <w:sz w:val="16"/>
          <w:szCs w:val="16"/>
          <w:color w:val="auto"/>
        </w:rPr>
      </w:pPr>
    </w:p>
    <w:p>
      <w:pPr>
        <w:ind w:left="460" w:hanging="209"/>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Wendy A. Beck</w:t>
      </w:r>
    </w:p>
    <w:p>
      <w:pPr>
        <w:spacing w:after="0" w:line="14" w:lineRule="exact"/>
        <w:rPr>
          <w:rFonts w:ascii="Arial" w:cs="Arial" w:eastAsia="Arial" w:hAnsi="Arial"/>
          <w:sz w:val="16"/>
          <w:szCs w:val="16"/>
          <w:color w:val="auto"/>
        </w:rPr>
      </w:pPr>
    </w:p>
    <w:p>
      <w:pPr>
        <w:ind w:left="460" w:hanging="209"/>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Allen I. Questrom</w:t>
      </w:r>
    </w:p>
    <w:p>
      <w:pPr>
        <w:spacing w:after="0" w:line="8" w:lineRule="exact"/>
        <w:rPr>
          <w:rFonts w:ascii="Arial" w:cs="Arial" w:eastAsia="Arial" w:hAnsi="Arial"/>
          <w:sz w:val="16"/>
          <w:szCs w:val="16"/>
          <w:color w:val="auto"/>
        </w:rPr>
      </w:pPr>
    </w:p>
    <w:p>
      <w:pPr>
        <w:ind w:left="460" w:hanging="209"/>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Chris L.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824865</wp:posOffset>
            </wp:positionV>
            <wp:extent cx="857250"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49"/>
          <w:szCs w:val="49"/>
          <w:b w:val="1"/>
          <w:bCs w:val="1"/>
          <w:color w:val="EF3B35"/>
        </w:rPr>
        <w:t>Proposal Three</w:t>
      </w:r>
    </w:p>
    <w:p>
      <w:pPr>
        <w:spacing w:after="0" w:line="108" w:lineRule="exact"/>
        <w:rPr>
          <w:sz w:val="20"/>
          <w:szCs w:val="20"/>
          <w:color w:val="auto"/>
        </w:rPr>
      </w:pPr>
    </w:p>
    <w:p>
      <w:pPr>
        <w:ind w:right="2060"/>
        <w:spacing w:after="0" w:line="300" w:lineRule="auto"/>
        <w:rPr>
          <w:sz w:val="20"/>
          <w:szCs w:val="20"/>
          <w:color w:val="auto"/>
        </w:rPr>
      </w:pPr>
      <w:r>
        <w:rPr>
          <w:rFonts w:ascii="Arial" w:cs="Arial" w:eastAsia="Arial" w:hAnsi="Arial"/>
          <w:sz w:val="49"/>
          <w:szCs w:val="49"/>
          <w:b w:val="1"/>
          <w:bCs w:val="1"/>
          <w:color w:val="1B4093"/>
        </w:rPr>
        <w:t>Non-Binding Vote to Approve Executive Compensation</w:t>
      </w:r>
    </w:p>
    <w:p>
      <w:pPr>
        <w:spacing w:after="0" w:line="200" w:lineRule="exact"/>
        <w:rPr>
          <w:sz w:val="20"/>
          <w:szCs w:val="20"/>
          <w:color w:val="auto"/>
        </w:rPr>
      </w:pPr>
    </w:p>
    <w:p>
      <w:pPr>
        <w:spacing w:after="0" w:line="26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Our stockholders are being asked to approve, by a non-binding advisory vote, the compensation of our named executive officers as disclosed pursuant to Item 402 of Regulation S-K in the Compensation Discussion and Analysis and related, compensation tables and narrative discussion included in this Proxy Statement. While the results of this “say-on-pay” vote are non-binding and advisory in nature, the Board intends to carefully consider the results of this vote.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text of the resolution in respect of Proposal No. 3 is as follows:</w:t>
      </w:r>
    </w:p>
    <w:p>
      <w:pPr>
        <w:spacing w:after="0" w:line="22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“RESOLVED, that the compensation paid to the Company’s named executive officers in fiscal 2021, as disclosed in this Proxy Statement pursuant to the rules of the SEC, including the Compensation Discussion and Analysis, compensation tables and any related narrative discussion, is hereby APPROVED.”</w:t>
      </w:r>
    </w:p>
    <w:p>
      <w:pPr>
        <w:spacing w:after="0" w:line="169"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 considering their vote, stockholders may wish to review with care the information on our compensation policies and decisions regarding the named executive officers presented in Compensation Discussion and Analysis, including the related the compensation tables and narrative discussion on pages 34 to 61, as well as the discussion regarding the Compensation Committee on page 17.</w:t>
      </w:r>
    </w:p>
    <w:p>
      <w:pPr>
        <w:spacing w:after="0" w:line="164"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In accordance with our policy of holding annual “say-on-pay” advisory votes, the next “say-on-pay” advisory vote is expected to occur at our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1517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EF3B35"/>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-52705</wp:posOffset>
            </wp:positionV>
            <wp:extent cx="360045" cy="3600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0045" cy="360045"/>
                    </a:xfrm>
                    <a:prstGeom prst="rect">
                      <a:avLst/>
                    </a:prstGeom>
                    <a:noFill/>
                  </pic:spPr>
                </pic:pic>
              </a:graphicData>
            </a:graphic>
          </wp:anchor>
        </w:drawing>
      </w:r>
    </w:p>
    <w:p>
      <w:pPr>
        <w:spacing w:after="0" w:line="56" w:lineRule="exact"/>
        <w:rPr>
          <w:sz w:val="20"/>
          <w:szCs w:val="20"/>
          <w:color w:val="auto"/>
        </w:rPr>
      </w:pPr>
    </w:p>
    <w:p>
      <w:pPr>
        <w:ind w:left="3000" w:right="480"/>
        <w:spacing w:after="0" w:line="298" w:lineRule="auto"/>
        <w:rPr>
          <w:sz w:val="20"/>
          <w:szCs w:val="20"/>
          <w:color w:val="auto"/>
        </w:rPr>
      </w:pPr>
      <w:r>
        <w:rPr>
          <w:rFonts w:ascii="Arial" w:cs="Arial" w:eastAsia="Arial" w:hAnsi="Arial"/>
          <w:sz w:val="22"/>
          <w:szCs w:val="22"/>
          <w:b w:val="1"/>
          <w:bCs w:val="1"/>
          <w:color w:val="093165"/>
        </w:rPr>
        <w:t>The Board recommends that you vote “FOR” the approval of the fiscal 2021 compensation paid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1517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904875</wp:posOffset>
            </wp:positionV>
            <wp:extent cx="857250"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color w:val="007EC4"/>
        </w:rPr>
        <w:t xml:space="preserve">34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120"/>
        <w:spacing w:after="0" w:line="293" w:lineRule="auto"/>
        <w:rPr>
          <w:sz w:val="20"/>
          <w:szCs w:val="20"/>
          <w:color w:val="auto"/>
        </w:rPr>
      </w:pPr>
      <w:r>
        <w:rPr>
          <w:rFonts w:ascii="Arial" w:cs="Arial" w:eastAsia="Arial" w:hAnsi="Arial"/>
          <w:sz w:val="49"/>
          <w:szCs w:val="49"/>
          <w:b w:val="1"/>
          <w:bCs w:val="1"/>
          <w:color w:val="1B4093"/>
        </w:rPr>
        <w:t>Compensation Discussion and Analysis</w:t>
      </w:r>
    </w:p>
    <w:p>
      <w:pPr>
        <w:spacing w:after="0" w:line="200" w:lineRule="exact"/>
        <w:rPr>
          <w:sz w:val="20"/>
          <w:szCs w:val="20"/>
          <w:color w:val="auto"/>
        </w:rPr>
      </w:pPr>
    </w:p>
    <w:p>
      <w:pPr>
        <w:spacing w:after="0" w:line="250"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This Compensation Discussion and Analysis describes our executive compensation program, including how the Compensation Committee (referred to as the Committee in this section) assessed performance and made compensation decisions for the fiscal year ended January 29, 2022 (also referred to as 2021).</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Named Executive Officers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(or NEOs) for 2021 are: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4"/>
                <w:szCs w:val="14"/>
                <w:b w:val="1"/>
                <w:bCs w:val="1"/>
                <w:color w:val="auto"/>
              </w:rPr>
              <w:t>Name</w:t>
            </w:r>
          </w:p>
        </w:tc>
        <w:tc>
          <w:tcPr>
            <w:tcW w:w="8440" w:type="dxa"/>
            <w:vAlign w:val="bottom"/>
            <w:tcBorders>
              <w:bottom w:val="single" w:sz="8" w:color="E1D7AC"/>
            </w:tcBorders>
            <w:shd w:val="clear" w:color="auto" w:fill="E1D7AC"/>
          </w:tcPr>
          <w:p>
            <w:pPr>
              <w:ind w:left="860"/>
              <w:spacing w:after="0"/>
              <w:rPr>
                <w:sz w:val="20"/>
                <w:szCs w:val="20"/>
                <w:color w:val="auto"/>
              </w:rPr>
            </w:pPr>
            <w:r>
              <w:rPr>
                <w:rFonts w:ascii="Arial" w:cs="Arial" w:eastAsia="Arial" w:hAnsi="Arial"/>
                <w:sz w:val="14"/>
                <w:szCs w:val="14"/>
                <w:b w:val="1"/>
                <w:bCs w:val="1"/>
                <w:color w:val="auto"/>
              </w:rPr>
              <w:t>Title</w:t>
            </w:r>
          </w:p>
        </w:tc>
      </w:tr>
      <w:tr>
        <w:trPr>
          <w:trHeight w:val="223"/>
        </w:trPr>
        <w:tc>
          <w:tcPr>
            <w:tcW w:w="28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Ken C. Hicks</w:t>
            </w:r>
          </w:p>
        </w:tc>
        <w:tc>
          <w:tcPr>
            <w:tcW w:w="8440" w:type="dxa"/>
            <w:vAlign w:val="bottom"/>
            <w:tcBorders>
              <w:bottom w:val="single" w:sz="8" w:color="DBDBDB"/>
            </w:tcBorders>
            <w:shd w:val="clear" w:color="auto" w:fill="DBDBDB"/>
          </w:tcPr>
          <w:p>
            <w:pPr>
              <w:ind w:left="860"/>
              <w:spacing w:after="0"/>
              <w:rPr>
                <w:sz w:val="20"/>
                <w:szCs w:val="20"/>
                <w:color w:val="auto"/>
              </w:rPr>
            </w:pPr>
            <w:r>
              <w:rPr>
                <w:rFonts w:ascii="Arial" w:cs="Arial" w:eastAsia="Arial" w:hAnsi="Arial"/>
                <w:sz w:val="14"/>
                <w:szCs w:val="14"/>
                <w:color w:val="auto"/>
              </w:rPr>
              <w:t>Chairman, President and Chief Executive Officer (“CEO”)</w:t>
            </w:r>
          </w:p>
        </w:tc>
      </w:tr>
      <w:tr>
        <w:trPr>
          <w:trHeight w:val="214"/>
        </w:trPr>
        <w:tc>
          <w:tcPr>
            <w:tcW w:w="2800" w:type="dxa"/>
            <w:vAlign w:val="bottom"/>
          </w:tcPr>
          <w:p>
            <w:pPr>
              <w:ind w:left="100"/>
              <w:spacing w:after="0"/>
              <w:rPr>
                <w:sz w:val="20"/>
                <w:szCs w:val="20"/>
                <w:color w:val="auto"/>
              </w:rPr>
            </w:pPr>
            <w:r>
              <w:rPr>
                <w:rFonts w:ascii="Arial" w:cs="Arial" w:eastAsia="Arial" w:hAnsi="Arial"/>
                <w:sz w:val="14"/>
                <w:szCs w:val="14"/>
                <w:b w:val="1"/>
                <w:bCs w:val="1"/>
                <w:color w:val="auto"/>
              </w:rPr>
              <w:t>Michael P. Mullican</w:t>
            </w:r>
          </w:p>
        </w:tc>
        <w:tc>
          <w:tcPr>
            <w:tcW w:w="8440" w:type="dxa"/>
            <w:vAlign w:val="bottom"/>
          </w:tcPr>
          <w:p>
            <w:pPr>
              <w:ind w:left="860"/>
              <w:spacing w:after="0"/>
              <w:rPr>
                <w:sz w:val="20"/>
                <w:szCs w:val="20"/>
                <w:color w:val="auto"/>
              </w:rPr>
            </w:pPr>
            <w:r>
              <w:rPr>
                <w:rFonts w:ascii="Arial" w:cs="Arial" w:eastAsia="Arial" w:hAnsi="Arial"/>
                <w:sz w:val="14"/>
                <w:szCs w:val="14"/>
                <w:color w:val="auto"/>
              </w:rPr>
              <w:t>Executive Vice President (“EVP”), Chief Financial Officer (“CFO”)</w:t>
            </w:r>
          </w:p>
        </w:tc>
      </w:tr>
      <w:tr>
        <w:trPr>
          <w:trHeight w:val="29"/>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23"/>
        </w:trPr>
        <w:tc>
          <w:tcPr>
            <w:tcW w:w="28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Steven (Steve) P. Lawrence</w:t>
            </w:r>
          </w:p>
        </w:tc>
        <w:tc>
          <w:tcPr>
            <w:tcW w:w="8440" w:type="dxa"/>
            <w:vAlign w:val="bottom"/>
            <w:tcBorders>
              <w:bottom w:val="single" w:sz="8" w:color="DBDBDB"/>
            </w:tcBorders>
            <w:shd w:val="clear" w:color="auto" w:fill="DBDBDB"/>
          </w:tcPr>
          <w:p>
            <w:pPr>
              <w:ind w:left="860"/>
              <w:spacing w:after="0"/>
              <w:rPr>
                <w:sz w:val="20"/>
                <w:szCs w:val="20"/>
                <w:color w:val="auto"/>
              </w:rPr>
            </w:pPr>
            <w:r>
              <w:rPr>
                <w:rFonts w:ascii="Arial" w:cs="Arial" w:eastAsia="Arial" w:hAnsi="Arial"/>
                <w:sz w:val="14"/>
                <w:szCs w:val="14"/>
                <w:color w:val="auto"/>
              </w:rPr>
              <w:t>Executive Vice President, Chief Merchandising Officer</w:t>
            </w:r>
          </w:p>
        </w:tc>
      </w:tr>
      <w:tr>
        <w:trPr>
          <w:trHeight w:val="214"/>
        </w:trPr>
        <w:tc>
          <w:tcPr>
            <w:tcW w:w="2800" w:type="dxa"/>
            <w:vAlign w:val="bottom"/>
          </w:tcPr>
          <w:p>
            <w:pPr>
              <w:ind w:left="100"/>
              <w:spacing w:after="0"/>
              <w:rPr>
                <w:sz w:val="20"/>
                <w:szCs w:val="20"/>
                <w:color w:val="auto"/>
              </w:rPr>
            </w:pPr>
            <w:r>
              <w:rPr>
                <w:rFonts w:ascii="Arial" w:cs="Arial" w:eastAsia="Arial" w:hAnsi="Arial"/>
                <w:sz w:val="14"/>
                <w:szCs w:val="14"/>
                <w:b w:val="1"/>
                <w:bCs w:val="1"/>
                <w:color w:val="auto"/>
              </w:rPr>
              <w:t>Samuel (Sam) J. Johnson</w:t>
            </w:r>
          </w:p>
        </w:tc>
        <w:tc>
          <w:tcPr>
            <w:tcW w:w="8440" w:type="dxa"/>
            <w:vAlign w:val="bottom"/>
          </w:tcPr>
          <w:p>
            <w:pPr>
              <w:ind w:left="860"/>
              <w:spacing w:after="0"/>
              <w:rPr>
                <w:sz w:val="20"/>
                <w:szCs w:val="20"/>
                <w:color w:val="auto"/>
              </w:rPr>
            </w:pPr>
            <w:r>
              <w:rPr>
                <w:rFonts w:ascii="Arial" w:cs="Arial" w:eastAsia="Arial" w:hAnsi="Arial"/>
                <w:sz w:val="14"/>
                <w:szCs w:val="14"/>
                <w:color w:val="auto"/>
              </w:rPr>
              <w:t>Executive Vice President, Retail Operations</w:t>
            </w:r>
          </w:p>
        </w:tc>
      </w:tr>
      <w:tr>
        <w:trPr>
          <w:trHeight w:val="29"/>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14"/>
        </w:trPr>
        <w:tc>
          <w:tcPr>
            <w:tcW w:w="280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Manish Maini</w:t>
            </w:r>
          </w:p>
        </w:tc>
        <w:tc>
          <w:tcPr>
            <w:tcW w:w="8440" w:type="dxa"/>
            <w:vAlign w:val="bottom"/>
            <w:shd w:val="clear" w:color="auto" w:fill="DBDBDB"/>
          </w:tcPr>
          <w:p>
            <w:pPr>
              <w:ind w:left="860"/>
              <w:spacing w:after="0"/>
              <w:rPr>
                <w:sz w:val="20"/>
                <w:szCs w:val="20"/>
                <w:color w:val="auto"/>
              </w:rPr>
            </w:pPr>
            <w:r>
              <w:rPr>
                <w:rFonts w:ascii="Arial" w:cs="Arial" w:eastAsia="Arial" w:hAnsi="Arial"/>
                <w:sz w:val="14"/>
                <w:szCs w:val="14"/>
                <w:color w:val="auto"/>
              </w:rPr>
              <w:t>Senior Vice President (“SVP”), Chief Information Officer</w:t>
            </w:r>
          </w:p>
        </w:tc>
      </w:tr>
      <w:tr>
        <w:trPr>
          <w:trHeight w:val="29"/>
        </w:trPr>
        <w:tc>
          <w:tcPr>
            <w:tcW w:w="2800" w:type="dxa"/>
            <w:vAlign w:val="bottom"/>
            <w:shd w:val="clear" w:color="auto" w:fill="DBDBDB"/>
          </w:tcPr>
          <w:p>
            <w:pPr>
              <w:spacing w:after="0"/>
              <w:rPr>
                <w:sz w:val="2"/>
                <w:szCs w:val="2"/>
                <w:color w:val="auto"/>
              </w:rPr>
            </w:pPr>
          </w:p>
        </w:tc>
        <w:tc>
          <w:tcPr>
            <w:tcW w:w="844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2021 Business Highlights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Business highlights from 2021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158115</wp:posOffset>
            </wp:positionV>
            <wp:extent cx="171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158115</wp:posOffset>
            </wp:positionV>
            <wp:extent cx="1714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158115</wp:posOffset>
            </wp:positionV>
            <wp:extent cx="1714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158115</wp:posOffset>
            </wp:positionV>
            <wp:extent cx="1714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158115</wp:posOffset>
            </wp:positionV>
            <wp:extent cx="1714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158115</wp:posOffset>
            </wp:positionV>
            <wp:extent cx="1714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4057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0575" cy="17145"/>
                    </a:xfrm>
                    <a:prstGeom prst="rect">
                      <a:avLst/>
                    </a:prstGeom>
                    <a:noFill/>
                  </pic:spPr>
                </pic:pic>
              </a:graphicData>
            </a:graphic>
          </wp:anchor>
        </w:drawing>
      </w:r>
    </w:p>
    <w:p>
      <w:pPr>
        <w:spacing w:after="0" w:line="264" w:lineRule="exact"/>
        <w:rPr>
          <w:sz w:val="20"/>
          <w:szCs w:val="20"/>
          <w:color w:val="auto"/>
        </w:rPr>
      </w:pPr>
    </w:p>
    <w:tbl>
      <w:tblPr>
        <w:tblLayout w:type="fixed"/>
        <w:tblInd w:w="1120" w:type="dxa"/>
        <w:tblCellMar>
          <w:top w:w="0" w:type="dxa"/>
          <w:left w:w="0" w:type="dxa"/>
          <w:bottom w:w="0" w:type="dxa"/>
          <w:right w:w="0" w:type="dxa"/>
        </w:tblCellMar>
      </w:tblPr>
      <w:tr>
        <w:trPr>
          <w:trHeight w:val="221"/>
        </w:trPr>
        <w:tc>
          <w:tcPr>
            <w:tcW w:w="2300" w:type="dxa"/>
            <w:vAlign w:val="bottom"/>
          </w:tcPr>
          <w:p>
            <w:pPr>
              <w:jc w:val="center"/>
              <w:ind w:right="930"/>
              <w:spacing w:after="0"/>
              <w:rPr>
                <w:sz w:val="20"/>
                <w:szCs w:val="20"/>
                <w:color w:val="auto"/>
              </w:rPr>
            </w:pPr>
            <w:r>
              <w:rPr>
                <w:rFonts w:ascii="Arial" w:cs="Arial" w:eastAsia="Arial" w:hAnsi="Arial"/>
                <w:sz w:val="18"/>
                <w:szCs w:val="18"/>
                <w:b w:val="1"/>
                <w:bCs w:val="1"/>
                <w:color w:val="EE2724"/>
                <w:w w:val="98"/>
              </w:rPr>
              <w:t>Net Sales</w:t>
            </w:r>
          </w:p>
        </w:tc>
        <w:tc>
          <w:tcPr>
            <w:tcW w:w="4100" w:type="dxa"/>
            <w:vAlign w:val="bottom"/>
          </w:tcPr>
          <w:p>
            <w:pPr>
              <w:jc w:val="center"/>
              <w:ind w:left="208"/>
              <w:spacing w:after="0"/>
              <w:rPr>
                <w:sz w:val="20"/>
                <w:szCs w:val="20"/>
                <w:color w:val="auto"/>
              </w:rPr>
            </w:pPr>
            <w:r>
              <w:rPr>
                <w:rFonts w:ascii="Arial" w:cs="Arial" w:eastAsia="Arial" w:hAnsi="Arial"/>
                <w:sz w:val="18"/>
                <w:szCs w:val="18"/>
                <w:b w:val="1"/>
                <w:bCs w:val="1"/>
                <w:color w:val="EE2724"/>
                <w:w w:val="99"/>
              </w:rPr>
              <w:t>Comparable Sales</w:t>
            </w:r>
          </w:p>
        </w:tc>
        <w:tc>
          <w:tcPr>
            <w:tcW w:w="3160" w:type="dxa"/>
            <w:vAlign w:val="bottom"/>
          </w:tcPr>
          <w:p>
            <w:pPr>
              <w:jc w:val="center"/>
              <w:ind w:left="670"/>
              <w:spacing w:after="0"/>
              <w:rPr>
                <w:sz w:val="20"/>
                <w:szCs w:val="20"/>
                <w:color w:val="auto"/>
              </w:rPr>
            </w:pPr>
            <w:r>
              <w:rPr>
                <w:rFonts w:ascii="Arial" w:cs="Arial" w:eastAsia="Arial" w:hAnsi="Arial"/>
                <w:sz w:val="18"/>
                <w:szCs w:val="18"/>
                <w:b w:val="1"/>
                <w:bCs w:val="1"/>
                <w:color w:val="EF3B35"/>
                <w:w w:val="99"/>
              </w:rPr>
              <w:t>Gross Margin</w:t>
            </w:r>
          </w:p>
        </w:tc>
      </w:tr>
      <w:tr>
        <w:trPr>
          <w:trHeight w:val="378"/>
        </w:trPr>
        <w:tc>
          <w:tcPr>
            <w:tcW w:w="2300" w:type="dxa"/>
            <w:vAlign w:val="bottom"/>
          </w:tcPr>
          <w:p>
            <w:pPr>
              <w:jc w:val="center"/>
              <w:ind w:right="930"/>
              <w:spacing w:after="0"/>
              <w:rPr>
                <w:sz w:val="20"/>
                <w:szCs w:val="20"/>
                <w:color w:val="auto"/>
              </w:rPr>
            </w:pPr>
            <w:r>
              <w:rPr>
                <w:rFonts w:ascii="Arial" w:cs="Arial" w:eastAsia="Arial" w:hAnsi="Arial"/>
                <w:sz w:val="25"/>
                <w:szCs w:val="25"/>
                <w:b w:val="1"/>
                <w:bCs w:val="1"/>
                <w:color w:val="1B4093"/>
              </w:rPr>
              <w:t>$6.8B</w:t>
            </w:r>
          </w:p>
        </w:tc>
        <w:tc>
          <w:tcPr>
            <w:tcW w:w="4100" w:type="dxa"/>
            <w:vAlign w:val="bottom"/>
          </w:tcPr>
          <w:p>
            <w:pPr>
              <w:jc w:val="center"/>
              <w:ind w:left="188"/>
              <w:spacing w:after="0"/>
              <w:rPr>
                <w:sz w:val="20"/>
                <w:szCs w:val="20"/>
                <w:color w:val="auto"/>
              </w:rPr>
            </w:pPr>
            <w:r>
              <w:rPr>
                <w:rFonts w:ascii="Arial" w:cs="Arial" w:eastAsia="Arial" w:hAnsi="Arial"/>
                <w:sz w:val="25"/>
                <w:szCs w:val="25"/>
                <w:b w:val="1"/>
                <w:bCs w:val="1"/>
                <w:color w:val="1B4093"/>
                <w:w w:val="98"/>
              </w:rPr>
              <w:t>18.9%</w:t>
            </w:r>
          </w:p>
        </w:tc>
        <w:tc>
          <w:tcPr>
            <w:tcW w:w="3160" w:type="dxa"/>
            <w:vAlign w:val="bottom"/>
          </w:tcPr>
          <w:p>
            <w:pPr>
              <w:jc w:val="center"/>
              <w:ind w:left="650"/>
              <w:spacing w:after="0"/>
              <w:rPr>
                <w:sz w:val="20"/>
                <w:szCs w:val="20"/>
                <w:color w:val="auto"/>
              </w:rPr>
            </w:pPr>
            <w:r>
              <w:rPr>
                <w:rFonts w:ascii="Arial" w:cs="Arial" w:eastAsia="Arial" w:hAnsi="Arial"/>
                <w:sz w:val="25"/>
                <w:szCs w:val="25"/>
                <w:b w:val="1"/>
                <w:bCs w:val="1"/>
                <w:color w:val="1B4093"/>
                <w:w w:val="98"/>
              </w:rPr>
              <w:t>$2.4B</w:t>
            </w:r>
          </w:p>
        </w:tc>
      </w:tr>
      <w:tr>
        <w:trPr>
          <w:trHeight w:val="234"/>
        </w:trPr>
        <w:tc>
          <w:tcPr>
            <w:tcW w:w="2300" w:type="dxa"/>
            <w:vAlign w:val="bottom"/>
          </w:tcPr>
          <w:p>
            <w:pPr>
              <w:jc w:val="center"/>
              <w:ind w:right="930"/>
              <w:spacing w:after="0"/>
              <w:rPr>
                <w:sz w:val="20"/>
                <w:szCs w:val="20"/>
                <w:color w:val="auto"/>
              </w:rPr>
            </w:pPr>
            <w:r>
              <w:rPr>
                <w:rFonts w:ascii="Arial" w:cs="Arial" w:eastAsia="Arial" w:hAnsi="Arial"/>
                <w:sz w:val="14"/>
                <w:szCs w:val="14"/>
                <w:color w:val="auto"/>
              </w:rPr>
              <w:t>+19.1% vs. 2020</w:t>
            </w:r>
          </w:p>
        </w:tc>
        <w:tc>
          <w:tcPr>
            <w:tcW w:w="4100" w:type="dxa"/>
            <w:vAlign w:val="bottom"/>
          </w:tcPr>
          <w:p>
            <w:pPr>
              <w:jc w:val="center"/>
              <w:ind w:left="188"/>
              <w:spacing w:after="0"/>
              <w:rPr>
                <w:sz w:val="20"/>
                <w:szCs w:val="20"/>
                <w:color w:val="auto"/>
              </w:rPr>
            </w:pPr>
            <w:r>
              <w:rPr>
                <w:rFonts w:ascii="Arial" w:cs="Arial" w:eastAsia="Arial" w:hAnsi="Arial"/>
                <w:sz w:val="14"/>
                <w:szCs w:val="14"/>
                <w:color w:val="auto"/>
              </w:rPr>
              <w:t>+16.1% in 2020</w:t>
            </w:r>
          </w:p>
        </w:tc>
        <w:tc>
          <w:tcPr>
            <w:tcW w:w="3160" w:type="dxa"/>
            <w:vAlign w:val="bottom"/>
          </w:tcPr>
          <w:p>
            <w:pPr>
              <w:jc w:val="center"/>
              <w:ind w:left="650"/>
              <w:spacing w:after="0"/>
              <w:rPr>
                <w:sz w:val="20"/>
                <w:szCs w:val="20"/>
                <w:color w:val="auto"/>
              </w:rPr>
            </w:pPr>
            <w:r>
              <w:rPr>
                <w:rFonts w:ascii="Arial" w:cs="Arial" w:eastAsia="Arial" w:hAnsi="Arial"/>
                <w:sz w:val="14"/>
                <w:szCs w:val="14"/>
                <w:color w:val="auto"/>
              </w:rPr>
              <w:t>34.7% of Net Sales</w:t>
            </w:r>
          </w:p>
        </w:tc>
      </w:tr>
      <w:tr>
        <w:trPr>
          <w:trHeight w:val="217"/>
        </w:trPr>
        <w:tc>
          <w:tcPr>
            <w:tcW w:w="2300" w:type="dxa"/>
            <w:vAlign w:val="bottom"/>
          </w:tcPr>
          <w:p>
            <w:pPr>
              <w:jc w:val="center"/>
              <w:ind w:right="930"/>
              <w:spacing w:after="0"/>
              <w:rPr>
                <w:sz w:val="20"/>
                <w:szCs w:val="20"/>
                <w:color w:val="auto"/>
              </w:rPr>
            </w:pPr>
            <w:r>
              <w:rPr>
                <w:rFonts w:ascii="Arial" w:cs="Arial" w:eastAsia="Arial" w:hAnsi="Arial"/>
                <w:sz w:val="14"/>
                <w:szCs w:val="14"/>
                <w:color w:val="auto"/>
              </w:rPr>
              <w:t>+40.2% vs. 2019</w:t>
            </w:r>
          </w:p>
        </w:tc>
        <w:tc>
          <w:tcPr>
            <w:tcW w:w="4100" w:type="dxa"/>
            <w:vAlign w:val="bottom"/>
          </w:tcPr>
          <w:p>
            <w:pPr>
              <w:spacing w:after="0"/>
              <w:rPr>
                <w:sz w:val="18"/>
                <w:szCs w:val="18"/>
                <w:color w:val="auto"/>
              </w:rPr>
            </w:pPr>
          </w:p>
        </w:tc>
        <w:tc>
          <w:tcPr>
            <w:tcW w:w="3160" w:type="dxa"/>
            <w:vAlign w:val="bottom"/>
          </w:tcPr>
          <w:p>
            <w:pPr>
              <w:jc w:val="center"/>
              <w:ind w:left="650"/>
              <w:spacing w:after="0"/>
              <w:rPr>
                <w:sz w:val="20"/>
                <w:szCs w:val="20"/>
                <w:color w:val="auto"/>
              </w:rPr>
            </w:pPr>
            <w:r>
              <w:rPr>
                <w:rFonts w:ascii="Arial" w:cs="Arial" w:eastAsia="Arial" w:hAnsi="Arial"/>
                <w:sz w:val="14"/>
                <w:szCs w:val="14"/>
                <w:color w:val="auto"/>
              </w:rPr>
              <w:t>+420 basis points vs. 2020</w:t>
            </w:r>
          </w:p>
        </w:tc>
      </w:tr>
      <w:tr>
        <w:trPr>
          <w:trHeight w:val="672"/>
        </w:trPr>
        <w:tc>
          <w:tcPr>
            <w:tcW w:w="2300" w:type="dxa"/>
            <w:vAlign w:val="bottom"/>
          </w:tcPr>
          <w:p>
            <w:pPr>
              <w:jc w:val="center"/>
              <w:ind w:right="910"/>
              <w:spacing w:after="0"/>
              <w:rPr>
                <w:sz w:val="20"/>
                <w:szCs w:val="20"/>
                <w:color w:val="auto"/>
              </w:rPr>
            </w:pPr>
            <w:r>
              <w:rPr>
                <w:rFonts w:ascii="Arial" w:cs="Arial" w:eastAsia="Arial" w:hAnsi="Arial"/>
                <w:sz w:val="18"/>
                <w:szCs w:val="18"/>
                <w:b w:val="1"/>
                <w:bCs w:val="1"/>
                <w:color w:val="EE2724"/>
                <w:w w:val="97"/>
              </w:rPr>
              <w:t>EBIT</w:t>
            </w:r>
            <w:r>
              <w:rPr>
                <w:rFonts w:ascii="Arial" w:cs="Arial" w:eastAsia="Arial" w:hAnsi="Arial"/>
                <w:sz w:val="23"/>
                <w:szCs w:val="23"/>
                <w:b w:val="1"/>
                <w:bCs w:val="1"/>
                <w:color w:val="1B4093"/>
                <w:w w:val="97"/>
                <w:vertAlign w:val="superscript"/>
              </w:rPr>
              <w:t>*</w:t>
            </w:r>
          </w:p>
        </w:tc>
        <w:tc>
          <w:tcPr>
            <w:tcW w:w="4100" w:type="dxa"/>
            <w:vAlign w:val="bottom"/>
          </w:tcPr>
          <w:p>
            <w:pPr>
              <w:jc w:val="center"/>
              <w:ind w:left="188"/>
              <w:spacing w:after="0"/>
              <w:rPr>
                <w:sz w:val="20"/>
                <w:szCs w:val="20"/>
                <w:color w:val="auto"/>
              </w:rPr>
            </w:pPr>
            <w:r>
              <w:rPr>
                <w:rFonts w:ascii="Arial" w:cs="Arial" w:eastAsia="Arial" w:hAnsi="Arial"/>
                <w:sz w:val="18"/>
                <w:szCs w:val="18"/>
                <w:b w:val="1"/>
                <w:bCs w:val="1"/>
                <w:color w:val="EE2724"/>
              </w:rPr>
              <w:t>Net Income</w:t>
            </w:r>
          </w:p>
        </w:tc>
        <w:tc>
          <w:tcPr>
            <w:tcW w:w="3160" w:type="dxa"/>
            <w:vAlign w:val="bottom"/>
          </w:tcPr>
          <w:p>
            <w:pPr>
              <w:jc w:val="center"/>
              <w:ind w:left="650"/>
              <w:spacing w:after="0"/>
              <w:rPr>
                <w:sz w:val="20"/>
                <w:szCs w:val="20"/>
                <w:color w:val="auto"/>
              </w:rPr>
            </w:pPr>
            <w:r>
              <w:rPr>
                <w:rFonts w:ascii="Arial" w:cs="Arial" w:eastAsia="Arial" w:hAnsi="Arial"/>
                <w:sz w:val="18"/>
                <w:szCs w:val="18"/>
                <w:b w:val="1"/>
                <w:bCs w:val="1"/>
                <w:color w:val="EF3B35"/>
                <w:w w:val="99"/>
              </w:rPr>
              <w:t>Diluted EPS</w:t>
            </w:r>
          </w:p>
        </w:tc>
      </w:tr>
      <w:tr>
        <w:trPr>
          <w:trHeight w:val="361"/>
        </w:trPr>
        <w:tc>
          <w:tcPr>
            <w:tcW w:w="2300" w:type="dxa"/>
            <w:vAlign w:val="bottom"/>
          </w:tcPr>
          <w:p>
            <w:pPr>
              <w:jc w:val="center"/>
              <w:ind w:right="910"/>
              <w:spacing w:after="0"/>
              <w:rPr>
                <w:sz w:val="20"/>
                <w:szCs w:val="20"/>
                <w:color w:val="auto"/>
              </w:rPr>
            </w:pPr>
            <w:r>
              <w:rPr>
                <w:rFonts w:ascii="Arial" w:cs="Arial" w:eastAsia="Arial" w:hAnsi="Arial"/>
                <w:sz w:val="25"/>
                <w:szCs w:val="25"/>
                <w:b w:val="1"/>
                <w:bCs w:val="1"/>
                <w:color w:val="1B4093"/>
              </w:rPr>
              <w:t>$908.5M</w:t>
            </w:r>
          </w:p>
        </w:tc>
        <w:tc>
          <w:tcPr>
            <w:tcW w:w="4100" w:type="dxa"/>
            <w:vAlign w:val="bottom"/>
          </w:tcPr>
          <w:p>
            <w:pPr>
              <w:jc w:val="center"/>
              <w:ind w:left="188"/>
              <w:spacing w:after="0"/>
              <w:rPr>
                <w:sz w:val="20"/>
                <w:szCs w:val="20"/>
                <w:color w:val="auto"/>
              </w:rPr>
            </w:pPr>
            <w:r>
              <w:rPr>
                <w:rFonts w:ascii="Arial" w:cs="Arial" w:eastAsia="Arial" w:hAnsi="Arial"/>
                <w:sz w:val="25"/>
                <w:szCs w:val="25"/>
                <w:b w:val="1"/>
                <w:bCs w:val="1"/>
                <w:color w:val="1B4093"/>
              </w:rPr>
              <w:t>$671.4M</w:t>
            </w:r>
          </w:p>
        </w:tc>
        <w:tc>
          <w:tcPr>
            <w:tcW w:w="3160" w:type="dxa"/>
            <w:vAlign w:val="bottom"/>
          </w:tcPr>
          <w:p>
            <w:pPr>
              <w:jc w:val="center"/>
              <w:ind w:left="650"/>
              <w:spacing w:after="0"/>
              <w:rPr>
                <w:sz w:val="20"/>
                <w:szCs w:val="20"/>
                <w:color w:val="auto"/>
              </w:rPr>
            </w:pPr>
            <w:r>
              <w:rPr>
                <w:rFonts w:ascii="Arial" w:cs="Arial" w:eastAsia="Arial" w:hAnsi="Arial"/>
                <w:sz w:val="25"/>
                <w:szCs w:val="25"/>
                <w:b w:val="1"/>
                <w:bCs w:val="1"/>
                <w:color w:val="1B4093"/>
                <w:w w:val="99"/>
              </w:rPr>
              <w:t>$7.12</w:t>
            </w:r>
          </w:p>
        </w:tc>
      </w:tr>
      <w:tr>
        <w:trPr>
          <w:trHeight w:val="234"/>
        </w:trPr>
        <w:tc>
          <w:tcPr>
            <w:tcW w:w="2300" w:type="dxa"/>
            <w:vAlign w:val="bottom"/>
          </w:tcPr>
          <w:p>
            <w:pPr>
              <w:jc w:val="center"/>
              <w:ind w:right="910"/>
              <w:spacing w:after="0"/>
              <w:rPr>
                <w:sz w:val="20"/>
                <w:szCs w:val="20"/>
                <w:color w:val="auto"/>
              </w:rPr>
            </w:pPr>
            <w:r>
              <w:rPr>
                <w:rFonts w:ascii="Arial" w:cs="Arial" w:eastAsia="Arial" w:hAnsi="Arial"/>
                <w:sz w:val="14"/>
                <w:szCs w:val="14"/>
                <w:color w:val="auto"/>
              </w:rPr>
              <w:t>+113.5% vs. 2020</w:t>
            </w:r>
          </w:p>
        </w:tc>
        <w:tc>
          <w:tcPr>
            <w:tcW w:w="4100" w:type="dxa"/>
            <w:vAlign w:val="bottom"/>
          </w:tcPr>
          <w:p>
            <w:pPr>
              <w:jc w:val="center"/>
              <w:ind w:left="188"/>
              <w:spacing w:after="0"/>
              <w:rPr>
                <w:sz w:val="20"/>
                <w:szCs w:val="20"/>
                <w:color w:val="auto"/>
              </w:rPr>
            </w:pPr>
            <w:r>
              <w:rPr>
                <w:rFonts w:ascii="Arial" w:cs="Arial" w:eastAsia="Arial" w:hAnsi="Arial"/>
                <w:sz w:val="14"/>
                <w:szCs w:val="14"/>
                <w:color w:val="auto"/>
              </w:rPr>
              <w:t>+117.4% vs. 2020</w:t>
            </w:r>
          </w:p>
        </w:tc>
        <w:tc>
          <w:tcPr>
            <w:tcW w:w="3160" w:type="dxa"/>
            <w:vAlign w:val="bottom"/>
          </w:tcPr>
          <w:p>
            <w:pPr>
              <w:jc w:val="center"/>
              <w:ind w:left="650"/>
              <w:spacing w:after="0"/>
              <w:rPr>
                <w:sz w:val="20"/>
                <w:szCs w:val="20"/>
                <w:color w:val="auto"/>
              </w:rPr>
            </w:pPr>
            <w:r>
              <w:rPr>
                <w:rFonts w:ascii="Arial" w:cs="Arial" w:eastAsia="Arial" w:hAnsi="Arial"/>
                <w:sz w:val="14"/>
                <w:szCs w:val="14"/>
                <w:color w:val="auto"/>
              </w:rPr>
              <w:t>+$3.33 vs. 2020</w:t>
            </w:r>
          </w:p>
        </w:tc>
      </w:tr>
      <w:tr>
        <w:trPr>
          <w:trHeight w:val="217"/>
        </w:trPr>
        <w:tc>
          <w:tcPr>
            <w:tcW w:w="2300" w:type="dxa"/>
            <w:vAlign w:val="bottom"/>
          </w:tcPr>
          <w:p>
            <w:pPr>
              <w:jc w:val="center"/>
              <w:ind w:right="930"/>
              <w:spacing w:after="0"/>
              <w:rPr>
                <w:sz w:val="20"/>
                <w:szCs w:val="20"/>
                <w:color w:val="auto"/>
              </w:rPr>
            </w:pPr>
            <w:r>
              <w:rPr>
                <w:rFonts w:ascii="Arial" w:cs="Arial" w:eastAsia="Arial" w:hAnsi="Arial"/>
                <w:sz w:val="14"/>
                <w:szCs w:val="14"/>
                <w:color w:val="auto"/>
              </w:rPr>
              <w:t>+305.3% vs. 2019</w:t>
            </w:r>
          </w:p>
        </w:tc>
        <w:tc>
          <w:tcPr>
            <w:tcW w:w="4100" w:type="dxa"/>
            <w:vAlign w:val="bottom"/>
          </w:tcPr>
          <w:p>
            <w:pPr>
              <w:jc w:val="center"/>
              <w:ind w:left="188"/>
              <w:spacing w:after="0"/>
              <w:rPr>
                <w:sz w:val="20"/>
                <w:szCs w:val="20"/>
                <w:color w:val="auto"/>
              </w:rPr>
            </w:pPr>
            <w:r>
              <w:rPr>
                <w:rFonts w:ascii="Arial" w:cs="Arial" w:eastAsia="Arial" w:hAnsi="Arial"/>
                <w:sz w:val="14"/>
                <w:szCs w:val="14"/>
                <w:color w:val="auto"/>
              </w:rPr>
              <w:t>+459.3% vs. 2019</w:t>
            </w:r>
          </w:p>
        </w:tc>
        <w:tc>
          <w:tcPr>
            <w:tcW w:w="3160" w:type="dxa"/>
            <w:vAlign w:val="bottom"/>
          </w:tcPr>
          <w:p>
            <w:pPr>
              <w:jc w:val="center"/>
              <w:ind w:left="650"/>
              <w:spacing w:after="0"/>
              <w:rPr>
                <w:sz w:val="20"/>
                <w:szCs w:val="20"/>
                <w:color w:val="auto"/>
              </w:rPr>
            </w:pPr>
            <w:r>
              <w:rPr>
                <w:rFonts w:ascii="Arial" w:cs="Arial" w:eastAsia="Arial" w:hAnsi="Arial"/>
                <w:sz w:val="14"/>
                <w:szCs w:val="14"/>
                <w:color w:val="auto"/>
              </w:rPr>
              <w:t>+$5.52 vs. 2019</w:t>
            </w:r>
          </w:p>
        </w:tc>
      </w:tr>
      <w:tr>
        <w:trPr>
          <w:trHeight w:val="632"/>
        </w:trPr>
        <w:tc>
          <w:tcPr>
            <w:tcW w:w="2300" w:type="dxa"/>
            <w:vAlign w:val="bottom"/>
          </w:tcPr>
          <w:p>
            <w:pPr>
              <w:jc w:val="center"/>
              <w:ind w:right="930"/>
              <w:spacing w:after="0"/>
              <w:rPr>
                <w:sz w:val="20"/>
                <w:szCs w:val="20"/>
                <w:color w:val="auto"/>
              </w:rPr>
            </w:pPr>
            <w:r>
              <w:rPr>
                <w:rFonts w:ascii="Arial" w:cs="Arial" w:eastAsia="Arial" w:hAnsi="Arial"/>
                <w:sz w:val="18"/>
                <w:szCs w:val="18"/>
                <w:b w:val="1"/>
                <w:bCs w:val="1"/>
                <w:color w:val="EF3B35"/>
                <w:w w:val="99"/>
              </w:rPr>
              <w:t>Adjusted EBIT</w:t>
            </w:r>
            <w:r>
              <w:rPr>
                <w:rFonts w:ascii="Arial" w:cs="Arial" w:eastAsia="Arial" w:hAnsi="Arial"/>
                <w:sz w:val="23"/>
                <w:szCs w:val="23"/>
                <w:b w:val="1"/>
                <w:bCs w:val="1"/>
                <w:color w:val="1B4093"/>
                <w:w w:val="99"/>
                <w:vertAlign w:val="superscript"/>
              </w:rPr>
              <w:t>*</w:t>
            </w:r>
          </w:p>
        </w:tc>
        <w:tc>
          <w:tcPr>
            <w:tcW w:w="4100" w:type="dxa"/>
            <w:vAlign w:val="bottom"/>
          </w:tcPr>
          <w:p>
            <w:pPr>
              <w:jc w:val="center"/>
              <w:ind w:left="188"/>
              <w:spacing w:after="0"/>
              <w:rPr>
                <w:sz w:val="20"/>
                <w:szCs w:val="20"/>
                <w:color w:val="auto"/>
              </w:rPr>
            </w:pPr>
            <w:r>
              <w:rPr>
                <w:rFonts w:ascii="Arial" w:cs="Arial" w:eastAsia="Arial" w:hAnsi="Arial"/>
                <w:sz w:val="18"/>
                <w:szCs w:val="18"/>
                <w:b w:val="1"/>
                <w:bCs w:val="1"/>
                <w:color w:val="EF3B35"/>
                <w:w w:val="98"/>
              </w:rPr>
              <w:t>Pro Forma Adj. Net Income</w:t>
            </w:r>
            <w:r>
              <w:rPr>
                <w:rFonts w:ascii="Arial" w:cs="Arial" w:eastAsia="Arial" w:hAnsi="Arial"/>
                <w:sz w:val="23"/>
                <w:szCs w:val="23"/>
                <w:b w:val="1"/>
                <w:bCs w:val="1"/>
                <w:color w:val="1B4093"/>
                <w:w w:val="98"/>
                <w:vertAlign w:val="superscript"/>
              </w:rPr>
              <w:t>*</w:t>
            </w:r>
          </w:p>
        </w:tc>
        <w:tc>
          <w:tcPr>
            <w:tcW w:w="3160" w:type="dxa"/>
            <w:vAlign w:val="bottom"/>
          </w:tcPr>
          <w:p>
            <w:pPr>
              <w:jc w:val="center"/>
              <w:ind w:left="650"/>
              <w:spacing w:after="0"/>
              <w:rPr>
                <w:sz w:val="20"/>
                <w:szCs w:val="20"/>
                <w:color w:val="auto"/>
              </w:rPr>
            </w:pPr>
            <w:r>
              <w:rPr>
                <w:rFonts w:ascii="Arial" w:cs="Arial" w:eastAsia="Arial" w:hAnsi="Arial"/>
                <w:sz w:val="18"/>
                <w:szCs w:val="18"/>
                <w:b w:val="1"/>
                <w:bCs w:val="1"/>
                <w:color w:val="EF3B35"/>
                <w:w w:val="99"/>
              </w:rPr>
              <w:t>Pro Forma Adj. Diluted EPS</w:t>
            </w:r>
            <w:r>
              <w:rPr>
                <w:rFonts w:ascii="Arial" w:cs="Arial" w:eastAsia="Arial" w:hAnsi="Arial"/>
                <w:sz w:val="23"/>
                <w:szCs w:val="23"/>
                <w:b w:val="1"/>
                <w:bCs w:val="1"/>
                <w:color w:val="1B4093"/>
                <w:w w:val="99"/>
                <w:vertAlign w:val="superscript"/>
              </w:rPr>
              <w:t>*</w:t>
            </w:r>
          </w:p>
        </w:tc>
      </w:tr>
      <w:tr>
        <w:trPr>
          <w:trHeight w:val="361"/>
        </w:trPr>
        <w:tc>
          <w:tcPr>
            <w:tcW w:w="2300" w:type="dxa"/>
            <w:vAlign w:val="bottom"/>
          </w:tcPr>
          <w:p>
            <w:pPr>
              <w:jc w:val="center"/>
              <w:ind w:right="910"/>
              <w:spacing w:after="0"/>
              <w:rPr>
                <w:sz w:val="20"/>
                <w:szCs w:val="20"/>
                <w:color w:val="auto"/>
              </w:rPr>
            </w:pPr>
            <w:r>
              <w:rPr>
                <w:rFonts w:ascii="Arial" w:cs="Arial" w:eastAsia="Arial" w:hAnsi="Arial"/>
                <w:sz w:val="25"/>
                <w:szCs w:val="25"/>
                <w:b w:val="1"/>
                <w:bCs w:val="1"/>
                <w:color w:val="1B4093"/>
              </w:rPr>
              <w:t>$968.6M</w:t>
            </w:r>
          </w:p>
        </w:tc>
        <w:tc>
          <w:tcPr>
            <w:tcW w:w="4100" w:type="dxa"/>
            <w:vAlign w:val="bottom"/>
          </w:tcPr>
          <w:p>
            <w:pPr>
              <w:jc w:val="center"/>
              <w:ind w:left="188"/>
              <w:spacing w:after="0"/>
              <w:rPr>
                <w:sz w:val="20"/>
                <w:szCs w:val="20"/>
                <w:color w:val="auto"/>
              </w:rPr>
            </w:pPr>
            <w:r>
              <w:rPr>
                <w:rFonts w:ascii="Arial" w:cs="Arial" w:eastAsia="Arial" w:hAnsi="Arial"/>
                <w:sz w:val="25"/>
                <w:szCs w:val="25"/>
                <w:b w:val="1"/>
                <w:bCs w:val="1"/>
                <w:color w:val="1B4093"/>
              </w:rPr>
              <w:t>$716.5M</w:t>
            </w:r>
          </w:p>
        </w:tc>
        <w:tc>
          <w:tcPr>
            <w:tcW w:w="3160" w:type="dxa"/>
            <w:vAlign w:val="bottom"/>
          </w:tcPr>
          <w:p>
            <w:pPr>
              <w:jc w:val="center"/>
              <w:ind w:left="650"/>
              <w:spacing w:after="0"/>
              <w:rPr>
                <w:sz w:val="20"/>
                <w:szCs w:val="20"/>
                <w:color w:val="auto"/>
              </w:rPr>
            </w:pPr>
            <w:r>
              <w:rPr>
                <w:rFonts w:ascii="Arial" w:cs="Arial" w:eastAsia="Arial" w:hAnsi="Arial"/>
                <w:sz w:val="25"/>
                <w:szCs w:val="25"/>
                <w:b w:val="1"/>
                <w:bCs w:val="1"/>
                <w:color w:val="1B4093"/>
                <w:w w:val="99"/>
              </w:rPr>
              <w:t>$7.60</w:t>
            </w:r>
          </w:p>
        </w:tc>
      </w:tr>
      <w:tr>
        <w:trPr>
          <w:trHeight w:val="234"/>
        </w:trPr>
        <w:tc>
          <w:tcPr>
            <w:tcW w:w="2300" w:type="dxa"/>
            <w:vAlign w:val="bottom"/>
          </w:tcPr>
          <w:p>
            <w:pPr>
              <w:jc w:val="center"/>
              <w:ind w:right="930"/>
              <w:spacing w:after="0"/>
              <w:rPr>
                <w:sz w:val="20"/>
                <w:szCs w:val="20"/>
                <w:color w:val="auto"/>
              </w:rPr>
            </w:pPr>
            <w:r>
              <w:rPr>
                <w:rFonts w:ascii="Arial" w:cs="Arial" w:eastAsia="Arial" w:hAnsi="Arial"/>
                <w:sz w:val="14"/>
                <w:szCs w:val="14"/>
                <w:color w:val="auto"/>
              </w:rPr>
              <w:t>+93.1% vs. 2020</w:t>
            </w:r>
          </w:p>
        </w:tc>
        <w:tc>
          <w:tcPr>
            <w:tcW w:w="4100" w:type="dxa"/>
            <w:vAlign w:val="bottom"/>
          </w:tcPr>
          <w:p>
            <w:pPr>
              <w:jc w:val="center"/>
              <w:ind w:left="188"/>
              <w:spacing w:after="0"/>
              <w:rPr>
                <w:sz w:val="20"/>
                <w:szCs w:val="20"/>
                <w:color w:val="auto"/>
              </w:rPr>
            </w:pPr>
            <w:r>
              <w:rPr>
                <w:rFonts w:ascii="Arial" w:cs="Arial" w:eastAsia="Arial" w:hAnsi="Arial"/>
                <w:sz w:val="14"/>
                <w:szCs w:val="14"/>
                <w:color w:val="auto"/>
              </w:rPr>
              <w:t>+129.9% vs. 2020</w:t>
            </w:r>
          </w:p>
        </w:tc>
        <w:tc>
          <w:tcPr>
            <w:tcW w:w="3160" w:type="dxa"/>
            <w:vAlign w:val="bottom"/>
          </w:tcPr>
          <w:p>
            <w:pPr>
              <w:jc w:val="center"/>
              <w:ind w:left="650"/>
              <w:spacing w:after="0"/>
              <w:rPr>
                <w:sz w:val="20"/>
                <w:szCs w:val="20"/>
                <w:color w:val="auto"/>
              </w:rPr>
            </w:pPr>
            <w:r>
              <w:rPr>
                <w:rFonts w:ascii="Arial" w:cs="Arial" w:eastAsia="Arial" w:hAnsi="Arial"/>
                <w:sz w:val="14"/>
                <w:szCs w:val="14"/>
                <w:color w:val="auto"/>
              </w:rPr>
              <w:t>+$3.77 vs. 2020</w:t>
            </w:r>
          </w:p>
        </w:tc>
      </w:tr>
      <w:tr>
        <w:trPr>
          <w:trHeight w:val="217"/>
        </w:trPr>
        <w:tc>
          <w:tcPr>
            <w:tcW w:w="2300" w:type="dxa"/>
            <w:vAlign w:val="bottom"/>
          </w:tcPr>
          <w:p>
            <w:pPr>
              <w:jc w:val="center"/>
              <w:ind w:right="930"/>
              <w:spacing w:after="0"/>
              <w:rPr>
                <w:sz w:val="20"/>
                <w:szCs w:val="20"/>
                <w:color w:val="auto"/>
              </w:rPr>
            </w:pPr>
            <w:r>
              <w:rPr>
                <w:rFonts w:ascii="Arial" w:cs="Arial" w:eastAsia="Arial" w:hAnsi="Arial"/>
                <w:sz w:val="14"/>
                <w:szCs w:val="14"/>
                <w:color w:val="auto"/>
              </w:rPr>
              <w:t>+371.2% vs. 2019</w:t>
            </w:r>
          </w:p>
        </w:tc>
        <w:tc>
          <w:tcPr>
            <w:tcW w:w="4100" w:type="dxa"/>
            <w:vAlign w:val="bottom"/>
          </w:tcPr>
          <w:p>
            <w:pPr>
              <w:jc w:val="center"/>
              <w:ind w:left="188"/>
              <w:spacing w:after="0"/>
              <w:rPr>
                <w:sz w:val="20"/>
                <w:szCs w:val="20"/>
                <w:color w:val="auto"/>
              </w:rPr>
            </w:pPr>
            <w:r>
              <w:rPr>
                <w:rFonts w:ascii="Arial" w:cs="Arial" w:eastAsia="Arial" w:hAnsi="Arial"/>
                <w:sz w:val="14"/>
                <w:szCs w:val="14"/>
                <w:color w:val="auto"/>
              </w:rPr>
              <w:t>+843.7% vs. 2019</w:t>
            </w:r>
          </w:p>
        </w:tc>
        <w:tc>
          <w:tcPr>
            <w:tcW w:w="3160" w:type="dxa"/>
            <w:vAlign w:val="bottom"/>
          </w:tcPr>
          <w:p>
            <w:pPr>
              <w:jc w:val="center"/>
              <w:ind w:left="650"/>
              <w:spacing w:after="0"/>
              <w:rPr>
                <w:sz w:val="20"/>
                <w:szCs w:val="20"/>
                <w:color w:val="auto"/>
              </w:rPr>
            </w:pPr>
            <w:r>
              <w:rPr>
                <w:rFonts w:ascii="Arial" w:cs="Arial" w:eastAsia="Arial" w:hAnsi="Arial"/>
                <w:sz w:val="14"/>
                <w:szCs w:val="14"/>
                <w:color w:val="auto"/>
              </w:rPr>
              <w:t>+$6.58 vs.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-705485</wp:posOffset>
            </wp:positionV>
            <wp:extent cx="7123430" cy="7626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23430" cy="7626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-1623060</wp:posOffset>
            </wp:positionV>
            <wp:extent cx="7123430" cy="7632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23430" cy="7632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-2514600</wp:posOffset>
            </wp:positionV>
            <wp:extent cx="7123430" cy="7372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23430" cy="737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845185</wp:posOffset>
            </wp:positionV>
            <wp:extent cx="857250"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0" w:type="dxa"/>
        <w:tblCellMar>
          <w:top w:w="0" w:type="dxa"/>
          <w:left w:w="0" w:type="dxa"/>
          <w:bottom w:w="0" w:type="dxa"/>
          <w:right w:w="0" w:type="dxa"/>
        </w:tblCellMar>
      </w:tblPr>
      <w:tr>
        <w:trPr>
          <w:trHeight w:val="328"/>
        </w:trPr>
        <w:tc>
          <w:tcPr>
            <w:tcW w:w="3720" w:type="dxa"/>
            <w:vAlign w:val="bottom"/>
            <w:tcBorders>
              <w:top w:val="single" w:sz="8" w:color="DBDBDB"/>
              <w:left w:val="single" w:sz="8" w:color="DBDBDB"/>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Delivered 10 consecutive quarters of Comparable</w:t>
            </w:r>
          </w:p>
        </w:tc>
        <w:tc>
          <w:tcPr>
            <w:tcW w:w="3740" w:type="dxa"/>
            <w:vAlign w:val="bottom"/>
            <w:tcBorders>
              <w:top w:val="single" w:sz="8" w:color="DBDBDB"/>
            </w:tcBorders>
          </w:tcPr>
          <w:p>
            <w:pPr>
              <w:jc w:val="center"/>
              <w:spacing w:after="0"/>
              <w:rPr>
                <w:sz w:val="20"/>
                <w:szCs w:val="20"/>
                <w:color w:val="auto"/>
              </w:rPr>
            </w:pPr>
            <w:r>
              <w:rPr>
                <w:rFonts w:ascii="Arial" w:cs="Arial" w:eastAsia="Arial" w:hAnsi="Arial"/>
                <w:sz w:val="14"/>
                <w:szCs w:val="14"/>
                <w:color w:val="auto"/>
              </w:rPr>
              <w:t>Delivered industry leading store sales and</w:t>
            </w:r>
          </w:p>
        </w:tc>
        <w:tc>
          <w:tcPr>
            <w:tcW w:w="3760" w:type="dxa"/>
            <w:vAlign w:val="bottom"/>
            <w:tcBorders>
              <w:top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Delivered average of $3.7M of Adjusted EBIT* per</w:t>
            </w:r>
          </w:p>
        </w:tc>
        <w:tc>
          <w:tcPr>
            <w:tcW w:w="0" w:type="dxa"/>
            <w:vAlign w:val="bottom"/>
          </w:tcPr>
          <w:p>
            <w:pPr>
              <w:spacing w:after="0"/>
              <w:rPr>
                <w:sz w:val="1"/>
                <w:szCs w:val="1"/>
                <w:color w:val="auto"/>
              </w:rPr>
            </w:pPr>
          </w:p>
        </w:tc>
      </w:tr>
      <w:tr>
        <w:trPr>
          <w:trHeight w:val="95"/>
        </w:trPr>
        <w:tc>
          <w:tcPr>
            <w:tcW w:w="3720" w:type="dxa"/>
            <w:vAlign w:val="bottom"/>
            <w:tcBorders>
              <w:left w:val="single" w:sz="8" w:color="DBDBDB"/>
            </w:tcBorders>
            <w:vMerge w:val="continue"/>
            <w:shd w:val="clear" w:color="auto" w:fill="DBDBDB"/>
          </w:tcPr>
          <w:p>
            <w:pPr>
              <w:spacing w:after="0"/>
              <w:rPr>
                <w:sz w:val="8"/>
                <w:szCs w:val="8"/>
                <w:color w:val="auto"/>
              </w:rPr>
            </w:pPr>
          </w:p>
        </w:tc>
        <w:tc>
          <w:tcPr>
            <w:tcW w:w="3740" w:type="dxa"/>
            <w:vAlign w:val="bottom"/>
            <w:vMerge w:val="restart"/>
          </w:tcPr>
          <w:p>
            <w:pPr>
              <w:jc w:val="center"/>
              <w:spacing w:after="0"/>
              <w:rPr>
                <w:sz w:val="20"/>
                <w:szCs w:val="20"/>
                <w:color w:val="auto"/>
              </w:rPr>
            </w:pPr>
            <w:r>
              <w:rPr>
                <w:rFonts w:ascii="Arial" w:cs="Arial" w:eastAsia="Arial" w:hAnsi="Arial"/>
                <w:sz w:val="14"/>
                <w:szCs w:val="14"/>
                <w:color w:val="auto"/>
              </w:rPr>
              <w:t>profitability of $370 average sales per sq. foot,</w:t>
            </w:r>
          </w:p>
        </w:tc>
        <w:tc>
          <w:tcPr>
            <w:tcW w:w="3760" w:type="dxa"/>
            <w:vAlign w:val="bottom"/>
            <w:tcBorders>
              <w:right w:val="single" w:sz="8" w:color="DBDBDB"/>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store (+95% from 2020); 100% of stores are</w:t>
            </w:r>
          </w:p>
        </w:tc>
        <w:tc>
          <w:tcPr>
            <w:tcW w:w="0" w:type="dxa"/>
            <w:vAlign w:val="bottom"/>
          </w:tcPr>
          <w:p>
            <w:pPr>
              <w:spacing w:after="0"/>
              <w:rPr>
                <w:sz w:val="1"/>
                <w:szCs w:val="1"/>
                <w:color w:val="auto"/>
              </w:rPr>
            </w:pPr>
          </w:p>
        </w:tc>
      </w:tr>
      <w:tr>
        <w:trPr>
          <w:trHeight w:val="94"/>
        </w:trPr>
        <w:tc>
          <w:tcPr>
            <w:tcW w:w="3720" w:type="dxa"/>
            <w:vAlign w:val="bottom"/>
            <w:tcBorders>
              <w:left w:val="single" w:sz="8" w:color="DBDBDB"/>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Sales growth and Adjusted EBIT* growth</w:t>
            </w:r>
          </w:p>
        </w:tc>
        <w:tc>
          <w:tcPr>
            <w:tcW w:w="3740" w:type="dxa"/>
            <w:vAlign w:val="bottom"/>
            <w:vMerge w:val="continue"/>
          </w:tcPr>
          <w:p>
            <w:pPr>
              <w:spacing w:after="0"/>
              <w:rPr>
                <w:sz w:val="8"/>
                <w:szCs w:val="8"/>
                <w:color w:val="auto"/>
              </w:rPr>
            </w:pPr>
          </w:p>
        </w:tc>
        <w:tc>
          <w:tcPr>
            <w:tcW w:w="3760" w:type="dxa"/>
            <w:vAlign w:val="bottom"/>
            <w:tcBorders>
              <w:right w:val="single" w:sz="8" w:color="DBDBDB"/>
            </w:tcBorders>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720" w:type="dxa"/>
            <w:vAlign w:val="bottom"/>
            <w:tcBorders>
              <w:left w:val="single" w:sz="8" w:color="DBDBDB"/>
            </w:tcBorders>
            <w:vMerge w:val="continue"/>
            <w:shd w:val="clear" w:color="auto" w:fill="DBDBDB"/>
          </w:tcPr>
          <w:p>
            <w:pPr>
              <w:spacing w:after="0"/>
              <w:rPr>
                <w:sz w:val="8"/>
                <w:szCs w:val="8"/>
                <w:color w:val="auto"/>
              </w:rPr>
            </w:pPr>
          </w:p>
        </w:tc>
        <w:tc>
          <w:tcPr>
            <w:tcW w:w="3740" w:type="dxa"/>
            <w:vAlign w:val="bottom"/>
            <w:vMerge w:val="restart"/>
          </w:tcPr>
          <w:p>
            <w:pPr>
              <w:jc w:val="center"/>
              <w:spacing w:after="0"/>
              <w:rPr>
                <w:sz w:val="20"/>
                <w:szCs w:val="20"/>
                <w:color w:val="auto"/>
              </w:rPr>
            </w:pPr>
            <w:r>
              <w:rPr>
                <w:rFonts w:ascii="Arial" w:cs="Arial" w:eastAsia="Arial" w:hAnsi="Arial"/>
                <w:sz w:val="14"/>
                <w:szCs w:val="14"/>
                <w:color w:val="auto"/>
              </w:rPr>
              <w:t>+19% from 2020</w:t>
            </w:r>
          </w:p>
        </w:tc>
        <w:tc>
          <w:tcPr>
            <w:tcW w:w="3760" w:type="dxa"/>
            <w:vAlign w:val="bottom"/>
            <w:tcBorders>
              <w:right w:val="single" w:sz="8" w:color="DBDBDB"/>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profitable and accretive to earnings</w:t>
            </w:r>
          </w:p>
        </w:tc>
        <w:tc>
          <w:tcPr>
            <w:tcW w:w="0" w:type="dxa"/>
            <w:vAlign w:val="bottom"/>
          </w:tcPr>
          <w:p>
            <w:pPr>
              <w:spacing w:after="0"/>
              <w:rPr>
                <w:sz w:val="1"/>
                <w:szCs w:val="1"/>
                <w:color w:val="auto"/>
              </w:rPr>
            </w:pPr>
          </w:p>
        </w:tc>
      </w:tr>
      <w:tr>
        <w:trPr>
          <w:trHeight w:val="94"/>
        </w:trPr>
        <w:tc>
          <w:tcPr>
            <w:tcW w:w="3720" w:type="dxa"/>
            <w:vAlign w:val="bottom"/>
            <w:tcBorders>
              <w:left w:val="single" w:sz="8" w:color="DBDBDB"/>
            </w:tcBorders>
            <w:shd w:val="clear" w:color="auto" w:fill="DBDBDB"/>
          </w:tcPr>
          <w:p>
            <w:pPr>
              <w:spacing w:after="0"/>
              <w:rPr>
                <w:sz w:val="8"/>
                <w:szCs w:val="8"/>
                <w:color w:val="auto"/>
              </w:rPr>
            </w:pPr>
          </w:p>
        </w:tc>
        <w:tc>
          <w:tcPr>
            <w:tcW w:w="3740" w:type="dxa"/>
            <w:vAlign w:val="bottom"/>
            <w:vMerge w:val="continue"/>
          </w:tcPr>
          <w:p>
            <w:pPr>
              <w:spacing w:after="0"/>
              <w:rPr>
                <w:sz w:val="8"/>
                <w:szCs w:val="8"/>
                <w:color w:val="auto"/>
              </w:rPr>
            </w:pPr>
          </w:p>
        </w:tc>
        <w:tc>
          <w:tcPr>
            <w:tcW w:w="3760" w:type="dxa"/>
            <w:vAlign w:val="bottom"/>
            <w:tcBorders>
              <w:right w:val="single" w:sz="8" w:color="DBDBDB"/>
            </w:tcBorders>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3720" w:type="dxa"/>
            <w:vAlign w:val="bottom"/>
            <w:tcBorders>
              <w:left w:val="single" w:sz="8" w:color="DBDBDB"/>
            </w:tcBorders>
            <w:shd w:val="clear" w:color="auto" w:fill="DBDBDB"/>
          </w:tcPr>
          <w:p>
            <w:pPr>
              <w:spacing w:after="0"/>
              <w:rPr>
                <w:sz w:val="12"/>
                <w:szCs w:val="12"/>
                <w:color w:val="auto"/>
              </w:rPr>
            </w:pPr>
          </w:p>
        </w:tc>
        <w:tc>
          <w:tcPr>
            <w:tcW w:w="3740" w:type="dxa"/>
            <w:vAlign w:val="bottom"/>
          </w:tcPr>
          <w:p>
            <w:pPr>
              <w:spacing w:after="0"/>
              <w:rPr>
                <w:sz w:val="12"/>
                <w:szCs w:val="12"/>
                <w:color w:val="auto"/>
              </w:rPr>
            </w:pPr>
          </w:p>
        </w:tc>
        <w:tc>
          <w:tcPr>
            <w:tcW w:w="3760" w:type="dxa"/>
            <w:vAlign w:val="bottom"/>
            <w:tcBorders>
              <w:right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3720" w:type="dxa"/>
            <w:vAlign w:val="bottom"/>
            <w:tcBorders>
              <w:left w:val="single" w:sz="8" w:color="DBDBDB"/>
            </w:tcBorders>
          </w:tcPr>
          <w:p>
            <w:pPr>
              <w:jc w:val="center"/>
              <w:spacing w:after="0"/>
              <w:rPr>
                <w:sz w:val="20"/>
                <w:szCs w:val="20"/>
                <w:color w:val="auto"/>
              </w:rPr>
            </w:pPr>
            <w:r>
              <w:rPr>
                <w:rFonts w:ascii="Arial" w:cs="Arial" w:eastAsia="Arial" w:hAnsi="Arial"/>
                <w:sz w:val="14"/>
                <w:szCs w:val="14"/>
                <w:color w:val="auto"/>
              </w:rPr>
              <w:t>Repurchased and retired $411 million and 10.6 million</w:t>
            </w:r>
          </w:p>
        </w:tc>
        <w:tc>
          <w:tcPr>
            <w:tcW w:w="37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Increased eCommerce growth by +6.2% vs. 2020,</w:t>
            </w:r>
          </w:p>
        </w:tc>
        <w:tc>
          <w:tcPr>
            <w:tcW w:w="376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4"/>
                <w:szCs w:val="14"/>
                <w:color w:val="auto"/>
              </w:rPr>
              <w:t>Reduced and refinanced the Company’s term loan</w:t>
            </w:r>
          </w:p>
        </w:tc>
        <w:tc>
          <w:tcPr>
            <w:tcW w:w="0" w:type="dxa"/>
            <w:vAlign w:val="bottom"/>
          </w:tcPr>
          <w:p>
            <w:pPr>
              <w:spacing w:after="0"/>
              <w:rPr>
                <w:sz w:val="1"/>
                <w:szCs w:val="1"/>
                <w:color w:val="auto"/>
              </w:rPr>
            </w:pPr>
          </w:p>
        </w:tc>
      </w:tr>
      <w:tr>
        <w:trPr>
          <w:trHeight w:val="96"/>
        </w:trPr>
        <w:tc>
          <w:tcPr>
            <w:tcW w:w="3720" w:type="dxa"/>
            <w:vAlign w:val="bottom"/>
            <w:tcBorders>
              <w:left w:val="single" w:sz="8" w:color="DBDBDB"/>
            </w:tcBorders>
            <w:vMerge w:val="restart"/>
          </w:tcPr>
          <w:p>
            <w:pPr>
              <w:jc w:val="center"/>
              <w:spacing w:after="0"/>
              <w:rPr>
                <w:sz w:val="20"/>
                <w:szCs w:val="20"/>
                <w:color w:val="auto"/>
              </w:rPr>
            </w:pPr>
            <w:r>
              <w:rPr>
                <w:rFonts w:ascii="Arial" w:cs="Arial" w:eastAsia="Arial" w:hAnsi="Arial"/>
                <w:sz w:val="14"/>
                <w:szCs w:val="14"/>
                <w:color w:val="auto"/>
              </w:rPr>
              <w:t>shares of common stock</w:t>
            </w:r>
          </w:p>
        </w:tc>
        <w:tc>
          <w:tcPr>
            <w:tcW w:w="374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and +153.1% vs. 2019</w:t>
            </w:r>
          </w:p>
        </w:tc>
        <w:tc>
          <w:tcPr>
            <w:tcW w:w="3760" w:type="dxa"/>
            <w:vAlign w:val="bottom"/>
            <w:tcBorders>
              <w:right w:val="single" w:sz="8" w:color="DBDBDB"/>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720" w:type="dxa"/>
            <w:vAlign w:val="bottom"/>
            <w:tcBorders>
              <w:left w:val="single" w:sz="8" w:color="DBDBDB"/>
            </w:tcBorders>
            <w:vMerge w:val="continue"/>
          </w:tcPr>
          <w:p>
            <w:pPr>
              <w:spacing w:after="0"/>
              <w:rPr>
                <w:sz w:val="8"/>
                <w:szCs w:val="8"/>
                <w:color w:val="auto"/>
              </w:rPr>
            </w:pPr>
          </w:p>
        </w:tc>
        <w:tc>
          <w:tcPr>
            <w:tcW w:w="3740" w:type="dxa"/>
            <w:vAlign w:val="bottom"/>
            <w:vMerge w:val="continue"/>
            <w:shd w:val="clear" w:color="auto" w:fill="DBDBDB"/>
          </w:tcPr>
          <w:p>
            <w:pPr>
              <w:spacing w:after="0"/>
              <w:rPr>
                <w:sz w:val="8"/>
                <w:szCs w:val="8"/>
                <w:color w:val="auto"/>
              </w:rPr>
            </w:pPr>
          </w:p>
        </w:tc>
        <w:tc>
          <w:tcPr>
            <w:tcW w:w="3760" w:type="dxa"/>
            <w:vAlign w:val="bottom"/>
            <w:tcBorders>
              <w:right w:val="single" w:sz="8" w:color="DBDBDB"/>
            </w:tcBorders>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3720" w:type="dxa"/>
            <w:vAlign w:val="bottom"/>
            <w:tcBorders>
              <w:left w:val="single" w:sz="8" w:color="DBDBDB"/>
              <w:bottom w:val="single" w:sz="8" w:color="DBDBDB"/>
            </w:tcBorders>
          </w:tcPr>
          <w:p>
            <w:pPr>
              <w:spacing w:after="0"/>
              <w:rPr>
                <w:sz w:val="12"/>
                <w:szCs w:val="12"/>
                <w:color w:val="auto"/>
              </w:rPr>
            </w:pPr>
          </w:p>
        </w:tc>
        <w:tc>
          <w:tcPr>
            <w:tcW w:w="3740" w:type="dxa"/>
            <w:vAlign w:val="bottom"/>
            <w:tcBorders>
              <w:bottom w:val="single" w:sz="8" w:color="DBDBDB"/>
            </w:tcBorders>
            <w:shd w:val="clear" w:color="auto" w:fill="DBDBDB"/>
          </w:tcPr>
          <w:p>
            <w:pPr>
              <w:spacing w:after="0"/>
              <w:rPr>
                <w:sz w:val="12"/>
                <w:szCs w:val="12"/>
                <w:color w:val="auto"/>
              </w:rPr>
            </w:pPr>
          </w:p>
        </w:tc>
        <w:tc>
          <w:tcPr>
            <w:tcW w:w="3760" w:type="dxa"/>
            <w:vAlign w:val="bottom"/>
            <w:tcBorders>
              <w:bottom w:val="single" w:sz="8" w:color="DBDBDB"/>
              <w:right w:val="single" w:sz="8" w:color="DBDBDB"/>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500" w:firstLine="8"/>
        <w:spacing w:after="0" w:line="322" w:lineRule="auto"/>
        <w:tabs>
          <w:tab w:leader="none" w:pos="96"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See “Reconciliations of GAAP to Non-GAAP Financial Measures” below for reconciliations of non-GAAP financial measures used in this Proxy Statement, including this Compensation Discussion &amp; Analysis, to their most directly comparable GAAP financial measures.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2021 Compensation Highlights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Base Salary</w:t>
      </w:r>
    </w:p>
    <w:p>
      <w:pPr>
        <w:spacing w:after="0" w:line="81" w:lineRule="exact"/>
        <w:rPr>
          <w:sz w:val="20"/>
          <w:szCs w:val="20"/>
          <w:color w:val="auto"/>
        </w:rPr>
      </w:pPr>
    </w:p>
    <w:p>
      <w:pPr>
        <w:ind w:left="460" w:hanging="209"/>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Hicks declined a base salary increase for 2021 and for the fourth year in a row.</w:t>
      </w:r>
    </w:p>
    <w:p>
      <w:pPr>
        <w:spacing w:after="0" w:line="126" w:lineRule="exact"/>
        <w:rPr>
          <w:rFonts w:ascii="Arial" w:cs="Arial" w:eastAsia="Arial" w:hAnsi="Arial"/>
          <w:sz w:val="16"/>
          <w:szCs w:val="16"/>
          <w:color w:val="auto"/>
        </w:rPr>
      </w:pPr>
    </w:p>
    <w:p>
      <w:pPr>
        <w:ind w:left="500" w:right="440" w:hanging="249"/>
        <w:spacing w:after="0" w:line="286" w:lineRule="auto"/>
        <w:tabs>
          <w:tab w:leader="none" w:pos="4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March, the Committee approved a 3% base salary increase for Mr. Lawrence based on market competitiveness, the scope of his role, his high performance and to help ensure high-quality, stable executive leadership.</w:t>
      </w:r>
    </w:p>
    <w:p>
      <w:pPr>
        <w:spacing w:after="0" w:line="61" w:lineRule="exact"/>
        <w:rPr>
          <w:rFonts w:ascii="Arial" w:cs="Arial" w:eastAsia="Arial" w:hAnsi="Arial"/>
          <w:sz w:val="16"/>
          <w:szCs w:val="16"/>
          <w:color w:val="auto"/>
        </w:rPr>
      </w:pPr>
    </w:p>
    <w:p>
      <w:pPr>
        <w:ind w:left="500" w:right="40" w:hanging="249"/>
        <w:spacing w:after="0" w:line="265" w:lineRule="auto"/>
        <w:tabs>
          <w:tab w:leader="none" w:pos="4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September, in consultation with its independent compensation consultant, the Committee undertook a review of the total annual compensation opportunities for certain key leaders, including our NEOs. As a result of the review, the Committee approved increases of the base salaries of Messrs. Mullican, Johnson and Maini by 18.4%, 9.5%, and 4.8%, respectively, so as to provide each NEO with a market-competitive package designed to reward strong performance and retain their services for the Company’s long-term growth.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Annual Cash Incentives</w:t>
      </w:r>
    </w:p>
    <w:p>
      <w:pPr>
        <w:spacing w:after="0" w:line="81" w:lineRule="exact"/>
        <w:rPr>
          <w:sz w:val="20"/>
          <w:szCs w:val="20"/>
          <w:color w:val="auto"/>
        </w:rPr>
      </w:pPr>
    </w:p>
    <w:p>
      <w:pPr>
        <w:ind w:left="460" w:hanging="209"/>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March, 2021, the Committee approved the following modifications to the 2021 Executive Team Bonus Plan;</w:t>
      </w:r>
    </w:p>
    <w:p>
      <w:pPr>
        <w:spacing w:after="0" w:line="126" w:lineRule="exact"/>
        <w:rPr>
          <w:rFonts w:ascii="Arial" w:cs="Arial" w:eastAsia="Arial" w:hAnsi="Arial"/>
          <w:sz w:val="16"/>
          <w:szCs w:val="16"/>
          <w:color w:val="auto"/>
        </w:rPr>
      </w:pPr>
    </w:p>
    <w:p>
      <w:pPr>
        <w:ind w:left="900" w:right="180" w:hanging="244"/>
        <w:spacing w:after="0" w:line="304" w:lineRule="auto"/>
        <w:tabs>
          <w:tab w:leader="none" w:pos="8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To better align with our financial goals as a newly public company, the Committee changed the profit metric from Adjusted EBITDA to Adjusted EBIT and increased the weighting of this metric from 40% to 50% of the total bonus opportunity,</w:t>
      </w:r>
    </w:p>
    <w:p>
      <w:pPr>
        <w:spacing w:after="0" w:line="33" w:lineRule="exact"/>
        <w:rPr>
          <w:rFonts w:ascii="Arial" w:cs="Arial" w:eastAsia="Arial" w:hAnsi="Arial"/>
          <w:sz w:val="16"/>
          <w:szCs w:val="16"/>
          <w:color w:val="auto"/>
        </w:rPr>
      </w:pPr>
    </w:p>
    <w:p>
      <w:pPr>
        <w:ind w:left="880" w:hanging="224"/>
        <w:spacing w:after="0"/>
        <w:tabs>
          <w:tab w:leader="none" w:pos="8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 connection with this change, the Committee approved removal of ROIC as a metric under the plan,</w:t>
      </w:r>
    </w:p>
    <w:p>
      <w:pPr>
        <w:spacing w:after="0" w:line="126" w:lineRule="exact"/>
        <w:rPr>
          <w:rFonts w:ascii="Arial" w:cs="Arial" w:eastAsia="Arial" w:hAnsi="Arial"/>
          <w:sz w:val="16"/>
          <w:szCs w:val="16"/>
          <w:color w:val="auto"/>
        </w:rPr>
      </w:pPr>
    </w:p>
    <w:p>
      <w:pPr>
        <w:ind w:left="900" w:right="220" w:hanging="244"/>
        <w:spacing w:after="0" w:line="266" w:lineRule="auto"/>
        <w:tabs>
          <w:tab w:leader="none" w:pos="8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To help streamline the plan design and keep the plan competitive, the Committee approved the salary level used in the calculation of target bonus opportunities from a weighted average base salary earned over the year to each officer’s base salary level as in effect at the end of the fiscal year, and</w:t>
      </w:r>
    </w:p>
    <w:p>
      <w:pPr>
        <w:spacing w:after="0" w:line="76" w:lineRule="exact"/>
        <w:rPr>
          <w:rFonts w:ascii="Arial" w:cs="Arial" w:eastAsia="Arial" w:hAnsi="Arial"/>
          <w:sz w:val="16"/>
          <w:szCs w:val="16"/>
          <w:color w:val="auto"/>
        </w:rPr>
      </w:pPr>
    </w:p>
    <w:p>
      <w:pPr>
        <w:ind w:left="900" w:right="420" w:hanging="244"/>
        <w:spacing w:after="0" w:line="266" w:lineRule="auto"/>
        <w:tabs>
          <w:tab w:leader="none" w:pos="8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After a review of market competitive practices and in an effort to increase his percentage of at risk, performance-based pay, the Committee approved an increase of Mr. Hicks’s target bonus opportunity from 150% to 175% of base salary while also reducing his maximum payout opportunity from 300% to 200% of base salary.</w:t>
      </w:r>
    </w:p>
    <w:p>
      <w:pPr>
        <w:spacing w:after="0" w:line="76" w:lineRule="exact"/>
        <w:rPr>
          <w:rFonts w:ascii="Arial" w:cs="Arial" w:eastAsia="Arial" w:hAnsi="Arial"/>
          <w:sz w:val="16"/>
          <w:szCs w:val="16"/>
          <w:color w:val="auto"/>
        </w:rPr>
      </w:pPr>
    </w:p>
    <w:p>
      <w:pPr>
        <w:ind w:left="500" w:hanging="249"/>
        <w:spacing w:after="0" w:line="275" w:lineRule="auto"/>
        <w:tabs>
          <w:tab w:leader="none" w:pos="4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September, as part of its comprehensive review of certain NEO’s total annual compensation opportunities in consultation with its independent compensation consultant, the Committee approved increases of Mr. Mullican’s and Mr. Johnson’s target bonus opportunities each from 100% to 120% of base salary for 2021.</w:t>
      </w:r>
    </w:p>
    <w:p>
      <w:pPr>
        <w:spacing w:after="0" w:line="56" w:lineRule="exact"/>
        <w:rPr>
          <w:rFonts w:ascii="Arial" w:cs="Arial" w:eastAsia="Arial" w:hAnsi="Arial"/>
          <w:sz w:val="16"/>
          <w:szCs w:val="16"/>
          <w:color w:val="auto"/>
        </w:rPr>
      </w:pPr>
    </w:p>
    <w:p>
      <w:pPr>
        <w:ind w:left="500" w:right="260" w:hanging="249"/>
        <w:spacing w:after="0" w:line="286" w:lineRule="auto"/>
        <w:tabs>
          <w:tab w:leader="none" w:pos="4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2021 Executive Team Bonus Plan payouts were earned at 190% to 200% of each NEO’s target opportunity, due to the Company’s outstanding financial results that far exceeded the goals set at the beginning of the year and the excellent individual performance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776605</wp:posOffset>
            </wp:positionV>
            <wp:extent cx="857250"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color w:val="007EC4"/>
        </w:rPr>
        <w:t xml:space="preserve">36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Long-Term Equity Incentives</w:t>
      </w:r>
    </w:p>
    <w:p>
      <w:pPr>
        <w:spacing w:after="0" w:line="68" w:lineRule="exact"/>
        <w:rPr>
          <w:sz w:val="20"/>
          <w:szCs w:val="20"/>
          <w:color w:val="auto"/>
        </w:rPr>
      </w:pPr>
    </w:p>
    <w:p>
      <w:pPr>
        <w:ind w:left="500" w:hanging="249"/>
        <w:spacing w:after="0" w:line="304" w:lineRule="auto"/>
        <w:tabs>
          <w:tab w:leader="none" w:pos="4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Committee approved annual long-term equity incentive award grants in March 2021 with the total target grant value allocated across a mix of 33% performance-based RSUs and 67% stock options (“Options”) (which the Committee considers to be linked to company performance).</w:t>
      </w:r>
    </w:p>
    <w:p>
      <w:pPr>
        <w:spacing w:after="0" w:line="33" w:lineRule="exact"/>
        <w:rPr>
          <w:rFonts w:ascii="Arial" w:cs="Arial" w:eastAsia="Arial" w:hAnsi="Arial"/>
          <w:sz w:val="16"/>
          <w:szCs w:val="16"/>
          <w:color w:val="auto"/>
        </w:rPr>
      </w:pPr>
    </w:p>
    <w:p>
      <w:pPr>
        <w:ind w:left="500" w:right="420" w:hanging="249"/>
        <w:spacing w:after="0" w:line="304" w:lineRule="auto"/>
        <w:tabs>
          <w:tab w:leader="none" w:pos="4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completion of the Company’s secondary public offering in May of 2021 resulted in a change of control event under the Company’s 2011 Unit Incentive Plan that caused all equity awards granted under that plan to vest in full, including all such awards held by our NEOs.</w:t>
      </w:r>
    </w:p>
    <w:p>
      <w:pPr>
        <w:spacing w:after="0" w:line="33" w:lineRule="exact"/>
        <w:rPr>
          <w:rFonts w:ascii="Arial" w:cs="Arial" w:eastAsia="Arial" w:hAnsi="Arial"/>
          <w:sz w:val="16"/>
          <w:szCs w:val="16"/>
          <w:color w:val="auto"/>
        </w:rPr>
      </w:pPr>
    </w:p>
    <w:p>
      <w:pPr>
        <w:ind w:left="500" w:right="40" w:hanging="249"/>
        <w:spacing w:after="0" w:line="260" w:lineRule="auto"/>
        <w:tabs>
          <w:tab w:leader="none" w:pos="4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Following this vesting event and as part of its comprehensive annual compensation review, the Committee approved additional equity award grants in September of 2021 for certain of our senior leaders, including Messrs. Mullican, Lawrence, Johnson and Maini. These special grants were in the form of time-based RSUs that vest 50% on each of the second and third anniversaries of the grant date, subject to the executive’s continued employment through the applicable vesting date. These equity awards are designed to retain key team members while aligning their long-term compensation with stockholder interests.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Say on Pay (“SOP”) Vote Result</w:t>
      </w:r>
    </w:p>
    <w:p>
      <w:pPr>
        <w:spacing w:after="0" w:line="68" w:lineRule="exact"/>
        <w:rPr>
          <w:sz w:val="20"/>
          <w:szCs w:val="20"/>
          <w:color w:val="auto"/>
        </w:rPr>
      </w:pPr>
    </w:p>
    <w:p>
      <w:pPr>
        <w:ind w:left="500" w:right="200" w:hanging="249"/>
        <w:spacing w:after="0" w:line="275" w:lineRule="auto"/>
        <w:tabs>
          <w:tab w:leader="none" w:pos="4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Over 99% of stockholder votes cast on our 2021 say on pay vote were cast in favor of our executive compensation program. The Committee values stockholder input and considered the results of this vote. Given the strong level of support, the Committee did not make any changes to the compensation program as a result of this vote.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What We Do/What We Don’t Do</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We have implemented a number of compensation best practices in our program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40575" cy="22028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0575" cy="220281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307" w:lineRule="exact"/>
        <w:rPr>
          <w:sz w:val="20"/>
          <w:szCs w:val="20"/>
          <w:color w:val="auto"/>
        </w:rPr>
      </w:pPr>
    </w:p>
    <w:p>
      <w:pPr>
        <w:jc w:val="center"/>
        <w:ind w:left="920"/>
        <w:spacing w:after="0"/>
        <w:rPr>
          <w:sz w:val="20"/>
          <w:szCs w:val="20"/>
          <w:color w:val="auto"/>
        </w:rPr>
      </w:pPr>
      <w:r>
        <w:rPr>
          <w:rFonts w:ascii="Arial" w:cs="Arial" w:eastAsia="Arial" w:hAnsi="Arial"/>
          <w:sz w:val="14"/>
          <w:szCs w:val="14"/>
          <w:b w:val="1"/>
          <w:bCs w:val="1"/>
          <w:color w:val="auto"/>
        </w:rPr>
        <w:t>What We Do</w:t>
      </w:r>
    </w:p>
    <w:p>
      <w:pPr>
        <w:spacing w:after="0" w:line="155" w:lineRule="exact"/>
        <w:rPr>
          <w:sz w:val="20"/>
          <w:szCs w:val="20"/>
          <w:color w:val="auto"/>
        </w:rPr>
      </w:pPr>
    </w:p>
    <w:p>
      <w:pPr>
        <w:ind w:left="820" w:hanging="583"/>
        <w:spacing w:after="0"/>
        <w:tabs>
          <w:tab w:leader="none" w:pos="820" w:val="left"/>
        </w:tabs>
        <w:numPr>
          <w:ilvl w:val="0"/>
          <w:numId w:val="23"/>
        </w:numPr>
        <w:rPr>
          <w:rFonts w:ascii="MS PGothic" w:cs="MS PGothic" w:eastAsia="MS PGothic" w:hAnsi="MS PGothic"/>
          <w:sz w:val="32"/>
          <w:szCs w:val="32"/>
          <w:color w:val="auto"/>
          <w:shd w:val="clear" w:color="auto" w:fill="007EC4"/>
        </w:rPr>
      </w:pPr>
      <w:r>
        <w:rPr>
          <w:rFonts w:ascii="Arial" w:cs="Arial" w:eastAsia="Arial" w:hAnsi="Arial"/>
          <w:sz w:val="14"/>
          <w:szCs w:val="14"/>
          <w:color w:val="auto"/>
        </w:rPr>
        <w:t>Committee comprised solely of independent non-employee directors.</w:t>
      </w:r>
    </w:p>
    <w:p>
      <w:pPr>
        <w:spacing w:after="0" w:line="262" w:lineRule="exact"/>
        <w:rPr>
          <w:rFonts w:ascii="MS PGothic" w:cs="MS PGothic" w:eastAsia="MS PGothic" w:hAnsi="MS PGothic"/>
          <w:sz w:val="32"/>
          <w:szCs w:val="32"/>
          <w:color w:val="auto"/>
          <w:shd w:val="clear" w:color="auto" w:fill="007EC4"/>
        </w:rPr>
      </w:pPr>
    </w:p>
    <w:p>
      <w:pPr>
        <w:jc w:val="both"/>
        <w:ind w:left="820" w:hanging="583"/>
        <w:spacing w:after="0" w:line="298" w:lineRule="auto"/>
        <w:tabs>
          <w:tab w:leader="none" w:pos="820" w:val="left"/>
        </w:tabs>
        <w:numPr>
          <w:ilvl w:val="0"/>
          <w:numId w:val="23"/>
        </w:numPr>
        <w:rPr>
          <w:rFonts w:ascii="MS PGothic" w:cs="MS PGothic" w:eastAsia="MS PGothic" w:hAnsi="MS PGothic"/>
          <w:sz w:val="40"/>
          <w:szCs w:val="40"/>
          <w:color w:val="auto"/>
          <w:vertAlign w:val="subscript"/>
          <w:shd w:val="clear" w:color="auto" w:fill="007EC4"/>
        </w:rPr>
      </w:pPr>
      <w:r>
        <w:rPr>
          <w:rFonts w:ascii="Arial" w:cs="Arial" w:eastAsia="Arial" w:hAnsi="Arial"/>
          <w:sz w:val="12"/>
          <w:szCs w:val="12"/>
          <w:color w:val="auto"/>
        </w:rPr>
        <w:t>Committee</w:t>
      </w:r>
      <w:r>
        <w:rPr>
          <w:rFonts w:ascii="Arial" w:cs="Arial" w:eastAsia="Arial" w:hAnsi="Arial"/>
          <w:sz w:val="20"/>
          <w:szCs w:val="20"/>
          <w:color w:val="auto"/>
          <w:vertAlign w:val="subscript"/>
        </w:rPr>
        <w:t>strategy.</w:t>
      </w:r>
      <w:r>
        <w:rPr>
          <w:rFonts w:ascii="Arial" w:cs="Arial" w:eastAsia="Arial" w:hAnsi="Arial"/>
          <w:sz w:val="12"/>
          <w:szCs w:val="12"/>
          <w:color w:val="auto"/>
        </w:rPr>
        <w:t xml:space="preserve"> conducts annual review and approval of our compensation Majority of compensation for our executive officers is “at risk” based on</w:t>
      </w:r>
    </w:p>
    <w:p>
      <w:pPr>
        <w:spacing w:after="0" w:line="1" w:lineRule="exact"/>
        <w:rPr>
          <w:rFonts w:ascii="MS PGothic" w:cs="MS PGothic" w:eastAsia="MS PGothic" w:hAnsi="MS PGothic"/>
          <w:sz w:val="40"/>
          <w:szCs w:val="40"/>
          <w:color w:val="auto"/>
          <w:vertAlign w:val="subscript"/>
          <w:shd w:val="clear" w:color="auto" w:fill="007EC4"/>
        </w:rPr>
      </w:pPr>
    </w:p>
    <w:p>
      <w:pPr>
        <w:ind w:left="820" w:right="140" w:hanging="583"/>
        <w:spacing w:after="0" w:line="181" w:lineRule="auto"/>
        <w:tabs>
          <w:tab w:leader="none" w:pos="820" w:val="left"/>
        </w:tabs>
        <w:numPr>
          <w:ilvl w:val="0"/>
          <w:numId w:val="23"/>
        </w:numPr>
        <w:rPr>
          <w:rFonts w:ascii="MS PGothic" w:cs="MS PGothic" w:eastAsia="MS PGothic" w:hAnsi="MS PGothic"/>
          <w:sz w:val="45"/>
          <w:szCs w:val="45"/>
          <w:color w:val="auto"/>
          <w:vertAlign w:val="subscript"/>
          <w:shd w:val="clear" w:color="auto" w:fill="007EC4"/>
        </w:rPr>
      </w:pPr>
      <w:r>
        <w:rPr>
          <w:rFonts w:ascii="Arial" w:cs="Arial" w:eastAsia="Arial" w:hAnsi="Arial"/>
          <w:sz w:val="13"/>
          <w:szCs w:val="13"/>
          <w:color w:val="auto"/>
        </w:rPr>
        <w:t>the Company’s performance, in the form of both short-term cash and long-term equity incentives to align the interests of our executive officers and stockholders.</w:t>
      </w:r>
    </w:p>
    <w:p>
      <w:pPr>
        <w:spacing w:after="0" w:line="54" w:lineRule="exact"/>
        <w:rPr>
          <w:rFonts w:ascii="MS PGothic" w:cs="MS PGothic" w:eastAsia="MS PGothic" w:hAnsi="MS PGothic"/>
          <w:sz w:val="45"/>
          <w:szCs w:val="45"/>
          <w:color w:val="auto"/>
          <w:vertAlign w:val="subscript"/>
          <w:shd w:val="clear" w:color="auto" w:fill="007EC4"/>
        </w:rPr>
      </w:pPr>
    </w:p>
    <w:p>
      <w:pPr>
        <w:ind w:left="820"/>
        <w:spacing w:after="0"/>
        <w:rPr>
          <w:rFonts w:ascii="MS PGothic" w:cs="MS PGothic" w:eastAsia="MS PGothic" w:hAnsi="MS PGothic"/>
          <w:sz w:val="45"/>
          <w:szCs w:val="45"/>
          <w:color w:val="auto"/>
          <w:vertAlign w:val="subscript"/>
          <w:shd w:val="clear" w:color="auto" w:fill="007EC4"/>
        </w:rPr>
      </w:pPr>
      <w:r>
        <w:rPr>
          <w:rFonts w:ascii="Arial" w:cs="Arial" w:eastAsia="Arial" w:hAnsi="Arial"/>
          <w:sz w:val="14"/>
          <w:szCs w:val="14"/>
          <w:color w:val="auto"/>
        </w:rPr>
        <w:t>Executive officers generally participate in broad-based company-</w:t>
      </w:r>
    </w:p>
    <w:p>
      <w:pPr>
        <w:spacing w:after="0" w:line="29" w:lineRule="exact"/>
        <w:rPr>
          <w:rFonts w:ascii="MS PGothic" w:cs="MS PGothic" w:eastAsia="MS PGothic" w:hAnsi="MS PGothic"/>
          <w:sz w:val="45"/>
          <w:szCs w:val="45"/>
          <w:color w:val="auto"/>
          <w:vertAlign w:val="subscript"/>
          <w:shd w:val="clear" w:color="auto" w:fill="007EC4"/>
        </w:rPr>
      </w:pPr>
    </w:p>
    <w:p>
      <w:pPr>
        <w:ind w:left="820" w:right="20" w:hanging="583"/>
        <w:spacing w:after="0" w:line="188" w:lineRule="auto"/>
        <w:tabs>
          <w:tab w:leader="none" w:pos="820" w:val="left"/>
        </w:tabs>
        <w:numPr>
          <w:ilvl w:val="0"/>
          <w:numId w:val="23"/>
        </w:numPr>
        <w:rPr>
          <w:rFonts w:ascii="MS PGothic" w:cs="MS PGothic" w:eastAsia="MS PGothic" w:hAnsi="MS PGothic"/>
          <w:sz w:val="32"/>
          <w:szCs w:val="32"/>
          <w:color w:val="auto"/>
          <w:shd w:val="clear" w:color="auto" w:fill="007EC4"/>
        </w:rPr>
      </w:pPr>
      <w:r>
        <w:rPr>
          <w:rFonts w:ascii="Arial" w:cs="Arial" w:eastAsia="Arial" w:hAnsi="Arial"/>
          <w:sz w:val="14"/>
          <w:szCs w:val="14"/>
          <w:color w:val="auto"/>
        </w:rPr>
        <w:t>sponsored health and welfare benefits programs on the same basis as our other full-time, salaried team members.</w:t>
      </w:r>
    </w:p>
    <w:p>
      <w:pPr>
        <w:spacing w:after="0" w:line="67" w:lineRule="exact"/>
        <w:rPr>
          <w:rFonts w:ascii="MS PGothic" w:cs="MS PGothic" w:eastAsia="MS PGothic" w:hAnsi="MS PGothic"/>
          <w:sz w:val="32"/>
          <w:szCs w:val="32"/>
          <w:color w:val="auto"/>
          <w:shd w:val="clear" w:color="auto" w:fill="007EC4"/>
        </w:rPr>
      </w:pPr>
    </w:p>
    <w:p>
      <w:pPr>
        <w:ind w:left="820"/>
        <w:spacing w:after="0"/>
        <w:rPr>
          <w:rFonts w:ascii="MS PGothic" w:cs="MS PGothic" w:eastAsia="MS PGothic" w:hAnsi="MS PGothic"/>
          <w:sz w:val="32"/>
          <w:szCs w:val="32"/>
          <w:color w:val="auto"/>
          <w:shd w:val="clear" w:color="auto" w:fill="007EC4"/>
        </w:rPr>
      </w:pPr>
      <w:r>
        <w:rPr>
          <w:rFonts w:ascii="Arial" w:cs="Arial" w:eastAsia="Arial" w:hAnsi="Arial"/>
          <w:sz w:val="14"/>
          <w:szCs w:val="14"/>
          <w:color w:val="auto"/>
        </w:rPr>
        <w:t>Options and RSUs granted to executive officers vest over multi-year</w:t>
      </w:r>
    </w:p>
    <w:p>
      <w:pPr>
        <w:spacing w:after="0" w:line="29" w:lineRule="exact"/>
        <w:rPr>
          <w:rFonts w:ascii="MS PGothic" w:cs="MS PGothic" w:eastAsia="MS PGothic" w:hAnsi="MS PGothic"/>
          <w:sz w:val="32"/>
          <w:szCs w:val="32"/>
          <w:color w:val="auto"/>
          <w:shd w:val="clear" w:color="auto" w:fill="007EC4"/>
        </w:rPr>
      </w:pPr>
    </w:p>
    <w:p>
      <w:pPr>
        <w:ind w:left="820" w:right="20" w:hanging="583"/>
        <w:spacing w:after="0" w:line="188" w:lineRule="auto"/>
        <w:tabs>
          <w:tab w:leader="none" w:pos="820" w:val="left"/>
        </w:tabs>
        <w:numPr>
          <w:ilvl w:val="0"/>
          <w:numId w:val="23"/>
        </w:numPr>
        <w:rPr>
          <w:rFonts w:ascii="MS PGothic" w:cs="MS PGothic" w:eastAsia="MS PGothic" w:hAnsi="MS PGothic"/>
          <w:sz w:val="32"/>
          <w:szCs w:val="32"/>
          <w:color w:val="auto"/>
          <w:shd w:val="clear" w:color="auto" w:fill="007EC4"/>
        </w:rPr>
      </w:pPr>
      <w:r>
        <w:rPr>
          <w:rFonts w:ascii="Arial" w:cs="Arial" w:eastAsia="Arial" w:hAnsi="Arial"/>
          <w:sz w:val="14"/>
          <w:szCs w:val="14"/>
          <w:color w:val="auto"/>
        </w:rPr>
        <w:t>periods. In addition, certain RSUs granted to our executive officers are subject to performance-based vesting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857250" cy="205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2130"/>
        <w:spacing w:after="0"/>
        <w:rPr>
          <w:sz w:val="20"/>
          <w:szCs w:val="20"/>
          <w:color w:val="auto"/>
        </w:rPr>
      </w:pPr>
      <w:r>
        <w:rPr>
          <w:rFonts w:ascii="Arial" w:cs="Arial" w:eastAsia="Arial" w:hAnsi="Arial"/>
          <w:sz w:val="14"/>
          <w:szCs w:val="14"/>
          <w:b w:val="1"/>
          <w:bCs w:val="1"/>
          <w:color w:val="auto"/>
        </w:rPr>
        <w:t>What We Do Not Do</w:t>
      </w:r>
    </w:p>
    <w:p>
      <w:pPr>
        <w:spacing w:after="0" w:line="48" w:lineRule="exact"/>
        <w:rPr>
          <w:sz w:val="20"/>
          <w:szCs w:val="20"/>
          <w:color w:val="auto"/>
        </w:rPr>
      </w:pPr>
    </w:p>
    <w:p>
      <w:pPr>
        <w:ind w:left="510"/>
        <w:spacing w:after="0"/>
        <w:rPr>
          <w:sz w:val="20"/>
          <w:szCs w:val="20"/>
          <w:color w:val="auto"/>
        </w:rPr>
      </w:pPr>
      <w:r>
        <w:rPr>
          <w:rFonts w:ascii="Arial" w:cs="Arial" w:eastAsia="Arial" w:hAnsi="Arial"/>
          <w:sz w:val="14"/>
          <w:szCs w:val="14"/>
          <w:color w:val="auto"/>
        </w:rPr>
        <w:t>We do not currently offer, nor do we have plans to provide, defined</w:t>
      </w:r>
    </w:p>
    <w:p>
      <w:pPr>
        <w:spacing w:after="0" w:line="76" w:lineRule="exact"/>
        <w:rPr>
          <w:sz w:val="20"/>
          <w:szCs w:val="20"/>
          <w:color w:val="auto"/>
        </w:rPr>
      </w:pPr>
    </w:p>
    <w:p>
      <w:pPr>
        <w:ind w:left="510" w:right="240" w:hanging="510"/>
        <w:spacing w:after="0" w:line="184" w:lineRule="auto"/>
        <w:tabs>
          <w:tab w:leader="none" w:pos="510" w:val="left"/>
        </w:tabs>
        <w:numPr>
          <w:ilvl w:val="0"/>
          <w:numId w:val="24"/>
        </w:numPr>
        <w:rPr>
          <w:rFonts w:ascii="Arial" w:cs="Arial" w:eastAsia="Arial" w:hAnsi="Arial"/>
          <w:sz w:val="29"/>
          <w:szCs w:val="29"/>
          <w:b w:val="1"/>
          <w:bCs w:val="1"/>
          <w:color w:val="EF3B35"/>
        </w:rPr>
      </w:pPr>
      <w:r>
        <w:rPr>
          <w:rFonts w:ascii="Arial" w:cs="Arial" w:eastAsia="Arial" w:hAnsi="Arial"/>
          <w:sz w:val="14"/>
          <w:szCs w:val="14"/>
          <w:color w:val="auto"/>
        </w:rPr>
        <w:t>benefit pension arrangements or non-qualified deferred compensation plans or arrangements to our executive officers.</w:t>
      </w:r>
    </w:p>
    <w:p>
      <w:pPr>
        <w:spacing w:after="0" w:line="79" w:lineRule="exact"/>
        <w:rPr>
          <w:rFonts w:ascii="Arial" w:cs="Arial" w:eastAsia="Arial" w:hAnsi="Arial"/>
          <w:sz w:val="29"/>
          <w:szCs w:val="29"/>
          <w:b w:val="1"/>
          <w:bCs w:val="1"/>
          <w:color w:val="EF3B35"/>
        </w:rPr>
      </w:pPr>
    </w:p>
    <w:p>
      <w:pPr>
        <w:ind w:left="510" w:right="220" w:hanging="510"/>
        <w:spacing w:after="0" w:line="184" w:lineRule="auto"/>
        <w:tabs>
          <w:tab w:leader="none" w:pos="510" w:val="left"/>
        </w:tabs>
        <w:numPr>
          <w:ilvl w:val="0"/>
          <w:numId w:val="24"/>
        </w:numPr>
        <w:rPr>
          <w:rFonts w:ascii="Arial" w:cs="Arial" w:eastAsia="Arial" w:hAnsi="Arial"/>
          <w:sz w:val="31"/>
          <w:szCs w:val="31"/>
          <w:b w:val="1"/>
          <w:bCs w:val="1"/>
          <w:color w:val="EF3B35"/>
          <w:vertAlign w:val="subscript"/>
        </w:rPr>
      </w:pPr>
      <w:r>
        <w:rPr>
          <w:rFonts w:ascii="Arial" w:cs="Arial" w:eastAsia="Arial" w:hAnsi="Arial"/>
          <w:sz w:val="12"/>
          <w:szCs w:val="12"/>
          <w:color w:val="auto"/>
        </w:rPr>
        <w:t>We do not provide any tax reimbursement payments (including “gross-ups”) on any severance or change-in-control payments or benefits.</w:t>
      </w:r>
    </w:p>
    <w:p>
      <w:pPr>
        <w:spacing w:after="0" w:line="268" w:lineRule="exact"/>
        <w:rPr>
          <w:rFonts w:ascii="Arial" w:cs="Arial" w:eastAsia="Arial" w:hAnsi="Arial"/>
          <w:sz w:val="31"/>
          <w:szCs w:val="31"/>
          <w:b w:val="1"/>
          <w:bCs w:val="1"/>
          <w:color w:val="EF3B35"/>
          <w:vertAlign w:val="subscript"/>
        </w:rPr>
      </w:pPr>
    </w:p>
    <w:p>
      <w:pPr>
        <w:ind w:left="510" w:right="140" w:hanging="510"/>
        <w:spacing w:after="0" w:line="184" w:lineRule="auto"/>
        <w:tabs>
          <w:tab w:leader="none" w:pos="510" w:val="left"/>
        </w:tabs>
        <w:numPr>
          <w:ilvl w:val="0"/>
          <w:numId w:val="24"/>
        </w:numPr>
        <w:rPr>
          <w:rFonts w:ascii="Arial" w:cs="Arial" w:eastAsia="Arial" w:hAnsi="Arial"/>
          <w:sz w:val="31"/>
          <w:szCs w:val="31"/>
          <w:b w:val="1"/>
          <w:bCs w:val="1"/>
          <w:color w:val="EF3B35"/>
          <w:vertAlign w:val="subscript"/>
        </w:rPr>
      </w:pPr>
      <w:r>
        <w:rPr>
          <w:rFonts w:ascii="Arial" w:cs="Arial" w:eastAsia="Arial" w:hAnsi="Arial"/>
          <w:sz w:val="12"/>
          <w:szCs w:val="12"/>
          <w:color w:val="auto"/>
        </w:rPr>
        <w:t>We do not grant Options with exercise prices below fair market value or reprice Options without stockholder approval.</w:t>
      </w:r>
    </w:p>
    <w:p>
      <w:pPr>
        <w:spacing w:after="0" w:line="255" w:lineRule="exact"/>
        <w:rPr>
          <w:rFonts w:ascii="Arial" w:cs="Arial" w:eastAsia="Arial" w:hAnsi="Arial"/>
          <w:sz w:val="31"/>
          <w:szCs w:val="31"/>
          <w:b w:val="1"/>
          <w:bCs w:val="1"/>
          <w:color w:val="EF3B35"/>
          <w:vertAlign w:val="subscript"/>
        </w:rPr>
      </w:pPr>
    </w:p>
    <w:p>
      <w:pPr>
        <w:ind w:left="510"/>
        <w:spacing w:after="0"/>
        <w:rPr>
          <w:rFonts w:ascii="Arial" w:cs="Arial" w:eastAsia="Arial" w:hAnsi="Arial"/>
          <w:sz w:val="31"/>
          <w:szCs w:val="31"/>
          <w:b w:val="1"/>
          <w:bCs w:val="1"/>
          <w:color w:val="EF3B35"/>
          <w:vertAlign w:val="subscript"/>
        </w:rPr>
      </w:pPr>
      <w:r>
        <w:rPr>
          <w:rFonts w:ascii="Arial" w:cs="Arial" w:eastAsia="Arial" w:hAnsi="Arial"/>
          <w:sz w:val="14"/>
          <w:szCs w:val="14"/>
          <w:color w:val="auto"/>
        </w:rPr>
        <w:t>Our executive officers are prohibited from hedging our securities,</w:t>
      </w:r>
    </w:p>
    <w:p>
      <w:pPr>
        <w:spacing w:after="0" w:line="29" w:lineRule="exact"/>
        <w:rPr>
          <w:rFonts w:ascii="Arial" w:cs="Arial" w:eastAsia="Arial" w:hAnsi="Arial"/>
          <w:sz w:val="31"/>
          <w:szCs w:val="31"/>
          <w:b w:val="1"/>
          <w:bCs w:val="1"/>
          <w:color w:val="EF3B35"/>
          <w:vertAlign w:val="subscript"/>
        </w:rPr>
      </w:pPr>
    </w:p>
    <w:p>
      <w:pPr>
        <w:ind w:left="510" w:right="80" w:hanging="510"/>
        <w:spacing w:after="0" w:line="183" w:lineRule="auto"/>
        <w:tabs>
          <w:tab w:leader="none" w:pos="510" w:val="left"/>
        </w:tabs>
        <w:numPr>
          <w:ilvl w:val="0"/>
          <w:numId w:val="24"/>
        </w:numPr>
        <w:rPr>
          <w:rFonts w:ascii="Arial" w:cs="Arial" w:eastAsia="Arial" w:hAnsi="Arial"/>
          <w:sz w:val="29"/>
          <w:szCs w:val="29"/>
          <w:b w:val="1"/>
          <w:bCs w:val="1"/>
          <w:color w:val="EF3B35"/>
        </w:rPr>
      </w:pPr>
      <w:r>
        <w:rPr>
          <w:rFonts w:ascii="Arial" w:cs="Arial" w:eastAsia="Arial" w:hAnsi="Arial"/>
          <w:sz w:val="14"/>
          <w:szCs w:val="14"/>
          <w:color w:val="auto"/>
        </w:rPr>
        <w:t>pledging our securities as collateral for loans, or holding our securities in margins accounts.</w:t>
      </w:r>
    </w:p>
    <w:p>
      <w:pPr>
        <w:sectPr>
          <w:pgSz w:w="11900" w:h="16838" w:orient="portrait"/>
          <w:cols w:equalWidth="0" w:num="2">
            <w:col w:w="5320" w:space="710"/>
            <w:col w:w="5190"/>
          </w:cols>
          <w:pgMar w:left="320" w:top="122" w:right="35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2021 Executive Compensation Program Details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Executive Compensation Objectives and Philosophy</w:t>
      </w:r>
    </w:p>
    <w:p>
      <w:pPr>
        <w:spacing w:after="0" w:line="6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goal of our executive officer compensation program is to create long-term value for our stockholders, reward our executive officers for superior financial and operating performance, and support retention in a competitive market environment. We believe the most effective way to achieve this objective is to design an executive officer compensation program that drives the achievement of annual, long-term and strategic goals and that aligns executive officers’ interests with those of our stockholders. The following are the core elements of our executive officer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195580</wp:posOffset>
            </wp:positionV>
            <wp:extent cx="5143500" cy="3471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347154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4593590</wp:posOffset>
            </wp:positionV>
            <wp:extent cx="857250"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color w:val="007EC4"/>
        </w:rPr>
        <w:t xml:space="preserve">38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Elements of 2021 NEO Compensation Program</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There are three key elements of our executive officer compensation program:</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tcBorders>
              <w:bottom w:val="single" w:sz="8" w:color="E1D7AC"/>
            </w:tcBorders>
            <w:shd w:val="clear" w:color="auto" w:fill="E1D7AC"/>
          </w:tcPr>
          <w:p>
            <w:pPr>
              <w:spacing w:after="0"/>
              <w:rPr>
                <w:sz w:val="19"/>
                <w:szCs w:val="19"/>
                <w:color w:val="auto"/>
              </w:rPr>
            </w:pPr>
          </w:p>
        </w:tc>
        <w:tc>
          <w:tcPr>
            <w:tcW w:w="820" w:type="dxa"/>
            <w:vAlign w:val="bottom"/>
            <w:tcBorders>
              <w:bottom w:val="single" w:sz="8" w:color="E1D7AC"/>
            </w:tcBorders>
            <w:shd w:val="clear" w:color="auto" w:fill="E1D7AC"/>
          </w:tcPr>
          <w:p>
            <w:pPr>
              <w:spacing w:after="0"/>
              <w:rPr>
                <w:sz w:val="20"/>
                <w:szCs w:val="20"/>
                <w:color w:val="auto"/>
              </w:rPr>
            </w:pPr>
            <w:r>
              <w:rPr>
                <w:rFonts w:ascii="Arial" w:cs="Arial" w:eastAsia="Arial" w:hAnsi="Arial"/>
                <w:sz w:val="14"/>
                <w:szCs w:val="14"/>
                <w:b w:val="1"/>
                <w:bCs w:val="1"/>
                <w:color w:val="auto"/>
                <w:shd w:val="clear" w:color="auto" w:fill="E1D7AC"/>
              </w:rPr>
              <w:t>Component</w:t>
            </w:r>
          </w:p>
        </w:tc>
        <w:tc>
          <w:tcPr>
            <w:tcW w:w="4580" w:type="dxa"/>
            <w:vAlign w:val="bottom"/>
            <w:tcBorders>
              <w:bottom w:val="single" w:sz="8" w:color="E1D7AC"/>
            </w:tcBorders>
            <w:shd w:val="clear" w:color="auto" w:fill="E1D7AC"/>
          </w:tcPr>
          <w:p>
            <w:pPr>
              <w:ind w:left="900"/>
              <w:spacing w:after="0"/>
              <w:rPr>
                <w:sz w:val="20"/>
                <w:szCs w:val="20"/>
                <w:color w:val="auto"/>
              </w:rPr>
            </w:pPr>
            <w:r>
              <w:rPr>
                <w:rFonts w:ascii="Arial" w:cs="Arial" w:eastAsia="Arial" w:hAnsi="Arial"/>
                <w:sz w:val="14"/>
                <w:szCs w:val="14"/>
                <w:b w:val="1"/>
                <w:bCs w:val="1"/>
                <w:color w:val="auto"/>
              </w:rPr>
              <w:t>Purpose</w:t>
            </w:r>
          </w:p>
        </w:tc>
        <w:tc>
          <w:tcPr>
            <w:tcW w:w="5740" w:type="dxa"/>
            <w:vAlign w:val="bottom"/>
            <w:tcBorders>
              <w:bottom w:val="single" w:sz="8" w:color="E1D7AC"/>
            </w:tcBorders>
            <w:shd w:val="clear" w:color="auto" w:fill="E1D7AC"/>
          </w:tcPr>
          <w:p>
            <w:pPr>
              <w:ind w:left="800"/>
              <w:spacing w:after="0"/>
              <w:rPr>
                <w:sz w:val="20"/>
                <w:szCs w:val="20"/>
                <w:color w:val="auto"/>
              </w:rPr>
            </w:pPr>
            <w:r>
              <w:rPr>
                <w:rFonts w:ascii="Arial" w:cs="Arial" w:eastAsia="Arial" w:hAnsi="Arial"/>
                <w:sz w:val="14"/>
                <w:szCs w:val="14"/>
                <w:b w:val="1"/>
                <w:bCs w:val="1"/>
                <w:color w:val="auto"/>
              </w:rPr>
              <w:t>Overview</w:t>
            </w:r>
          </w:p>
        </w:tc>
        <w:tc>
          <w:tcPr>
            <w:tcW w:w="0" w:type="dxa"/>
            <w:vAlign w:val="bottom"/>
          </w:tcPr>
          <w:p>
            <w:pPr>
              <w:spacing w:after="0"/>
              <w:rPr>
                <w:sz w:val="1"/>
                <w:szCs w:val="1"/>
                <w:color w:val="auto"/>
              </w:rPr>
            </w:pPr>
          </w:p>
        </w:tc>
      </w:tr>
      <w:tr>
        <w:trPr>
          <w:trHeight w:val="207"/>
        </w:trPr>
        <w:tc>
          <w:tcPr>
            <w:tcW w:w="100" w:type="dxa"/>
            <w:vAlign w:val="bottom"/>
            <w:shd w:val="clear" w:color="auto" w:fill="DBDBDB"/>
          </w:tcPr>
          <w:p>
            <w:pPr>
              <w:spacing w:after="0"/>
              <w:rPr>
                <w:sz w:val="17"/>
                <w:szCs w:val="17"/>
                <w:color w:val="auto"/>
              </w:rPr>
            </w:pPr>
          </w:p>
        </w:tc>
        <w:tc>
          <w:tcPr>
            <w:tcW w:w="820" w:type="dxa"/>
            <w:vAlign w:val="bottom"/>
            <w:vMerge w:val="restart"/>
            <w:shd w:val="clear" w:color="auto" w:fill="DBDBDB"/>
          </w:tcPr>
          <w:p>
            <w:pPr>
              <w:spacing w:after="0"/>
              <w:rPr>
                <w:sz w:val="20"/>
                <w:szCs w:val="20"/>
                <w:color w:val="auto"/>
              </w:rPr>
            </w:pPr>
            <w:r>
              <w:rPr>
                <w:rFonts w:ascii="Arial" w:cs="Arial" w:eastAsia="Arial" w:hAnsi="Arial"/>
                <w:sz w:val="14"/>
                <w:szCs w:val="14"/>
                <w:b w:val="1"/>
                <w:bCs w:val="1"/>
                <w:color w:val="auto"/>
              </w:rPr>
              <w:t>Base salary</w:t>
            </w:r>
          </w:p>
        </w:tc>
        <w:tc>
          <w:tcPr>
            <w:tcW w:w="4580" w:type="dxa"/>
            <w:vAlign w:val="bottom"/>
            <w:vMerge w:val="restart"/>
            <w:shd w:val="clear" w:color="auto" w:fill="DBDBDB"/>
          </w:tcPr>
          <w:p>
            <w:pPr>
              <w:ind w:left="900"/>
              <w:spacing w:after="0"/>
              <w:rPr>
                <w:sz w:val="20"/>
                <w:szCs w:val="20"/>
                <w:color w:val="auto"/>
              </w:rPr>
            </w:pPr>
            <w:r>
              <w:rPr>
                <w:rFonts w:ascii="Arial" w:cs="Arial" w:eastAsia="Arial" w:hAnsi="Arial"/>
                <w:sz w:val="14"/>
                <w:szCs w:val="14"/>
                <w:color w:val="auto"/>
              </w:rPr>
              <w:t>Compensate for services rendered each year</w:t>
            </w:r>
          </w:p>
        </w:tc>
        <w:tc>
          <w:tcPr>
            <w:tcW w:w="5740" w:type="dxa"/>
            <w:vAlign w:val="bottom"/>
            <w:shd w:val="clear" w:color="auto" w:fill="DBDBDB"/>
          </w:tcPr>
          <w:p>
            <w:pPr>
              <w:ind w:left="800"/>
              <w:spacing w:after="0"/>
              <w:rPr>
                <w:sz w:val="20"/>
                <w:szCs w:val="20"/>
                <w:color w:val="auto"/>
              </w:rPr>
            </w:pPr>
            <w:r>
              <w:rPr>
                <w:rFonts w:ascii="Arial" w:cs="Arial" w:eastAsia="Arial" w:hAnsi="Arial"/>
                <w:sz w:val="14"/>
                <w:szCs w:val="14"/>
                <w:color w:val="auto"/>
              </w:rPr>
              <w:t>Based on position, experience, job responsibilities, market, internal pay</w:t>
            </w:r>
          </w:p>
        </w:tc>
        <w:tc>
          <w:tcPr>
            <w:tcW w:w="0" w:type="dxa"/>
            <w:vAlign w:val="bottom"/>
          </w:tcPr>
          <w:p>
            <w:pPr>
              <w:spacing w:after="0"/>
              <w:rPr>
                <w:sz w:val="1"/>
                <w:szCs w:val="1"/>
                <w:color w:val="auto"/>
              </w:rPr>
            </w:pPr>
          </w:p>
        </w:tc>
      </w:tr>
      <w:tr>
        <w:trPr>
          <w:trHeight w:val="102"/>
        </w:trPr>
        <w:tc>
          <w:tcPr>
            <w:tcW w:w="100" w:type="dxa"/>
            <w:vAlign w:val="bottom"/>
            <w:shd w:val="clear" w:color="auto" w:fill="DBDBDB"/>
          </w:tcPr>
          <w:p>
            <w:pPr>
              <w:spacing w:after="0"/>
              <w:rPr>
                <w:sz w:val="8"/>
                <w:szCs w:val="8"/>
                <w:color w:val="auto"/>
              </w:rPr>
            </w:pPr>
          </w:p>
        </w:tc>
        <w:tc>
          <w:tcPr>
            <w:tcW w:w="820" w:type="dxa"/>
            <w:vAlign w:val="bottom"/>
            <w:vMerge w:val="continue"/>
            <w:shd w:val="clear" w:color="auto" w:fill="DBDBDB"/>
          </w:tcPr>
          <w:p>
            <w:pPr>
              <w:spacing w:after="0"/>
              <w:rPr>
                <w:sz w:val="8"/>
                <w:szCs w:val="8"/>
                <w:color w:val="auto"/>
              </w:rPr>
            </w:pPr>
          </w:p>
        </w:tc>
        <w:tc>
          <w:tcPr>
            <w:tcW w:w="4580" w:type="dxa"/>
            <w:vAlign w:val="bottom"/>
            <w:vMerge w:val="continue"/>
            <w:shd w:val="clear" w:color="auto" w:fill="DBDBDB"/>
          </w:tcPr>
          <w:p>
            <w:pPr>
              <w:spacing w:after="0"/>
              <w:rPr>
                <w:sz w:val="8"/>
                <w:szCs w:val="8"/>
                <w:color w:val="auto"/>
              </w:rPr>
            </w:pPr>
          </w:p>
        </w:tc>
        <w:tc>
          <w:tcPr>
            <w:tcW w:w="5740" w:type="dxa"/>
            <w:vAlign w:val="bottom"/>
            <w:vMerge w:val="restart"/>
            <w:shd w:val="clear" w:color="auto" w:fill="DBDBDB"/>
          </w:tcPr>
          <w:p>
            <w:pPr>
              <w:ind w:left="800"/>
              <w:spacing w:after="0"/>
              <w:rPr>
                <w:sz w:val="20"/>
                <w:szCs w:val="20"/>
                <w:color w:val="auto"/>
              </w:rPr>
            </w:pPr>
            <w:r>
              <w:rPr>
                <w:rFonts w:ascii="Arial" w:cs="Arial" w:eastAsia="Arial" w:hAnsi="Arial"/>
                <w:sz w:val="14"/>
                <w:szCs w:val="14"/>
                <w:color w:val="auto"/>
              </w:rPr>
              <w:t>equity, and individual performance</w:t>
            </w:r>
          </w:p>
        </w:tc>
        <w:tc>
          <w:tcPr>
            <w:tcW w:w="0" w:type="dxa"/>
            <w:vAlign w:val="bottom"/>
          </w:tcPr>
          <w:p>
            <w:pPr>
              <w:spacing w:after="0"/>
              <w:rPr>
                <w:sz w:val="1"/>
                <w:szCs w:val="1"/>
                <w:color w:val="auto"/>
              </w:rPr>
            </w:pPr>
          </w:p>
        </w:tc>
      </w:tr>
      <w:tr>
        <w:trPr>
          <w:trHeight w:val="88"/>
        </w:trPr>
        <w:tc>
          <w:tcPr>
            <w:tcW w:w="100" w:type="dxa"/>
            <w:vAlign w:val="bottom"/>
            <w:shd w:val="clear" w:color="auto" w:fill="DBDBDB"/>
          </w:tcPr>
          <w:p>
            <w:pPr>
              <w:spacing w:after="0"/>
              <w:rPr>
                <w:sz w:val="7"/>
                <w:szCs w:val="7"/>
                <w:color w:val="auto"/>
              </w:rPr>
            </w:pPr>
          </w:p>
        </w:tc>
        <w:tc>
          <w:tcPr>
            <w:tcW w:w="820" w:type="dxa"/>
            <w:vAlign w:val="bottom"/>
            <w:shd w:val="clear" w:color="auto" w:fill="DBDBDB"/>
          </w:tcPr>
          <w:p>
            <w:pPr>
              <w:spacing w:after="0"/>
              <w:rPr>
                <w:sz w:val="7"/>
                <w:szCs w:val="7"/>
                <w:color w:val="auto"/>
              </w:rPr>
            </w:pPr>
          </w:p>
        </w:tc>
        <w:tc>
          <w:tcPr>
            <w:tcW w:w="4580" w:type="dxa"/>
            <w:vAlign w:val="bottom"/>
            <w:shd w:val="clear" w:color="auto" w:fill="DBDBDB"/>
          </w:tcPr>
          <w:p>
            <w:pPr>
              <w:spacing w:after="0"/>
              <w:rPr>
                <w:sz w:val="7"/>
                <w:szCs w:val="7"/>
                <w:color w:val="auto"/>
              </w:rPr>
            </w:pPr>
          </w:p>
        </w:tc>
        <w:tc>
          <w:tcPr>
            <w:tcW w:w="574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00" w:type="dxa"/>
            <w:vAlign w:val="bottom"/>
            <w:shd w:val="clear" w:color="auto" w:fill="DBDBDB"/>
          </w:tcPr>
          <w:p>
            <w:pPr>
              <w:spacing w:after="0"/>
              <w:rPr>
                <w:sz w:val="3"/>
                <w:szCs w:val="3"/>
                <w:color w:val="auto"/>
              </w:rPr>
            </w:pPr>
          </w:p>
        </w:tc>
        <w:tc>
          <w:tcPr>
            <w:tcW w:w="820" w:type="dxa"/>
            <w:vAlign w:val="bottom"/>
            <w:shd w:val="clear" w:color="auto" w:fill="DBDBDB"/>
          </w:tcPr>
          <w:p>
            <w:pPr>
              <w:spacing w:after="0"/>
              <w:rPr>
                <w:sz w:val="3"/>
                <w:szCs w:val="3"/>
                <w:color w:val="auto"/>
              </w:rPr>
            </w:pPr>
          </w:p>
        </w:tc>
        <w:tc>
          <w:tcPr>
            <w:tcW w:w="4580" w:type="dxa"/>
            <w:vAlign w:val="bottom"/>
            <w:shd w:val="clear" w:color="auto" w:fill="DBDBDB"/>
          </w:tcPr>
          <w:p>
            <w:pPr>
              <w:spacing w:after="0"/>
              <w:rPr>
                <w:sz w:val="3"/>
                <w:szCs w:val="3"/>
                <w:color w:val="auto"/>
              </w:rPr>
            </w:pPr>
          </w:p>
        </w:tc>
        <w:tc>
          <w:tcPr>
            <w:tcW w:w="574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97" w:lineRule="exact"/>
        <w:rPr>
          <w:sz w:val="20"/>
          <w:szCs w:val="20"/>
          <w:color w:val="auto"/>
        </w:rPr>
      </w:pPr>
    </w:p>
    <w:p>
      <w:pPr>
        <w:ind w:left="100"/>
        <w:spacing w:after="0" w:line="334" w:lineRule="auto"/>
        <w:rPr>
          <w:sz w:val="20"/>
          <w:szCs w:val="20"/>
          <w:color w:val="auto"/>
        </w:rPr>
      </w:pPr>
      <w:r>
        <w:rPr>
          <w:rFonts w:ascii="Arial" w:cs="Arial" w:eastAsia="Arial" w:hAnsi="Arial"/>
          <w:sz w:val="14"/>
          <w:szCs w:val="14"/>
          <w:b w:val="1"/>
          <w:bCs w:val="1"/>
          <w:color w:val="auto"/>
        </w:rPr>
        <w:t>Annual cash incentive bonus</w:t>
      </w:r>
    </w:p>
    <w:p>
      <w:pPr>
        <w:spacing w:after="0" w:line="20" w:lineRule="exact"/>
        <w:rPr>
          <w:sz w:val="20"/>
          <w:szCs w:val="20"/>
          <w:color w:val="auto"/>
        </w:rPr>
      </w:pPr>
      <w:r>
        <w:rPr>
          <w:sz w:val="20"/>
          <w:szCs w:val="20"/>
          <w:color w:val="auto"/>
        </w:rPr>
        <w:br w:type="column"/>
      </w:r>
    </w:p>
    <w:p>
      <w:pPr>
        <w:ind w:right="1160"/>
        <w:spacing w:after="0" w:line="325" w:lineRule="auto"/>
        <w:rPr>
          <w:sz w:val="20"/>
          <w:szCs w:val="20"/>
          <w:color w:val="auto"/>
        </w:rPr>
      </w:pPr>
      <w:r>
        <w:rPr>
          <w:rFonts w:ascii="Arial" w:cs="Arial" w:eastAsia="Arial" w:hAnsi="Arial"/>
          <w:sz w:val="14"/>
          <w:szCs w:val="14"/>
          <w:color w:val="auto"/>
        </w:rPr>
        <w:t>Encourage achievement of our corporate annual performance objectives</w:t>
      </w:r>
    </w:p>
    <w:p>
      <w:pPr>
        <w:spacing w:after="0" w:line="185" w:lineRule="exact"/>
        <w:rPr>
          <w:sz w:val="20"/>
          <w:szCs w:val="20"/>
          <w:color w:val="auto"/>
        </w:rPr>
      </w:pPr>
    </w:p>
    <w:p>
      <w:pPr>
        <w:ind w:right="1080"/>
        <w:spacing w:after="0" w:line="298" w:lineRule="auto"/>
        <w:rPr>
          <w:sz w:val="20"/>
          <w:szCs w:val="20"/>
          <w:color w:val="auto"/>
        </w:rPr>
      </w:pPr>
      <w:r>
        <w:rPr>
          <w:rFonts w:ascii="Arial" w:cs="Arial" w:eastAsia="Arial" w:hAnsi="Arial"/>
          <w:sz w:val="14"/>
          <w:szCs w:val="14"/>
          <w:color w:val="auto"/>
        </w:rPr>
        <w:t>Reward those individuals who significantly impact our corporate results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Company performance (weighted 90%)</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-Adjusted EBIT (weighted 50%)</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-Sales (weighted 40%)</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Individual performance (weighted 10%)</w:t>
      </w:r>
    </w:p>
    <w:p>
      <w:pPr>
        <w:spacing w:after="0" w:line="145" w:lineRule="exact"/>
        <w:rPr>
          <w:sz w:val="20"/>
          <w:szCs w:val="20"/>
          <w:color w:val="auto"/>
        </w:rPr>
      </w:pPr>
    </w:p>
    <w:p>
      <w:pPr>
        <w:sectPr>
          <w:pgSz w:w="11900" w:h="16838" w:orient="portrait"/>
          <w:cols w:equalWidth="0" w:num="3">
            <w:col w:w="1200" w:space="620"/>
            <w:col w:w="3760" w:space="720"/>
            <w:col w:w="494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560" w:type="dxa"/>
            <w:vAlign w:val="bottom"/>
            <w:shd w:val="clear" w:color="auto" w:fill="DBDBDB"/>
          </w:tcPr>
          <w:p>
            <w:pPr>
              <w:spacing w:after="0"/>
              <w:rPr>
                <w:sz w:val="16"/>
                <w:szCs w:val="16"/>
                <w:color w:val="auto"/>
              </w:rPr>
            </w:pPr>
          </w:p>
        </w:tc>
        <w:tc>
          <w:tcPr>
            <w:tcW w:w="4720" w:type="dxa"/>
            <w:vAlign w:val="bottom"/>
            <w:shd w:val="clear" w:color="auto" w:fill="DBDBDB"/>
          </w:tcPr>
          <w:p>
            <w:pPr>
              <w:spacing w:after="0"/>
              <w:rPr>
                <w:sz w:val="16"/>
                <w:szCs w:val="16"/>
                <w:color w:val="auto"/>
              </w:rPr>
            </w:pPr>
          </w:p>
        </w:tc>
        <w:tc>
          <w:tcPr>
            <w:tcW w:w="4960" w:type="dxa"/>
            <w:vAlign w:val="bottom"/>
            <w:shd w:val="clear" w:color="auto" w:fill="DBDBDB"/>
          </w:tcPr>
          <w:p>
            <w:pPr>
              <w:ind w:left="20"/>
              <w:spacing w:after="0"/>
              <w:rPr>
                <w:sz w:val="20"/>
                <w:szCs w:val="20"/>
                <w:color w:val="auto"/>
              </w:rPr>
            </w:pPr>
            <w:r>
              <w:rPr>
                <w:rFonts w:ascii="Arial" w:cs="Arial" w:eastAsia="Arial" w:hAnsi="Arial"/>
                <w:sz w:val="14"/>
                <w:szCs w:val="14"/>
                <w:color w:val="auto"/>
                <w:highlight w:val="lightGray"/>
              </w:rPr>
              <w:t>RSUs:</w:t>
            </w:r>
          </w:p>
        </w:tc>
        <w:tc>
          <w:tcPr>
            <w:tcW w:w="0" w:type="dxa"/>
            <w:vAlign w:val="bottom"/>
          </w:tcPr>
          <w:p>
            <w:pPr>
              <w:spacing w:after="0"/>
              <w:rPr>
                <w:sz w:val="1"/>
                <w:szCs w:val="1"/>
                <w:color w:val="auto"/>
              </w:rPr>
            </w:pPr>
          </w:p>
        </w:tc>
      </w:tr>
      <w:tr>
        <w:trPr>
          <w:trHeight w:val="189"/>
        </w:trPr>
        <w:tc>
          <w:tcPr>
            <w:tcW w:w="1560" w:type="dxa"/>
            <w:vAlign w:val="bottom"/>
            <w:vMerge w:val="restart"/>
            <w:shd w:val="clear" w:color="auto" w:fill="DBDBDB"/>
          </w:tcPr>
          <w:p>
            <w:pPr>
              <w:ind w:left="100"/>
              <w:spacing w:after="0"/>
              <w:rPr>
                <w:sz w:val="20"/>
                <w:szCs w:val="20"/>
                <w:color w:val="auto"/>
              </w:rPr>
            </w:pPr>
            <w:r>
              <w:rPr>
                <w:rFonts w:ascii="Arial" w:cs="Arial" w:eastAsia="Arial" w:hAnsi="Arial"/>
                <w:sz w:val="14"/>
                <w:szCs w:val="14"/>
                <w:b w:val="1"/>
                <w:bCs w:val="1"/>
                <w:color w:val="auto"/>
              </w:rPr>
              <w:t>Long-term equity</w:t>
            </w:r>
          </w:p>
        </w:tc>
        <w:tc>
          <w:tcPr>
            <w:tcW w:w="4720" w:type="dxa"/>
            <w:vAlign w:val="bottom"/>
            <w:shd w:val="clear" w:color="auto" w:fill="DBDBDB"/>
          </w:tcPr>
          <w:p>
            <w:pPr>
              <w:ind w:left="260"/>
              <w:spacing w:after="0"/>
              <w:rPr>
                <w:sz w:val="20"/>
                <w:szCs w:val="20"/>
                <w:color w:val="auto"/>
              </w:rPr>
            </w:pPr>
            <w:r>
              <w:rPr>
                <w:rFonts w:ascii="Arial" w:cs="Arial" w:eastAsia="Arial" w:hAnsi="Arial"/>
                <w:sz w:val="14"/>
                <w:szCs w:val="14"/>
                <w:color w:val="auto"/>
              </w:rPr>
              <w:t>Align executive officer and stockholder interests</w:t>
            </w:r>
          </w:p>
        </w:tc>
        <w:tc>
          <w:tcPr>
            <w:tcW w:w="4960" w:type="dxa"/>
            <w:vAlign w:val="bottom"/>
            <w:shd w:val="clear" w:color="auto" w:fill="DBDBDB"/>
          </w:tcPr>
          <w:p>
            <w:pPr>
              <w:ind w:left="40"/>
              <w:spacing w:after="0"/>
              <w:rPr>
                <w:sz w:val="20"/>
                <w:szCs w:val="20"/>
                <w:color w:val="auto"/>
              </w:rPr>
            </w:pPr>
            <w:r>
              <w:rPr>
                <w:rFonts w:ascii="Arial" w:cs="Arial" w:eastAsia="Arial" w:hAnsi="Arial"/>
                <w:sz w:val="14"/>
                <w:szCs w:val="14"/>
                <w:color w:val="auto"/>
              </w:rPr>
              <w:t>- Performance-Based and earned-based on achievement of</w:t>
            </w:r>
          </w:p>
        </w:tc>
        <w:tc>
          <w:tcPr>
            <w:tcW w:w="0" w:type="dxa"/>
            <w:vAlign w:val="bottom"/>
          </w:tcPr>
          <w:p>
            <w:pPr>
              <w:spacing w:after="0"/>
              <w:rPr>
                <w:sz w:val="1"/>
                <w:szCs w:val="1"/>
                <w:color w:val="auto"/>
              </w:rPr>
            </w:pPr>
          </w:p>
        </w:tc>
      </w:tr>
      <w:tr>
        <w:trPr>
          <w:trHeight w:val="126"/>
        </w:trPr>
        <w:tc>
          <w:tcPr>
            <w:tcW w:w="1560" w:type="dxa"/>
            <w:vAlign w:val="bottom"/>
            <w:vMerge w:val="continue"/>
            <w:shd w:val="clear" w:color="auto" w:fill="DBDBDB"/>
          </w:tcPr>
          <w:p>
            <w:pPr>
              <w:spacing w:after="0"/>
              <w:rPr>
                <w:sz w:val="10"/>
                <w:szCs w:val="10"/>
                <w:color w:val="auto"/>
              </w:rPr>
            </w:pPr>
          </w:p>
        </w:tc>
        <w:tc>
          <w:tcPr>
            <w:tcW w:w="4720" w:type="dxa"/>
            <w:vAlign w:val="bottom"/>
            <w:vMerge w:val="restart"/>
            <w:shd w:val="clear" w:color="auto" w:fill="DBDBDB"/>
          </w:tcPr>
          <w:p>
            <w:pPr>
              <w:ind w:left="260"/>
              <w:spacing w:after="0"/>
              <w:rPr>
                <w:sz w:val="20"/>
                <w:szCs w:val="20"/>
                <w:color w:val="auto"/>
              </w:rPr>
            </w:pPr>
            <w:r>
              <w:rPr>
                <w:rFonts w:ascii="Arial" w:cs="Arial" w:eastAsia="Arial" w:hAnsi="Arial"/>
                <w:sz w:val="14"/>
                <w:szCs w:val="14"/>
                <w:color w:val="auto"/>
              </w:rPr>
              <w:t>by creating a link between executive compensation</w:t>
            </w:r>
          </w:p>
        </w:tc>
        <w:tc>
          <w:tcPr>
            <w:tcW w:w="4960" w:type="dxa"/>
            <w:vAlign w:val="bottom"/>
            <w:vMerge w:val="restart"/>
            <w:shd w:val="clear" w:color="auto" w:fill="DBDBDB"/>
          </w:tcPr>
          <w:p>
            <w:pPr>
              <w:ind w:left="120"/>
              <w:spacing w:after="0"/>
              <w:rPr>
                <w:sz w:val="20"/>
                <w:szCs w:val="20"/>
                <w:color w:val="auto"/>
              </w:rPr>
            </w:pPr>
            <w:r>
              <w:rPr>
                <w:rFonts w:ascii="Arial" w:cs="Arial" w:eastAsia="Arial" w:hAnsi="Arial"/>
                <w:sz w:val="14"/>
                <w:szCs w:val="14"/>
                <w:color w:val="auto"/>
              </w:rPr>
              <w:t>Adjusted EBIT performance goals</w:t>
            </w:r>
          </w:p>
        </w:tc>
        <w:tc>
          <w:tcPr>
            <w:tcW w:w="0" w:type="dxa"/>
            <w:vAlign w:val="bottom"/>
          </w:tcPr>
          <w:p>
            <w:pPr>
              <w:spacing w:after="0"/>
              <w:rPr>
                <w:sz w:val="1"/>
                <w:szCs w:val="1"/>
                <w:color w:val="auto"/>
              </w:rPr>
            </w:pPr>
          </w:p>
        </w:tc>
      </w:tr>
      <w:tr>
        <w:trPr>
          <w:trHeight w:val="81"/>
        </w:trPr>
        <w:tc>
          <w:tcPr>
            <w:tcW w:w="1560" w:type="dxa"/>
            <w:vAlign w:val="bottom"/>
            <w:vMerge w:val="restart"/>
            <w:shd w:val="clear" w:color="auto" w:fill="DBDBDB"/>
          </w:tcPr>
          <w:p>
            <w:pPr>
              <w:ind w:left="100"/>
              <w:spacing w:after="0"/>
              <w:rPr>
                <w:sz w:val="20"/>
                <w:szCs w:val="20"/>
                <w:color w:val="auto"/>
              </w:rPr>
            </w:pPr>
            <w:r>
              <w:rPr>
                <w:rFonts w:ascii="Arial" w:cs="Arial" w:eastAsia="Arial" w:hAnsi="Arial"/>
                <w:sz w:val="14"/>
                <w:szCs w:val="14"/>
                <w:b w:val="1"/>
                <w:bCs w:val="1"/>
                <w:color w:val="auto"/>
              </w:rPr>
              <w:t>incentives</w:t>
            </w:r>
          </w:p>
        </w:tc>
        <w:tc>
          <w:tcPr>
            <w:tcW w:w="4720" w:type="dxa"/>
            <w:vAlign w:val="bottom"/>
            <w:vMerge w:val="continue"/>
            <w:shd w:val="clear" w:color="auto" w:fill="DBDBDB"/>
          </w:tcPr>
          <w:p>
            <w:pPr>
              <w:spacing w:after="0"/>
              <w:rPr>
                <w:sz w:val="7"/>
                <w:szCs w:val="7"/>
                <w:color w:val="auto"/>
              </w:rPr>
            </w:pPr>
          </w:p>
        </w:tc>
        <w:tc>
          <w:tcPr>
            <w:tcW w:w="496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560" w:type="dxa"/>
            <w:vAlign w:val="bottom"/>
            <w:vMerge w:val="continue"/>
            <w:shd w:val="clear" w:color="auto" w:fill="DBDBDB"/>
          </w:tcPr>
          <w:p>
            <w:pPr>
              <w:spacing w:after="0"/>
              <w:rPr>
                <w:sz w:val="10"/>
                <w:szCs w:val="10"/>
                <w:color w:val="auto"/>
              </w:rPr>
            </w:pPr>
          </w:p>
        </w:tc>
        <w:tc>
          <w:tcPr>
            <w:tcW w:w="4720" w:type="dxa"/>
            <w:vAlign w:val="bottom"/>
            <w:vMerge w:val="restart"/>
            <w:shd w:val="clear" w:color="auto" w:fill="DBDBDB"/>
          </w:tcPr>
          <w:p>
            <w:pPr>
              <w:ind w:left="260"/>
              <w:spacing w:after="0"/>
              <w:rPr>
                <w:sz w:val="20"/>
                <w:szCs w:val="20"/>
                <w:color w:val="auto"/>
              </w:rPr>
            </w:pPr>
            <w:r>
              <w:rPr>
                <w:rFonts w:ascii="Arial" w:cs="Arial" w:eastAsia="Arial" w:hAnsi="Arial"/>
                <w:sz w:val="14"/>
                <w:szCs w:val="14"/>
                <w:color w:val="auto"/>
              </w:rPr>
              <w:t>and our long-term performance</w:t>
            </w:r>
          </w:p>
        </w:tc>
        <w:tc>
          <w:tcPr>
            <w:tcW w:w="4960" w:type="dxa"/>
            <w:vAlign w:val="bottom"/>
            <w:vMerge w:val="restart"/>
            <w:shd w:val="clear" w:color="auto" w:fill="DBDBDB"/>
          </w:tcPr>
          <w:p>
            <w:pPr>
              <w:ind w:left="40"/>
              <w:spacing w:after="0"/>
              <w:rPr>
                <w:sz w:val="20"/>
                <w:szCs w:val="20"/>
                <w:color w:val="auto"/>
              </w:rPr>
            </w:pPr>
            <w:r>
              <w:rPr>
                <w:rFonts w:ascii="Arial" w:cs="Arial" w:eastAsia="Arial" w:hAnsi="Arial"/>
                <w:sz w:val="14"/>
                <w:szCs w:val="14"/>
                <w:color w:val="auto"/>
              </w:rPr>
              <w:t>- Time-Based vesting 50% after year 2 and 50% after year 3</w:t>
            </w:r>
          </w:p>
        </w:tc>
        <w:tc>
          <w:tcPr>
            <w:tcW w:w="0" w:type="dxa"/>
            <w:vAlign w:val="bottom"/>
          </w:tcPr>
          <w:p>
            <w:pPr>
              <w:spacing w:after="0"/>
              <w:rPr>
                <w:sz w:val="1"/>
                <w:szCs w:val="1"/>
                <w:color w:val="auto"/>
              </w:rPr>
            </w:pPr>
          </w:p>
        </w:tc>
      </w:tr>
      <w:tr>
        <w:trPr>
          <w:trHeight w:val="88"/>
        </w:trPr>
        <w:tc>
          <w:tcPr>
            <w:tcW w:w="1560" w:type="dxa"/>
            <w:vAlign w:val="bottom"/>
            <w:shd w:val="clear" w:color="auto" w:fill="DBDBDB"/>
          </w:tcPr>
          <w:p>
            <w:pPr>
              <w:spacing w:after="0"/>
              <w:rPr>
                <w:sz w:val="7"/>
                <w:szCs w:val="7"/>
                <w:color w:val="auto"/>
              </w:rPr>
            </w:pPr>
          </w:p>
        </w:tc>
        <w:tc>
          <w:tcPr>
            <w:tcW w:w="4720" w:type="dxa"/>
            <w:vAlign w:val="bottom"/>
            <w:vMerge w:val="continue"/>
            <w:shd w:val="clear" w:color="auto" w:fill="DBDBDB"/>
          </w:tcPr>
          <w:p>
            <w:pPr>
              <w:spacing w:after="0"/>
              <w:rPr>
                <w:sz w:val="7"/>
                <w:szCs w:val="7"/>
                <w:color w:val="auto"/>
              </w:rPr>
            </w:pPr>
          </w:p>
        </w:tc>
        <w:tc>
          <w:tcPr>
            <w:tcW w:w="496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560" w:type="dxa"/>
            <w:vAlign w:val="bottom"/>
            <w:shd w:val="clear" w:color="auto" w:fill="DBDBDB"/>
          </w:tcPr>
          <w:p>
            <w:pPr>
              <w:spacing w:after="0"/>
              <w:rPr>
                <w:sz w:val="17"/>
                <w:szCs w:val="17"/>
                <w:color w:val="auto"/>
              </w:rPr>
            </w:pPr>
          </w:p>
        </w:tc>
        <w:tc>
          <w:tcPr>
            <w:tcW w:w="4720" w:type="dxa"/>
            <w:vAlign w:val="bottom"/>
            <w:shd w:val="clear" w:color="auto" w:fill="DBDBDB"/>
          </w:tcPr>
          <w:p>
            <w:pPr>
              <w:spacing w:after="0"/>
              <w:rPr>
                <w:sz w:val="17"/>
                <w:szCs w:val="17"/>
                <w:color w:val="auto"/>
              </w:rPr>
            </w:pPr>
          </w:p>
        </w:tc>
        <w:tc>
          <w:tcPr>
            <w:tcW w:w="4960" w:type="dxa"/>
            <w:vAlign w:val="bottom"/>
            <w:shd w:val="clear" w:color="auto" w:fill="DBDBDB"/>
          </w:tcPr>
          <w:p>
            <w:pPr>
              <w:ind w:left="20"/>
              <w:spacing w:after="0"/>
              <w:rPr>
                <w:sz w:val="20"/>
                <w:szCs w:val="20"/>
                <w:color w:val="auto"/>
              </w:rPr>
            </w:pPr>
            <w:r>
              <w:rPr>
                <w:rFonts w:ascii="Arial" w:cs="Arial" w:eastAsia="Arial" w:hAnsi="Arial"/>
                <w:sz w:val="14"/>
                <w:szCs w:val="14"/>
                <w:color w:val="auto"/>
                <w:highlight w:val="lightGray"/>
              </w:rPr>
              <w:t>Options</w:t>
            </w:r>
          </w:p>
        </w:tc>
        <w:tc>
          <w:tcPr>
            <w:tcW w:w="0" w:type="dxa"/>
            <w:vAlign w:val="bottom"/>
          </w:tcPr>
          <w:p>
            <w:pPr>
              <w:spacing w:after="0"/>
              <w:rPr>
                <w:sz w:val="1"/>
                <w:szCs w:val="1"/>
                <w:color w:val="auto"/>
              </w:rPr>
            </w:pPr>
          </w:p>
        </w:tc>
      </w:tr>
      <w:tr>
        <w:trPr>
          <w:trHeight w:val="54"/>
        </w:trPr>
        <w:tc>
          <w:tcPr>
            <w:tcW w:w="1560" w:type="dxa"/>
            <w:vAlign w:val="bottom"/>
            <w:shd w:val="clear" w:color="auto" w:fill="DBDBDB"/>
          </w:tcPr>
          <w:p>
            <w:pPr>
              <w:spacing w:after="0"/>
              <w:rPr>
                <w:sz w:val="4"/>
                <w:szCs w:val="4"/>
                <w:color w:val="auto"/>
              </w:rPr>
            </w:pPr>
          </w:p>
        </w:tc>
        <w:tc>
          <w:tcPr>
            <w:tcW w:w="4720" w:type="dxa"/>
            <w:vAlign w:val="bottom"/>
            <w:shd w:val="clear" w:color="auto" w:fill="DBDBDB"/>
          </w:tcPr>
          <w:p>
            <w:pPr>
              <w:spacing w:after="0"/>
              <w:rPr>
                <w:sz w:val="4"/>
                <w:szCs w:val="4"/>
                <w:color w:val="auto"/>
              </w:rPr>
            </w:pPr>
          </w:p>
        </w:tc>
        <w:tc>
          <w:tcPr>
            <w:tcW w:w="496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-521970</wp:posOffset>
            </wp:positionV>
            <wp:extent cx="968375" cy="1028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68375" cy="10287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The charts below illustrate that the majority of each NEOs annual total target compensation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for 2021 was performance-based and at risk based on the</w:t>
      </w:r>
    </w:p>
    <w:p>
      <w:pPr>
        <w:spacing w:after="0"/>
        <w:rPr>
          <w:sz w:val="20"/>
          <w:szCs w:val="20"/>
          <w:color w:val="auto"/>
        </w:rPr>
      </w:pPr>
      <w:r>
        <w:rPr>
          <w:rFonts w:ascii="Arial" w:cs="Arial" w:eastAsia="Arial" w:hAnsi="Arial"/>
          <w:sz w:val="16"/>
          <w:szCs w:val="16"/>
          <w:color w:val="auto"/>
        </w:rPr>
        <w:t>Company’s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139065</wp:posOffset>
            </wp:positionV>
            <wp:extent cx="5803265" cy="25114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032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Reflects fiscal year end base salary, annual target bonus, and annual target equity grant. Excludes the special time-based RSU award made in September.</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Base Salary</w:t>
      </w:r>
    </w:p>
    <w:p>
      <w:pPr>
        <w:spacing w:after="0" w:line="68" w:lineRule="exact"/>
        <w:rPr>
          <w:sz w:val="20"/>
          <w:szCs w:val="20"/>
          <w:color w:val="auto"/>
        </w:rPr>
      </w:pPr>
    </w:p>
    <w:p>
      <w:pPr>
        <w:ind w:right="680"/>
        <w:spacing w:after="0" w:line="275" w:lineRule="auto"/>
        <w:rPr>
          <w:sz w:val="20"/>
          <w:szCs w:val="20"/>
          <w:color w:val="auto"/>
        </w:rPr>
      </w:pPr>
      <w:r>
        <w:rPr>
          <w:rFonts w:ascii="Arial" w:cs="Arial" w:eastAsia="Arial" w:hAnsi="Arial"/>
          <w:sz w:val="16"/>
          <w:szCs w:val="16"/>
          <w:color w:val="auto"/>
        </w:rPr>
        <w:t>The base salaries of our NEOs are set based on position, experience, market, job responsibilities, individual performance, and internal pay equity. Adjustments to salary levels are typically considered annually as part of our performance review process but can also be made throughout the year, including in connection with a promotion or other change in job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781685</wp:posOffset>
            </wp:positionV>
            <wp:extent cx="857250"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Mr Hicks’ requested, and the Committee agreed, not to increase his base salary during 2021. In March 2021, the Committee approved an increase of the base salary of Mr. Lawrence reflecting an assessment of his individual contributions and performance and to bring his base salary closer to the 50th percentile of our compensation peer group.</w:t>
      </w:r>
    </w:p>
    <w:p>
      <w:pPr>
        <w:spacing w:after="0" w:line="16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September 2021, as part of its comprehensive review of the annual compensation opportunities of certain key employees, including our NEOs, the Committee approved increases of the base salaries of Messrs. Mullican, Johnson, and Maini to provide each with a market-competitive base salary rewarding their strong performance and to help retain their services for the Company’s long-term growth. The following table summarizes the base salaries of the NEOs for fiscal years 2020 and 2021, in each case at the salaries in effect on the last day of such fiscal year. The actual salary amounts earned by the NEOs for 2021 are reported in the Summary Compensation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0" w:type="dxa"/>
            <w:vAlign w:val="bottom"/>
            <w:shd w:val="clear" w:color="auto" w:fill="E1D7AC"/>
          </w:tcPr>
          <w:p>
            <w:pPr>
              <w:spacing w:after="0"/>
              <w:rPr>
                <w:sz w:val="16"/>
                <w:szCs w:val="16"/>
                <w:color w:val="auto"/>
              </w:rPr>
            </w:pPr>
          </w:p>
        </w:tc>
        <w:tc>
          <w:tcPr>
            <w:tcW w:w="1900" w:type="dxa"/>
            <w:vAlign w:val="bottom"/>
            <w:shd w:val="clear" w:color="auto" w:fill="E1D7AC"/>
          </w:tcPr>
          <w:p>
            <w:pPr>
              <w:ind w:left="820"/>
              <w:spacing w:after="0"/>
              <w:rPr>
                <w:sz w:val="20"/>
                <w:szCs w:val="20"/>
                <w:color w:val="auto"/>
              </w:rPr>
            </w:pPr>
            <w:r>
              <w:rPr>
                <w:rFonts w:ascii="Arial" w:cs="Arial" w:eastAsia="Arial" w:hAnsi="Arial"/>
                <w:sz w:val="14"/>
                <w:szCs w:val="14"/>
                <w:b w:val="1"/>
                <w:bCs w:val="1"/>
                <w:color w:val="auto"/>
                <w:shd w:val="clear" w:color="auto" w:fill="E1D7AC"/>
              </w:rPr>
              <w:t>Year End Fiscal</w:t>
            </w:r>
          </w:p>
        </w:tc>
        <w:tc>
          <w:tcPr>
            <w:tcW w:w="34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2020</w:t>
            </w:r>
          </w:p>
        </w:tc>
        <w:tc>
          <w:tcPr>
            <w:tcW w:w="400" w:type="dxa"/>
            <w:vAlign w:val="bottom"/>
            <w:shd w:val="clear" w:color="auto" w:fill="E1D7AC"/>
          </w:tcPr>
          <w:p>
            <w:pPr>
              <w:ind w:left="40"/>
              <w:spacing w:after="0"/>
              <w:rPr>
                <w:sz w:val="20"/>
                <w:szCs w:val="20"/>
                <w:color w:val="auto"/>
              </w:rPr>
            </w:pPr>
            <w:r>
              <w:rPr>
                <w:rFonts w:ascii="Arial" w:cs="Arial" w:eastAsia="Arial" w:hAnsi="Arial"/>
                <w:sz w:val="14"/>
                <w:szCs w:val="14"/>
                <w:b w:val="1"/>
                <w:bCs w:val="1"/>
                <w:color w:val="auto"/>
                <w:shd w:val="clear" w:color="auto" w:fill="E1D7AC"/>
              </w:rPr>
              <w:t>Base</w:t>
            </w:r>
          </w:p>
        </w:tc>
        <w:tc>
          <w:tcPr>
            <w:tcW w:w="460" w:type="dxa"/>
            <w:vAlign w:val="bottom"/>
            <w:shd w:val="clear" w:color="auto" w:fill="E1D7AC"/>
          </w:tcPr>
          <w:p>
            <w:pPr>
              <w:jc w:val="right"/>
              <w:ind w:right="8"/>
              <w:spacing w:after="0"/>
              <w:rPr>
                <w:sz w:val="20"/>
                <w:szCs w:val="20"/>
                <w:color w:val="auto"/>
              </w:rPr>
            </w:pPr>
            <w:r>
              <w:rPr>
                <w:rFonts w:ascii="Arial" w:cs="Arial" w:eastAsia="Arial" w:hAnsi="Arial"/>
                <w:sz w:val="14"/>
                <w:szCs w:val="14"/>
                <w:b w:val="1"/>
                <w:bCs w:val="1"/>
                <w:color w:val="auto"/>
                <w:w w:val="85"/>
                <w:shd w:val="clear" w:color="auto" w:fill="E1D7AC"/>
              </w:rPr>
              <w:t>Salary</w:t>
            </w:r>
          </w:p>
        </w:tc>
        <w:tc>
          <w:tcPr>
            <w:tcW w:w="2200" w:type="dxa"/>
            <w:vAlign w:val="bottom"/>
            <w:shd w:val="clear" w:color="auto" w:fill="E1D7AC"/>
          </w:tcPr>
          <w:p>
            <w:pPr>
              <w:ind w:left="1100"/>
              <w:spacing w:after="0"/>
              <w:rPr>
                <w:sz w:val="20"/>
                <w:szCs w:val="20"/>
                <w:color w:val="auto"/>
              </w:rPr>
            </w:pPr>
            <w:r>
              <w:rPr>
                <w:rFonts w:ascii="Arial" w:cs="Arial" w:eastAsia="Arial" w:hAnsi="Arial"/>
                <w:sz w:val="14"/>
                <w:szCs w:val="14"/>
                <w:b w:val="1"/>
                <w:bCs w:val="1"/>
                <w:color w:val="auto"/>
                <w:shd w:val="clear" w:color="auto" w:fill="E1D7AC"/>
              </w:rPr>
              <w:t>Year End Fiscal</w:t>
            </w:r>
          </w:p>
        </w:tc>
        <w:tc>
          <w:tcPr>
            <w:tcW w:w="32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w w:val="96"/>
                <w:shd w:val="clear" w:color="auto" w:fill="E1D7AC"/>
              </w:rPr>
              <w:t>2021</w:t>
            </w:r>
          </w:p>
        </w:tc>
        <w:tc>
          <w:tcPr>
            <w:tcW w:w="420" w:type="dxa"/>
            <w:vAlign w:val="bottom"/>
            <w:shd w:val="clear" w:color="auto" w:fill="E1D7AC"/>
          </w:tcPr>
          <w:p>
            <w:pPr>
              <w:ind w:left="40"/>
              <w:spacing w:after="0"/>
              <w:rPr>
                <w:sz w:val="20"/>
                <w:szCs w:val="20"/>
                <w:color w:val="auto"/>
              </w:rPr>
            </w:pPr>
            <w:r>
              <w:rPr>
                <w:rFonts w:ascii="Arial" w:cs="Arial" w:eastAsia="Arial" w:hAnsi="Arial"/>
                <w:sz w:val="14"/>
                <w:szCs w:val="14"/>
                <w:b w:val="1"/>
                <w:bCs w:val="1"/>
                <w:color w:val="auto"/>
                <w:shd w:val="clear" w:color="auto" w:fill="E1D7AC"/>
              </w:rPr>
              <w:t>Base</w:t>
            </w:r>
          </w:p>
        </w:tc>
        <w:tc>
          <w:tcPr>
            <w:tcW w:w="44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w w:val="99"/>
                <w:shd w:val="clear" w:color="auto" w:fill="E1D7AC"/>
              </w:rPr>
              <w:t>Salary</w:t>
            </w:r>
          </w:p>
        </w:tc>
        <w:tc>
          <w:tcPr>
            <w:tcW w:w="2560" w:type="dxa"/>
            <w:vAlign w:val="bottom"/>
            <w:shd w:val="clear" w:color="auto" w:fill="E1D7AC"/>
          </w:tcPr>
          <w:p>
            <w:pPr>
              <w:jc w:val="right"/>
              <w:ind w:right="48"/>
              <w:spacing w:after="0"/>
              <w:rPr>
                <w:sz w:val="20"/>
                <w:szCs w:val="20"/>
                <w:color w:val="auto"/>
              </w:rPr>
            </w:pPr>
            <w:r>
              <w:rPr>
                <w:rFonts w:ascii="Arial" w:cs="Arial" w:eastAsia="Arial" w:hAnsi="Arial"/>
                <w:sz w:val="14"/>
                <w:szCs w:val="14"/>
                <w:b w:val="1"/>
                <w:bCs w:val="1"/>
                <w:color w:val="auto"/>
              </w:rPr>
              <w:t>Percentage Increase</w:t>
            </w:r>
          </w:p>
        </w:tc>
      </w:tr>
      <w:tr>
        <w:trPr>
          <w:trHeight w:val="189"/>
        </w:trPr>
        <w:tc>
          <w:tcPr>
            <w:tcW w:w="2200" w:type="dxa"/>
            <w:vAlign w:val="bottom"/>
            <w:shd w:val="clear" w:color="auto" w:fill="E1D7AC"/>
          </w:tcPr>
          <w:p>
            <w:pPr>
              <w:ind w:left="100"/>
              <w:spacing w:after="0"/>
              <w:rPr>
                <w:sz w:val="20"/>
                <w:szCs w:val="20"/>
                <w:color w:val="auto"/>
              </w:rPr>
            </w:pPr>
            <w:r>
              <w:rPr>
                <w:rFonts w:ascii="Arial" w:cs="Arial" w:eastAsia="Arial" w:hAnsi="Arial"/>
                <w:sz w:val="14"/>
                <w:szCs w:val="14"/>
                <w:b w:val="1"/>
                <w:bCs w:val="1"/>
                <w:color w:val="auto"/>
                <w:shd w:val="clear" w:color="auto" w:fill="E1D7AC"/>
              </w:rPr>
              <w:t>Name</w:t>
            </w:r>
          </w:p>
        </w:tc>
        <w:tc>
          <w:tcPr>
            <w:tcW w:w="2640" w:type="dxa"/>
            <w:vAlign w:val="bottom"/>
            <w:gridSpan w:val="3"/>
            <w:shd w:val="clear" w:color="auto" w:fill="E1D7AC"/>
          </w:tcPr>
          <w:p>
            <w:pPr>
              <w:spacing w:after="0"/>
              <w:rPr>
                <w:sz w:val="16"/>
                <w:szCs w:val="16"/>
                <w:color w:val="auto"/>
              </w:rPr>
            </w:pPr>
          </w:p>
        </w:tc>
        <w:tc>
          <w:tcPr>
            <w:tcW w:w="46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w:t>
            </w:r>
          </w:p>
        </w:tc>
        <w:tc>
          <w:tcPr>
            <w:tcW w:w="2940" w:type="dxa"/>
            <w:vAlign w:val="bottom"/>
            <w:gridSpan w:val="3"/>
            <w:shd w:val="clear" w:color="auto" w:fill="E1D7AC"/>
          </w:tcPr>
          <w:p>
            <w:pPr>
              <w:spacing w:after="0"/>
              <w:rPr>
                <w:sz w:val="16"/>
                <w:szCs w:val="16"/>
                <w:color w:val="auto"/>
              </w:rPr>
            </w:pPr>
          </w:p>
        </w:tc>
        <w:tc>
          <w:tcPr>
            <w:tcW w:w="44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w:t>
            </w:r>
          </w:p>
        </w:tc>
        <w:tc>
          <w:tcPr>
            <w:tcW w:w="2560" w:type="dxa"/>
            <w:vAlign w:val="bottom"/>
            <w:shd w:val="clear" w:color="auto" w:fill="E1D7AC"/>
          </w:tcPr>
          <w:p>
            <w:pPr>
              <w:jc w:val="right"/>
              <w:ind w:right="48"/>
              <w:spacing w:after="0"/>
              <w:rPr>
                <w:sz w:val="20"/>
                <w:szCs w:val="20"/>
                <w:color w:val="auto"/>
              </w:rPr>
            </w:pPr>
            <w:r>
              <w:rPr>
                <w:rFonts w:ascii="Arial" w:cs="Arial" w:eastAsia="Arial" w:hAnsi="Arial"/>
                <w:sz w:val="14"/>
                <w:szCs w:val="14"/>
                <w:b w:val="1"/>
                <w:bCs w:val="1"/>
                <w:color w:val="auto"/>
              </w:rPr>
              <w:t>(%)</w:t>
            </w:r>
          </w:p>
        </w:tc>
      </w:tr>
      <w:tr>
        <w:trPr>
          <w:trHeight w:val="108"/>
        </w:trPr>
        <w:tc>
          <w:tcPr>
            <w:tcW w:w="2200" w:type="dxa"/>
            <w:vAlign w:val="bottom"/>
            <w:shd w:val="clear" w:color="auto" w:fill="E1D7AC"/>
          </w:tcPr>
          <w:p>
            <w:pPr>
              <w:spacing w:after="0"/>
              <w:rPr>
                <w:sz w:val="9"/>
                <w:szCs w:val="9"/>
                <w:color w:val="auto"/>
              </w:rPr>
            </w:pPr>
          </w:p>
        </w:tc>
        <w:tc>
          <w:tcPr>
            <w:tcW w:w="1900" w:type="dxa"/>
            <w:vAlign w:val="bottom"/>
            <w:shd w:val="clear" w:color="auto" w:fill="E1D7AC"/>
          </w:tcPr>
          <w:p>
            <w:pPr>
              <w:spacing w:after="0"/>
              <w:rPr>
                <w:sz w:val="9"/>
                <w:szCs w:val="9"/>
                <w:color w:val="auto"/>
              </w:rPr>
            </w:pPr>
          </w:p>
        </w:tc>
        <w:tc>
          <w:tcPr>
            <w:tcW w:w="340" w:type="dxa"/>
            <w:vAlign w:val="bottom"/>
            <w:shd w:val="clear" w:color="auto" w:fill="E1D7AC"/>
          </w:tcPr>
          <w:p>
            <w:pPr>
              <w:spacing w:after="0"/>
              <w:rPr>
                <w:sz w:val="9"/>
                <w:szCs w:val="9"/>
                <w:color w:val="auto"/>
              </w:rPr>
            </w:pPr>
          </w:p>
        </w:tc>
        <w:tc>
          <w:tcPr>
            <w:tcW w:w="400" w:type="dxa"/>
            <w:vAlign w:val="bottom"/>
            <w:shd w:val="clear" w:color="auto" w:fill="E1D7AC"/>
          </w:tcPr>
          <w:p>
            <w:pPr>
              <w:spacing w:after="0"/>
              <w:rPr>
                <w:sz w:val="9"/>
                <w:szCs w:val="9"/>
                <w:color w:val="auto"/>
              </w:rPr>
            </w:pPr>
          </w:p>
        </w:tc>
        <w:tc>
          <w:tcPr>
            <w:tcW w:w="460" w:type="dxa"/>
            <w:vAlign w:val="bottom"/>
            <w:shd w:val="clear" w:color="auto" w:fill="E1D7AC"/>
          </w:tcPr>
          <w:p>
            <w:pPr>
              <w:spacing w:after="0"/>
              <w:rPr>
                <w:sz w:val="9"/>
                <w:szCs w:val="9"/>
                <w:color w:val="auto"/>
              </w:rPr>
            </w:pPr>
          </w:p>
        </w:tc>
        <w:tc>
          <w:tcPr>
            <w:tcW w:w="2200" w:type="dxa"/>
            <w:vAlign w:val="bottom"/>
            <w:shd w:val="clear" w:color="auto" w:fill="E1D7AC"/>
          </w:tcPr>
          <w:p>
            <w:pPr>
              <w:spacing w:after="0"/>
              <w:rPr>
                <w:sz w:val="9"/>
                <w:szCs w:val="9"/>
                <w:color w:val="auto"/>
              </w:rPr>
            </w:pPr>
          </w:p>
        </w:tc>
        <w:tc>
          <w:tcPr>
            <w:tcW w:w="320" w:type="dxa"/>
            <w:vAlign w:val="bottom"/>
            <w:shd w:val="clear" w:color="auto" w:fill="E1D7AC"/>
          </w:tcPr>
          <w:p>
            <w:pPr>
              <w:spacing w:after="0"/>
              <w:rPr>
                <w:sz w:val="9"/>
                <w:szCs w:val="9"/>
                <w:color w:val="auto"/>
              </w:rPr>
            </w:pPr>
          </w:p>
        </w:tc>
        <w:tc>
          <w:tcPr>
            <w:tcW w:w="420" w:type="dxa"/>
            <w:vAlign w:val="bottom"/>
            <w:shd w:val="clear" w:color="auto" w:fill="E1D7AC"/>
          </w:tcPr>
          <w:p>
            <w:pPr>
              <w:spacing w:after="0"/>
              <w:rPr>
                <w:sz w:val="9"/>
                <w:szCs w:val="9"/>
                <w:color w:val="auto"/>
              </w:rPr>
            </w:pPr>
          </w:p>
        </w:tc>
        <w:tc>
          <w:tcPr>
            <w:tcW w:w="440" w:type="dxa"/>
            <w:vAlign w:val="bottom"/>
            <w:shd w:val="clear" w:color="auto" w:fill="E1D7AC"/>
          </w:tcPr>
          <w:p>
            <w:pPr>
              <w:spacing w:after="0"/>
              <w:rPr>
                <w:sz w:val="9"/>
                <w:szCs w:val="9"/>
                <w:color w:val="auto"/>
              </w:rPr>
            </w:pPr>
          </w:p>
        </w:tc>
        <w:tc>
          <w:tcPr>
            <w:tcW w:w="2560" w:type="dxa"/>
            <w:vAlign w:val="bottom"/>
            <w:shd w:val="clear" w:color="auto" w:fill="E1D7AC"/>
          </w:tcPr>
          <w:p>
            <w:pPr>
              <w:spacing w:after="0"/>
              <w:rPr>
                <w:sz w:val="9"/>
                <w:szCs w:val="9"/>
                <w:color w:val="auto"/>
              </w:rPr>
            </w:pPr>
          </w:p>
        </w:tc>
      </w:tr>
      <w:tr>
        <w:trPr>
          <w:trHeight w:val="223"/>
        </w:trPr>
        <w:tc>
          <w:tcPr>
            <w:tcW w:w="22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Ken C. Hicks</w:t>
            </w:r>
          </w:p>
        </w:tc>
        <w:tc>
          <w:tcPr>
            <w:tcW w:w="3100" w:type="dxa"/>
            <w:vAlign w:val="bottom"/>
            <w:tcBorders>
              <w:bottom w:val="single" w:sz="8" w:color="DBDBDB"/>
            </w:tcBorders>
            <w:gridSpan w:val="4"/>
            <w:shd w:val="clear" w:color="auto" w:fill="DBDBDB"/>
          </w:tcPr>
          <w:p>
            <w:pPr>
              <w:jc w:val="right"/>
              <w:spacing w:after="0"/>
              <w:rPr>
                <w:sz w:val="20"/>
                <w:szCs w:val="20"/>
                <w:color w:val="auto"/>
              </w:rPr>
            </w:pPr>
            <w:r>
              <w:rPr>
                <w:rFonts w:ascii="Arial" w:cs="Arial" w:eastAsia="Arial" w:hAnsi="Arial"/>
                <w:sz w:val="14"/>
                <w:szCs w:val="14"/>
                <w:color w:val="auto"/>
              </w:rPr>
              <w:t>1,100,000</w:t>
            </w:r>
          </w:p>
        </w:tc>
        <w:tc>
          <w:tcPr>
            <w:tcW w:w="3380" w:type="dxa"/>
            <w:vAlign w:val="bottom"/>
            <w:tcBorders>
              <w:bottom w:val="single" w:sz="8" w:color="DBDBDB"/>
            </w:tcBorders>
            <w:gridSpan w:val="4"/>
            <w:shd w:val="clear" w:color="auto" w:fill="DBDBDB"/>
          </w:tcPr>
          <w:p>
            <w:pPr>
              <w:jc w:val="right"/>
              <w:spacing w:after="0"/>
              <w:rPr>
                <w:sz w:val="20"/>
                <w:szCs w:val="20"/>
                <w:color w:val="auto"/>
              </w:rPr>
            </w:pPr>
            <w:r>
              <w:rPr>
                <w:rFonts w:ascii="Arial" w:cs="Arial" w:eastAsia="Arial" w:hAnsi="Arial"/>
                <w:sz w:val="14"/>
                <w:szCs w:val="14"/>
                <w:color w:val="auto"/>
              </w:rPr>
              <w:t>1,100,000</w:t>
            </w:r>
          </w:p>
        </w:tc>
        <w:tc>
          <w:tcPr>
            <w:tcW w:w="25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r>
      <w:tr>
        <w:trPr>
          <w:trHeight w:val="214"/>
        </w:trPr>
        <w:tc>
          <w:tcPr>
            <w:tcW w:w="2200" w:type="dxa"/>
            <w:vAlign w:val="bottom"/>
          </w:tcPr>
          <w:p>
            <w:pPr>
              <w:ind w:left="100"/>
              <w:spacing w:after="0"/>
              <w:rPr>
                <w:sz w:val="20"/>
                <w:szCs w:val="20"/>
                <w:color w:val="auto"/>
              </w:rPr>
            </w:pPr>
            <w:r>
              <w:rPr>
                <w:rFonts w:ascii="Arial" w:cs="Arial" w:eastAsia="Arial" w:hAnsi="Arial"/>
                <w:sz w:val="14"/>
                <w:szCs w:val="14"/>
                <w:b w:val="1"/>
                <w:bCs w:val="1"/>
                <w:color w:val="auto"/>
              </w:rPr>
              <w:t>Michael P. Mullican</w:t>
            </w:r>
          </w:p>
        </w:tc>
        <w:tc>
          <w:tcPr>
            <w:tcW w:w="3100" w:type="dxa"/>
            <w:vAlign w:val="bottom"/>
            <w:gridSpan w:val="4"/>
          </w:tcPr>
          <w:p>
            <w:pPr>
              <w:jc w:val="right"/>
              <w:spacing w:after="0"/>
              <w:rPr>
                <w:sz w:val="20"/>
                <w:szCs w:val="20"/>
                <w:color w:val="auto"/>
              </w:rPr>
            </w:pPr>
            <w:r>
              <w:rPr>
                <w:rFonts w:ascii="Arial" w:cs="Arial" w:eastAsia="Arial" w:hAnsi="Arial"/>
                <w:sz w:val="14"/>
                <w:szCs w:val="14"/>
                <w:color w:val="auto"/>
              </w:rPr>
              <w:t>570,000</w:t>
            </w:r>
          </w:p>
        </w:tc>
        <w:tc>
          <w:tcPr>
            <w:tcW w:w="3380" w:type="dxa"/>
            <w:vAlign w:val="bottom"/>
            <w:gridSpan w:val="4"/>
          </w:tcPr>
          <w:p>
            <w:pPr>
              <w:jc w:val="right"/>
              <w:spacing w:after="0"/>
              <w:rPr>
                <w:sz w:val="20"/>
                <w:szCs w:val="20"/>
                <w:color w:val="auto"/>
              </w:rPr>
            </w:pPr>
            <w:r>
              <w:rPr>
                <w:rFonts w:ascii="Arial" w:cs="Arial" w:eastAsia="Arial" w:hAnsi="Arial"/>
                <w:sz w:val="14"/>
                <w:szCs w:val="14"/>
                <w:color w:val="auto"/>
              </w:rPr>
              <w:t>675,000</w:t>
            </w:r>
          </w:p>
        </w:tc>
        <w:tc>
          <w:tcPr>
            <w:tcW w:w="2560" w:type="dxa"/>
            <w:vAlign w:val="bottom"/>
          </w:tcPr>
          <w:p>
            <w:pPr>
              <w:jc w:val="right"/>
              <w:ind w:right="48"/>
              <w:spacing w:after="0"/>
              <w:rPr>
                <w:sz w:val="20"/>
                <w:szCs w:val="20"/>
                <w:color w:val="auto"/>
              </w:rPr>
            </w:pPr>
            <w:r>
              <w:rPr>
                <w:rFonts w:ascii="Arial" w:cs="Arial" w:eastAsia="Arial" w:hAnsi="Arial"/>
                <w:sz w:val="14"/>
                <w:szCs w:val="14"/>
                <w:color w:val="auto"/>
              </w:rPr>
              <w:t>18.4</w:t>
            </w:r>
          </w:p>
        </w:tc>
      </w:tr>
      <w:tr>
        <w:trPr>
          <w:trHeight w:val="29"/>
        </w:trPr>
        <w:tc>
          <w:tcPr>
            <w:tcW w:w="2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23"/>
        </w:trPr>
        <w:tc>
          <w:tcPr>
            <w:tcW w:w="22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Steve P. Lawrence</w:t>
            </w:r>
          </w:p>
        </w:tc>
        <w:tc>
          <w:tcPr>
            <w:tcW w:w="3100" w:type="dxa"/>
            <w:vAlign w:val="bottom"/>
            <w:tcBorders>
              <w:bottom w:val="single" w:sz="8" w:color="DBDBDB"/>
            </w:tcBorders>
            <w:gridSpan w:val="4"/>
            <w:shd w:val="clear" w:color="auto" w:fill="DBDBDB"/>
          </w:tcPr>
          <w:p>
            <w:pPr>
              <w:jc w:val="right"/>
              <w:spacing w:after="0"/>
              <w:rPr>
                <w:sz w:val="20"/>
                <w:szCs w:val="20"/>
                <w:color w:val="auto"/>
              </w:rPr>
            </w:pPr>
            <w:r>
              <w:rPr>
                <w:rFonts w:ascii="Arial" w:cs="Arial" w:eastAsia="Arial" w:hAnsi="Arial"/>
                <w:sz w:val="14"/>
                <w:szCs w:val="14"/>
                <w:color w:val="auto"/>
              </w:rPr>
              <w:t>730,000</w:t>
            </w:r>
          </w:p>
        </w:tc>
        <w:tc>
          <w:tcPr>
            <w:tcW w:w="3380" w:type="dxa"/>
            <w:vAlign w:val="bottom"/>
            <w:tcBorders>
              <w:bottom w:val="single" w:sz="8" w:color="DBDBDB"/>
            </w:tcBorders>
            <w:gridSpan w:val="4"/>
            <w:shd w:val="clear" w:color="auto" w:fill="DBDBDB"/>
          </w:tcPr>
          <w:p>
            <w:pPr>
              <w:jc w:val="right"/>
              <w:spacing w:after="0"/>
              <w:rPr>
                <w:sz w:val="20"/>
                <w:szCs w:val="20"/>
                <w:color w:val="auto"/>
              </w:rPr>
            </w:pPr>
            <w:r>
              <w:rPr>
                <w:rFonts w:ascii="Arial" w:cs="Arial" w:eastAsia="Arial" w:hAnsi="Arial"/>
                <w:sz w:val="14"/>
                <w:szCs w:val="14"/>
                <w:color w:val="auto"/>
              </w:rPr>
              <w:t>752,000</w:t>
            </w:r>
          </w:p>
        </w:tc>
        <w:tc>
          <w:tcPr>
            <w:tcW w:w="25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3.0</w:t>
            </w:r>
          </w:p>
        </w:tc>
      </w:tr>
      <w:tr>
        <w:trPr>
          <w:trHeight w:val="214"/>
        </w:trPr>
        <w:tc>
          <w:tcPr>
            <w:tcW w:w="2200" w:type="dxa"/>
            <w:vAlign w:val="bottom"/>
          </w:tcPr>
          <w:p>
            <w:pPr>
              <w:ind w:left="100"/>
              <w:spacing w:after="0"/>
              <w:rPr>
                <w:sz w:val="20"/>
                <w:szCs w:val="20"/>
                <w:color w:val="auto"/>
              </w:rPr>
            </w:pPr>
            <w:r>
              <w:rPr>
                <w:rFonts w:ascii="Arial" w:cs="Arial" w:eastAsia="Arial" w:hAnsi="Arial"/>
                <w:sz w:val="14"/>
                <w:szCs w:val="14"/>
                <w:b w:val="1"/>
                <w:bCs w:val="1"/>
                <w:color w:val="auto"/>
              </w:rPr>
              <w:t>Sam J. Johnson</w:t>
            </w:r>
          </w:p>
        </w:tc>
        <w:tc>
          <w:tcPr>
            <w:tcW w:w="3100" w:type="dxa"/>
            <w:vAlign w:val="bottom"/>
            <w:gridSpan w:val="4"/>
          </w:tcPr>
          <w:p>
            <w:pPr>
              <w:jc w:val="right"/>
              <w:spacing w:after="0"/>
              <w:rPr>
                <w:sz w:val="20"/>
                <w:szCs w:val="20"/>
                <w:color w:val="auto"/>
              </w:rPr>
            </w:pPr>
            <w:r>
              <w:rPr>
                <w:rFonts w:ascii="Arial" w:cs="Arial" w:eastAsia="Arial" w:hAnsi="Arial"/>
                <w:sz w:val="14"/>
                <w:szCs w:val="14"/>
                <w:color w:val="auto"/>
              </w:rPr>
              <w:t>527,500</w:t>
            </w:r>
          </w:p>
        </w:tc>
        <w:tc>
          <w:tcPr>
            <w:tcW w:w="3380" w:type="dxa"/>
            <w:vAlign w:val="bottom"/>
            <w:gridSpan w:val="4"/>
          </w:tcPr>
          <w:p>
            <w:pPr>
              <w:jc w:val="right"/>
              <w:spacing w:after="0"/>
              <w:rPr>
                <w:sz w:val="20"/>
                <w:szCs w:val="20"/>
                <w:color w:val="auto"/>
              </w:rPr>
            </w:pPr>
            <w:r>
              <w:rPr>
                <w:rFonts w:ascii="Arial" w:cs="Arial" w:eastAsia="Arial" w:hAnsi="Arial"/>
                <w:sz w:val="14"/>
                <w:szCs w:val="14"/>
                <w:color w:val="auto"/>
              </w:rPr>
              <w:t>577,500</w:t>
            </w:r>
          </w:p>
        </w:tc>
        <w:tc>
          <w:tcPr>
            <w:tcW w:w="2560" w:type="dxa"/>
            <w:vAlign w:val="bottom"/>
          </w:tcPr>
          <w:p>
            <w:pPr>
              <w:jc w:val="right"/>
              <w:ind w:right="48"/>
              <w:spacing w:after="0"/>
              <w:rPr>
                <w:sz w:val="20"/>
                <w:szCs w:val="20"/>
                <w:color w:val="auto"/>
              </w:rPr>
            </w:pPr>
            <w:r>
              <w:rPr>
                <w:rFonts w:ascii="Arial" w:cs="Arial" w:eastAsia="Arial" w:hAnsi="Arial"/>
                <w:sz w:val="14"/>
                <w:szCs w:val="14"/>
                <w:color w:val="auto"/>
              </w:rPr>
              <w:t>9.5</w:t>
            </w:r>
          </w:p>
        </w:tc>
      </w:tr>
      <w:tr>
        <w:trPr>
          <w:trHeight w:val="29"/>
        </w:trPr>
        <w:tc>
          <w:tcPr>
            <w:tcW w:w="2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14"/>
        </w:trPr>
        <w:tc>
          <w:tcPr>
            <w:tcW w:w="220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Manish Maini</w:t>
            </w:r>
          </w:p>
        </w:tc>
        <w:tc>
          <w:tcPr>
            <w:tcW w:w="3100" w:type="dxa"/>
            <w:vAlign w:val="bottom"/>
            <w:gridSpan w:val="4"/>
            <w:shd w:val="clear" w:color="auto" w:fill="DBDBDB"/>
          </w:tcPr>
          <w:p>
            <w:pPr>
              <w:jc w:val="right"/>
              <w:spacing w:after="0"/>
              <w:rPr>
                <w:sz w:val="20"/>
                <w:szCs w:val="20"/>
                <w:color w:val="auto"/>
              </w:rPr>
            </w:pPr>
            <w:r>
              <w:rPr>
                <w:rFonts w:ascii="Arial" w:cs="Arial" w:eastAsia="Arial" w:hAnsi="Arial"/>
                <w:sz w:val="14"/>
                <w:szCs w:val="14"/>
                <w:color w:val="auto"/>
              </w:rPr>
              <w:t>525,000</w:t>
            </w:r>
          </w:p>
        </w:tc>
        <w:tc>
          <w:tcPr>
            <w:tcW w:w="3380" w:type="dxa"/>
            <w:vAlign w:val="bottom"/>
            <w:gridSpan w:val="4"/>
            <w:shd w:val="clear" w:color="auto" w:fill="DBDBDB"/>
          </w:tcPr>
          <w:p>
            <w:pPr>
              <w:jc w:val="right"/>
              <w:spacing w:after="0"/>
              <w:rPr>
                <w:sz w:val="20"/>
                <w:szCs w:val="20"/>
                <w:color w:val="auto"/>
              </w:rPr>
            </w:pPr>
            <w:r>
              <w:rPr>
                <w:rFonts w:ascii="Arial" w:cs="Arial" w:eastAsia="Arial" w:hAnsi="Arial"/>
                <w:sz w:val="14"/>
                <w:szCs w:val="14"/>
                <w:color w:val="auto"/>
              </w:rPr>
              <w:t>550,000</w:t>
            </w:r>
          </w:p>
        </w:tc>
        <w:tc>
          <w:tcPr>
            <w:tcW w:w="25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4.8</w:t>
            </w:r>
          </w:p>
        </w:tc>
      </w:tr>
      <w:tr>
        <w:trPr>
          <w:trHeight w:val="29"/>
        </w:trPr>
        <w:tc>
          <w:tcPr>
            <w:tcW w:w="2200" w:type="dxa"/>
            <w:vAlign w:val="bottom"/>
            <w:shd w:val="clear" w:color="auto" w:fill="DBDBDB"/>
          </w:tcPr>
          <w:p>
            <w:pPr>
              <w:spacing w:after="0"/>
              <w:rPr>
                <w:sz w:val="2"/>
                <w:szCs w:val="2"/>
                <w:color w:val="auto"/>
              </w:rPr>
            </w:pPr>
          </w:p>
        </w:tc>
        <w:tc>
          <w:tcPr>
            <w:tcW w:w="190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40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220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440" w:type="dxa"/>
            <w:vAlign w:val="bottom"/>
            <w:shd w:val="clear" w:color="auto" w:fill="DBDBDB"/>
          </w:tcPr>
          <w:p>
            <w:pPr>
              <w:spacing w:after="0"/>
              <w:rPr>
                <w:sz w:val="2"/>
                <w:szCs w:val="2"/>
                <w:color w:val="auto"/>
              </w:rPr>
            </w:pPr>
          </w:p>
        </w:tc>
        <w:tc>
          <w:tcPr>
            <w:tcW w:w="2560" w:type="dxa"/>
            <w:vAlign w:val="bottom"/>
            <w:shd w:val="clear" w:color="auto" w:fill="DBDBDB"/>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2021 Executive Team Bonus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Bonus Plan Design</w:t>
      </w:r>
    </w:p>
    <w:p>
      <w:pPr>
        <w:spacing w:after="0" w:line="6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seek to tie a significant portion of NEO compensation to performance. To accomplish this objective, we provide our NEOs the opportunity to earn annual cash bonuses tied to the achievement of both Company (weighted 90%) and individual (weighted 10%) performance metrics. Each NEO may earn from 0% to 200% of his or her target bonus opportunity, which is expressed as a percentage of the NEO’s fiscal year-end base salary level. Any earned bonus payments are generally subject to the NEO’s continued employment through the payment date, which typically occurs in April following the end of the applicable fiscal year.</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During the first quarter of 2021, the Committee finalized and approved the performance metrics for the 2021 Executive Team Bonus Plan, or the Bonus Plan. In setting the goals described below, the Committee established what it believed were stretch goals that would incentivize and reward exceptional employee performance without any guarantee that we would meet or exceed any such metrics in the prevailing business environment.</w:t>
      </w:r>
    </w:p>
    <w:p>
      <w:pPr>
        <w:spacing w:after="0" w:line="164"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For the Company performance metrics, we use linear interpolation to determine the payout percentage where the level of achievement falls between minimum and target or target and maximum levels of achievement.</w:t>
      </w:r>
    </w:p>
    <w:p>
      <w:pPr>
        <w:spacing w:after="0" w:line="169"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For NEOs to be eligible to receive any payout under the Bonus Plan, the Company must achieve a minimum Total Company EBIT Dollars (Adjusted EBIT) result of at least 80% of the Adjusted EBIT target as set and approved by the Committee. If this threshold is not met, no bonuses will be paid under the Bonus Plan.</w:t>
      </w:r>
    </w:p>
    <w:p>
      <w:pPr>
        <w:spacing w:after="0" w:line="164"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Under the Bonus Plan, the Company performance metrics represents 90% of each NEO’s annual bonus opportunity. For 2021, the Committee chose Adjusted EBIT (weighted 50%) and Total Company Sales (weighted 40%) as the two Company performance metrics under the Bonus Plan. Adjusted EBIT reflects the profitability of the Company inclusive of depreciation and amortization impacts. Sales represent the primary means of growth for the Company. The Committee determined to shift from an Adjusted EBITDA metric to an Adjusted EBIT metric to better align with the Company’s financial goals and eliminated the ROIC metric in connection with this increased focus on annual profitability.</w:t>
      </w:r>
    </w:p>
    <w:p>
      <w:pPr>
        <w:spacing w:after="0" w:line="17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Under the Bonus Plan, the Individual performance metric represents 10% of each NEO’s annual bonus opportunity. Mr. Hicks recommended the NEOs’ individual performance goals, other than his own, to the Committee for its final approval.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776605</wp:posOffset>
            </wp:positionV>
            <wp:extent cx="857250" cy="20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color w:val="007EC4"/>
        </w:rPr>
        <w:t xml:space="preserve">40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Committee set Mr. Hicks’ individual performance goals. The level of individual performance achieved by each NEO other than Mr. Hicks are determined holistically by Mr. Hicks based on his assessment of their level of achievement of the applicable quantifiable and qualitative measures for their individual performance metrics and then recommended by him to the Committee for final approval. The Committee determines Mr. Hicks’ performance achievement without his input.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individual performance metrics for each of our NEOs for 2021 were as follows: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Individual Performance Metric Table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4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4"/>
                <w:szCs w:val="14"/>
                <w:b w:val="1"/>
                <w:bCs w:val="1"/>
                <w:color w:val="auto"/>
              </w:rPr>
              <w:t>Name &amp; Position</w:t>
            </w:r>
          </w:p>
        </w:tc>
        <w:tc>
          <w:tcPr>
            <w:tcW w:w="8200" w:type="dxa"/>
            <w:vAlign w:val="bottom"/>
            <w:tcBorders>
              <w:bottom w:val="single" w:sz="8" w:color="E1D7AC"/>
            </w:tcBorders>
            <w:gridSpan w:val="2"/>
            <w:shd w:val="clear" w:color="auto" w:fill="E1D7AC"/>
          </w:tcPr>
          <w:p>
            <w:pPr>
              <w:ind w:left="100"/>
              <w:spacing w:after="0"/>
              <w:rPr>
                <w:sz w:val="20"/>
                <w:szCs w:val="20"/>
                <w:color w:val="auto"/>
              </w:rPr>
            </w:pPr>
            <w:r>
              <w:rPr>
                <w:rFonts w:ascii="Arial" w:cs="Arial" w:eastAsia="Arial" w:hAnsi="Arial"/>
                <w:sz w:val="14"/>
                <w:szCs w:val="14"/>
                <w:b w:val="1"/>
                <w:bCs w:val="1"/>
                <w:color w:val="auto"/>
              </w:rPr>
              <w:t>Individual Performance Metrics</w:t>
            </w:r>
          </w:p>
        </w:tc>
      </w:tr>
      <w:tr>
        <w:trPr>
          <w:trHeight w:val="261"/>
        </w:trPr>
        <w:tc>
          <w:tcPr>
            <w:tcW w:w="304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highlight w:val="lightGray"/>
              </w:rPr>
              <w:t>Ken C. Hicks</w:t>
            </w:r>
          </w:p>
        </w:tc>
        <w:tc>
          <w:tcPr>
            <w:tcW w:w="5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Achieve the Company’s performance metrics</w:t>
            </w:r>
          </w:p>
        </w:tc>
      </w:tr>
      <w:tr>
        <w:trPr>
          <w:trHeight w:val="185"/>
        </w:trPr>
        <w:tc>
          <w:tcPr>
            <w:tcW w:w="3040" w:type="dxa"/>
            <w:vAlign w:val="bottom"/>
            <w:shd w:val="clear" w:color="auto" w:fill="DBDBDB"/>
          </w:tcPr>
          <w:p>
            <w:pPr>
              <w:ind w:left="100"/>
              <w:spacing w:after="0"/>
              <w:rPr>
                <w:sz w:val="20"/>
                <w:szCs w:val="20"/>
                <w:color w:val="auto"/>
              </w:rPr>
            </w:pPr>
            <w:r>
              <w:rPr>
                <w:rFonts w:ascii="Arial" w:cs="Arial" w:eastAsia="Arial" w:hAnsi="Arial"/>
                <w:sz w:val="14"/>
                <w:szCs w:val="14"/>
                <w:color w:val="auto"/>
                <w:highlight w:val="lightGray"/>
              </w:rPr>
              <w:t>Chairman, President &amp; CEO</w:t>
            </w:r>
          </w:p>
        </w:tc>
        <w:tc>
          <w:tcPr>
            <w:tcW w:w="5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Build a stronger online business</w:t>
            </w:r>
          </w:p>
        </w:tc>
      </w:tr>
      <w:tr>
        <w:trPr>
          <w:trHeight w:val="139"/>
        </w:trPr>
        <w:tc>
          <w:tcPr>
            <w:tcW w:w="3040" w:type="dxa"/>
            <w:vAlign w:val="bottom"/>
            <w:shd w:val="clear" w:color="auto" w:fill="DBDBDB"/>
          </w:tcPr>
          <w:p>
            <w:pPr>
              <w:spacing w:after="0"/>
              <w:rPr>
                <w:sz w:val="12"/>
                <w:szCs w:val="12"/>
                <w:color w:val="auto"/>
              </w:rPr>
            </w:pPr>
          </w:p>
        </w:tc>
        <w:tc>
          <w:tcPr>
            <w:tcW w:w="520" w:type="dxa"/>
            <w:vAlign w:val="bottom"/>
            <w:shd w:val="clear" w:color="auto" w:fill="DBDBDB"/>
          </w:tcPr>
          <w:p>
            <w:pPr>
              <w:ind w:left="340"/>
              <w:spacing w:after="0" w:line="139" w:lineRule="exact"/>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line="139" w:lineRule="exact"/>
              <w:rPr>
                <w:sz w:val="20"/>
                <w:szCs w:val="20"/>
                <w:color w:val="auto"/>
              </w:rPr>
            </w:pPr>
            <w:r>
              <w:rPr>
                <w:rFonts w:ascii="Arial" w:cs="Arial" w:eastAsia="Arial" w:hAnsi="Arial"/>
                <w:sz w:val="14"/>
                <w:szCs w:val="14"/>
                <w:color w:val="auto"/>
              </w:rPr>
              <w:t>Enhance our store service and effectiveness for our customers</w:t>
            </w:r>
          </w:p>
        </w:tc>
      </w:tr>
      <w:tr>
        <w:trPr>
          <w:trHeight w:val="162"/>
        </w:trPr>
        <w:tc>
          <w:tcPr>
            <w:tcW w:w="3040" w:type="dxa"/>
            <w:vAlign w:val="bottom"/>
            <w:shd w:val="clear" w:color="auto" w:fill="DBDBDB"/>
          </w:tcPr>
          <w:p>
            <w:pPr>
              <w:spacing w:after="0"/>
              <w:rPr>
                <w:sz w:val="14"/>
                <w:szCs w:val="14"/>
                <w:color w:val="auto"/>
              </w:rPr>
            </w:pPr>
          </w:p>
        </w:tc>
        <w:tc>
          <w:tcPr>
            <w:tcW w:w="5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Continue to refine and improve our merchandise planning and allocation capabilities</w:t>
            </w:r>
          </w:p>
        </w:tc>
      </w:tr>
      <w:tr>
        <w:trPr>
          <w:trHeight w:val="162"/>
        </w:trPr>
        <w:tc>
          <w:tcPr>
            <w:tcW w:w="3040" w:type="dxa"/>
            <w:vAlign w:val="bottom"/>
            <w:shd w:val="clear" w:color="auto" w:fill="DBDBDB"/>
          </w:tcPr>
          <w:p>
            <w:pPr>
              <w:spacing w:after="0"/>
              <w:rPr>
                <w:sz w:val="14"/>
                <w:szCs w:val="14"/>
                <w:color w:val="auto"/>
              </w:rPr>
            </w:pPr>
          </w:p>
        </w:tc>
        <w:tc>
          <w:tcPr>
            <w:tcW w:w="5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Better engage our customers through more targeted marketing and communication efforts</w:t>
            </w:r>
          </w:p>
        </w:tc>
      </w:tr>
      <w:tr>
        <w:trPr>
          <w:trHeight w:val="162"/>
        </w:trPr>
        <w:tc>
          <w:tcPr>
            <w:tcW w:w="3040" w:type="dxa"/>
            <w:vAlign w:val="bottom"/>
            <w:shd w:val="clear" w:color="auto" w:fill="DBDBDB"/>
          </w:tcPr>
          <w:p>
            <w:pPr>
              <w:spacing w:after="0"/>
              <w:rPr>
                <w:sz w:val="14"/>
                <w:szCs w:val="14"/>
                <w:color w:val="auto"/>
              </w:rPr>
            </w:pPr>
          </w:p>
        </w:tc>
        <w:tc>
          <w:tcPr>
            <w:tcW w:w="5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Strengthen the efficiency and effectiveness of our supply chain</w:t>
            </w:r>
          </w:p>
        </w:tc>
      </w:tr>
      <w:tr>
        <w:trPr>
          <w:trHeight w:val="162"/>
        </w:trPr>
        <w:tc>
          <w:tcPr>
            <w:tcW w:w="3040" w:type="dxa"/>
            <w:vAlign w:val="bottom"/>
            <w:shd w:val="clear" w:color="auto" w:fill="DBDBDB"/>
          </w:tcPr>
          <w:p>
            <w:pPr>
              <w:spacing w:after="0"/>
              <w:rPr>
                <w:sz w:val="14"/>
                <w:szCs w:val="14"/>
                <w:color w:val="auto"/>
              </w:rPr>
            </w:pPr>
          </w:p>
        </w:tc>
        <w:tc>
          <w:tcPr>
            <w:tcW w:w="5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Build an industry leading retail team</w:t>
            </w:r>
          </w:p>
        </w:tc>
      </w:tr>
      <w:tr>
        <w:trPr>
          <w:trHeight w:val="190"/>
        </w:trPr>
        <w:tc>
          <w:tcPr>
            <w:tcW w:w="3040" w:type="dxa"/>
            <w:vAlign w:val="bottom"/>
            <w:shd w:val="clear" w:color="auto" w:fill="DBDBDB"/>
          </w:tcPr>
          <w:p>
            <w:pPr>
              <w:spacing w:after="0"/>
              <w:rPr>
                <w:sz w:val="16"/>
                <w:szCs w:val="16"/>
                <w:color w:val="auto"/>
              </w:rPr>
            </w:pPr>
          </w:p>
        </w:tc>
        <w:tc>
          <w:tcPr>
            <w:tcW w:w="5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Continue the transition to being a public company</w:t>
            </w:r>
          </w:p>
        </w:tc>
      </w:tr>
      <w:tr>
        <w:trPr>
          <w:trHeight w:val="103"/>
        </w:trPr>
        <w:tc>
          <w:tcPr>
            <w:tcW w:w="3040" w:type="dxa"/>
            <w:vAlign w:val="bottom"/>
            <w:shd w:val="clear" w:color="auto" w:fill="DBDBDB"/>
          </w:tcPr>
          <w:p>
            <w:pPr>
              <w:spacing w:after="0"/>
              <w:rPr>
                <w:sz w:val="8"/>
                <w:szCs w:val="8"/>
                <w:color w:val="auto"/>
              </w:rPr>
            </w:pPr>
          </w:p>
        </w:tc>
        <w:tc>
          <w:tcPr>
            <w:tcW w:w="520" w:type="dxa"/>
            <w:vAlign w:val="bottom"/>
            <w:shd w:val="clear" w:color="auto" w:fill="DBDBDB"/>
          </w:tcPr>
          <w:p>
            <w:pPr>
              <w:spacing w:after="0"/>
              <w:rPr>
                <w:sz w:val="8"/>
                <w:szCs w:val="8"/>
                <w:color w:val="auto"/>
              </w:rPr>
            </w:pPr>
          </w:p>
        </w:tc>
        <w:tc>
          <w:tcPr>
            <w:tcW w:w="7680" w:type="dxa"/>
            <w:vAlign w:val="bottom"/>
            <w:shd w:val="clear" w:color="auto" w:fill="DBDBDB"/>
          </w:tcPr>
          <w:p>
            <w:pPr>
              <w:spacing w:after="0"/>
              <w:rPr>
                <w:sz w:val="8"/>
                <w:szCs w:val="8"/>
                <w:color w:val="auto"/>
              </w:rPr>
            </w:pPr>
          </w:p>
        </w:tc>
      </w:tr>
      <w:tr>
        <w:trPr>
          <w:trHeight w:val="261"/>
        </w:trPr>
        <w:tc>
          <w:tcPr>
            <w:tcW w:w="3040" w:type="dxa"/>
            <w:vAlign w:val="bottom"/>
          </w:tcPr>
          <w:p>
            <w:pPr>
              <w:ind w:left="100"/>
              <w:spacing w:after="0"/>
              <w:rPr>
                <w:sz w:val="20"/>
                <w:szCs w:val="20"/>
                <w:color w:val="auto"/>
              </w:rPr>
            </w:pPr>
            <w:r>
              <w:rPr>
                <w:rFonts w:ascii="Arial" w:cs="Arial" w:eastAsia="Arial" w:hAnsi="Arial"/>
                <w:sz w:val="14"/>
                <w:szCs w:val="14"/>
                <w:b w:val="1"/>
                <w:bCs w:val="1"/>
                <w:color w:val="auto"/>
              </w:rPr>
              <w:t>Michael P. Mullican</w:t>
            </w: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7680" w:type="dxa"/>
            <w:vAlign w:val="bottom"/>
          </w:tcPr>
          <w:p>
            <w:pPr>
              <w:ind w:left="140"/>
              <w:spacing w:after="0"/>
              <w:rPr>
                <w:sz w:val="20"/>
                <w:szCs w:val="20"/>
                <w:color w:val="auto"/>
              </w:rPr>
            </w:pPr>
            <w:r>
              <w:rPr>
                <w:rFonts w:ascii="Arial" w:cs="Arial" w:eastAsia="Arial" w:hAnsi="Arial"/>
                <w:sz w:val="14"/>
                <w:szCs w:val="14"/>
                <w:color w:val="auto"/>
              </w:rPr>
              <w:t>Increase the productivity of our assets</w:t>
            </w:r>
          </w:p>
        </w:tc>
      </w:tr>
      <w:tr>
        <w:trPr>
          <w:trHeight w:val="185"/>
        </w:trPr>
        <w:tc>
          <w:tcPr>
            <w:tcW w:w="3040" w:type="dxa"/>
            <w:vAlign w:val="bottom"/>
          </w:tcPr>
          <w:p>
            <w:pPr>
              <w:ind w:left="100"/>
              <w:spacing w:after="0"/>
              <w:rPr>
                <w:sz w:val="20"/>
                <w:szCs w:val="20"/>
                <w:color w:val="auto"/>
              </w:rPr>
            </w:pPr>
            <w:r>
              <w:rPr>
                <w:rFonts w:ascii="Arial" w:cs="Arial" w:eastAsia="Arial" w:hAnsi="Arial"/>
                <w:sz w:val="14"/>
                <w:szCs w:val="14"/>
                <w:color w:val="auto"/>
              </w:rPr>
              <w:t>EVP, Chief Financial Officer</w:t>
            </w: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7680" w:type="dxa"/>
            <w:vAlign w:val="bottom"/>
          </w:tcPr>
          <w:p>
            <w:pPr>
              <w:ind w:left="140"/>
              <w:spacing w:after="0"/>
              <w:rPr>
                <w:sz w:val="20"/>
                <w:szCs w:val="20"/>
                <w:color w:val="auto"/>
              </w:rPr>
            </w:pPr>
            <w:r>
              <w:rPr>
                <w:rFonts w:ascii="Arial" w:cs="Arial" w:eastAsia="Arial" w:hAnsi="Arial"/>
                <w:sz w:val="14"/>
                <w:szCs w:val="14"/>
                <w:color w:val="auto"/>
              </w:rPr>
              <w:t>Maintain a strong balance sheet</w:t>
            </w:r>
          </w:p>
        </w:tc>
      </w:tr>
      <w:tr>
        <w:trPr>
          <w:trHeight w:val="139"/>
        </w:trPr>
        <w:tc>
          <w:tcPr>
            <w:tcW w:w="3040" w:type="dxa"/>
            <w:vAlign w:val="bottom"/>
          </w:tcPr>
          <w:p>
            <w:pPr>
              <w:spacing w:after="0"/>
              <w:rPr>
                <w:sz w:val="12"/>
                <w:szCs w:val="12"/>
                <w:color w:val="auto"/>
              </w:rPr>
            </w:pPr>
          </w:p>
        </w:tc>
        <w:tc>
          <w:tcPr>
            <w:tcW w:w="520" w:type="dxa"/>
            <w:vAlign w:val="bottom"/>
          </w:tcPr>
          <w:p>
            <w:pPr>
              <w:ind w:left="340"/>
              <w:spacing w:after="0" w:line="139" w:lineRule="exact"/>
              <w:rPr>
                <w:sz w:val="20"/>
                <w:szCs w:val="20"/>
                <w:color w:val="auto"/>
              </w:rPr>
            </w:pPr>
            <w:r>
              <w:rPr>
                <w:rFonts w:ascii="Arial" w:cs="Arial" w:eastAsia="Arial" w:hAnsi="Arial"/>
                <w:sz w:val="14"/>
                <w:szCs w:val="14"/>
                <w:color w:val="auto"/>
              </w:rPr>
              <w:t>•</w:t>
            </w:r>
          </w:p>
        </w:tc>
        <w:tc>
          <w:tcPr>
            <w:tcW w:w="7680" w:type="dxa"/>
            <w:vAlign w:val="bottom"/>
          </w:tcPr>
          <w:p>
            <w:pPr>
              <w:ind w:left="140"/>
              <w:spacing w:after="0" w:line="139" w:lineRule="exact"/>
              <w:rPr>
                <w:sz w:val="20"/>
                <w:szCs w:val="20"/>
                <w:color w:val="auto"/>
              </w:rPr>
            </w:pPr>
            <w:r>
              <w:rPr>
                <w:rFonts w:ascii="Arial" w:cs="Arial" w:eastAsia="Arial" w:hAnsi="Arial"/>
                <w:sz w:val="14"/>
                <w:szCs w:val="14"/>
                <w:color w:val="auto"/>
              </w:rPr>
              <w:t>Support ongoing stockholders monetization</w:t>
            </w:r>
          </w:p>
        </w:tc>
      </w:tr>
      <w:tr>
        <w:trPr>
          <w:trHeight w:val="190"/>
        </w:trPr>
        <w:tc>
          <w:tcPr>
            <w:tcW w:w="3040" w:type="dxa"/>
            <w:vAlign w:val="bottom"/>
          </w:tcPr>
          <w:p>
            <w:pPr>
              <w:spacing w:after="0"/>
              <w:rPr>
                <w:sz w:val="16"/>
                <w:szCs w:val="16"/>
                <w:color w:val="auto"/>
              </w:rPr>
            </w:pP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7680" w:type="dxa"/>
            <w:vAlign w:val="bottom"/>
          </w:tcPr>
          <w:p>
            <w:pPr>
              <w:ind w:left="140"/>
              <w:spacing w:after="0"/>
              <w:rPr>
                <w:sz w:val="20"/>
                <w:szCs w:val="20"/>
                <w:color w:val="auto"/>
              </w:rPr>
            </w:pPr>
            <w:r>
              <w:rPr>
                <w:rFonts w:ascii="Arial" w:cs="Arial" w:eastAsia="Arial" w:hAnsi="Arial"/>
                <w:sz w:val="14"/>
                <w:szCs w:val="14"/>
                <w:color w:val="auto"/>
              </w:rPr>
              <w:t>Build an industry leading retail team</w:t>
            </w:r>
          </w:p>
        </w:tc>
      </w:tr>
      <w:tr>
        <w:trPr>
          <w:trHeight w:val="103"/>
        </w:trPr>
        <w:tc>
          <w:tcPr>
            <w:tcW w:w="3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80" w:type="dxa"/>
            <w:vAlign w:val="bottom"/>
          </w:tcPr>
          <w:p>
            <w:pPr>
              <w:spacing w:after="0"/>
              <w:rPr>
                <w:sz w:val="8"/>
                <w:szCs w:val="8"/>
                <w:color w:val="auto"/>
              </w:rPr>
            </w:pPr>
          </w:p>
        </w:tc>
      </w:tr>
      <w:tr>
        <w:trPr>
          <w:trHeight w:val="261"/>
        </w:trPr>
        <w:tc>
          <w:tcPr>
            <w:tcW w:w="304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highlight w:val="lightGray"/>
              </w:rPr>
              <w:t>Steve P. Lawrence</w:t>
            </w:r>
          </w:p>
        </w:tc>
        <w:tc>
          <w:tcPr>
            <w:tcW w:w="5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Drive the power merchandiser strategy</w:t>
            </w:r>
          </w:p>
        </w:tc>
      </w:tr>
      <w:tr>
        <w:trPr>
          <w:trHeight w:val="185"/>
        </w:trPr>
        <w:tc>
          <w:tcPr>
            <w:tcW w:w="3040" w:type="dxa"/>
            <w:vAlign w:val="bottom"/>
            <w:shd w:val="clear" w:color="auto" w:fill="DBDBDB"/>
          </w:tcPr>
          <w:p>
            <w:pPr>
              <w:ind w:left="100"/>
              <w:spacing w:after="0"/>
              <w:rPr>
                <w:sz w:val="20"/>
                <w:szCs w:val="20"/>
                <w:color w:val="auto"/>
              </w:rPr>
            </w:pPr>
            <w:r>
              <w:rPr>
                <w:rFonts w:ascii="Arial" w:cs="Arial" w:eastAsia="Arial" w:hAnsi="Arial"/>
                <w:sz w:val="14"/>
                <w:szCs w:val="14"/>
                <w:color w:val="auto"/>
                <w:highlight w:val="lightGray"/>
              </w:rPr>
              <w:t>EVP, Chief Merchandising Officer</w:t>
            </w:r>
          </w:p>
        </w:tc>
        <w:tc>
          <w:tcPr>
            <w:tcW w:w="5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Develop a more exciting and productive shopping experience in our stores</w:t>
            </w:r>
          </w:p>
        </w:tc>
      </w:tr>
      <w:tr>
        <w:trPr>
          <w:trHeight w:val="139"/>
        </w:trPr>
        <w:tc>
          <w:tcPr>
            <w:tcW w:w="3040" w:type="dxa"/>
            <w:vAlign w:val="bottom"/>
            <w:shd w:val="clear" w:color="auto" w:fill="DBDBDB"/>
          </w:tcPr>
          <w:p>
            <w:pPr>
              <w:spacing w:after="0"/>
              <w:rPr>
                <w:sz w:val="12"/>
                <w:szCs w:val="12"/>
                <w:color w:val="auto"/>
              </w:rPr>
            </w:pPr>
          </w:p>
        </w:tc>
        <w:tc>
          <w:tcPr>
            <w:tcW w:w="520" w:type="dxa"/>
            <w:vAlign w:val="bottom"/>
            <w:shd w:val="clear" w:color="auto" w:fill="DBDBDB"/>
          </w:tcPr>
          <w:p>
            <w:pPr>
              <w:ind w:left="340"/>
              <w:spacing w:after="0" w:line="139" w:lineRule="exact"/>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line="139" w:lineRule="exact"/>
              <w:rPr>
                <w:sz w:val="20"/>
                <w:szCs w:val="20"/>
                <w:color w:val="auto"/>
              </w:rPr>
            </w:pPr>
            <w:r>
              <w:rPr>
                <w:rFonts w:ascii="Arial" w:cs="Arial" w:eastAsia="Arial" w:hAnsi="Arial"/>
                <w:sz w:val="14"/>
                <w:szCs w:val="14"/>
                <w:color w:val="auto"/>
              </w:rPr>
              <w:t>Build a stronger online business</w:t>
            </w:r>
          </w:p>
        </w:tc>
      </w:tr>
      <w:tr>
        <w:trPr>
          <w:trHeight w:val="162"/>
        </w:trPr>
        <w:tc>
          <w:tcPr>
            <w:tcW w:w="3040" w:type="dxa"/>
            <w:vAlign w:val="bottom"/>
            <w:shd w:val="clear" w:color="auto" w:fill="DBDBDB"/>
          </w:tcPr>
          <w:p>
            <w:pPr>
              <w:spacing w:after="0"/>
              <w:rPr>
                <w:sz w:val="14"/>
                <w:szCs w:val="14"/>
                <w:color w:val="auto"/>
              </w:rPr>
            </w:pPr>
          </w:p>
        </w:tc>
        <w:tc>
          <w:tcPr>
            <w:tcW w:w="5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Develop and drive a more targeted communications approach to improve customer engagement</w:t>
            </w:r>
          </w:p>
        </w:tc>
      </w:tr>
      <w:tr>
        <w:trPr>
          <w:trHeight w:val="190"/>
        </w:trPr>
        <w:tc>
          <w:tcPr>
            <w:tcW w:w="3040" w:type="dxa"/>
            <w:vAlign w:val="bottom"/>
            <w:shd w:val="clear" w:color="auto" w:fill="DBDBDB"/>
          </w:tcPr>
          <w:p>
            <w:pPr>
              <w:spacing w:after="0"/>
              <w:rPr>
                <w:sz w:val="16"/>
                <w:szCs w:val="16"/>
                <w:color w:val="auto"/>
              </w:rPr>
            </w:pPr>
          </w:p>
        </w:tc>
        <w:tc>
          <w:tcPr>
            <w:tcW w:w="5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Build an industry leading retail team</w:t>
            </w:r>
          </w:p>
        </w:tc>
      </w:tr>
      <w:tr>
        <w:trPr>
          <w:trHeight w:val="103"/>
        </w:trPr>
        <w:tc>
          <w:tcPr>
            <w:tcW w:w="3040" w:type="dxa"/>
            <w:vAlign w:val="bottom"/>
            <w:shd w:val="clear" w:color="auto" w:fill="DBDBDB"/>
          </w:tcPr>
          <w:p>
            <w:pPr>
              <w:spacing w:after="0"/>
              <w:rPr>
                <w:sz w:val="8"/>
                <w:szCs w:val="8"/>
                <w:color w:val="auto"/>
              </w:rPr>
            </w:pPr>
          </w:p>
        </w:tc>
        <w:tc>
          <w:tcPr>
            <w:tcW w:w="520" w:type="dxa"/>
            <w:vAlign w:val="bottom"/>
            <w:shd w:val="clear" w:color="auto" w:fill="DBDBDB"/>
          </w:tcPr>
          <w:p>
            <w:pPr>
              <w:spacing w:after="0"/>
              <w:rPr>
                <w:sz w:val="8"/>
                <w:szCs w:val="8"/>
                <w:color w:val="auto"/>
              </w:rPr>
            </w:pPr>
          </w:p>
        </w:tc>
        <w:tc>
          <w:tcPr>
            <w:tcW w:w="7680" w:type="dxa"/>
            <w:vAlign w:val="bottom"/>
            <w:shd w:val="clear" w:color="auto" w:fill="DBDBDB"/>
          </w:tcPr>
          <w:p>
            <w:pPr>
              <w:spacing w:after="0"/>
              <w:rPr>
                <w:sz w:val="8"/>
                <w:szCs w:val="8"/>
                <w:color w:val="auto"/>
              </w:rPr>
            </w:pPr>
          </w:p>
        </w:tc>
      </w:tr>
      <w:tr>
        <w:trPr>
          <w:trHeight w:val="288"/>
        </w:trPr>
        <w:tc>
          <w:tcPr>
            <w:tcW w:w="3040" w:type="dxa"/>
            <w:vAlign w:val="bottom"/>
          </w:tcPr>
          <w:p>
            <w:pPr>
              <w:ind w:left="100"/>
              <w:spacing w:after="0"/>
              <w:rPr>
                <w:sz w:val="20"/>
                <w:szCs w:val="20"/>
                <w:color w:val="auto"/>
              </w:rPr>
            </w:pPr>
            <w:r>
              <w:rPr>
                <w:rFonts w:ascii="Arial" w:cs="Arial" w:eastAsia="Arial" w:hAnsi="Arial"/>
                <w:sz w:val="14"/>
                <w:szCs w:val="14"/>
                <w:b w:val="1"/>
                <w:bCs w:val="1"/>
                <w:color w:val="auto"/>
              </w:rPr>
              <w:t>Sam J. Johnson</w:t>
            </w: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7680" w:type="dxa"/>
            <w:vAlign w:val="bottom"/>
          </w:tcPr>
          <w:p>
            <w:pPr>
              <w:ind w:left="140"/>
              <w:spacing w:after="0"/>
              <w:rPr>
                <w:sz w:val="20"/>
                <w:szCs w:val="20"/>
                <w:color w:val="auto"/>
              </w:rPr>
            </w:pPr>
            <w:r>
              <w:rPr>
                <w:rFonts w:ascii="Arial" w:cs="Arial" w:eastAsia="Arial" w:hAnsi="Arial"/>
                <w:sz w:val="14"/>
                <w:szCs w:val="14"/>
                <w:color w:val="auto"/>
              </w:rPr>
              <w:t>Drive the power merchandiser strategy</w:t>
            </w:r>
          </w:p>
        </w:tc>
      </w:tr>
      <w:tr>
        <w:trPr>
          <w:trHeight w:val="175"/>
        </w:trPr>
        <w:tc>
          <w:tcPr>
            <w:tcW w:w="3040" w:type="dxa"/>
            <w:vAlign w:val="bottom"/>
          </w:tcPr>
          <w:p>
            <w:pPr>
              <w:ind w:left="100"/>
              <w:spacing w:after="0"/>
              <w:rPr>
                <w:sz w:val="20"/>
                <w:szCs w:val="20"/>
                <w:color w:val="auto"/>
              </w:rPr>
            </w:pPr>
            <w:r>
              <w:rPr>
                <w:rFonts w:ascii="Arial" w:cs="Arial" w:eastAsia="Arial" w:hAnsi="Arial"/>
                <w:sz w:val="14"/>
                <w:szCs w:val="14"/>
                <w:color w:val="auto"/>
              </w:rPr>
              <w:t>EVP, Retail Operations</w:t>
            </w: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7680" w:type="dxa"/>
            <w:vAlign w:val="bottom"/>
          </w:tcPr>
          <w:p>
            <w:pPr>
              <w:ind w:left="140"/>
              <w:spacing w:after="0"/>
              <w:rPr>
                <w:sz w:val="20"/>
                <w:szCs w:val="20"/>
                <w:color w:val="auto"/>
              </w:rPr>
            </w:pPr>
            <w:r>
              <w:rPr>
                <w:rFonts w:ascii="Arial" w:cs="Arial" w:eastAsia="Arial" w:hAnsi="Arial"/>
                <w:sz w:val="14"/>
                <w:szCs w:val="14"/>
                <w:color w:val="auto"/>
              </w:rPr>
              <w:t>Develop a more exciting and productive shopping experience in our stores</w:t>
            </w:r>
          </w:p>
        </w:tc>
      </w:tr>
      <w:tr>
        <w:trPr>
          <w:trHeight w:val="175"/>
        </w:trPr>
        <w:tc>
          <w:tcPr>
            <w:tcW w:w="3040" w:type="dxa"/>
            <w:vAlign w:val="bottom"/>
          </w:tcPr>
          <w:p>
            <w:pPr>
              <w:spacing w:after="0"/>
              <w:rPr>
                <w:sz w:val="15"/>
                <w:szCs w:val="15"/>
                <w:color w:val="auto"/>
              </w:rPr>
            </w:pP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7680" w:type="dxa"/>
            <w:vAlign w:val="bottom"/>
          </w:tcPr>
          <w:p>
            <w:pPr>
              <w:ind w:left="140"/>
              <w:spacing w:after="0"/>
              <w:rPr>
                <w:sz w:val="20"/>
                <w:szCs w:val="20"/>
                <w:color w:val="auto"/>
              </w:rPr>
            </w:pPr>
            <w:r>
              <w:rPr>
                <w:rFonts w:ascii="Arial" w:cs="Arial" w:eastAsia="Arial" w:hAnsi="Arial"/>
                <w:sz w:val="14"/>
                <w:szCs w:val="14"/>
                <w:color w:val="auto"/>
              </w:rPr>
              <w:t>Increase the productivity of our assets</w:t>
            </w:r>
          </w:p>
        </w:tc>
      </w:tr>
      <w:tr>
        <w:trPr>
          <w:trHeight w:val="190"/>
        </w:trPr>
        <w:tc>
          <w:tcPr>
            <w:tcW w:w="3040" w:type="dxa"/>
            <w:vAlign w:val="bottom"/>
          </w:tcPr>
          <w:p>
            <w:pPr>
              <w:spacing w:after="0"/>
              <w:rPr>
                <w:sz w:val="16"/>
                <w:szCs w:val="16"/>
                <w:color w:val="auto"/>
              </w:rPr>
            </w:pP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7680" w:type="dxa"/>
            <w:vAlign w:val="bottom"/>
          </w:tcPr>
          <w:p>
            <w:pPr>
              <w:ind w:left="140"/>
              <w:spacing w:after="0"/>
              <w:rPr>
                <w:sz w:val="20"/>
                <w:szCs w:val="20"/>
                <w:color w:val="auto"/>
              </w:rPr>
            </w:pPr>
            <w:r>
              <w:rPr>
                <w:rFonts w:ascii="Arial" w:cs="Arial" w:eastAsia="Arial" w:hAnsi="Arial"/>
                <w:sz w:val="14"/>
                <w:szCs w:val="14"/>
                <w:color w:val="auto"/>
              </w:rPr>
              <w:t>Build an industry leading retail team</w:t>
            </w:r>
          </w:p>
        </w:tc>
      </w:tr>
      <w:tr>
        <w:trPr>
          <w:trHeight w:val="103"/>
        </w:trPr>
        <w:tc>
          <w:tcPr>
            <w:tcW w:w="3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80" w:type="dxa"/>
            <w:vAlign w:val="bottom"/>
          </w:tcPr>
          <w:p>
            <w:pPr>
              <w:spacing w:after="0"/>
              <w:rPr>
                <w:sz w:val="8"/>
                <w:szCs w:val="8"/>
                <w:color w:val="auto"/>
              </w:rPr>
            </w:pPr>
          </w:p>
        </w:tc>
      </w:tr>
      <w:tr>
        <w:trPr>
          <w:trHeight w:val="261"/>
        </w:trPr>
        <w:tc>
          <w:tcPr>
            <w:tcW w:w="304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highlight w:val="lightGray"/>
              </w:rPr>
              <w:t>Manish Maini</w:t>
            </w:r>
          </w:p>
        </w:tc>
        <w:tc>
          <w:tcPr>
            <w:tcW w:w="5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Ensure system stability, data security and Sarbanes-Oxley Act compliance</w:t>
            </w:r>
          </w:p>
        </w:tc>
      </w:tr>
      <w:tr>
        <w:trPr>
          <w:trHeight w:val="185"/>
        </w:trPr>
        <w:tc>
          <w:tcPr>
            <w:tcW w:w="3040" w:type="dxa"/>
            <w:vAlign w:val="bottom"/>
            <w:shd w:val="clear" w:color="auto" w:fill="DBDBDB"/>
          </w:tcPr>
          <w:p>
            <w:pPr>
              <w:ind w:left="100"/>
              <w:spacing w:after="0"/>
              <w:rPr>
                <w:sz w:val="20"/>
                <w:szCs w:val="20"/>
                <w:color w:val="auto"/>
              </w:rPr>
            </w:pPr>
            <w:r>
              <w:rPr>
                <w:rFonts w:ascii="Arial" w:cs="Arial" w:eastAsia="Arial" w:hAnsi="Arial"/>
                <w:sz w:val="14"/>
                <w:szCs w:val="14"/>
                <w:color w:val="auto"/>
                <w:highlight w:val="lightGray"/>
              </w:rPr>
              <w:t>SVP, Chief Information Officer</w:t>
            </w:r>
          </w:p>
        </w:tc>
        <w:tc>
          <w:tcPr>
            <w:tcW w:w="5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Create a meaningful online business by engaging and communicating with our customers</w:t>
            </w:r>
          </w:p>
        </w:tc>
      </w:tr>
      <w:tr>
        <w:trPr>
          <w:trHeight w:val="139"/>
        </w:trPr>
        <w:tc>
          <w:tcPr>
            <w:tcW w:w="3040" w:type="dxa"/>
            <w:vAlign w:val="bottom"/>
            <w:shd w:val="clear" w:color="auto" w:fill="DBDBDB"/>
          </w:tcPr>
          <w:p>
            <w:pPr>
              <w:spacing w:after="0"/>
              <w:rPr>
                <w:sz w:val="12"/>
                <w:szCs w:val="12"/>
                <w:color w:val="auto"/>
              </w:rPr>
            </w:pPr>
          </w:p>
        </w:tc>
        <w:tc>
          <w:tcPr>
            <w:tcW w:w="520" w:type="dxa"/>
            <w:vAlign w:val="bottom"/>
            <w:shd w:val="clear" w:color="auto" w:fill="DBDBDB"/>
          </w:tcPr>
          <w:p>
            <w:pPr>
              <w:ind w:left="340"/>
              <w:spacing w:after="0" w:line="139" w:lineRule="exact"/>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line="139" w:lineRule="exact"/>
              <w:rPr>
                <w:sz w:val="20"/>
                <w:szCs w:val="20"/>
                <w:color w:val="auto"/>
              </w:rPr>
            </w:pPr>
            <w:r>
              <w:rPr>
                <w:rFonts w:ascii="Arial" w:cs="Arial" w:eastAsia="Arial" w:hAnsi="Arial"/>
                <w:sz w:val="14"/>
                <w:szCs w:val="14"/>
                <w:color w:val="auto"/>
              </w:rPr>
              <w:t>Increase the productivity of our assets</w:t>
            </w:r>
          </w:p>
        </w:tc>
      </w:tr>
      <w:tr>
        <w:trPr>
          <w:trHeight w:val="162"/>
        </w:trPr>
        <w:tc>
          <w:tcPr>
            <w:tcW w:w="3040" w:type="dxa"/>
            <w:vAlign w:val="bottom"/>
            <w:shd w:val="clear" w:color="auto" w:fill="DBDBDB"/>
          </w:tcPr>
          <w:p>
            <w:pPr>
              <w:spacing w:after="0"/>
              <w:rPr>
                <w:sz w:val="14"/>
                <w:szCs w:val="14"/>
                <w:color w:val="auto"/>
              </w:rPr>
            </w:pPr>
          </w:p>
        </w:tc>
        <w:tc>
          <w:tcPr>
            <w:tcW w:w="5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Drive systems for the power merchandiser strategy</w:t>
            </w:r>
          </w:p>
        </w:tc>
      </w:tr>
      <w:tr>
        <w:trPr>
          <w:trHeight w:val="190"/>
        </w:trPr>
        <w:tc>
          <w:tcPr>
            <w:tcW w:w="3040" w:type="dxa"/>
            <w:vAlign w:val="bottom"/>
            <w:shd w:val="clear" w:color="auto" w:fill="DBDBDB"/>
          </w:tcPr>
          <w:p>
            <w:pPr>
              <w:spacing w:after="0"/>
              <w:rPr>
                <w:sz w:val="16"/>
                <w:szCs w:val="16"/>
                <w:color w:val="auto"/>
              </w:rPr>
            </w:pPr>
          </w:p>
        </w:tc>
        <w:tc>
          <w:tcPr>
            <w:tcW w:w="5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w:t>
            </w:r>
          </w:p>
        </w:tc>
        <w:tc>
          <w:tcPr>
            <w:tcW w:w="76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Drive systems for a more exciting and productive shopping experience in our stores</w:t>
            </w:r>
          </w:p>
        </w:tc>
      </w:tr>
      <w:tr>
        <w:trPr>
          <w:trHeight w:val="103"/>
        </w:trPr>
        <w:tc>
          <w:tcPr>
            <w:tcW w:w="3040" w:type="dxa"/>
            <w:vAlign w:val="bottom"/>
            <w:shd w:val="clear" w:color="auto" w:fill="DBDBDB"/>
          </w:tcPr>
          <w:p>
            <w:pPr>
              <w:spacing w:after="0"/>
              <w:rPr>
                <w:sz w:val="8"/>
                <w:szCs w:val="8"/>
                <w:color w:val="auto"/>
              </w:rPr>
            </w:pPr>
          </w:p>
        </w:tc>
        <w:tc>
          <w:tcPr>
            <w:tcW w:w="520" w:type="dxa"/>
            <w:vAlign w:val="bottom"/>
            <w:shd w:val="clear" w:color="auto" w:fill="DBDBDB"/>
          </w:tcPr>
          <w:p>
            <w:pPr>
              <w:spacing w:after="0"/>
              <w:rPr>
                <w:sz w:val="8"/>
                <w:szCs w:val="8"/>
                <w:color w:val="auto"/>
              </w:rPr>
            </w:pPr>
          </w:p>
        </w:tc>
        <w:tc>
          <w:tcPr>
            <w:tcW w:w="7680" w:type="dxa"/>
            <w:vAlign w:val="bottom"/>
            <w:shd w:val="clear" w:color="auto" w:fill="DBDBDB"/>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857250"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Achievement of Performance Goals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2021 Company and individual performance results under the Bonus Plan: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60" w:type="dxa"/>
            <w:vAlign w:val="bottom"/>
            <w:shd w:val="clear" w:color="auto" w:fill="E1D7AC"/>
          </w:tcPr>
          <w:p>
            <w:pPr>
              <w:spacing w:after="0"/>
              <w:rPr>
                <w:sz w:val="23"/>
                <w:szCs w:val="23"/>
                <w:color w:val="auto"/>
              </w:rPr>
            </w:pPr>
          </w:p>
        </w:tc>
        <w:tc>
          <w:tcPr>
            <w:tcW w:w="660" w:type="dxa"/>
            <w:vAlign w:val="bottom"/>
            <w:shd w:val="clear" w:color="auto" w:fill="E1D7AC"/>
          </w:tcPr>
          <w:p>
            <w:pPr>
              <w:spacing w:after="0"/>
              <w:rPr>
                <w:sz w:val="23"/>
                <w:szCs w:val="23"/>
                <w:color w:val="auto"/>
              </w:rPr>
            </w:pPr>
          </w:p>
        </w:tc>
        <w:tc>
          <w:tcPr>
            <w:tcW w:w="660" w:type="dxa"/>
            <w:vAlign w:val="bottom"/>
            <w:shd w:val="clear" w:color="auto" w:fill="E1D7AC"/>
          </w:tcPr>
          <w:p>
            <w:pPr>
              <w:spacing w:after="0"/>
              <w:rPr>
                <w:sz w:val="23"/>
                <w:szCs w:val="23"/>
                <w:color w:val="auto"/>
              </w:rPr>
            </w:pPr>
          </w:p>
        </w:tc>
        <w:tc>
          <w:tcPr>
            <w:tcW w:w="4060" w:type="dxa"/>
            <w:vAlign w:val="bottom"/>
            <w:shd w:val="clear" w:color="auto" w:fill="E1D7AC"/>
          </w:tcPr>
          <w:p>
            <w:pPr>
              <w:spacing w:after="0"/>
              <w:rPr>
                <w:sz w:val="23"/>
                <w:szCs w:val="23"/>
                <w:color w:val="auto"/>
              </w:rPr>
            </w:pPr>
          </w:p>
        </w:tc>
        <w:tc>
          <w:tcPr>
            <w:tcW w:w="1820" w:type="dxa"/>
            <w:vAlign w:val="bottom"/>
            <w:shd w:val="clear" w:color="auto" w:fill="E1D7AC"/>
          </w:tcPr>
          <w:p>
            <w:pPr>
              <w:spacing w:after="0"/>
              <w:rPr>
                <w:sz w:val="23"/>
                <w:szCs w:val="23"/>
                <w:color w:val="auto"/>
              </w:rPr>
            </w:pPr>
          </w:p>
        </w:tc>
        <w:tc>
          <w:tcPr>
            <w:tcW w:w="1880" w:type="dxa"/>
            <w:vAlign w:val="bottom"/>
            <w:shd w:val="clear" w:color="auto" w:fill="E1D7AC"/>
          </w:tcPr>
          <w:p>
            <w:pPr>
              <w:jc w:val="right"/>
              <w:ind w:right="228"/>
              <w:spacing w:after="0"/>
              <w:rPr>
                <w:sz w:val="20"/>
                <w:szCs w:val="20"/>
                <w:color w:val="auto"/>
              </w:rPr>
            </w:pPr>
            <w:r>
              <w:rPr>
                <w:rFonts w:ascii="Arial" w:cs="Arial" w:eastAsia="Arial" w:hAnsi="Arial"/>
                <w:sz w:val="14"/>
                <w:szCs w:val="14"/>
                <w:b w:val="1"/>
                <w:bCs w:val="1"/>
                <w:color w:val="auto"/>
              </w:rPr>
              <w:t>Level of Achievement</w:t>
            </w:r>
          </w:p>
        </w:tc>
        <w:tc>
          <w:tcPr>
            <w:tcW w:w="1600" w:type="dxa"/>
            <w:vAlign w:val="bottom"/>
            <w:shd w:val="clear" w:color="auto" w:fill="E1D7AC"/>
          </w:tcPr>
          <w:p>
            <w:pPr>
              <w:spacing w:after="0"/>
              <w:rPr>
                <w:sz w:val="23"/>
                <w:szCs w:val="23"/>
                <w:color w:val="auto"/>
              </w:rPr>
            </w:pPr>
          </w:p>
        </w:tc>
        <w:tc>
          <w:tcPr>
            <w:tcW w:w="100" w:type="dxa"/>
            <w:vAlign w:val="bottom"/>
            <w:shd w:val="clear" w:color="auto" w:fill="E1D7AC"/>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E1D7AC"/>
            </w:tcBorders>
            <w:shd w:val="clear" w:color="auto" w:fill="E1D7AC"/>
          </w:tcPr>
          <w:p>
            <w:pPr>
              <w:spacing w:after="0"/>
              <w:rPr>
                <w:sz w:val="7"/>
                <w:szCs w:val="7"/>
                <w:color w:val="auto"/>
              </w:rPr>
            </w:pPr>
          </w:p>
        </w:tc>
        <w:tc>
          <w:tcPr>
            <w:tcW w:w="660" w:type="dxa"/>
            <w:vAlign w:val="bottom"/>
            <w:tcBorders>
              <w:bottom w:val="single" w:sz="8" w:color="E1D7AC"/>
            </w:tcBorders>
            <w:shd w:val="clear" w:color="auto" w:fill="E1D7AC"/>
          </w:tcPr>
          <w:p>
            <w:pPr>
              <w:spacing w:after="0"/>
              <w:rPr>
                <w:sz w:val="7"/>
                <w:szCs w:val="7"/>
                <w:color w:val="auto"/>
              </w:rPr>
            </w:pPr>
          </w:p>
        </w:tc>
        <w:tc>
          <w:tcPr>
            <w:tcW w:w="660" w:type="dxa"/>
            <w:vAlign w:val="bottom"/>
            <w:tcBorders>
              <w:bottom w:val="single" w:sz="8" w:color="E1D7AC"/>
            </w:tcBorders>
            <w:shd w:val="clear" w:color="auto" w:fill="E1D7AC"/>
          </w:tcPr>
          <w:p>
            <w:pPr>
              <w:spacing w:after="0"/>
              <w:rPr>
                <w:sz w:val="7"/>
                <w:szCs w:val="7"/>
                <w:color w:val="auto"/>
              </w:rPr>
            </w:pPr>
          </w:p>
        </w:tc>
        <w:tc>
          <w:tcPr>
            <w:tcW w:w="4060" w:type="dxa"/>
            <w:vAlign w:val="bottom"/>
            <w:tcBorders>
              <w:bottom w:val="single" w:sz="8" w:color="E1D7AC"/>
            </w:tcBorders>
            <w:shd w:val="clear" w:color="auto" w:fill="E1D7AC"/>
          </w:tcPr>
          <w:p>
            <w:pPr>
              <w:spacing w:after="0"/>
              <w:rPr>
                <w:sz w:val="7"/>
                <w:szCs w:val="7"/>
                <w:color w:val="auto"/>
              </w:rPr>
            </w:pPr>
          </w:p>
        </w:tc>
        <w:tc>
          <w:tcPr>
            <w:tcW w:w="1820" w:type="dxa"/>
            <w:vAlign w:val="bottom"/>
            <w:tcBorders>
              <w:bottom w:val="single" w:sz="8" w:color="auto"/>
            </w:tcBorders>
            <w:shd w:val="clear" w:color="auto" w:fill="E1D7AC"/>
          </w:tcPr>
          <w:p>
            <w:pPr>
              <w:spacing w:after="0"/>
              <w:rPr>
                <w:sz w:val="7"/>
                <w:szCs w:val="7"/>
                <w:color w:val="auto"/>
              </w:rPr>
            </w:pPr>
          </w:p>
        </w:tc>
        <w:tc>
          <w:tcPr>
            <w:tcW w:w="1880" w:type="dxa"/>
            <w:vAlign w:val="bottom"/>
            <w:tcBorders>
              <w:bottom w:val="single" w:sz="8" w:color="auto"/>
            </w:tcBorders>
            <w:shd w:val="clear" w:color="auto" w:fill="E1D7AC"/>
          </w:tcPr>
          <w:p>
            <w:pPr>
              <w:spacing w:after="0"/>
              <w:rPr>
                <w:sz w:val="7"/>
                <w:szCs w:val="7"/>
                <w:color w:val="auto"/>
              </w:rPr>
            </w:pPr>
          </w:p>
        </w:tc>
        <w:tc>
          <w:tcPr>
            <w:tcW w:w="1600" w:type="dxa"/>
            <w:vAlign w:val="bottom"/>
            <w:tcBorders>
              <w:bottom w:val="single" w:sz="8" w:color="auto"/>
            </w:tcBorders>
            <w:shd w:val="clear" w:color="auto" w:fill="E1D7AC"/>
          </w:tcPr>
          <w:p>
            <w:pPr>
              <w:spacing w:after="0"/>
              <w:rPr>
                <w:sz w:val="7"/>
                <w:szCs w:val="7"/>
                <w:color w:val="auto"/>
              </w:rPr>
            </w:pPr>
          </w:p>
        </w:tc>
        <w:tc>
          <w:tcPr>
            <w:tcW w:w="100" w:type="dxa"/>
            <w:vAlign w:val="bottom"/>
            <w:tcBorders>
              <w:bottom w:val="single" w:sz="8" w:color="E1D7AC"/>
            </w:tcBorders>
            <w:shd w:val="clear" w:color="auto" w:fill="E1D7AC"/>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460" w:type="dxa"/>
            <w:vAlign w:val="bottom"/>
            <w:shd w:val="clear" w:color="auto" w:fill="E1D7AC"/>
          </w:tcPr>
          <w:p>
            <w:pPr>
              <w:spacing w:after="0"/>
              <w:rPr>
                <w:sz w:val="17"/>
                <w:szCs w:val="17"/>
                <w:color w:val="auto"/>
              </w:rPr>
            </w:pPr>
          </w:p>
        </w:tc>
        <w:tc>
          <w:tcPr>
            <w:tcW w:w="660" w:type="dxa"/>
            <w:vAlign w:val="bottom"/>
            <w:shd w:val="clear" w:color="auto" w:fill="E1D7AC"/>
          </w:tcPr>
          <w:p>
            <w:pPr>
              <w:spacing w:after="0"/>
              <w:rPr>
                <w:sz w:val="17"/>
                <w:szCs w:val="17"/>
                <w:color w:val="auto"/>
              </w:rPr>
            </w:pPr>
          </w:p>
        </w:tc>
        <w:tc>
          <w:tcPr>
            <w:tcW w:w="660" w:type="dxa"/>
            <w:vAlign w:val="bottom"/>
            <w:shd w:val="clear" w:color="auto" w:fill="E1D7AC"/>
          </w:tcPr>
          <w:p>
            <w:pPr>
              <w:spacing w:after="0"/>
              <w:rPr>
                <w:sz w:val="17"/>
                <w:szCs w:val="17"/>
                <w:color w:val="auto"/>
              </w:rPr>
            </w:pPr>
          </w:p>
        </w:tc>
        <w:tc>
          <w:tcPr>
            <w:tcW w:w="4060" w:type="dxa"/>
            <w:vAlign w:val="bottom"/>
            <w:shd w:val="clear" w:color="auto" w:fill="E1D7AC"/>
          </w:tcPr>
          <w:p>
            <w:pPr>
              <w:spacing w:after="0"/>
              <w:rPr>
                <w:sz w:val="17"/>
                <w:szCs w:val="17"/>
                <w:color w:val="auto"/>
              </w:rPr>
            </w:pPr>
          </w:p>
        </w:tc>
        <w:tc>
          <w:tcPr>
            <w:tcW w:w="1820" w:type="dxa"/>
            <w:vAlign w:val="bottom"/>
            <w:shd w:val="clear" w:color="auto" w:fill="E1D7AC"/>
          </w:tcPr>
          <w:p>
            <w:pPr>
              <w:spacing w:after="0"/>
              <w:rPr>
                <w:sz w:val="17"/>
                <w:szCs w:val="17"/>
                <w:color w:val="auto"/>
              </w:rPr>
            </w:pPr>
          </w:p>
        </w:tc>
        <w:tc>
          <w:tcPr>
            <w:tcW w:w="1880" w:type="dxa"/>
            <w:vAlign w:val="bottom"/>
            <w:shd w:val="clear" w:color="auto" w:fill="E1D7AC"/>
          </w:tcPr>
          <w:p>
            <w:pPr>
              <w:spacing w:after="0"/>
              <w:rPr>
                <w:sz w:val="17"/>
                <w:szCs w:val="17"/>
                <w:color w:val="auto"/>
              </w:rPr>
            </w:pPr>
          </w:p>
        </w:tc>
        <w:tc>
          <w:tcPr>
            <w:tcW w:w="1700" w:type="dxa"/>
            <w:vAlign w:val="bottom"/>
            <w:gridSpan w:val="2"/>
            <w:shd w:val="clear" w:color="auto" w:fill="E1D7AC"/>
          </w:tcPr>
          <w:p>
            <w:pPr>
              <w:jc w:val="right"/>
              <w:ind w:right="120"/>
              <w:spacing w:after="0"/>
              <w:rPr>
                <w:sz w:val="20"/>
                <w:szCs w:val="20"/>
                <w:color w:val="auto"/>
              </w:rPr>
            </w:pPr>
            <w:r>
              <w:rPr>
                <w:rFonts w:ascii="Arial" w:cs="Arial" w:eastAsia="Arial" w:hAnsi="Arial"/>
                <w:sz w:val="14"/>
                <w:szCs w:val="14"/>
                <w:b w:val="1"/>
                <w:bCs w:val="1"/>
                <w:color w:val="auto"/>
              </w:rPr>
              <w:t>Achievement as % of</w:t>
            </w:r>
          </w:p>
        </w:tc>
        <w:tc>
          <w:tcPr>
            <w:tcW w:w="0" w:type="dxa"/>
            <w:vAlign w:val="bottom"/>
          </w:tcPr>
          <w:p>
            <w:pPr>
              <w:spacing w:after="0"/>
              <w:rPr>
                <w:sz w:val="1"/>
                <w:szCs w:val="1"/>
                <w:color w:val="auto"/>
              </w:rPr>
            </w:pPr>
          </w:p>
        </w:tc>
      </w:tr>
      <w:tr>
        <w:trPr>
          <w:trHeight w:val="189"/>
        </w:trPr>
        <w:tc>
          <w:tcPr>
            <w:tcW w:w="460" w:type="dxa"/>
            <w:vAlign w:val="bottom"/>
            <w:shd w:val="clear" w:color="auto" w:fill="E1D7AC"/>
          </w:tcPr>
          <w:p>
            <w:pPr>
              <w:spacing w:after="0"/>
              <w:rPr>
                <w:sz w:val="16"/>
                <w:szCs w:val="16"/>
                <w:color w:val="auto"/>
              </w:rPr>
            </w:pPr>
          </w:p>
        </w:tc>
        <w:tc>
          <w:tcPr>
            <w:tcW w:w="660" w:type="dxa"/>
            <w:vAlign w:val="bottom"/>
            <w:shd w:val="clear" w:color="auto" w:fill="E1D7AC"/>
          </w:tcPr>
          <w:p>
            <w:pPr>
              <w:spacing w:after="0"/>
              <w:rPr>
                <w:sz w:val="16"/>
                <w:szCs w:val="16"/>
                <w:color w:val="auto"/>
              </w:rPr>
            </w:pPr>
          </w:p>
        </w:tc>
        <w:tc>
          <w:tcPr>
            <w:tcW w:w="660" w:type="dxa"/>
            <w:vAlign w:val="bottom"/>
            <w:shd w:val="clear" w:color="auto" w:fill="E1D7AC"/>
          </w:tcPr>
          <w:p>
            <w:pPr>
              <w:spacing w:after="0"/>
              <w:rPr>
                <w:sz w:val="16"/>
                <w:szCs w:val="16"/>
                <w:color w:val="auto"/>
              </w:rPr>
            </w:pPr>
          </w:p>
        </w:tc>
        <w:tc>
          <w:tcPr>
            <w:tcW w:w="4060" w:type="dxa"/>
            <w:vAlign w:val="bottom"/>
            <w:shd w:val="clear" w:color="auto" w:fill="E1D7AC"/>
          </w:tcPr>
          <w:p>
            <w:pPr>
              <w:spacing w:after="0"/>
              <w:rPr>
                <w:sz w:val="16"/>
                <w:szCs w:val="16"/>
                <w:color w:val="auto"/>
              </w:rPr>
            </w:pPr>
          </w:p>
        </w:tc>
        <w:tc>
          <w:tcPr>
            <w:tcW w:w="1820" w:type="dxa"/>
            <w:vAlign w:val="bottom"/>
            <w:shd w:val="clear" w:color="auto" w:fill="E1D7AC"/>
          </w:tcPr>
          <w:p>
            <w:pPr>
              <w:spacing w:after="0"/>
              <w:rPr>
                <w:sz w:val="16"/>
                <w:szCs w:val="16"/>
                <w:color w:val="auto"/>
              </w:rPr>
            </w:pPr>
          </w:p>
        </w:tc>
        <w:tc>
          <w:tcPr>
            <w:tcW w:w="1880" w:type="dxa"/>
            <w:vAlign w:val="bottom"/>
            <w:shd w:val="clear" w:color="auto" w:fill="E1D7AC"/>
          </w:tcPr>
          <w:p>
            <w:pPr>
              <w:spacing w:after="0"/>
              <w:rPr>
                <w:sz w:val="16"/>
                <w:szCs w:val="16"/>
                <w:color w:val="auto"/>
              </w:rPr>
            </w:pPr>
          </w:p>
        </w:tc>
        <w:tc>
          <w:tcPr>
            <w:tcW w:w="1700" w:type="dxa"/>
            <w:vAlign w:val="bottom"/>
            <w:gridSpan w:val="2"/>
            <w:shd w:val="clear" w:color="auto" w:fill="E1D7AC"/>
          </w:tcPr>
          <w:p>
            <w:pPr>
              <w:jc w:val="right"/>
              <w:ind w:right="12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96"/>
        </w:trPr>
        <w:tc>
          <w:tcPr>
            <w:tcW w:w="460" w:type="dxa"/>
            <w:vAlign w:val="bottom"/>
            <w:shd w:val="clear" w:color="auto" w:fill="E1D7AC"/>
          </w:tcPr>
          <w:p>
            <w:pPr>
              <w:spacing w:after="0"/>
              <w:rPr>
                <w:sz w:val="17"/>
                <w:szCs w:val="17"/>
                <w:color w:val="auto"/>
              </w:rPr>
            </w:pPr>
          </w:p>
        </w:tc>
        <w:tc>
          <w:tcPr>
            <w:tcW w:w="660" w:type="dxa"/>
            <w:vAlign w:val="bottom"/>
            <w:shd w:val="clear" w:color="auto" w:fill="E1D7AC"/>
          </w:tcPr>
          <w:p>
            <w:pPr>
              <w:spacing w:after="0"/>
              <w:rPr>
                <w:sz w:val="17"/>
                <w:szCs w:val="17"/>
                <w:color w:val="auto"/>
              </w:rPr>
            </w:pPr>
          </w:p>
        </w:tc>
        <w:tc>
          <w:tcPr>
            <w:tcW w:w="660" w:type="dxa"/>
            <w:vAlign w:val="bottom"/>
            <w:shd w:val="clear" w:color="auto" w:fill="E1D7AC"/>
          </w:tcPr>
          <w:p>
            <w:pPr>
              <w:spacing w:after="0"/>
              <w:rPr>
                <w:sz w:val="17"/>
                <w:szCs w:val="17"/>
                <w:color w:val="auto"/>
              </w:rPr>
            </w:pPr>
          </w:p>
        </w:tc>
        <w:tc>
          <w:tcPr>
            <w:tcW w:w="4060" w:type="dxa"/>
            <w:vAlign w:val="bottom"/>
            <w:shd w:val="clear" w:color="auto" w:fill="E1D7AC"/>
          </w:tcPr>
          <w:p>
            <w:pPr>
              <w:jc w:val="center"/>
              <w:spacing w:after="0"/>
              <w:rPr>
                <w:sz w:val="20"/>
                <w:szCs w:val="20"/>
                <w:color w:val="auto"/>
              </w:rPr>
            </w:pPr>
            <w:r>
              <w:rPr>
                <w:rFonts w:ascii="Arial" w:cs="Arial" w:eastAsia="Arial" w:hAnsi="Arial"/>
                <w:sz w:val="14"/>
                <w:szCs w:val="14"/>
                <w:b w:val="1"/>
                <w:bCs w:val="1"/>
                <w:color w:val="auto"/>
              </w:rPr>
              <w:t>Metrics</w:t>
            </w:r>
          </w:p>
        </w:tc>
        <w:tc>
          <w:tcPr>
            <w:tcW w:w="1820" w:type="dxa"/>
            <w:vAlign w:val="bottom"/>
            <w:shd w:val="clear" w:color="auto" w:fill="E1D7AC"/>
          </w:tcPr>
          <w:p>
            <w:pPr>
              <w:ind w:left="1300"/>
              <w:spacing w:after="0"/>
              <w:rPr>
                <w:sz w:val="20"/>
                <w:szCs w:val="20"/>
                <w:color w:val="auto"/>
              </w:rPr>
            </w:pPr>
            <w:r>
              <w:rPr>
                <w:rFonts w:ascii="Arial" w:cs="Arial" w:eastAsia="Arial" w:hAnsi="Arial"/>
                <w:sz w:val="14"/>
                <w:szCs w:val="14"/>
                <w:b w:val="1"/>
                <w:bCs w:val="1"/>
                <w:color w:val="auto"/>
              </w:rPr>
              <w:t>Target</w:t>
            </w:r>
          </w:p>
        </w:tc>
        <w:tc>
          <w:tcPr>
            <w:tcW w:w="1880" w:type="dxa"/>
            <w:vAlign w:val="bottom"/>
            <w:shd w:val="clear" w:color="auto" w:fill="E1D7AC"/>
          </w:tcPr>
          <w:p>
            <w:pPr>
              <w:jc w:val="right"/>
              <w:ind w:right="88"/>
              <w:spacing w:after="0"/>
              <w:rPr>
                <w:sz w:val="20"/>
                <w:szCs w:val="20"/>
                <w:color w:val="auto"/>
              </w:rPr>
            </w:pPr>
            <w:r>
              <w:rPr>
                <w:rFonts w:ascii="Arial" w:cs="Arial" w:eastAsia="Arial" w:hAnsi="Arial"/>
                <w:sz w:val="14"/>
                <w:szCs w:val="14"/>
                <w:b w:val="1"/>
                <w:bCs w:val="1"/>
                <w:color w:val="auto"/>
              </w:rPr>
              <w:t>Achievement</w:t>
            </w:r>
          </w:p>
        </w:tc>
        <w:tc>
          <w:tcPr>
            <w:tcW w:w="160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D7AC"/>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460" w:type="dxa"/>
            <w:vAlign w:val="bottom"/>
            <w:shd w:val="clear" w:color="auto" w:fill="E1D7AC"/>
          </w:tcPr>
          <w:p>
            <w:pPr>
              <w:spacing w:after="0"/>
              <w:rPr>
                <w:sz w:val="7"/>
                <w:szCs w:val="7"/>
                <w:color w:val="auto"/>
              </w:rPr>
            </w:pPr>
          </w:p>
        </w:tc>
        <w:tc>
          <w:tcPr>
            <w:tcW w:w="660" w:type="dxa"/>
            <w:vAlign w:val="bottom"/>
            <w:shd w:val="clear" w:color="auto" w:fill="E1D7AC"/>
          </w:tcPr>
          <w:p>
            <w:pPr>
              <w:spacing w:after="0"/>
              <w:rPr>
                <w:sz w:val="7"/>
                <w:szCs w:val="7"/>
                <w:color w:val="auto"/>
              </w:rPr>
            </w:pPr>
          </w:p>
        </w:tc>
        <w:tc>
          <w:tcPr>
            <w:tcW w:w="660" w:type="dxa"/>
            <w:vAlign w:val="bottom"/>
            <w:shd w:val="clear" w:color="auto" w:fill="E1D7AC"/>
          </w:tcPr>
          <w:p>
            <w:pPr>
              <w:spacing w:after="0"/>
              <w:rPr>
                <w:sz w:val="7"/>
                <w:szCs w:val="7"/>
                <w:color w:val="auto"/>
              </w:rPr>
            </w:pPr>
          </w:p>
        </w:tc>
        <w:tc>
          <w:tcPr>
            <w:tcW w:w="4060" w:type="dxa"/>
            <w:vAlign w:val="bottom"/>
            <w:shd w:val="clear" w:color="auto" w:fill="E1D7AC"/>
          </w:tcPr>
          <w:p>
            <w:pPr>
              <w:spacing w:after="0"/>
              <w:rPr>
                <w:sz w:val="7"/>
                <w:szCs w:val="7"/>
                <w:color w:val="auto"/>
              </w:rPr>
            </w:pPr>
          </w:p>
        </w:tc>
        <w:tc>
          <w:tcPr>
            <w:tcW w:w="1820" w:type="dxa"/>
            <w:vAlign w:val="bottom"/>
            <w:shd w:val="clear" w:color="auto" w:fill="E1D7AC"/>
          </w:tcPr>
          <w:p>
            <w:pPr>
              <w:spacing w:after="0"/>
              <w:rPr>
                <w:sz w:val="7"/>
                <w:szCs w:val="7"/>
                <w:color w:val="auto"/>
              </w:rPr>
            </w:pPr>
          </w:p>
        </w:tc>
        <w:tc>
          <w:tcPr>
            <w:tcW w:w="1880" w:type="dxa"/>
            <w:vAlign w:val="bottom"/>
            <w:shd w:val="clear" w:color="auto" w:fill="E1D7AC"/>
          </w:tcPr>
          <w:p>
            <w:pPr>
              <w:spacing w:after="0"/>
              <w:rPr>
                <w:sz w:val="7"/>
                <w:szCs w:val="7"/>
                <w:color w:val="auto"/>
              </w:rPr>
            </w:pPr>
          </w:p>
        </w:tc>
        <w:tc>
          <w:tcPr>
            <w:tcW w:w="1600" w:type="dxa"/>
            <w:vAlign w:val="bottom"/>
            <w:shd w:val="clear" w:color="auto" w:fill="E1D7AC"/>
          </w:tcPr>
          <w:p>
            <w:pPr>
              <w:spacing w:after="0"/>
              <w:rPr>
                <w:sz w:val="7"/>
                <w:szCs w:val="7"/>
                <w:color w:val="auto"/>
              </w:rPr>
            </w:pPr>
          </w:p>
        </w:tc>
        <w:tc>
          <w:tcPr>
            <w:tcW w:w="100" w:type="dxa"/>
            <w:vAlign w:val="bottom"/>
            <w:shd w:val="clear" w:color="auto" w:fill="E1D7AC"/>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60" w:type="dxa"/>
            <w:vAlign w:val="bottom"/>
            <w:shd w:val="clear" w:color="auto" w:fill="DBDBDB"/>
          </w:tcPr>
          <w:p>
            <w:pPr>
              <w:spacing w:after="0"/>
              <w:rPr>
                <w:sz w:val="21"/>
                <w:szCs w:val="21"/>
                <w:color w:val="auto"/>
              </w:rPr>
            </w:pPr>
          </w:p>
        </w:tc>
        <w:tc>
          <w:tcPr>
            <w:tcW w:w="66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auto"/>
                <w:highlight w:val="lightGray"/>
              </w:rPr>
              <w:t>Company</w:t>
            </w:r>
          </w:p>
        </w:tc>
        <w:tc>
          <w:tcPr>
            <w:tcW w:w="660" w:type="dxa"/>
            <w:vAlign w:val="bottom"/>
            <w:shd w:val="clear" w:color="auto" w:fill="DBDBDB"/>
          </w:tcPr>
          <w:p>
            <w:pPr>
              <w:spacing w:after="0"/>
              <w:rPr>
                <w:sz w:val="21"/>
                <w:szCs w:val="21"/>
                <w:color w:val="auto"/>
              </w:rPr>
            </w:pPr>
          </w:p>
        </w:tc>
        <w:tc>
          <w:tcPr>
            <w:tcW w:w="4060" w:type="dxa"/>
            <w:vAlign w:val="bottom"/>
          </w:tcPr>
          <w:p>
            <w:pPr>
              <w:jc w:val="center"/>
              <w:spacing w:after="0"/>
              <w:rPr>
                <w:sz w:val="20"/>
                <w:szCs w:val="20"/>
                <w:color w:val="auto"/>
              </w:rPr>
            </w:pPr>
            <w:r>
              <w:rPr>
                <w:rFonts w:ascii="Arial" w:cs="Arial" w:eastAsia="Arial" w:hAnsi="Arial"/>
                <w:sz w:val="14"/>
                <w:szCs w:val="14"/>
                <w:color w:val="auto"/>
              </w:rPr>
              <w:t>Adjusted EBIT*</w:t>
            </w: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$393.7 million</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$968.6 million</w:t>
            </w:r>
          </w:p>
        </w:tc>
        <w:tc>
          <w:tcPr>
            <w:tcW w:w="1600" w:type="dxa"/>
            <w:vAlign w:val="bottom"/>
          </w:tcPr>
          <w:p>
            <w:pPr>
              <w:jc w:val="right"/>
              <w:spacing w:after="0"/>
              <w:rPr>
                <w:sz w:val="20"/>
                <w:szCs w:val="20"/>
                <w:color w:val="auto"/>
              </w:rPr>
            </w:pPr>
            <w:r>
              <w:rPr>
                <w:rFonts w:ascii="Arial" w:cs="Arial" w:eastAsia="Arial" w:hAnsi="Arial"/>
                <w:sz w:val="14"/>
                <w:szCs w:val="14"/>
                <w:color w:val="auto"/>
              </w:rPr>
              <w:t>245.9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60" w:type="dxa"/>
            <w:vAlign w:val="bottom"/>
            <w:shd w:val="clear" w:color="auto" w:fill="DBDBDB"/>
          </w:tcPr>
          <w:p>
            <w:pPr>
              <w:spacing w:after="0"/>
              <w:rPr>
                <w:sz w:val="4"/>
                <w:szCs w:val="4"/>
                <w:color w:val="auto"/>
              </w:rPr>
            </w:pPr>
          </w:p>
        </w:tc>
        <w:tc>
          <w:tcPr>
            <w:tcW w:w="660" w:type="dxa"/>
            <w:vAlign w:val="bottom"/>
            <w:vMerge w:val="continue"/>
            <w:shd w:val="clear" w:color="auto" w:fill="DBDBDB"/>
          </w:tcPr>
          <w:p>
            <w:pPr>
              <w:spacing w:after="0"/>
              <w:rPr>
                <w:sz w:val="4"/>
                <w:szCs w:val="4"/>
                <w:color w:val="auto"/>
              </w:rPr>
            </w:pPr>
          </w:p>
        </w:tc>
        <w:tc>
          <w:tcPr>
            <w:tcW w:w="660" w:type="dxa"/>
            <w:vAlign w:val="bottom"/>
            <w:shd w:val="clear" w:color="auto" w:fill="DBDBDB"/>
          </w:tcPr>
          <w:p>
            <w:pPr>
              <w:spacing w:after="0"/>
              <w:rPr>
                <w:sz w:val="4"/>
                <w:szCs w:val="4"/>
                <w:color w:val="auto"/>
              </w:rPr>
            </w:pPr>
          </w:p>
        </w:tc>
        <w:tc>
          <w:tcPr>
            <w:tcW w:w="40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DBDBDB"/>
            </w:tcBorders>
            <w:gridSpan w:val="3"/>
            <w:vMerge w:val="restart"/>
            <w:shd w:val="clear" w:color="auto" w:fill="DBDBDB"/>
          </w:tcPr>
          <w:p>
            <w:pPr>
              <w:jc w:val="center"/>
              <w:ind w:right="180"/>
              <w:spacing w:after="0"/>
              <w:rPr>
                <w:sz w:val="20"/>
                <w:szCs w:val="20"/>
                <w:color w:val="auto"/>
              </w:rPr>
            </w:pPr>
            <w:r>
              <w:rPr>
                <w:rFonts w:ascii="Arial" w:cs="Arial" w:eastAsia="Arial" w:hAnsi="Arial"/>
                <w:sz w:val="14"/>
                <w:szCs w:val="14"/>
                <w:b w:val="1"/>
                <w:bCs w:val="1"/>
                <w:color w:val="auto"/>
                <w:highlight w:val="lightGray"/>
              </w:rPr>
              <w:t>Performance</w:t>
            </w:r>
          </w:p>
        </w:tc>
        <w:tc>
          <w:tcPr>
            <w:tcW w:w="4060" w:type="dxa"/>
            <w:vAlign w:val="bottom"/>
            <w:tcBorders>
              <w:bottom w:val="single" w:sz="8" w:color="ADB1C7"/>
            </w:tcBorders>
          </w:tcPr>
          <w:p>
            <w:pPr>
              <w:spacing w:after="0"/>
              <w:rPr>
                <w:sz w:val="2"/>
                <w:szCs w:val="2"/>
                <w:color w:val="auto"/>
              </w:rPr>
            </w:pPr>
          </w:p>
        </w:tc>
        <w:tc>
          <w:tcPr>
            <w:tcW w:w="1820" w:type="dxa"/>
            <w:vAlign w:val="bottom"/>
            <w:tcBorders>
              <w:bottom w:val="single" w:sz="8" w:color="ADB1C7"/>
            </w:tcBorders>
          </w:tcPr>
          <w:p>
            <w:pPr>
              <w:spacing w:after="0"/>
              <w:rPr>
                <w:sz w:val="2"/>
                <w:szCs w:val="2"/>
                <w:color w:val="auto"/>
              </w:rPr>
            </w:pPr>
          </w:p>
        </w:tc>
        <w:tc>
          <w:tcPr>
            <w:tcW w:w="1880" w:type="dxa"/>
            <w:vAlign w:val="bottom"/>
            <w:tcBorders>
              <w:bottom w:val="single" w:sz="8" w:color="ADB1C7"/>
            </w:tcBorders>
          </w:tcPr>
          <w:p>
            <w:pPr>
              <w:spacing w:after="0"/>
              <w:rPr>
                <w:sz w:val="2"/>
                <w:szCs w:val="2"/>
                <w:color w:val="auto"/>
              </w:rPr>
            </w:pPr>
          </w:p>
        </w:tc>
        <w:tc>
          <w:tcPr>
            <w:tcW w:w="1600" w:type="dxa"/>
            <w:vAlign w:val="bottom"/>
            <w:tcBorders>
              <w:bottom w:val="single" w:sz="8" w:color="ADB1C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80" w:type="dxa"/>
            <w:vAlign w:val="bottom"/>
            <w:gridSpan w:val="3"/>
            <w:vMerge w:val="continue"/>
            <w:shd w:val="clear" w:color="auto" w:fill="DBDBDB"/>
          </w:tcPr>
          <w:p>
            <w:pPr>
              <w:spacing w:after="0"/>
              <w:rPr>
                <w:sz w:val="11"/>
                <w:szCs w:val="11"/>
                <w:color w:val="auto"/>
              </w:rPr>
            </w:pPr>
          </w:p>
        </w:tc>
        <w:tc>
          <w:tcPr>
            <w:tcW w:w="4060" w:type="dxa"/>
            <w:vAlign w:val="bottom"/>
            <w:vMerge w:val="restart"/>
          </w:tcPr>
          <w:p>
            <w:pPr>
              <w:jc w:val="center"/>
              <w:spacing w:after="0"/>
              <w:rPr>
                <w:sz w:val="20"/>
                <w:szCs w:val="20"/>
                <w:color w:val="auto"/>
              </w:rPr>
            </w:pPr>
            <w:r>
              <w:rPr>
                <w:rFonts w:ascii="Arial" w:cs="Arial" w:eastAsia="Arial" w:hAnsi="Arial"/>
                <w:sz w:val="14"/>
                <w:szCs w:val="14"/>
                <w:color w:val="auto"/>
              </w:rPr>
              <w:t>Total Company Sales</w:t>
            </w:r>
          </w:p>
        </w:tc>
        <w:tc>
          <w:tcPr>
            <w:tcW w:w="1820" w:type="dxa"/>
            <w:vAlign w:val="bottom"/>
            <w:vMerge w:val="restart"/>
          </w:tcPr>
          <w:p>
            <w:pPr>
              <w:jc w:val="right"/>
              <w:ind w:right="28"/>
              <w:spacing w:after="0"/>
              <w:rPr>
                <w:sz w:val="20"/>
                <w:szCs w:val="20"/>
                <w:color w:val="auto"/>
              </w:rPr>
            </w:pPr>
            <w:r>
              <w:rPr>
                <w:rFonts w:ascii="Arial" w:cs="Arial" w:eastAsia="Arial" w:hAnsi="Arial"/>
                <w:sz w:val="14"/>
                <w:szCs w:val="14"/>
                <w:color w:val="auto"/>
              </w:rPr>
              <w:t>$5.63 billion</w:t>
            </w:r>
          </w:p>
        </w:tc>
        <w:tc>
          <w:tcPr>
            <w:tcW w:w="1880" w:type="dxa"/>
            <w:vAlign w:val="bottom"/>
            <w:vMerge w:val="restart"/>
          </w:tcPr>
          <w:p>
            <w:pPr>
              <w:jc w:val="right"/>
              <w:ind w:right="88"/>
              <w:spacing w:after="0"/>
              <w:rPr>
                <w:sz w:val="20"/>
                <w:szCs w:val="20"/>
                <w:color w:val="auto"/>
              </w:rPr>
            </w:pPr>
            <w:r>
              <w:rPr>
                <w:rFonts w:ascii="Arial" w:cs="Arial" w:eastAsia="Arial" w:hAnsi="Arial"/>
                <w:sz w:val="14"/>
                <w:szCs w:val="14"/>
                <w:color w:val="auto"/>
              </w:rPr>
              <w:t>$6.77 billion</w:t>
            </w: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120.3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60" w:type="dxa"/>
            <w:vAlign w:val="bottom"/>
            <w:shd w:val="clear" w:color="auto" w:fill="DBDBDB"/>
          </w:tcPr>
          <w:p>
            <w:pPr>
              <w:spacing w:after="0"/>
              <w:rPr>
                <w:sz w:val="8"/>
                <w:szCs w:val="8"/>
                <w:color w:val="auto"/>
              </w:rPr>
            </w:pPr>
          </w:p>
        </w:tc>
        <w:tc>
          <w:tcPr>
            <w:tcW w:w="660" w:type="dxa"/>
            <w:vAlign w:val="bottom"/>
            <w:shd w:val="clear" w:color="auto" w:fill="DBDBDB"/>
          </w:tcPr>
          <w:p>
            <w:pPr>
              <w:spacing w:after="0"/>
              <w:rPr>
                <w:sz w:val="8"/>
                <w:szCs w:val="8"/>
                <w:color w:val="auto"/>
              </w:rPr>
            </w:pPr>
          </w:p>
        </w:tc>
        <w:tc>
          <w:tcPr>
            <w:tcW w:w="660" w:type="dxa"/>
            <w:vAlign w:val="bottom"/>
            <w:shd w:val="clear" w:color="auto" w:fill="DBDBDB"/>
          </w:tcPr>
          <w:p>
            <w:pPr>
              <w:spacing w:after="0"/>
              <w:rPr>
                <w:sz w:val="8"/>
                <w:szCs w:val="8"/>
                <w:color w:val="auto"/>
              </w:rPr>
            </w:pPr>
          </w:p>
        </w:tc>
        <w:tc>
          <w:tcPr>
            <w:tcW w:w="4060" w:type="dxa"/>
            <w:vAlign w:val="bottom"/>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60" w:type="dxa"/>
            <w:vAlign w:val="bottom"/>
            <w:shd w:val="clear" w:color="auto" w:fill="DBDBDB"/>
          </w:tcPr>
          <w:p>
            <w:pPr>
              <w:spacing w:after="0"/>
              <w:rPr>
                <w:sz w:val="6"/>
                <w:szCs w:val="6"/>
                <w:color w:val="auto"/>
              </w:rPr>
            </w:pPr>
          </w:p>
        </w:tc>
        <w:tc>
          <w:tcPr>
            <w:tcW w:w="660" w:type="dxa"/>
            <w:vAlign w:val="bottom"/>
            <w:shd w:val="clear" w:color="auto" w:fill="DBDBDB"/>
          </w:tcPr>
          <w:p>
            <w:pPr>
              <w:spacing w:after="0"/>
              <w:rPr>
                <w:sz w:val="6"/>
                <w:szCs w:val="6"/>
                <w:color w:val="auto"/>
              </w:rPr>
            </w:pPr>
          </w:p>
        </w:tc>
        <w:tc>
          <w:tcPr>
            <w:tcW w:w="660" w:type="dxa"/>
            <w:vAlign w:val="bottom"/>
            <w:shd w:val="clear" w:color="auto" w:fill="DBDBDB"/>
          </w:tcPr>
          <w:p>
            <w:pPr>
              <w:spacing w:after="0"/>
              <w:rPr>
                <w:sz w:val="6"/>
                <w:szCs w:val="6"/>
                <w:color w:val="auto"/>
              </w:rPr>
            </w:pPr>
          </w:p>
        </w:tc>
        <w:tc>
          <w:tcPr>
            <w:tcW w:w="40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460" w:type="dxa"/>
            <w:vAlign w:val="bottom"/>
            <w:shd w:val="clear" w:color="auto" w:fill="E1D7AC"/>
          </w:tcPr>
          <w:p>
            <w:pPr>
              <w:spacing w:after="0"/>
              <w:rPr>
                <w:sz w:val="17"/>
                <w:szCs w:val="17"/>
                <w:color w:val="auto"/>
              </w:rPr>
            </w:pPr>
          </w:p>
        </w:tc>
        <w:tc>
          <w:tcPr>
            <w:tcW w:w="660" w:type="dxa"/>
            <w:vAlign w:val="bottom"/>
            <w:shd w:val="clear" w:color="auto" w:fill="E1D7AC"/>
          </w:tcPr>
          <w:p>
            <w:pPr>
              <w:spacing w:after="0"/>
              <w:rPr>
                <w:sz w:val="17"/>
                <w:szCs w:val="17"/>
                <w:color w:val="auto"/>
              </w:rPr>
            </w:pPr>
          </w:p>
        </w:tc>
        <w:tc>
          <w:tcPr>
            <w:tcW w:w="660" w:type="dxa"/>
            <w:vAlign w:val="bottom"/>
            <w:shd w:val="clear" w:color="auto" w:fill="E1D7AC"/>
          </w:tcPr>
          <w:p>
            <w:pPr>
              <w:spacing w:after="0"/>
              <w:rPr>
                <w:sz w:val="17"/>
                <w:szCs w:val="17"/>
                <w:color w:val="auto"/>
              </w:rPr>
            </w:pPr>
          </w:p>
        </w:tc>
        <w:tc>
          <w:tcPr>
            <w:tcW w:w="4060" w:type="dxa"/>
            <w:vAlign w:val="bottom"/>
            <w:shd w:val="clear" w:color="auto" w:fill="E1D7AC"/>
          </w:tcPr>
          <w:p>
            <w:pPr>
              <w:spacing w:after="0"/>
              <w:rPr>
                <w:sz w:val="17"/>
                <w:szCs w:val="17"/>
                <w:color w:val="auto"/>
              </w:rPr>
            </w:pPr>
          </w:p>
        </w:tc>
        <w:tc>
          <w:tcPr>
            <w:tcW w:w="1820" w:type="dxa"/>
            <w:vAlign w:val="bottom"/>
            <w:vMerge w:val="restart"/>
            <w:shd w:val="clear" w:color="auto" w:fill="E1D7AC"/>
          </w:tcPr>
          <w:p>
            <w:pPr>
              <w:ind w:left="1300"/>
              <w:spacing w:after="0"/>
              <w:rPr>
                <w:sz w:val="20"/>
                <w:szCs w:val="20"/>
                <w:color w:val="auto"/>
              </w:rPr>
            </w:pPr>
            <w:r>
              <w:rPr>
                <w:rFonts w:ascii="Arial" w:cs="Arial" w:eastAsia="Arial" w:hAnsi="Arial"/>
                <w:sz w:val="14"/>
                <w:szCs w:val="14"/>
                <w:b w:val="1"/>
                <w:bCs w:val="1"/>
                <w:color w:val="auto"/>
              </w:rPr>
              <w:t>Target</w:t>
            </w:r>
          </w:p>
        </w:tc>
        <w:tc>
          <w:tcPr>
            <w:tcW w:w="1880" w:type="dxa"/>
            <w:vAlign w:val="bottom"/>
            <w:shd w:val="clear" w:color="auto" w:fill="E1D7AC"/>
          </w:tcPr>
          <w:p>
            <w:pPr>
              <w:jc w:val="right"/>
              <w:ind w:right="88"/>
              <w:spacing w:after="0"/>
              <w:rPr>
                <w:sz w:val="20"/>
                <w:szCs w:val="20"/>
                <w:color w:val="auto"/>
              </w:rPr>
            </w:pPr>
            <w:r>
              <w:rPr>
                <w:rFonts w:ascii="Arial" w:cs="Arial" w:eastAsia="Arial" w:hAnsi="Arial"/>
                <w:sz w:val="14"/>
                <w:szCs w:val="14"/>
                <w:b w:val="1"/>
                <w:bCs w:val="1"/>
                <w:color w:val="auto"/>
              </w:rPr>
              <w:t>Level Achieved as % of</w:t>
            </w:r>
          </w:p>
        </w:tc>
        <w:tc>
          <w:tcPr>
            <w:tcW w:w="1600" w:type="dxa"/>
            <w:vAlign w:val="bottom"/>
            <w:shd w:val="clear" w:color="auto" w:fill="E1D7AC"/>
          </w:tcPr>
          <w:p>
            <w:pPr>
              <w:spacing w:after="0"/>
              <w:rPr>
                <w:sz w:val="17"/>
                <w:szCs w:val="17"/>
                <w:color w:val="auto"/>
              </w:rPr>
            </w:pPr>
          </w:p>
        </w:tc>
        <w:tc>
          <w:tcPr>
            <w:tcW w:w="100" w:type="dxa"/>
            <w:vAlign w:val="bottom"/>
            <w:shd w:val="clear" w:color="auto" w:fill="E1D7A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60" w:type="dxa"/>
            <w:vAlign w:val="bottom"/>
            <w:shd w:val="clear" w:color="auto" w:fill="E1D7AC"/>
          </w:tcPr>
          <w:p>
            <w:pPr>
              <w:spacing w:after="0"/>
              <w:rPr>
                <w:sz w:val="12"/>
                <w:szCs w:val="12"/>
                <w:color w:val="auto"/>
              </w:rPr>
            </w:pPr>
          </w:p>
        </w:tc>
        <w:tc>
          <w:tcPr>
            <w:tcW w:w="660" w:type="dxa"/>
            <w:vAlign w:val="bottom"/>
            <w:shd w:val="clear" w:color="auto" w:fill="E1D7AC"/>
          </w:tcPr>
          <w:p>
            <w:pPr>
              <w:spacing w:after="0"/>
              <w:rPr>
                <w:sz w:val="12"/>
                <w:szCs w:val="12"/>
                <w:color w:val="auto"/>
              </w:rPr>
            </w:pPr>
          </w:p>
        </w:tc>
        <w:tc>
          <w:tcPr>
            <w:tcW w:w="660" w:type="dxa"/>
            <w:vAlign w:val="bottom"/>
            <w:shd w:val="clear" w:color="auto" w:fill="E1D7AC"/>
          </w:tcPr>
          <w:p>
            <w:pPr>
              <w:spacing w:after="0"/>
              <w:rPr>
                <w:sz w:val="12"/>
                <w:szCs w:val="12"/>
                <w:color w:val="auto"/>
              </w:rPr>
            </w:pPr>
          </w:p>
        </w:tc>
        <w:tc>
          <w:tcPr>
            <w:tcW w:w="4060" w:type="dxa"/>
            <w:vAlign w:val="bottom"/>
            <w:shd w:val="clear" w:color="auto" w:fill="E1D7AC"/>
          </w:tcPr>
          <w:p>
            <w:pPr>
              <w:spacing w:after="0"/>
              <w:rPr>
                <w:sz w:val="12"/>
                <w:szCs w:val="12"/>
                <w:color w:val="auto"/>
              </w:rPr>
            </w:pPr>
          </w:p>
        </w:tc>
        <w:tc>
          <w:tcPr>
            <w:tcW w:w="1820" w:type="dxa"/>
            <w:vAlign w:val="bottom"/>
            <w:vMerge w:val="continue"/>
            <w:shd w:val="clear" w:color="auto" w:fill="E1D7AC"/>
          </w:tcPr>
          <w:p>
            <w:pPr>
              <w:spacing w:after="0"/>
              <w:rPr>
                <w:sz w:val="12"/>
                <w:szCs w:val="12"/>
                <w:color w:val="auto"/>
              </w:rPr>
            </w:pPr>
          </w:p>
        </w:tc>
        <w:tc>
          <w:tcPr>
            <w:tcW w:w="1880" w:type="dxa"/>
            <w:vAlign w:val="bottom"/>
            <w:vMerge w:val="restart"/>
            <w:shd w:val="clear" w:color="auto" w:fill="E1D7AC"/>
          </w:tcPr>
          <w:p>
            <w:pPr>
              <w:jc w:val="right"/>
              <w:ind w:right="88"/>
              <w:spacing w:after="0"/>
              <w:rPr>
                <w:sz w:val="20"/>
                <w:szCs w:val="20"/>
                <w:color w:val="auto"/>
              </w:rPr>
            </w:pPr>
            <w:r>
              <w:rPr>
                <w:rFonts w:ascii="Arial" w:cs="Arial" w:eastAsia="Arial" w:hAnsi="Arial"/>
                <w:sz w:val="14"/>
                <w:szCs w:val="14"/>
                <w:b w:val="1"/>
                <w:bCs w:val="1"/>
                <w:color w:val="auto"/>
              </w:rPr>
              <w:t>Target</w:t>
            </w:r>
          </w:p>
        </w:tc>
        <w:tc>
          <w:tcPr>
            <w:tcW w:w="1600" w:type="dxa"/>
            <w:vAlign w:val="bottom"/>
            <w:shd w:val="clear" w:color="auto" w:fill="E1D7AC"/>
          </w:tcPr>
          <w:p>
            <w:pPr>
              <w:spacing w:after="0"/>
              <w:rPr>
                <w:sz w:val="12"/>
                <w:szCs w:val="12"/>
                <w:color w:val="auto"/>
              </w:rPr>
            </w:pPr>
          </w:p>
        </w:tc>
        <w:tc>
          <w:tcPr>
            <w:tcW w:w="100" w:type="dxa"/>
            <w:vAlign w:val="bottom"/>
            <w:shd w:val="clear" w:color="auto" w:fill="E1D7AC"/>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60" w:type="dxa"/>
            <w:vAlign w:val="bottom"/>
            <w:shd w:val="clear" w:color="auto" w:fill="E1D7AC"/>
          </w:tcPr>
          <w:p>
            <w:pPr>
              <w:spacing w:after="0"/>
              <w:rPr>
                <w:sz w:val="4"/>
                <w:szCs w:val="4"/>
                <w:color w:val="auto"/>
              </w:rPr>
            </w:pPr>
          </w:p>
        </w:tc>
        <w:tc>
          <w:tcPr>
            <w:tcW w:w="660" w:type="dxa"/>
            <w:vAlign w:val="bottom"/>
            <w:shd w:val="clear" w:color="auto" w:fill="E1D7AC"/>
          </w:tcPr>
          <w:p>
            <w:pPr>
              <w:spacing w:after="0"/>
              <w:rPr>
                <w:sz w:val="4"/>
                <w:szCs w:val="4"/>
                <w:color w:val="auto"/>
              </w:rPr>
            </w:pPr>
          </w:p>
        </w:tc>
        <w:tc>
          <w:tcPr>
            <w:tcW w:w="660" w:type="dxa"/>
            <w:vAlign w:val="bottom"/>
            <w:shd w:val="clear" w:color="auto" w:fill="E1D7AC"/>
          </w:tcPr>
          <w:p>
            <w:pPr>
              <w:spacing w:after="0"/>
              <w:rPr>
                <w:sz w:val="4"/>
                <w:szCs w:val="4"/>
                <w:color w:val="auto"/>
              </w:rPr>
            </w:pPr>
          </w:p>
        </w:tc>
        <w:tc>
          <w:tcPr>
            <w:tcW w:w="4060" w:type="dxa"/>
            <w:vAlign w:val="bottom"/>
            <w:shd w:val="clear" w:color="auto" w:fill="E1D7AC"/>
          </w:tcPr>
          <w:p>
            <w:pPr>
              <w:spacing w:after="0"/>
              <w:rPr>
                <w:sz w:val="4"/>
                <w:szCs w:val="4"/>
                <w:color w:val="auto"/>
              </w:rPr>
            </w:pPr>
          </w:p>
        </w:tc>
        <w:tc>
          <w:tcPr>
            <w:tcW w:w="1820" w:type="dxa"/>
            <w:vAlign w:val="bottom"/>
            <w:shd w:val="clear" w:color="auto" w:fill="E1D7AC"/>
          </w:tcPr>
          <w:p>
            <w:pPr>
              <w:spacing w:after="0"/>
              <w:rPr>
                <w:sz w:val="4"/>
                <w:szCs w:val="4"/>
                <w:color w:val="auto"/>
              </w:rPr>
            </w:pPr>
          </w:p>
        </w:tc>
        <w:tc>
          <w:tcPr>
            <w:tcW w:w="1880" w:type="dxa"/>
            <w:vAlign w:val="bottom"/>
            <w:vMerge w:val="continue"/>
            <w:shd w:val="clear" w:color="auto" w:fill="E1D7AC"/>
          </w:tcPr>
          <w:p>
            <w:pPr>
              <w:spacing w:after="0"/>
              <w:rPr>
                <w:sz w:val="4"/>
                <w:szCs w:val="4"/>
                <w:color w:val="auto"/>
              </w:rPr>
            </w:pPr>
          </w:p>
        </w:tc>
        <w:tc>
          <w:tcPr>
            <w:tcW w:w="1600" w:type="dxa"/>
            <w:vAlign w:val="bottom"/>
            <w:shd w:val="clear" w:color="auto" w:fill="E1D7AC"/>
          </w:tcPr>
          <w:p>
            <w:pPr>
              <w:spacing w:after="0"/>
              <w:rPr>
                <w:sz w:val="4"/>
                <w:szCs w:val="4"/>
                <w:color w:val="auto"/>
              </w:rPr>
            </w:pPr>
          </w:p>
        </w:tc>
        <w:tc>
          <w:tcPr>
            <w:tcW w:w="100" w:type="dxa"/>
            <w:vAlign w:val="bottom"/>
            <w:shd w:val="clear" w:color="auto" w:fill="E1D7AC"/>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60" w:type="dxa"/>
            <w:vAlign w:val="bottom"/>
            <w:shd w:val="clear" w:color="auto" w:fill="E1D7AC"/>
          </w:tcPr>
          <w:p>
            <w:pPr>
              <w:spacing w:after="0"/>
              <w:rPr>
                <w:sz w:val="17"/>
                <w:szCs w:val="17"/>
                <w:color w:val="auto"/>
              </w:rPr>
            </w:pPr>
          </w:p>
        </w:tc>
        <w:tc>
          <w:tcPr>
            <w:tcW w:w="660" w:type="dxa"/>
            <w:vAlign w:val="bottom"/>
            <w:shd w:val="clear" w:color="auto" w:fill="E1D7AC"/>
          </w:tcPr>
          <w:p>
            <w:pPr>
              <w:spacing w:after="0"/>
              <w:rPr>
                <w:sz w:val="17"/>
                <w:szCs w:val="17"/>
                <w:color w:val="auto"/>
              </w:rPr>
            </w:pPr>
          </w:p>
        </w:tc>
        <w:tc>
          <w:tcPr>
            <w:tcW w:w="660" w:type="dxa"/>
            <w:vAlign w:val="bottom"/>
            <w:shd w:val="clear" w:color="auto" w:fill="E1D7AC"/>
          </w:tcPr>
          <w:p>
            <w:pPr>
              <w:spacing w:after="0"/>
              <w:rPr>
                <w:sz w:val="17"/>
                <w:szCs w:val="17"/>
                <w:color w:val="auto"/>
              </w:rPr>
            </w:pPr>
          </w:p>
        </w:tc>
        <w:tc>
          <w:tcPr>
            <w:tcW w:w="4060" w:type="dxa"/>
            <w:vAlign w:val="bottom"/>
            <w:shd w:val="clear" w:color="auto" w:fill="E1D7AC"/>
          </w:tcPr>
          <w:p>
            <w:pPr>
              <w:jc w:val="center"/>
              <w:spacing w:after="0"/>
              <w:rPr>
                <w:sz w:val="20"/>
                <w:szCs w:val="20"/>
                <w:color w:val="auto"/>
              </w:rPr>
            </w:pPr>
            <w:r>
              <w:rPr>
                <w:rFonts w:ascii="Arial" w:cs="Arial" w:eastAsia="Arial" w:hAnsi="Arial"/>
                <w:sz w:val="14"/>
                <w:szCs w:val="14"/>
                <w:b w:val="1"/>
                <w:bCs w:val="1"/>
                <w:color w:val="auto"/>
              </w:rPr>
              <w:t>NEO</w:t>
            </w:r>
          </w:p>
        </w:tc>
        <w:tc>
          <w:tcPr>
            <w:tcW w:w="1820" w:type="dxa"/>
            <w:vAlign w:val="bottom"/>
            <w:shd w:val="clear" w:color="auto" w:fill="E1D7AC"/>
          </w:tcPr>
          <w:p>
            <w:pPr>
              <w:jc w:val="right"/>
              <w:ind w:right="28"/>
              <w:spacing w:after="0"/>
              <w:rPr>
                <w:sz w:val="20"/>
                <w:szCs w:val="20"/>
                <w:color w:val="auto"/>
              </w:rPr>
            </w:pPr>
            <w:r>
              <w:rPr>
                <w:rFonts w:ascii="Arial" w:cs="Arial" w:eastAsia="Arial" w:hAnsi="Arial"/>
                <w:sz w:val="14"/>
                <w:szCs w:val="14"/>
                <w:b w:val="1"/>
                <w:bCs w:val="1"/>
                <w:color w:val="auto"/>
              </w:rPr>
              <w:t>(%)</w:t>
            </w:r>
          </w:p>
        </w:tc>
        <w:tc>
          <w:tcPr>
            <w:tcW w:w="1880" w:type="dxa"/>
            <w:vAlign w:val="bottom"/>
            <w:shd w:val="clear" w:color="auto" w:fill="E1D7AC"/>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E1D7AC"/>
          </w:tcPr>
          <w:p>
            <w:pPr>
              <w:spacing w:after="0"/>
              <w:rPr>
                <w:sz w:val="17"/>
                <w:szCs w:val="17"/>
                <w:color w:val="auto"/>
              </w:rPr>
            </w:pPr>
          </w:p>
        </w:tc>
        <w:tc>
          <w:tcPr>
            <w:tcW w:w="100" w:type="dxa"/>
            <w:vAlign w:val="bottom"/>
            <w:shd w:val="clear" w:color="auto" w:fill="E1D7AC"/>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460" w:type="dxa"/>
            <w:vAlign w:val="bottom"/>
            <w:shd w:val="clear" w:color="auto" w:fill="E1D7AC"/>
          </w:tcPr>
          <w:p>
            <w:pPr>
              <w:spacing w:after="0"/>
              <w:rPr>
                <w:sz w:val="7"/>
                <w:szCs w:val="7"/>
                <w:color w:val="auto"/>
              </w:rPr>
            </w:pPr>
          </w:p>
        </w:tc>
        <w:tc>
          <w:tcPr>
            <w:tcW w:w="660" w:type="dxa"/>
            <w:vAlign w:val="bottom"/>
            <w:shd w:val="clear" w:color="auto" w:fill="E1D7AC"/>
          </w:tcPr>
          <w:p>
            <w:pPr>
              <w:spacing w:after="0"/>
              <w:rPr>
                <w:sz w:val="7"/>
                <w:szCs w:val="7"/>
                <w:color w:val="auto"/>
              </w:rPr>
            </w:pPr>
          </w:p>
        </w:tc>
        <w:tc>
          <w:tcPr>
            <w:tcW w:w="660" w:type="dxa"/>
            <w:vAlign w:val="bottom"/>
            <w:shd w:val="clear" w:color="auto" w:fill="E1D7AC"/>
          </w:tcPr>
          <w:p>
            <w:pPr>
              <w:spacing w:after="0"/>
              <w:rPr>
                <w:sz w:val="7"/>
                <w:szCs w:val="7"/>
                <w:color w:val="auto"/>
              </w:rPr>
            </w:pPr>
          </w:p>
        </w:tc>
        <w:tc>
          <w:tcPr>
            <w:tcW w:w="4060" w:type="dxa"/>
            <w:vAlign w:val="bottom"/>
            <w:shd w:val="clear" w:color="auto" w:fill="E1D7AC"/>
          </w:tcPr>
          <w:p>
            <w:pPr>
              <w:spacing w:after="0"/>
              <w:rPr>
                <w:sz w:val="7"/>
                <w:szCs w:val="7"/>
                <w:color w:val="auto"/>
              </w:rPr>
            </w:pPr>
          </w:p>
        </w:tc>
        <w:tc>
          <w:tcPr>
            <w:tcW w:w="1820" w:type="dxa"/>
            <w:vAlign w:val="bottom"/>
            <w:shd w:val="clear" w:color="auto" w:fill="E1D7AC"/>
          </w:tcPr>
          <w:p>
            <w:pPr>
              <w:spacing w:after="0"/>
              <w:rPr>
                <w:sz w:val="7"/>
                <w:szCs w:val="7"/>
                <w:color w:val="auto"/>
              </w:rPr>
            </w:pPr>
          </w:p>
        </w:tc>
        <w:tc>
          <w:tcPr>
            <w:tcW w:w="1880" w:type="dxa"/>
            <w:vAlign w:val="bottom"/>
            <w:shd w:val="clear" w:color="auto" w:fill="E1D7AC"/>
          </w:tcPr>
          <w:p>
            <w:pPr>
              <w:spacing w:after="0"/>
              <w:rPr>
                <w:sz w:val="7"/>
                <w:szCs w:val="7"/>
                <w:color w:val="auto"/>
              </w:rPr>
            </w:pPr>
          </w:p>
        </w:tc>
        <w:tc>
          <w:tcPr>
            <w:tcW w:w="1600" w:type="dxa"/>
            <w:vAlign w:val="bottom"/>
            <w:shd w:val="clear" w:color="auto" w:fill="E1D7AC"/>
          </w:tcPr>
          <w:p>
            <w:pPr>
              <w:spacing w:after="0"/>
              <w:rPr>
                <w:sz w:val="7"/>
                <w:szCs w:val="7"/>
                <w:color w:val="auto"/>
              </w:rPr>
            </w:pPr>
          </w:p>
        </w:tc>
        <w:tc>
          <w:tcPr>
            <w:tcW w:w="100" w:type="dxa"/>
            <w:vAlign w:val="bottom"/>
            <w:shd w:val="clear" w:color="auto" w:fill="E1D7AC"/>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60" w:type="dxa"/>
            <w:vAlign w:val="bottom"/>
            <w:shd w:val="clear" w:color="auto" w:fill="DBDBDB"/>
          </w:tcPr>
          <w:p>
            <w:pPr>
              <w:spacing w:after="0"/>
              <w:rPr>
                <w:sz w:val="21"/>
                <w:szCs w:val="21"/>
                <w:color w:val="auto"/>
              </w:rPr>
            </w:pPr>
          </w:p>
        </w:tc>
        <w:tc>
          <w:tcPr>
            <w:tcW w:w="660" w:type="dxa"/>
            <w:vAlign w:val="bottom"/>
            <w:shd w:val="clear" w:color="auto" w:fill="DBDBDB"/>
          </w:tcPr>
          <w:p>
            <w:pPr>
              <w:spacing w:after="0"/>
              <w:rPr>
                <w:sz w:val="21"/>
                <w:szCs w:val="21"/>
                <w:color w:val="auto"/>
              </w:rPr>
            </w:pPr>
          </w:p>
        </w:tc>
        <w:tc>
          <w:tcPr>
            <w:tcW w:w="660" w:type="dxa"/>
            <w:vAlign w:val="bottom"/>
            <w:shd w:val="clear" w:color="auto" w:fill="DBDBDB"/>
          </w:tcPr>
          <w:p>
            <w:pPr>
              <w:spacing w:after="0"/>
              <w:rPr>
                <w:sz w:val="21"/>
                <w:szCs w:val="21"/>
                <w:color w:val="auto"/>
              </w:rPr>
            </w:pPr>
          </w:p>
        </w:tc>
        <w:tc>
          <w:tcPr>
            <w:tcW w:w="4060" w:type="dxa"/>
            <w:vAlign w:val="bottom"/>
          </w:tcPr>
          <w:p>
            <w:pPr>
              <w:jc w:val="center"/>
              <w:spacing w:after="0"/>
              <w:rPr>
                <w:sz w:val="20"/>
                <w:szCs w:val="20"/>
                <w:color w:val="auto"/>
              </w:rPr>
            </w:pPr>
            <w:r>
              <w:rPr>
                <w:rFonts w:ascii="Arial" w:cs="Arial" w:eastAsia="Arial" w:hAnsi="Arial"/>
                <w:sz w:val="14"/>
                <w:szCs w:val="14"/>
                <w:color w:val="auto"/>
              </w:rPr>
              <w:t>Ken C. Hicks</w:t>
            </w:r>
          </w:p>
        </w:tc>
        <w:tc>
          <w:tcPr>
            <w:tcW w:w="1820" w:type="dxa"/>
            <w:vAlign w:val="bottom"/>
          </w:tcPr>
          <w:p>
            <w:pPr>
              <w:ind w:left="1320"/>
              <w:spacing w:after="0"/>
              <w:rPr>
                <w:sz w:val="20"/>
                <w:szCs w:val="20"/>
                <w:color w:val="auto"/>
              </w:rPr>
            </w:pPr>
            <w:r>
              <w:rPr>
                <w:rFonts w:ascii="Arial" w:cs="Arial" w:eastAsia="Arial" w:hAnsi="Arial"/>
                <w:sz w:val="14"/>
                <w:szCs w:val="14"/>
                <w:color w:val="auto"/>
              </w:rPr>
              <w:t>100.0</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200.0</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460" w:type="dxa"/>
            <w:vAlign w:val="bottom"/>
            <w:tcBorders>
              <w:bottom w:val="single" w:sz="8" w:color="DBDBDB"/>
            </w:tcBorders>
            <w:shd w:val="clear" w:color="auto" w:fill="DBDBDB"/>
          </w:tcPr>
          <w:p>
            <w:pPr>
              <w:spacing w:after="0"/>
              <w:rPr>
                <w:sz w:val="6"/>
                <w:szCs w:val="6"/>
                <w:color w:val="auto"/>
              </w:rPr>
            </w:pPr>
          </w:p>
        </w:tc>
        <w:tc>
          <w:tcPr>
            <w:tcW w:w="660" w:type="dxa"/>
            <w:vAlign w:val="bottom"/>
            <w:tcBorders>
              <w:bottom w:val="single" w:sz="8" w:color="DBDBDB"/>
            </w:tcBorders>
            <w:shd w:val="clear" w:color="auto" w:fill="DBDBDB"/>
          </w:tcPr>
          <w:p>
            <w:pPr>
              <w:spacing w:after="0"/>
              <w:rPr>
                <w:sz w:val="6"/>
                <w:szCs w:val="6"/>
                <w:color w:val="auto"/>
              </w:rPr>
            </w:pPr>
          </w:p>
        </w:tc>
        <w:tc>
          <w:tcPr>
            <w:tcW w:w="660" w:type="dxa"/>
            <w:vAlign w:val="bottom"/>
            <w:tcBorders>
              <w:bottom w:val="single" w:sz="8" w:color="DBDBDB"/>
            </w:tcBorders>
            <w:shd w:val="clear" w:color="auto" w:fill="DBDBDB"/>
          </w:tcPr>
          <w:p>
            <w:pPr>
              <w:spacing w:after="0"/>
              <w:rPr>
                <w:sz w:val="6"/>
                <w:szCs w:val="6"/>
                <w:color w:val="auto"/>
              </w:rPr>
            </w:pPr>
          </w:p>
        </w:tc>
        <w:tc>
          <w:tcPr>
            <w:tcW w:w="4060" w:type="dxa"/>
            <w:vAlign w:val="bottom"/>
            <w:tcBorders>
              <w:bottom w:val="single" w:sz="8" w:color="ADB1C7"/>
            </w:tcBorders>
          </w:tcPr>
          <w:p>
            <w:pPr>
              <w:spacing w:after="0"/>
              <w:rPr>
                <w:sz w:val="6"/>
                <w:szCs w:val="6"/>
                <w:color w:val="auto"/>
              </w:rPr>
            </w:pPr>
          </w:p>
        </w:tc>
        <w:tc>
          <w:tcPr>
            <w:tcW w:w="1820" w:type="dxa"/>
            <w:vAlign w:val="bottom"/>
            <w:tcBorders>
              <w:bottom w:val="single" w:sz="8" w:color="ADB1C7"/>
            </w:tcBorders>
          </w:tcPr>
          <w:p>
            <w:pPr>
              <w:spacing w:after="0"/>
              <w:rPr>
                <w:sz w:val="6"/>
                <w:szCs w:val="6"/>
                <w:color w:val="auto"/>
              </w:rPr>
            </w:pPr>
          </w:p>
        </w:tc>
        <w:tc>
          <w:tcPr>
            <w:tcW w:w="1880" w:type="dxa"/>
            <w:vAlign w:val="bottom"/>
            <w:tcBorders>
              <w:bottom w:val="single" w:sz="8" w:color="ADB1C7"/>
            </w:tcBorders>
          </w:tcPr>
          <w:p>
            <w:pPr>
              <w:spacing w:after="0"/>
              <w:rPr>
                <w:sz w:val="6"/>
                <w:szCs w:val="6"/>
                <w:color w:val="auto"/>
              </w:rPr>
            </w:pPr>
          </w:p>
        </w:tc>
        <w:tc>
          <w:tcPr>
            <w:tcW w:w="1600" w:type="dxa"/>
            <w:vAlign w:val="bottom"/>
            <w:tcBorders>
              <w:bottom w:val="single" w:sz="8" w:color="ADB1C7"/>
            </w:tcBorders>
          </w:tcPr>
          <w:p>
            <w:pPr>
              <w:spacing w:after="0"/>
              <w:rPr>
                <w:sz w:val="6"/>
                <w:szCs w:val="6"/>
                <w:color w:val="auto"/>
              </w:rPr>
            </w:pPr>
          </w:p>
        </w:tc>
        <w:tc>
          <w:tcPr>
            <w:tcW w:w="100" w:type="dxa"/>
            <w:vAlign w:val="bottom"/>
            <w:tcBorders>
              <w:bottom w:val="single" w:sz="8" w:color="ADB1C7"/>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60" w:type="dxa"/>
            <w:vAlign w:val="bottom"/>
            <w:shd w:val="clear" w:color="auto" w:fill="DBDBDB"/>
          </w:tcPr>
          <w:p>
            <w:pPr>
              <w:spacing w:after="0"/>
              <w:rPr>
                <w:sz w:val="21"/>
                <w:szCs w:val="21"/>
                <w:color w:val="auto"/>
              </w:rPr>
            </w:pPr>
          </w:p>
        </w:tc>
        <w:tc>
          <w:tcPr>
            <w:tcW w:w="660" w:type="dxa"/>
            <w:vAlign w:val="bottom"/>
            <w:shd w:val="clear" w:color="auto" w:fill="DBDBDB"/>
          </w:tcPr>
          <w:p>
            <w:pPr>
              <w:spacing w:after="0"/>
              <w:rPr>
                <w:sz w:val="21"/>
                <w:szCs w:val="21"/>
                <w:color w:val="auto"/>
              </w:rPr>
            </w:pPr>
          </w:p>
        </w:tc>
        <w:tc>
          <w:tcPr>
            <w:tcW w:w="660" w:type="dxa"/>
            <w:vAlign w:val="bottom"/>
            <w:shd w:val="clear" w:color="auto" w:fill="DBDBDB"/>
          </w:tcPr>
          <w:p>
            <w:pPr>
              <w:spacing w:after="0"/>
              <w:rPr>
                <w:sz w:val="21"/>
                <w:szCs w:val="21"/>
                <w:color w:val="auto"/>
              </w:rPr>
            </w:pPr>
          </w:p>
        </w:tc>
        <w:tc>
          <w:tcPr>
            <w:tcW w:w="4060" w:type="dxa"/>
            <w:vAlign w:val="bottom"/>
          </w:tcPr>
          <w:p>
            <w:pPr>
              <w:jc w:val="center"/>
              <w:spacing w:after="0"/>
              <w:rPr>
                <w:sz w:val="20"/>
                <w:szCs w:val="20"/>
                <w:color w:val="auto"/>
              </w:rPr>
            </w:pPr>
            <w:r>
              <w:rPr>
                <w:rFonts w:ascii="Arial" w:cs="Arial" w:eastAsia="Arial" w:hAnsi="Arial"/>
                <w:sz w:val="14"/>
                <w:szCs w:val="14"/>
                <w:color w:val="auto"/>
              </w:rPr>
              <w:t>Michael P. Mullican</w:t>
            </w:r>
          </w:p>
        </w:tc>
        <w:tc>
          <w:tcPr>
            <w:tcW w:w="1820" w:type="dxa"/>
            <w:vAlign w:val="bottom"/>
          </w:tcPr>
          <w:p>
            <w:pPr>
              <w:ind w:left="1320"/>
              <w:spacing w:after="0"/>
              <w:rPr>
                <w:sz w:val="20"/>
                <w:szCs w:val="20"/>
                <w:color w:val="auto"/>
              </w:rPr>
            </w:pPr>
            <w:r>
              <w:rPr>
                <w:rFonts w:ascii="Arial" w:cs="Arial" w:eastAsia="Arial" w:hAnsi="Arial"/>
                <w:sz w:val="14"/>
                <w:szCs w:val="14"/>
                <w:color w:val="auto"/>
              </w:rPr>
              <w:t>100.0</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200.0</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460" w:type="dxa"/>
            <w:vAlign w:val="bottom"/>
            <w:tcBorders>
              <w:bottom w:val="single" w:sz="8" w:color="DBDBDB"/>
            </w:tcBorders>
            <w:shd w:val="clear" w:color="auto" w:fill="DBDBDB"/>
          </w:tcPr>
          <w:p>
            <w:pPr>
              <w:spacing w:after="0"/>
              <w:rPr>
                <w:sz w:val="5"/>
                <w:szCs w:val="5"/>
                <w:color w:val="auto"/>
              </w:rPr>
            </w:pPr>
          </w:p>
        </w:tc>
        <w:tc>
          <w:tcPr>
            <w:tcW w:w="660" w:type="dxa"/>
            <w:vAlign w:val="bottom"/>
            <w:tcBorders>
              <w:bottom w:val="single" w:sz="8" w:color="DBDBDB"/>
            </w:tcBorders>
            <w:shd w:val="clear" w:color="auto" w:fill="DBDBDB"/>
          </w:tcPr>
          <w:p>
            <w:pPr>
              <w:spacing w:after="0"/>
              <w:rPr>
                <w:sz w:val="5"/>
                <w:szCs w:val="5"/>
                <w:color w:val="auto"/>
              </w:rPr>
            </w:pPr>
          </w:p>
        </w:tc>
        <w:tc>
          <w:tcPr>
            <w:tcW w:w="660" w:type="dxa"/>
            <w:vAlign w:val="bottom"/>
            <w:tcBorders>
              <w:bottom w:val="single" w:sz="8" w:color="DBDBDB"/>
            </w:tcBorders>
            <w:shd w:val="clear" w:color="auto" w:fill="DBDBDB"/>
          </w:tcPr>
          <w:p>
            <w:pPr>
              <w:spacing w:after="0"/>
              <w:rPr>
                <w:sz w:val="5"/>
                <w:szCs w:val="5"/>
                <w:color w:val="auto"/>
              </w:rPr>
            </w:pPr>
          </w:p>
        </w:tc>
        <w:tc>
          <w:tcPr>
            <w:tcW w:w="4060" w:type="dxa"/>
            <w:vAlign w:val="bottom"/>
            <w:tcBorders>
              <w:bottom w:val="single" w:sz="8" w:color="ADB1C7"/>
            </w:tcBorders>
          </w:tcPr>
          <w:p>
            <w:pPr>
              <w:spacing w:after="0"/>
              <w:rPr>
                <w:sz w:val="5"/>
                <w:szCs w:val="5"/>
                <w:color w:val="auto"/>
              </w:rPr>
            </w:pPr>
          </w:p>
        </w:tc>
        <w:tc>
          <w:tcPr>
            <w:tcW w:w="1820" w:type="dxa"/>
            <w:vAlign w:val="bottom"/>
            <w:tcBorders>
              <w:bottom w:val="single" w:sz="8" w:color="ADB1C7"/>
            </w:tcBorders>
          </w:tcPr>
          <w:p>
            <w:pPr>
              <w:spacing w:after="0"/>
              <w:rPr>
                <w:sz w:val="5"/>
                <w:szCs w:val="5"/>
                <w:color w:val="auto"/>
              </w:rPr>
            </w:pPr>
          </w:p>
        </w:tc>
        <w:tc>
          <w:tcPr>
            <w:tcW w:w="1880" w:type="dxa"/>
            <w:vAlign w:val="bottom"/>
            <w:tcBorders>
              <w:bottom w:val="single" w:sz="8" w:color="ADB1C7"/>
            </w:tcBorders>
          </w:tcPr>
          <w:p>
            <w:pPr>
              <w:spacing w:after="0"/>
              <w:rPr>
                <w:sz w:val="5"/>
                <w:szCs w:val="5"/>
                <w:color w:val="auto"/>
              </w:rPr>
            </w:pPr>
          </w:p>
        </w:tc>
        <w:tc>
          <w:tcPr>
            <w:tcW w:w="1600" w:type="dxa"/>
            <w:vAlign w:val="bottom"/>
            <w:tcBorders>
              <w:bottom w:val="single" w:sz="8" w:color="ADB1C7"/>
            </w:tcBorders>
          </w:tcPr>
          <w:p>
            <w:pPr>
              <w:spacing w:after="0"/>
              <w:rPr>
                <w:sz w:val="5"/>
                <w:szCs w:val="5"/>
                <w:color w:val="auto"/>
              </w:rPr>
            </w:pPr>
          </w:p>
        </w:tc>
        <w:tc>
          <w:tcPr>
            <w:tcW w:w="100" w:type="dxa"/>
            <w:vAlign w:val="bottom"/>
            <w:tcBorders>
              <w:bottom w:val="single" w:sz="8" w:color="ADB1C7"/>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780" w:type="dxa"/>
            <w:vAlign w:val="bottom"/>
            <w:gridSpan w:val="3"/>
            <w:shd w:val="clear" w:color="auto" w:fill="DBDBDB"/>
          </w:tcPr>
          <w:p>
            <w:pPr>
              <w:ind w:left="100"/>
              <w:spacing w:after="0"/>
              <w:rPr>
                <w:sz w:val="20"/>
                <w:szCs w:val="20"/>
                <w:color w:val="auto"/>
              </w:rPr>
            </w:pPr>
            <w:r>
              <w:rPr>
                <w:rFonts w:ascii="Arial" w:cs="Arial" w:eastAsia="Arial" w:hAnsi="Arial"/>
                <w:sz w:val="14"/>
                <w:szCs w:val="14"/>
                <w:b w:val="1"/>
                <w:bCs w:val="1"/>
                <w:color w:val="auto"/>
              </w:rPr>
              <w:t>Individual Performance</w:t>
            </w:r>
          </w:p>
        </w:tc>
        <w:tc>
          <w:tcPr>
            <w:tcW w:w="4060" w:type="dxa"/>
            <w:vAlign w:val="bottom"/>
          </w:tcPr>
          <w:p>
            <w:pPr>
              <w:jc w:val="center"/>
              <w:spacing w:after="0"/>
              <w:rPr>
                <w:sz w:val="20"/>
                <w:szCs w:val="20"/>
                <w:color w:val="auto"/>
              </w:rPr>
            </w:pPr>
            <w:r>
              <w:rPr>
                <w:rFonts w:ascii="Arial" w:cs="Arial" w:eastAsia="Arial" w:hAnsi="Arial"/>
                <w:sz w:val="14"/>
                <w:szCs w:val="14"/>
                <w:color w:val="auto"/>
              </w:rPr>
              <w:t>Steve P. Lawrence</w:t>
            </w:r>
          </w:p>
        </w:tc>
        <w:tc>
          <w:tcPr>
            <w:tcW w:w="1820" w:type="dxa"/>
            <w:vAlign w:val="bottom"/>
          </w:tcPr>
          <w:p>
            <w:pPr>
              <w:ind w:left="1320"/>
              <w:spacing w:after="0"/>
              <w:rPr>
                <w:sz w:val="20"/>
                <w:szCs w:val="20"/>
                <w:color w:val="auto"/>
              </w:rPr>
            </w:pPr>
            <w:r>
              <w:rPr>
                <w:rFonts w:ascii="Arial" w:cs="Arial" w:eastAsia="Arial" w:hAnsi="Arial"/>
                <w:sz w:val="14"/>
                <w:szCs w:val="14"/>
                <w:color w:val="auto"/>
              </w:rPr>
              <w:t>100.0</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200.0</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460" w:type="dxa"/>
            <w:vAlign w:val="bottom"/>
            <w:tcBorders>
              <w:bottom w:val="single" w:sz="8" w:color="DBDBDB"/>
            </w:tcBorders>
            <w:shd w:val="clear" w:color="auto" w:fill="DBDBDB"/>
          </w:tcPr>
          <w:p>
            <w:pPr>
              <w:spacing w:after="0"/>
              <w:rPr>
                <w:sz w:val="5"/>
                <w:szCs w:val="5"/>
                <w:color w:val="auto"/>
              </w:rPr>
            </w:pPr>
          </w:p>
        </w:tc>
        <w:tc>
          <w:tcPr>
            <w:tcW w:w="660" w:type="dxa"/>
            <w:vAlign w:val="bottom"/>
            <w:tcBorders>
              <w:bottom w:val="single" w:sz="8" w:color="DBDBDB"/>
            </w:tcBorders>
            <w:shd w:val="clear" w:color="auto" w:fill="DBDBDB"/>
          </w:tcPr>
          <w:p>
            <w:pPr>
              <w:spacing w:after="0"/>
              <w:rPr>
                <w:sz w:val="5"/>
                <w:szCs w:val="5"/>
                <w:color w:val="auto"/>
              </w:rPr>
            </w:pPr>
          </w:p>
        </w:tc>
        <w:tc>
          <w:tcPr>
            <w:tcW w:w="660" w:type="dxa"/>
            <w:vAlign w:val="bottom"/>
            <w:tcBorders>
              <w:bottom w:val="single" w:sz="8" w:color="DBDBDB"/>
            </w:tcBorders>
            <w:shd w:val="clear" w:color="auto" w:fill="DBDBDB"/>
          </w:tcPr>
          <w:p>
            <w:pPr>
              <w:spacing w:after="0"/>
              <w:rPr>
                <w:sz w:val="5"/>
                <w:szCs w:val="5"/>
                <w:color w:val="auto"/>
              </w:rPr>
            </w:pPr>
          </w:p>
        </w:tc>
        <w:tc>
          <w:tcPr>
            <w:tcW w:w="4060" w:type="dxa"/>
            <w:vAlign w:val="bottom"/>
            <w:tcBorders>
              <w:bottom w:val="single" w:sz="8" w:color="ADB1C7"/>
            </w:tcBorders>
          </w:tcPr>
          <w:p>
            <w:pPr>
              <w:spacing w:after="0"/>
              <w:rPr>
                <w:sz w:val="5"/>
                <w:szCs w:val="5"/>
                <w:color w:val="auto"/>
              </w:rPr>
            </w:pPr>
          </w:p>
        </w:tc>
        <w:tc>
          <w:tcPr>
            <w:tcW w:w="1820" w:type="dxa"/>
            <w:vAlign w:val="bottom"/>
            <w:tcBorders>
              <w:bottom w:val="single" w:sz="8" w:color="ADB1C7"/>
            </w:tcBorders>
          </w:tcPr>
          <w:p>
            <w:pPr>
              <w:spacing w:after="0"/>
              <w:rPr>
                <w:sz w:val="5"/>
                <w:szCs w:val="5"/>
                <w:color w:val="auto"/>
              </w:rPr>
            </w:pPr>
          </w:p>
        </w:tc>
        <w:tc>
          <w:tcPr>
            <w:tcW w:w="1880" w:type="dxa"/>
            <w:vAlign w:val="bottom"/>
            <w:tcBorders>
              <w:bottom w:val="single" w:sz="8" w:color="ADB1C7"/>
            </w:tcBorders>
          </w:tcPr>
          <w:p>
            <w:pPr>
              <w:spacing w:after="0"/>
              <w:rPr>
                <w:sz w:val="5"/>
                <w:szCs w:val="5"/>
                <w:color w:val="auto"/>
              </w:rPr>
            </w:pPr>
          </w:p>
        </w:tc>
        <w:tc>
          <w:tcPr>
            <w:tcW w:w="1600" w:type="dxa"/>
            <w:vAlign w:val="bottom"/>
            <w:tcBorders>
              <w:bottom w:val="single" w:sz="8" w:color="ADB1C7"/>
            </w:tcBorders>
          </w:tcPr>
          <w:p>
            <w:pPr>
              <w:spacing w:after="0"/>
              <w:rPr>
                <w:sz w:val="5"/>
                <w:szCs w:val="5"/>
                <w:color w:val="auto"/>
              </w:rPr>
            </w:pPr>
          </w:p>
        </w:tc>
        <w:tc>
          <w:tcPr>
            <w:tcW w:w="100" w:type="dxa"/>
            <w:vAlign w:val="bottom"/>
            <w:tcBorders>
              <w:bottom w:val="single" w:sz="8" w:color="ADB1C7"/>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60" w:type="dxa"/>
            <w:vAlign w:val="bottom"/>
            <w:shd w:val="clear" w:color="auto" w:fill="DBDBDB"/>
          </w:tcPr>
          <w:p>
            <w:pPr>
              <w:spacing w:after="0"/>
              <w:rPr>
                <w:sz w:val="21"/>
                <w:szCs w:val="21"/>
                <w:color w:val="auto"/>
              </w:rPr>
            </w:pPr>
          </w:p>
        </w:tc>
        <w:tc>
          <w:tcPr>
            <w:tcW w:w="660" w:type="dxa"/>
            <w:vAlign w:val="bottom"/>
            <w:shd w:val="clear" w:color="auto" w:fill="DBDBDB"/>
          </w:tcPr>
          <w:p>
            <w:pPr>
              <w:spacing w:after="0"/>
              <w:rPr>
                <w:sz w:val="21"/>
                <w:szCs w:val="21"/>
                <w:color w:val="auto"/>
              </w:rPr>
            </w:pPr>
          </w:p>
        </w:tc>
        <w:tc>
          <w:tcPr>
            <w:tcW w:w="660" w:type="dxa"/>
            <w:vAlign w:val="bottom"/>
            <w:shd w:val="clear" w:color="auto" w:fill="DBDBDB"/>
          </w:tcPr>
          <w:p>
            <w:pPr>
              <w:spacing w:after="0"/>
              <w:rPr>
                <w:sz w:val="21"/>
                <w:szCs w:val="21"/>
                <w:color w:val="auto"/>
              </w:rPr>
            </w:pPr>
          </w:p>
        </w:tc>
        <w:tc>
          <w:tcPr>
            <w:tcW w:w="4060" w:type="dxa"/>
            <w:vAlign w:val="bottom"/>
          </w:tcPr>
          <w:p>
            <w:pPr>
              <w:jc w:val="center"/>
              <w:spacing w:after="0"/>
              <w:rPr>
                <w:sz w:val="20"/>
                <w:szCs w:val="20"/>
                <w:color w:val="auto"/>
              </w:rPr>
            </w:pPr>
            <w:r>
              <w:rPr>
                <w:rFonts w:ascii="Arial" w:cs="Arial" w:eastAsia="Arial" w:hAnsi="Arial"/>
                <w:sz w:val="14"/>
                <w:szCs w:val="14"/>
                <w:color w:val="auto"/>
              </w:rPr>
              <w:t>Sam J. Johnson</w:t>
            </w:r>
          </w:p>
        </w:tc>
        <w:tc>
          <w:tcPr>
            <w:tcW w:w="1820" w:type="dxa"/>
            <w:vAlign w:val="bottom"/>
          </w:tcPr>
          <w:p>
            <w:pPr>
              <w:ind w:left="1320"/>
              <w:spacing w:after="0"/>
              <w:rPr>
                <w:sz w:val="20"/>
                <w:szCs w:val="20"/>
                <w:color w:val="auto"/>
              </w:rPr>
            </w:pPr>
            <w:r>
              <w:rPr>
                <w:rFonts w:ascii="Arial" w:cs="Arial" w:eastAsia="Arial" w:hAnsi="Arial"/>
                <w:sz w:val="14"/>
                <w:szCs w:val="14"/>
                <w:color w:val="auto"/>
              </w:rPr>
              <w:t>100.0</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200.0</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460" w:type="dxa"/>
            <w:vAlign w:val="bottom"/>
            <w:tcBorders>
              <w:bottom w:val="single" w:sz="8" w:color="DBDBDB"/>
            </w:tcBorders>
            <w:shd w:val="clear" w:color="auto" w:fill="DBDBDB"/>
          </w:tcPr>
          <w:p>
            <w:pPr>
              <w:spacing w:after="0"/>
              <w:rPr>
                <w:sz w:val="5"/>
                <w:szCs w:val="5"/>
                <w:color w:val="auto"/>
              </w:rPr>
            </w:pPr>
          </w:p>
        </w:tc>
        <w:tc>
          <w:tcPr>
            <w:tcW w:w="660" w:type="dxa"/>
            <w:vAlign w:val="bottom"/>
            <w:tcBorders>
              <w:bottom w:val="single" w:sz="8" w:color="DBDBDB"/>
            </w:tcBorders>
            <w:shd w:val="clear" w:color="auto" w:fill="DBDBDB"/>
          </w:tcPr>
          <w:p>
            <w:pPr>
              <w:spacing w:after="0"/>
              <w:rPr>
                <w:sz w:val="5"/>
                <w:szCs w:val="5"/>
                <w:color w:val="auto"/>
              </w:rPr>
            </w:pPr>
          </w:p>
        </w:tc>
        <w:tc>
          <w:tcPr>
            <w:tcW w:w="660" w:type="dxa"/>
            <w:vAlign w:val="bottom"/>
            <w:tcBorders>
              <w:bottom w:val="single" w:sz="8" w:color="DBDBDB"/>
            </w:tcBorders>
            <w:shd w:val="clear" w:color="auto" w:fill="DBDBDB"/>
          </w:tcPr>
          <w:p>
            <w:pPr>
              <w:spacing w:after="0"/>
              <w:rPr>
                <w:sz w:val="5"/>
                <w:szCs w:val="5"/>
                <w:color w:val="auto"/>
              </w:rPr>
            </w:pPr>
          </w:p>
        </w:tc>
        <w:tc>
          <w:tcPr>
            <w:tcW w:w="4060" w:type="dxa"/>
            <w:vAlign w:val="bottom"/>
            <w:tcBorders>
              <w:bottom w:val="single" w:sz="8" w:color="ADB1C7"/>
            </w:tcBorders>
          </w:tcPr>
          <w:p>
            <w:pPr>
              <w:spacing w:after="0"/>
              <w:rPr>
                <w:sz w:val="5"/>
                <w:szCs w:val="5"/>
                <w:color w:val="auto"/>
              </w:rPr>
            </w:pPr>
          </w:p>
        </w:tc>
        <w:tc>
          <w:tcPr>
            <w:tcW w:w="1820" w:type="dxa"/>
            <w:vAlign w:val="bottom"/>
            <w:tcBorders>
              <w:bottom w:val="single" w:sz="8" w:color="ADB1C7"/>
            </w:tcBorders>
          </w:tcPr>
          <w:p>
            <w:pPr>
              <w:spacing w:after="0"/>
              <w:rPr>
                <w:sz w:val="5"/>
                <w:szCs w:val="5"/>
                <w:color w:val="auto"/>
              </w:rPr>
            </w:pPr>
          </w:p>
        </w:tc>
        <w:tc>
          <w:tcPr>
            <w:tcW w:w="1880" w:type="dxa"/>
            <w:vAlign w:val="bottom"/>
            <w:tcBorders>
              <w:bottom w:val="single" w:sz="8" w:color="ADB1C7"/>
            </w:tcBorders>
          </w:tcPr>
          <w:p>
            <w:pPr>
              <w:spacing w:after="0"/>
              <w:rPr>
                <w:sz w:val="5"/>
                <w:szCs w:val="5"/>
                <w:color w:val="auto"/>
              </w:rPr>
            </w:pPr>
          </w:p>
        </w:tc>
        <w:tc>
          <w:tcPr>
            <w:tcW w:w="1600" w:type="dxa"/>
            <w:vAlign w:val="bottom"/>
            <w:tcBorders>
              <w:bottom w:val="single" w:sz="8" w:color="ADB1C7"/>
            </w:tcBorders>
          </w:tcPr>
          <w:p>
            <w:pPr>
              <w:spacing w:after="0"/>
              <w:rPr>
                <w:sz w:val="5"/>
                <w:szCs w:val="5"/>
                <w:color w:val="auto"/>
              </w:rPr>
            </w:pPr>
          </w:p>
        </w:tc>
        <w:tc>
          <w:tcPr>
            <w:tcW w:w="100" w:type="dxa"/>
            <w:vAlign w:val="bottom"/>
            <w:tcBorders>
              <w:bottom w:val="single" w:sz="8" w:color="ADB1C7"/>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60" w:type="dxa"/>
            <w:vAlign w:val="bottom"/>
            <w:shd w:val="clear" w:color="auto" w:fill="DBDBDB"/>
          </w:tcPr>
          <w:p>
            <w:pPr>
              <w:spacing w:after="0"/>
              <w:rPr>
                <w:sz w:val="21"/>
                <w:szCs w:val="21"/>
                <w:color w:val="auto"/>
              </w:rPr>
            </w:pPr>
          </w:p>
        </w:tc>
        <w:tc>
          <w:tcPr>
            <w:tcW w:w="660" w:type="dxa"/>
            <w:vAlign w:val="bottom"/>
            <w:shd w:val="clear" w:color="auto" w:fill="DBDBDB"/>
          </w:tcPr>
          <w:p>
            <w:pPr>
              <w:spacing w:after="0"/>
              <w:rPr>
                <w:sz w:val="21"/>
                <w:szCs w:val="21"/>
                <w:color w:val="auto"/>
              </w:rPr>
            </w:pPr>
          </w:p>
        </w:tc>
        <w:tc>
          <w:tcPr>
            <w:tcW w:w="660" w:type="dxa"/>
            <w:vAlign w:val="bottom"/>
            <w:shd w:val="clear" w:color="auto" w:fill="DBDBDB"/>
          </w:tcPr>
          <w:p>
            <w:pPr>
              <w:spacing w:after="0"/>
              <w:rPr>
                <w:sz w:val="21"/>
                <w:szCs w:val="21"/>
                <w:color w:val="auto"/>
              </w:rPr>
            </w:pPr>
          </w:p>
        </w:tc>
        <w:tc>
          <w:tcPr>
            <w:tcW w:w="4060" w:type="dxa"/>
            <w:vAlign w:val="bottom"/>
          </w:tcPr>
          <w:p>
            <w:pPr>
              <w:jc w:val="center"/>
              <w:spacing w:after="0"/>
              <w:rPr>
                <w:sz w:val="20"/>
                <w:szCs w:val="20"/>
                <w:color w:val="auto"/>
              </w:rPr>
            </w:pPr>
            <w:r>
              <w:rPr>
                <w:rFonts w:ascii="Arial" w:cs="Arial" w:eastAsia="Arial" w:hAnsi="Arial"/>
                <w:sz w:val="14"/>
                <w:szCs w:val="14"/>
                <w:color w:val="auto"/>
              </w:rPr>
              <w:t>Manish Maini</w:t>
            </w:r>
          </w:p>
        </w:tc>
        <w:tc>
          <w:tcPr>
            <w:tcW w:w="1820" w:type="dxa"/>
            <w:vAlign w:val="bottom"/>
          </w:tcPr>
          <w:p>
            <w:pPr>
              <w:ind w:left="1320"/>
              <w:spacing w:after="0"/>
              <w:rPr>
                <w:sz w:val="20"/>
                <w:szCs w:val="20"/>
                <w:color w:val="auto"/>
              </w:rPr>
            </w:pPr>
            <w:r>
              <w:rPr>
                <w:rFonts w:ascii="Arial" w:cs="Arial" w:eastAsia="Arial" w:hAnsi="Arial"/>
                <w:sz w:val="14"/>
                <w:szCs w:val="14"/>
                <w:color w:val="auto"/>
              </w:rPr>
              <w:t>100.0</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100.0</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460" w:type="dxa"/>
            <w:vAlign w:val="bottom"/>
            <w:tcBorders>
              <w:bottom w:val="single" w:sz="8" w:color="E8E9EF"/>
            </w:tcBorders>
            <w:shd w:val="clear" w:color="auto" w:fill="DBDBDB"/>
          </w:tcPr>
          <w:p>
            <w:pPr>
              <w:spacing w:after="0"/>
              <w:rPr>
                <w:sz w:val="5"/>
                <w:szCs w:val="5"/>
                <w:color w:val="auto"/>
              </w:rPr>
            </w:pPr>
          </w:p>
        </w:tc>
        <w:tc>
          <w:tcPr>
            <w:tcW w:w="660" w:type="dxa"/>
            <w:vAlign w:val="bottom"/>
            <w:tcBorders>
              <w:bottom w:val="single" w:sz="8" w:color="E8E9EF"/>
            </w:tcBorders>
            <w:shd w:val="clear" w:color="auto" w:fill="DBDBDB"/>
          </w:tcPr>
          <w:p>
            <w:pPr>
              <w:spacing w:after="0"/>
              <w:rPr>
                <w:sz w:val="5"/>
                <w:szCs w:val="5"/>
                <w:color w:val="auto"/>
              </w:rPr>
            </w:pPr>
          </w:p>
        </w:tc>
        <w:tc>
          <w:tcPr>
            <w:tcW w:w="660" w:type="dxa"/>
            <w:vAlign w:val="bottom"/>
            <w:tcBorders>
              <w:bottom w:val="single" w:sz="8" w:color="E8E9EF"/>
            </w:tcBorders>
            <w:shd w:val="clear" w:color="auto" w:fill="DBDBDB"/>
          </w:tcPr>
          <w:p>
            <w:pPr>
              <w:spacing w:after="0"/>
              <w:rPr>
                <w:sz w:val="5"/>
                <w:szCs w:val="5"/>
                <w:color w:val="auto"/>
              </w:rPr>
            </w:pPr>
          </w:p>
        </w:tc>
        <w:tc>
          <w:tcPr>
            <w:tcW w:w="4060" w:type="dxa"/>
            <w:vAlign w:val="bottom"/>
            <w:tcBorders>
              <w:bottom w:val="single" w:sz="8" w:color="ADB1C7"/>
            </w:tcBorders>
          </w:tcPr>
          <w:p>
            <w:pPr>
              <w:spacing w:after="0"/>
              <w:rPr>
                <w:sz w:val="5"/>
                <w:szCs w:val="5"/>
                <w:color w:val="auto"/>
              </w:rPr>
            </w:pPr>
          </w:p>
        </w:tc>
        <w:tc>
          <w:tcPr>
            <w:tcW w:w="1820" w:type="dxa"/>
            <w:vAlign w:val="bottom"/>
            <w:tcBorders>
              <w:bottom w:val="single" w:sz="8" w:color="ADB1C7"/>
            </w:tcBorders>
          </w:tcPr>
          <w:p>
            <w:pPr>
              <w:spacing w:after="0"/>
              <w:rPr>
                <w:sz w:val="5"/>
                <w:szCs w:val="5"/>
                <w:color w:val="auto"/>
              </w:rPr>
            </w:pPr>
          </w:p>
        </w:tc>
        <w:tc>
          <w:tcPr>
            <w:tcW w:w="1880" w:type="dxa"/>
            <w:vAlign w:val="bottom"/>
            <w:tcBorders>
              <w:bottom w:val="single" w:sz="8" w:color="ADB1C7"/>
            </w:tcBorders>
          </w:tcPr>
          <w:p>
            <w:pPr>
              <w:spacing w:after="0"/>
              <w:rPr>
                <w:sz w:val="5"/>
                <w:szCs w:val="5"/>
                <w:color w:val="auto"/>
              </w:rPr>
            </w:pPr>
          </w:p>
        </w:tc>
        <w:tc>
          <w:tcPr>
            <w:tcW w:w="1600" w:type="dxa"/>
            <w:vAlign w:val="bottom"/>
            <w:tcBorders>
              <w:bottom w:val="single" w:sz="8" w:color="ADB1C7"/>
            </w:tcBorders>
          </w:tcPr>
          <w:p>
            <w:pPr>
              <w:spacing w:after="0"/>
              <w:rPr>
                <w:sz w:val="5"/>
                <w:szCs w:val="5"/>
                <w:color w:val="auto"/>
              </w:rPr>
            </w:pPr>
          </w:p>
        </w:tc>
        <w:tc>
          <w:tcPr>
            <w:tcW w:w="100" w:type="dxa"/>
            <w:vAlign w:val="bottom"/>
            <w:tcBorders>
              <w:bottom w:val="single" w:sz="8" w:color="ADB1C7"/>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80" w:firstLine="8"/>
        <w:spacing w:after="0" w:line="322" w:lineRule="auto"/>
        <w:tabs>
          <w:tab w:leader="none" w:pos="96"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See “Reconciliations of Non-GAAP to GAAP Financial Measures” below for reconciliations of non-GAAP financial measures used in this Proxy Statement to their most directly comparable GAAP financial measures.</w:t>
      </w:r>
    </w:p>
    <w:p>
      <w:pPr>
        <w:spacing w:after="0" w:line="26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following table summarizes the 2021 bonuses earned under the Bonus Plan based on actual performance, as compared to the target opportunity, for each of our NEOs: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80" w:type="dxa"/>
            <w:vAlign w:val="bottom"/>
            <w:shd w:val="clear" w:color="auto" w:fill="E1D7AC"/>
          </w:tcPr>
          <w:p>
            <w:pPr>
              <w:spacing w:after="0"/>
              <w:rPr>
                <w:sz w:val="21"/>
                <w:szCs w:val="21"/>
                <w:color w:val="auto"/>
              </w:rPr>
            </w:pPr>
          </w:p>
        </w:tc>
        <w:tc>
          <w:tcPr>
            <w:tcW w:w="1280" w:type="dxa"/>
            <w:vAlign w:val="bottom"/>
            <w:shd w:val="clear" w:color="auto" w:fill="E1D7AC"/>
          </w:tcPr>
          <w:p>
            <w:pPr>
              <w:spacing w:after="0"/>
              <w:rPr>
                <w:sz w:val="21"/>
                <w:szCs w:val="21"/>
                <w:color w:val="auto"/>
              </w:rPr>
            </w:pPr>
          </w:p>
        </w:tc>
        <w:tc>
          <w:tcPr>
            <w:tcW w:w="700" w:type="dxa"/>
            <w:vAlign w:val="bottom"/>
            <w:shd w:val="clear" w:color="auto" w:fill="E1D7AC"/>
          </w:tcPr>
          <w:p>
            <w:pPr>
              <w:spacing w:after="0"/>
              <w:rPr>
                <w:sz w:val="21"/>
                <w:szCs w:val="21"/>
                <w:color w:val="auto"/>
              </w:rPr>
            </w:pPr>
          </w:p>
        </w:tc>
        <w:tc>
          <w:tcPr>
            <w:tcW w:w="1120" w:type="dxa"/>
            <w:vAlign w:val="bottom"/>
            <w:shd w:val="clear" w:color="auto" w:fill="E1D7AC"/>
          </w:tcPr>
          <w:p>
            <w:pPr>
              <w:spacing w:after="0"/>
              <w:rPr>
                <w:sz w:val="21"/>
                <w:szCs w:val="21"/>
                <w:color w:val="auto"/>
              </w:rPr>
            </w:pPr>
          </w:p>
        </w:tc>
        <w:tc>
          <w:tcPr>
            <w:tcW w:w="144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 of Target Bonus</w:t>
            </w:r>
          </w:p>
        </w:tc>
        <w:tc>
          <w:tcPr>
            <w:tcW w:w="160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 of Target Bonus</w:t>
            </w:r>
          </w:p>
        </w:tc>
        <w:tc>
          <w:tcPr>
            <w:tcW w:w="1720" w:type="dxa"/>
            <w:vAlign w:val="bottom"/>
            <w:shd w:val="clear" w:color="auto" w:fill="E1D7AC"/>
          </w:tcPr>
          <w:p>
            <w:pPr>
              <w:spacing w:after="0"/>
              <w:rPr>
                <w:sz w:val="21"/>
                <w:szCs w:val="21"/>
                <w:color w:val="auto"/>
              </w:rPr>
            </w:pPr>
          </w:p>
        </w:tc>
        <w:tc>
          <w:tcPr>
            <w:tcW w:w="1160" w:type="dxa"/>
            <w:vAlign w:val="bottom"/>
            <w:shd w:val="clear" w:color="auto" w:fill="E1D7AC"/>
          </w:tcPr>
          <w:p>
            <w:pPr>
              <w:spacing w:after="0"/>
              <w:rPr>
                <w:sz w:val="21"/>
                <w:szCs w:val="21"/>
                <w:color w:val="auto"/>
              </w:rPr>
            </w:pPr>
          </w:p>
        </w:tc>
      </w:tr>
      <w:tr>
        <w:trPr>
          <w:trHeight w:val="175"/>
        </w:trPr>
        <w:tc>
          <w:tcPr>
            <w:tcW w:w="2180" w:type="dxa"/>
            <w:vAlign w:val="bottom"/>
            <w:shd w:val="clear" w:color="auto" w:fill="E1D7AC"/>
          </w:tcPr>
          <w:p>
            <w:pPr>
              <w:spacing w:after="0"/>
              <w:rPr>
                <w:sz w:val="15"/>
                <w:szCs w:val="15"/>
                <w:color w:val="auto"/>
              </w:rPr>
            </w:pPr>
          </w:p>
        </w:tc>
        <w:tc>
          <w:tcPr>
            <w:tcW w:w="1280" w:type="dxa"/>
            <w:vAlign w:val="bottom"/>
            <w:shd w:val="clear" w:color="auto" w:fill="E1D7AC"/>
          </w:tcPr>
          <w:p>
            <w:pPr>
              <w:spacing w:after="0"/>
              <w:rPr>
                <w:sz w:val="15"/>
                <w:szCs w:val="15"/>
                <w:color w:val="auto"/>
              </w:rPr>
            </w:pPr>
          </w:p>
        </w:tc>
        <w:tc>
          <w:tcPr>
            <w:tcW w:w="700" w:type="dxa"/>
            <w:vAlign w:val="bottom"/>
            <w:shd w:val="clear" w:color="auto" w:fill="E1D7AC"/>
          </w:tcPr>
          <w:p>
            <w:pPr>
              <w:spacing w:after="0"/>
              <w:rPr>
                <w:sz w:val="15"/>
                <w:szCs w:val="15"/>
                <w:color w:val="auto"/>
              </w:rPr>
            </w:pPr>
          </w:p>
        </w:tc>
        <w:tc>
          <w:tcPr>
            <w:tcW w:w="1120" w:type="dxa"/>
            <w:vAlign w:val="bottom"/>
            <w:shd w:val="clear" w:color="auto" w:fill="E1D7AC"/>
          </w:tcPr>
          <w:p>
            <w:pPr>
              <w:spacing w:after="0"/>
              <w:rPr>
                <w:sz w:val="15"/>
                <w:szCs w:val="15"/>
                <w:color w:val="auto"/>
              </w:rPr>
            </w:pPr>
          </w:p>
        </w:tc>
        <w:tc>
          <w:tcPr>
            <w:tcW w:w="144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Earned for</w:t>
            </w:r>
          </w:p>
        </w:tc>
        <w:tc>
          <w:tcPr>
            <w:tcW w:w="160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Earned for</w:t>
            </w:r>
          </w:p>
        </w:tc>
        <w:tc>
          <w:tcPr>
            <w:tcW w:w="1720" w:type="dxa"/>
            <w:vAlign w:val="bottom"/>
            <w:shd w:val="clear" w:color="auto" w:fill="E1D7AC"/>
          </w:tcPr>
          <w:p>
            <w:pPr>
              <w:spacing w:after="0"/>
              <w:rPr>
                <w:sz w:val="15"/>
                <w:szCs w:val="15"/>
                <w:color w:val="auto"/>
              </w:rPr>
            </w:pPr>
          </w:p>
        </w:tc>
        <w:tc>
          <w:tcPr>
            <w:tcW w:w="1160" w:type="dxa"/>
            <w:vAlign w:val="bottom"/>
            <w:shd w:val="clear" w:color="auto" w:fill="E1D7AC"/>
          </w:tcPr>
          <w:p>
            <w:pPr>
              <w:spacing w:after="0"/>
              <w:rPr>
                <w:sz w:val="15"/>
                <w:szCs w:val="15"/>
                <w:color w:val="auto"/>
              </w:rPr>
            </w:pPr>
          </w:p>
        </w:tc>
      </w:tr>
      <w:tr>
        <w:trPr>
          <w:trHeight w:val="189"/>
        </w:trPr>
        <w:tc>
          <w:tcPr>
            <w:tcW w:w="2180" w:type="dxa"/>
            <w:vAlign w:val="bottom"/>
            <w:shd w:val="clear" w:color="auto" w:fill="E1D7AC"/>
          </w:tcPr>
          <w:p>
            <w:pPr>
              <w:spacing w:after="0"/>
              <w:rPr>
                <w:sz w:val="16"/>
                <w:szCs w:val="16"/>
                <w:color w:val="auto"/>
              </w:rPr>
            </w:pPr>
          </w:p>
        </w:tc>
        <w:tc>
          <w:tcPr>
            <w:tcW w:w="1280" w:type="dxa"/>
            <w:vAlign w:val="bottom"/>
            <w:shd w:val="clear" w:color="auto" w:fill="E1D7AC"/>
          </w:tcPr>
          <w:p>
            <w:pPr>
              <w:spacing w:after="0"/>
              <w:rPr>
                <w:sz w:val="16"/>
                <w:szCs w:val="16"/>
                <w:color w:val="auto"/>
              </w:rPr>
            </w:pPr>
          </w:p>
        </w:tc>
        <w:tc>
          <w:tcPr>
            <w:tcW w:w="700" w:type="dxa"/>
            <w:vAlign w:val="bottom"/>
            <w:shd w:val="clear" w:color="auto" w:fill="E1D7AC"/>
          </w:tcPr>
          <w:p>
            <w:pPr>
              <w:spacing w:after="0"/>
              <w:rPr>
                <w:sz w:val="16"/>
                <w:szCs w:val="16"/>
                <w:color w:val="auto"/>
              </w:rPr>
            </w:pPr>
          </w:p>
        </w:tc>
        <w:tc>
          <w:tcPr>
            <w:tcW w:w="1120" w:type="dxa"/>
            <w:vAlign w:val="bottom"/>
            <w:shd w:val="clear" w:color="auto" w:fill="E1D7AC"/>
          </w:tcPr>
          <w:p>
            <w:pPr>
              <w:spacing w:after="0"/>
              <w:rPr>
                <w:sz w:val="16"/>
                <w:szCs w:val="16"/>
                <w:color w:val="auto"/>
              </w:rPr>
            </w:pPr>
          </w:p>
        </w:tc>
        <w:tc>
          <w:tcPr>
            <w:tcW w:w="144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Achievement of</w:t>
            </w:r>
          </w:p>
        </w:tc>
        <w:tc>
          <w:tcPr>
            <w:tcW w:w="160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Achievement of</w:t>
            </w:r>
          </w:p>
        </w:tc>
        <w:tc>
          <w:tcPr>
            <w:tcW w:w="1720" w:type="dxa"/>
            <w:vAlign w:val="bottom"/>
            <w:shd w:val="clear" w:color="auto" w:fill="E1D7AC"/>
          </w:tcPr>
          <w:p>
            <w:pPr>
              <w:jc w:val="right"/>
              <w:ind w:right="128"/>
              <w:spacing w:after="0"/>
              <w:rPr>
                <w:sz w:val="20"/>
                <w:szCs w:val="20"/>
                <w:color w:val="auto"/>
              </w:rPr>
            </w:pPr>
            <w:r>
              <w:rPr>
                <w:rFonts w:ascii="Arial" w:cs="Arial" w:eastAsia="Arial" w:hAnsi="Arial"/>
                <w:sz w:val="14"/>
                <w:szCs w:val="14"/>
                <w:b w:val="1"/>
                <w:bCs w:val="1"/>
                <w:color w:val="auto"/>
              </w:rPr>
              <w:t>Overall</w:t>
            </w:r>
          </w:p>
        </w:tc>
        <w:tc>
          <w:tcPr>
            <w:tcW w:w="1160" w:type="dxa"/>
            <w:vAlign w:val="bottom"/>
            <w:shd w:val="clear" w:color="auto" w:fill="E1D7AC"/>
          </w:tcPr>
          <w:p>
            <w:pPr>
              <w:spacing w:after="0"/>
              <w:rPr>
                <w:sz w:val="16"/>
                <w:szCs w:val="16"/>
                <w:color w:val="auto"/>
              </w:rPr>
            </w:pPr>
          </w:p>
        </w:tc>
      </w:tr>
      <w:tr>
        <w:trPr>
          <w:trHeight w:val="189"/>
        </w:trPr>
        <w:tc>
          <w:tcPr>
            <w:tcW w:w="2180" w:type="dxa"/>
            <w:vAlign w:val="bottom"/>
            <w:shd w:val="clear" w:color="auto" w:fill="E1D7AC"/>
          </w:tcPr>
          <w:p>
            <w:pPr>
              <w:spacing w:after="0"/>
              <w:rPr>
                <w:sz w:val="16"/>
                <w:szCs w:val="16"/>
                <w:color w:val="auto"/>
              </w:rPr>
            </w:pPr>
          </w:p>
        </w:tc>
        <w:tc>
          <w:tcPr>
            <w:tcW w:w="1280" w:type="dxa"/>
            <w:vAlign w:val="bottom"/>
            <w:shd w:val="clear" w:color="auto" w:fill="E1D7AC"/>
          </w:tcPr>
          <w:p>
            <w:pPr>
              <w:jc w:val="right"/>
              <w:ind w:right="248"/>
              <w:spacing w:after="0"/>
              <w:rPr>
                <w:sz w:val="20"/>
                <w:szCs w:val="20"/>
                <w:color w:val="auto"/>
              </w:rPr>
            </w:pPr>
            <w:r>
              <w:rPr>
                <w:rFonts w:ascii="Arial" w:cs="Arial" w:eastAsia="Arial" w:hAnsi="Arial"/>
                <w:sz w:val="14"/>
                <w:szCs w:val="14"/>
                <w:b w:val="1"/>
                <w:bCs w:val="1"/>
                <w:color w:val="auto"/>
              </w:rPr>
              <w:t>2021 Base</w:t>
            </w:r>
          </w:p>
        </w:tc>
        <w:tc>
          <w:tcPr>
            <w:tcW w:w="700" w:type="dxa"/>
            <w:vAlign w:val="bottom"/>
            <w:shd w:val="clear" w:color="auto" w:fill="E1D7AC"/>
          </w:tcPr>
          <w:p>
            <w:pPr>
              <w:spacing w:after="0"/>
              <w:rPr>
                <w:sz w:val="16"/>
                <w:szCs w:val="16"/>
                <w:color w:val="auto"/>
              </w:rPr>
            </w:pPr>
          </w:p>
        </w:tc>
        <w:tc>
          <w:tcPr>
            <w:tcW w:w="1120" w:type="dxa"/>
            <w:vAlign w:val="bottom"/>
            <w:shd w:val="clear" w:color="auto" w:fill="E1D7AC"/>
          </w:tcPr>
          <w:p>
            <w:pPr>
              <w:jc w:val="right"/>
              <w:ind w:right="88"/>
              <w:spacing w:after="0"/>
              <w:rPr>
                <w:sz w:val="20"/>
                <w:szCs w:val="20"/>
                <w:color w:val="auto"/>
              </w:rPr>
            </w:pPr>
            <w:r>
              <w:rPr>
                <w:rFonts w:ascii="Arial" w:cs="Arial" w:eastAsia="Arial" w:hAnsi="Arial"/>
                <w:sz w:val="14"/>
                <w:szCs w:val="14"/>
                <w:b w:val="1"/>
                <w:bCs w:val="1"/>
                <w:color w:val="auto"/>
              </w:rPr>
              <w:t>Target Bonus</w:t>
            </w:r>
          </w:p>
        </w:tc>
        <w:tc>
          <w:tcPr>
            <w:tcW w:w="144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Company</w:t>
            </w:r>
          </w:p>
        </w:tc>
        <w:tc>
          <w:tcPr>
            <w:tcW w:w="160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Individual</w:t>
            </w:r>
          </w:p>
        </w:tc>
        <w:tc>
          <w:tcPr>
            <w:tcW w:w="1720" w:type="dxa"/>
            <w:vAlign w:val="bottom"/>
            <w:shd w:val="clear" w:color="auto" w:fill="E1D7AC"/>
          </w:tcPr>
          <w:p>
            <w:pPr>
              <w:jc w:val="right"/>
              <w:ind w:right="128"/>
              <w:spacing w:after="0"/>
              <w:rPr>
                <w:sz w:val="20"/>
                <w:szCs w:val="20"/>
                <w:color w:val="auto"/>
              </w:rPr>
            </w:pPr>
            <w:r>
              <w:rPr>
                <w:rFonts w:ascii="Arial" w:cs="Arial" w:eastAsia="Arial" w:hAnsi="Arial"/>
                <w:sz w:val="14"/>
                <w:szCs w:val="14"/>
                <w:b w:val="1"/>
                <w:bCs w:val="1"/>
                <w:color w:val="auto"/>
              </w:rPr>
              <w:t>Achievement Factor</w:t>
            </w:r>
          </w:p>
        </w:tc>
        <w:tc>
          <w:tcPr>
            <w:tcW w:w="1160" w:type="dxa"/>
            <w:vAlign w:val="bottom"/>
            <w:shd w:val="clear" w:color="auto" w:fill="E1D7AC"/>
          </w:tcPr>
          <w:p>
            <w:pPr>
              <w:jc w:val="right"/>
              <w:ind w:right="48"/>
              <w:spacing w:after="0"/>
              <w:rPr>
                <w:sz w:val="20"/>
                <w:szCs w:val="20"/>
                <w:color w:val="auto"/>
              </w:rPr>
            </w:pPr>
            <w:r>
              <w:rPr>
                <w:rFonts w:ascii="Arial" w:cs="Arial" w:eastAsia="Arial" w:hAnsi="Arial"/>
                <w:sz w:val="14"/>
                <w:szCs w:val="14"/>
                <w:b w:val="1"/>
                <w:bCs w:val="1"/>
                <w:color w:val="auto"/>
              </w:rPr>
              <w:t>Final Bonus</w:t>
            </w:r>
          </w:p>
        </w:tc>
      </w:tr>
      <w:tr>
        <w:trPr>
          <w:trHeight w:val="189"/>
        </w:trPr>
        <w:tc>
          <w:tcPr>
            <w:tcW w:w="2180" w:type="dxa"/>
            <w:vAlign w:val="bottom"/>
            <w:shd w:val="clear" w:color="auto" w:fill="E1D7AC"/>
          </w:tcPr>
          <w:p>
            <w:pPr>
              <w:spacing w:after="0"/>
              <w:rPr>
                <w:sz w:val="16"/>
                <w:szCs w:val="16"/>
                <w:color w:val="auto"/>
              </w:rPr>
            </w:pPr>
          </w:p>
        </w:tc>
        <w:tc>
          <w:tcPr>
            <w:tcW w:w="1980" w:type="dxa"/>
            <w:vAlign w:val="bottom"/>
            <w:gridSpan w:val="2"/>
            <w:shd w:val="clear" w:color="auto" w:fill="E1D7AC"/>
          </w:tcPr>
          <w:p>
            <w:pPr>
              <w:jc w:val="right"/>
              <w:spacing w:after="0"/>
              <w:rPr>
                <w:sz w:val="20"/>
                <w:szCs w:val="20"/>
                <w:color w:val="auto"/>
              </w:rPr>
            </w:pPr>
            <w:r>
              <w:rPr>
                <w:rFonts w:ascii="Arial" w:cs="Arial" w:eastAsia="Arial" w:hAnsi="Arial"/>
                <w:sz w:val="14"/>
                <w:szCs w:val="14"/>
                <w:b w:val="1"/>
                <w:bCs w:val="1"/>
                <w:color w:val="auto"/>
              </w:rPr>
              <w:t>Salary Target Bonus</w:t>
            </w:r>
          </w:p>
        </w:tc>
        <w:tc>
          <w:tcPr>
            <w:tcW w:w="1120" w:type="dxa"/>
            <w:vAlign w:val="bottom"/>
            <w:shd w:val="clear" w:color="auto" w:fill="E1D7AC"/>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44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Performance Metrics</w:t>
            </w:r>
          </w:p>
        </w:tc>
        <w:tc>
          <w:tcPr>
            <w:tcW w:w="160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Performance Metric</w:t>
            </w:r>
          </w:p>
        </w:tc>
        <w:tc>
          <w:tcPr>
            <w:tcW w:w="1720" w:type="dxa"/>
            <w:vAlign w:val="bottom"/>
            <w:shd w:val="clear" w:color="auto" w:fill="E1D7AC"/>
          </w:tcPr>
          <w:p>
            <w:pPr>
              <w:jc w:val="right"/>
              <w:ind w:right="128"/>
              <w:spacing w:after="0"/>
              <w:rPr>
                <w:sz w:val="20"/>
                <w:szCs w:val="20"/>
                <w:color w:val="auto"/>
              </w:rPr>
            </w:pPr>
            <w:r>
              <w:rPr>
                <w:rFonts w:ascii="Arial" w:cs="Arial" w:eastAsia="Arial" w:hAnsi="Arial"/>
                <w:sz w:val="14"/>
                <w:szCs w:val="14"/>
                <w:b w:val="1"/>
                <w:bCs w:val="1"/>
                <w:color w:val="auto"/>
              </w:rPr>
              <w:t>of Target Bonus</w:t>
            </w:r>
          </w:p>
        </w:tc>
        <w:tc>
          <w:tcPr>
            <w:tcW w:w="1160" w:type="dxa"/>
            <w:vAlign w:val="bottom"/>
            <w:shd w:val="clear" w:color="auto" w:fill="E1D7AC"/>
          </w:tcPr>
          <w:p>
            <w:pPr>
              <w:jc w:val="right"/>
              <w:ind w:right="48"/>
              <w:spacing w:after="0"/>
              <w:rPr>
                <w:sz w:val="20"/>
                <w:szCs w:val="20"/>
                <w:color w:val="auto"/>
              </w:rPr>
            </w:pPr>
            <w:r>
              <w:rPr>
                <w:rFonts w:ascii="Arial" w:cs="Arial" w:eastAsia="Arial" w:hAnsi="Arial"/>
                <w:sz w:val="14"/>
                <w:szCs w:val="14"/>
                <w:b w:val="1"/>
                <w:bCs w:val="1"/>
                <w:color w:val="auto"/>
              </w:rPr>
              <w:t>Payment</w:t>
            </w:r>
          </w:p>
        </w:tc>
      </w:tr>
      <w:tr>
        <w:trPr>
          <w:trHeight w:val="189"/>
        </w:trPr>
        <w:tc>
          <w:tcPr>
            <w:tcW w:w="2180" w:type="dxa"/>
            <w:vAlign w:val="bottom"/>
            <w:shd w:val="clear" w:color="auto" w:fill="E1D7AC"/>
          </w:tcPr>
          <w:p>
            <w:pPr>
              <w:ind w:left="100"/>
              <w:spacing w:after="0"/>
              <w:rPr>
                <w:sz w:val="20"/>
                <w:szCs w:val="20"/>
                <w:color w:val="auto"/>
              </w:rPr>
            </w:pPr>
            <w:r>
              <w:rPr>
                <w:rFonts w:ascii="Arial" w:cs="Arial" w:eastAsia="Arial" w:hAnsi="Arial"/>
                <w:sz w:val="14"/>
                <w:szCs w:val="14"/>
                <w:b w:val="1"/>
                <w:bCs w:val="1"/>
                <w:color w:val="auto"/>
                <w:shd w:val="clear" w:color="auto" w:fill="E1D7AC"/>
              </w:rPr>
              <w:t>Name</w:t>
            </w:r>
          </w:p>
        </w:tc>
        <w:tc>
          <w:tcPr>
            <w:tcW w:w="1280" w:type="dxa"/>
            <w:vAlign w:val="bottom"/>
            <w:shd w:val="clear" w:color="auto" w:fill="E1D7AC"/>
          </w:tcPr>
          <w:p>
            <w:pPr>
              <w:jc w:val="right"/>
              <w:ind w:right="24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E1D7AC"/>
          </w:tcPr>
          <w:p>
            <w:pPr>
              <w:jc w:val="right"/>
              <w:ind w:right="88"/>
              <w:spacing w:after="0"/>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shd w:val="clear" w:color="auto" w:fill="E1D7AC"/>
          </w:tcPr>
          <w:p>
            <w:pPr>
              <w:jc w:val="right"/>
              <w:ind w:right="12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160" w:type="dxa"/>
            <w:vAlign w:val="bottom"/>
            <w:shd w:val="clear" w:color="auto" w:fill="E1D7AC"/>
          </w:tcPr>
          <w:p>
            <w:pPr>
              <w:jc w:val="right"/>
              <w:ind w:right="4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(2)</w:t>
            </w:r>
          </w:p>
        </w:tc>
      </w:tr>
      <w:tr>
        <w:trPr>
          <w:trHeight w:val="108"/>
        </w:trPr>
        <w:tc>
          <w:tcPr>
            <w:tcW w:w="2180" w:type="dxa"/>
            <w:vAlign w:val="bottom"/>
            <w:shd w:val="clear" w:color="auto" w:fill="E1D7AC"/>
          </w:tcPr>
          <w:p>
            <w:pPr>
              <w:spacing w:after="0"/>
              <w:rPr>
                <w:sz w:val="9"/>
                <w:szCs w:val="9"/>
                <w:color w:val="auto"/>
              </w:rPr>
            </w:pPr>
          </w:p>
        </w:tc>
        <w:tc>
          <w:tcPr>
            <w:tcW w:w="1280" w:type="dxa"/>
            <w:vAlign w:val="bottom"/>
            <w:shd w:val="clear" w:color="auto" w:fill="E1D7AC"/>
          </w:tcPr>
          <w:p>
            <w:pPr>
              <w:spacing w:after="0"/>
              <w:rPr>
                <w:sz w:val="9"/>
                <w:szCs w:val="9"/>
                <w:color w:val="auto"/>
              </w:rPr>
            </w:pPr>
          </w:p>
        </w:tc>
        <w:tc>
          <w:tcPr>
            <w:tcW w:w="700" w:type="dxa"/>
            <w:vAlign w:val="bottom"/>
            <w:shd w:val="clear" w:color="auto" w:fill="E1D7AC"/>
          </w:tcPr>
          <w:p>
            <w:pPr>
              <w:spacing w:after="0"/>
              <w:rPr>
                <w:sz w:val="9"/>
                <w:szCs w:val="9"/>
                <w:color w:val="auto"/>
              </w:rPr>
            </w:pPr>
          </w:p>
        </w:tc>
        <w:tc>
          <w:tcPr>
            <w:tcW w:w="1120" w:type="dxa"/>
            <w:vAlign w:val="bottom"/>
            <w:shd w:val="clear" w:color="auto" w:fill="E1D7AC"/>
          </w:tcPr>
          <w:p>
            <w:pPr>
              <w:spacing w:after="0"/>
              <w:rPr>
                <w:sz w:val="9"/>
                <w:szCs w:val="9"/>
                <w:color w:val="auto"/>
              </w:rPr>
            </w:pPr>
          </w:p>
        </w:tc>
        <w:tc>
          <w:tcPr>
            <w:tcW w:w="1440" w:type="dxa"/>
            <w:vAlign w:val="bottom"/>
            <w:shd w:val="clear" w:color="auto" w:fill="E1D7AC"/>
          </w:tcPr>
          <w:p>
            <w:pPr>
              <w:spacing w:after="0"/>
              <w:rPr>
                <w:sz w:val="9"/>
                <w:szCs w:val="9"/>
                <w:color w:val="auto"/>
              </w:rPr>
            </w:pPr>
          </w:p>
        </w:tc>
        <w:tc>
          <w:tcPr>
            <w:tcW w:w="1600" w:type="dxa"/>
            <w:vAlign w:val="bottom"/>
            <w:shd w:val="clear" w:color="auto" w:fill="E1D7AC"/>
          </w:tcPr>
          <w:p>
            <w:pPr>
              <w:spacing w:after="0"/>
              <w:rPr>
                <w:sz w:val="9"/>
                <w:szCs w:val="9"/>
                <w:color w:val="auto"/>
              </w:rPr>
            </w:pPr>
          </w:p>
        </w:tc>
        <w:tc>
          <w:tcPr>
            <w:tcW w:w="1720" w:type="dxa"/>
            <w:vAlign w:val="bottom"/>
            <w:shd w:val="clear" w:color="auto" w:fill="E1D7AC"/>
          </w:tcPr>
          <w:p>
            <w:pPr>
              <w:spacing w:after="0"/>
              <w:rPr>
                <w:sz w:val="9"/>
                <w:szCs w:val="9"/>
                <w:color w:val="auto"/>
              </w:rPr>
            </w:pPr>
          </w:p>
        </w:tc>
        <w:tc>
          <w:tcPr>
            <w:tcW w:w="1160" w:type="dxa"/>
            <w:vAlign w:val="bottom"/>
            <w:shd w:val="clear" w:color="auto" w:fill="E1D7AC"/>
          </w:tcPr>
          <w:p>
            <w:pPr>
              <w:spacing w:after="0"/>
              <w:rPr>
                <w:sz w:val="9"/>
                <w:szCs w:val="9"/>
                <w:color w:val="auto"/>
              </w:rPr>
            </w:pPr>
          </w:p>
        </w:tc>
      </w:tr>
      <w:tr>
        <w:trPr>
          <w:trHeight w:val="223"/>
        </w:trPr>
        <w:tc>
          <w:tcPr>
            <w:tcW w:w="21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Ken C. Hicks</w:t>
            </w:r>
          </w:p>
        </w:tc>
        <w:tc>
          <w:tcPr>
            <w:tcW w:w="1280" w:type="dxa"/>
            <w:vAlign w:val="bottom"/>
            <w:tcBorders>
              <w:bottom w:val="single" w:sz="8" w:color="DBDBDB"/>
            </w:tcBorders>
            <w:shd w:val="clear" w:color="auto" w:fill="DBDBDB"/>
          </w:tcPr>
          <w:p>
            <w:pPr>
              <w:jc w:val="right"/>
              <w:ind w:right="248"/>
              <w:spacing w:after="0"/>
              <w:rPr>
                <w:sz w:val="20"/>
                <w:szCs w:val="20"/>
                <w:color w:val="auto"/>
              </w:rPr>
            </w:pPr>
            <w:r>
              <w:rPr>
                <w:rFonts w:ascii="Arial" w:cs="Arial" w:eastAsia="Arial" w:hAnsi="Arial"/>
                <w:sz w:val="14"/>
                <w:szCs w:val="14"/>
                <w:color w:val="auto"/>
              </w:rPr>
              <w:t>1,100,000</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175.0</w:t>
            </w:r>
          </w:p>
        </w:tc>
        <w:tc>
          <w:tcPr>
            <w:tcW w:w="112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1,925,000</w:t>
            </w:r>
          </w:p>
        </w:tc>
        <w:tc>
          <w:tcPr>
            <w:tcW w:w="14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180.0</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20.0</w:t>
            </w:r>
          </w:p>
        </w:tc>
        <w:tc>
          <w:tcPr>
            <w:tcW w:w="17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200.0</w:t>
            </w:r>
          </w:p>
        </w:tc>
        <w:tc>
          <w:tcPr>
            <w:tcW w:w="11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3,850,000</w:t>
            </w:r>
          </w:p>
        </w:tc>
      </w:tr>
      <w:tr>
        <w:trPr>
          <w:trHeight w:val="214"/>
        </w:trPr>
        <w:tc>
          <w:tcPr>
            <w:tcW w:w="2180" w:type="dxa"/>
            <w:vAlign w:val="bottom"/>
          </w:tcPr>
          <w:p>
            <w:pPr>
              <w:ind w:left="100"/>
              <w:spacing w:after="0"/>
              <w:rPr>
                <w:sz w:val="20"/>
                <w:szCs w:val="20"/>
                <w:color w:val="auto"/>
              </w:rPr>
            </w:pPr>
            <w:r>
              <w:rPr>
                <w:rFonts w:ascii="Arial" w:cs="Arial" w:eastAsia="Arial" w:hAnsi="Arial"/>
                <w:sz w:val="14"/>
                <w:szCs w:val="14"/>
                <w:b w:val="1"/>
                <w:bCs w:val="1"/>
                <w:color w:val="auto"/>
              </w:rPr>
              <w:t>Michael P. Mullican</w:t>
            </w: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675,000</w:t>
            </w:r>
          </w:p>
        </w:tc>
        <w:tc>
          <w:tcPr>
            <w:tcW w:w="700" w:type="dxa"/>
            <w:vAlign w:val="bottom"/>
          </w:tcPr>
          <w:p>
            <w:pPr>
              <w:jc w:val="right"/>
              <w:spacing w:after="0"/>
              <w:rPr>
                <w:sz w:val="20"/>
                <w:szCs w:val="20"/>
                <w:color w:val="auto"/>
              </w:rPr>
            </w:pPr>
            <w:r>
              <w:rPr>
                <w:rFonts w:ascii="Arial" w:cs="Arial" w:eastAsia="Arial" w:hAnsi="Arial"/>
                <w:sz w:val="14"/>
                <w:szCs w:val="14"/>
                <w:color w:val="auto"/>
              </w:rPr>
              <w:t>120.0</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810,000</w:t>
            </w:r>
          </w:p>
        </w:tc>
        <w:tc>
          <w:tcPr>
            <w:tcW w:w="1440" w:type="dxa"/>
            <w:vAlign w:val="bottom"/>
          </w:tcPr>
          <w:p>
            <w:pPr>
              <w:jc w:val="right"/>
              <w:spacing w:after="0"/>
              <w:rPr>
                <w:sz w:val="20"/>
                <w:szCs w:val="20"/>
                <w:color w:val="auto"/>
              </w:rPr>
            </w:pPr>
            <w:r>
              <w:rPr>
                <w:rFonts w:ascii="Arial" w:cs="Arial" w:eastAsia="Arial" w:hAnsi="Arial"/>
                <w:sz w:val="14"/>
                <w:szCs w:val="14"/>
                <w:color w:val="auto"/>
              </w:rPr>
              <w:t>180.0</w:t>
            </w:r>
          </w:p>
        </w:tc>
        <w:tc>
          <w:tcPr>
            <w:tcW w:w="1600" w:type="dxa"/>
            <w:vAlign w:val="bottom"/>
          </w:tcPr>
          <w:p>
            <w:pPr>
              <w:jc w:val="right"/>
              <w:spacing w:after="0"/>
              <w:rPr>
                <w:sz w:val="20"/>
                <w:szCs w:val="20"/>
                <w:color w:val="auto"/>
              </w:rPr>
            </w:pPr>
            <w:r>
              <w:rPr>
                <w:rFonts w:ascii="Arial" w:cs="Arial" w:eastAsia="Arial" w:hAnsi="Arial"/>
                <w:sz w:val="14"/>
                <w:szCs w:val="14"/>
                <w:color w:val="auto"/>
              </w:rPr>
              <w:t>20.0</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200.0</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1,620,000</w:t>
            </w:r>
          </w:p>
        </w:tc>
      </w:tr>
      <w:tr>
        <w:trPr>
          <w:trHeight w:val="29"/>
        </w:trPr>
        <w:tc>
          <w:tcPr>
            <w:tcW w:w="2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21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Steve P. Lawrence</w:t>
            </w:r>
          </w:p>
        </w:tc>
        <w:tc>
          <w:tcPr>
            <w:tcW w:w="1280" w:type="dxa"/>
            <w:vAlign w:val="bottom"/>
            <w:tcBorders>
              <w:bottom w:val="single" w:sz="8" w:color="DBDBDB"/>
            </w:tcBorders>
            <w:shd w:val="clear" w:color="auto" w:fill="DBDBDB"/>
          </w:tcPr>
          <w:p>
            <w:pPr>
              <w:jc w:val="right"/>
              <w:ind w:right="248"/>
              <w:spacing w:after="0"/>
              <w:rPr>
                <w:sz w:val="20"/>
                <w:szCs w:val="20"/>
                <w:color w:val="auto"/>
              </w:rPr>
            </w:pPr>
            <w:r>
              <w:rPr>
                <w:rFonts w:ascii="Arial" w:cs="Arial" w:eastAsia="Arial" w:hAnsi="Arial"/>
                <w:sz w:val="14"/>
                <w:szCs w:val="14"/>
                <w:color w:val="auto"/>
              </w:rPr>
              <w:t>752,000</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120.0</w:t>
            </w:r>
          </w:p>
        </w:tc>
        <w:tc>
          <w:tcPr>
            <w:tcW w:w="112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902,400</w:t>
            </w:r>
          </w:p>
        </w:tc>
        <w:tc>
          <w:tcPr>
            <w:tcW w:w="14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180.0</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20.0</w:t>
            </w:r>
          </w:p>
        </w:tc>
        <w:tc>
          <w:tcPr>
            <w:tcW w:w="17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200.0</w:t>
            </w:r>
          </w:p>
        </w:tc>
        <w:tc>
          <w:tcPr>
            <w:tcW w:w="11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1,804,800</w:t>
            </w:r>
          </w:p>
        </w:tc>
      </w:tr>
      <w:tr>
        <w:trPr>
          <w:trHeight w:val="214"/>
        </w:trPr>
        <w:tc>
          <w:tcPr>
            <w:tcW w:w="2180" w:type="dxa"/>
            <w:vAlign w:val="bottom"/>
          </w:tcPr>
          <w:p>
            <w:pPr>
              <w:ind w:left="100"/>
              <w:spacing w:after="0"/>
              <w:rPr>
                <w:sz w:val="20"/>
                <w:szCs w:val="20"/>
                <w:color w:val="auto"/>
              </w:rPr>
            </w:pPr>
            <w:r>
              <w:rPr>
                <w:rFonts w:ascii="Arial" w:cs="Arial" w:eastAsia="Arial" w:hAnsi="Arial"/>
                <w:sz w:val="14"/>
                <w:szCs w:val="14"/>
                <w:b w:val="1"/>
                <w:bCs w:val="1"/>
                <w:color w:val="auto"/>
              </w:rPr>
              <w:t>Sam J. Johnson</w:t>
            </w: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577,500</w:t>
            </w:r>
          </w:p>
        </w:tc>
        <w:tc>
          <w:tcPr>
            <w:tcW w:w="700" w:type="dxa"/>
            <w:vAlign w:val="bottom"/>
          </w:tcPr>
          <w:p>
            <w:pPr>
              <w:jc w:val="right"/>
              <w:spacing w:after="0"/>
              <w:rPr>
                <w:sz w:val="20"/>
                <w:szCs w:val="20"/>
                <w:color w:val="auto"/>
              </w:rPr>
            </w:pPr>
            <w:r>
              <w:rPr>
                <w:rFonts w:ascii="Arial" w:cs="Arial" w:eastAsia="Arial" w:hAnsi="Arial"/>
                <w:sz w:val="14"/>
                <w:szCs w:val="14"/>
                <w:color w:val="auto"/>
              </w:rPr>
              <w:t>120.0</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693,000</w:t>
            </w:r>
          </w:p>
        </w:tc>
        <w:tc>
          <w:tcPr>
            <w:tcW w:w="1440" w:type="dxa"/>
            <w:vAlign w:val="bottom"/>
          </w:tcPr>
          <w:p>
            <w:pPr>
              <w:jc w:val="right"/>
              <w:spacing w:after="0"/>
              <w:rPr>
                <w:sz w:val="20"/>
                <w:szCs w:val="20"/>
                <w:color w:val="auto"/>
              </w:rPr>
            </w:pPr>
            <w:r>
              <w:rPr>
                <w:rFonts w:ascii="Arial" w:cs="Arial" w:eastAsia="Arial" w:hAnsi="Arial"/>
                <w:sz w:val="14"/>
                <w:szCs w:val="14"/>
                <w:color w:val="auto"/>
              </w:rPr>
              <w:t>180.0</w:t>
            </w:r>
          </w:p>
        </w:tc>
        <w:tc>
          <w:tcPr>
            <w:tcW w:w="1600" w:type="dxa"/>
            <w:vAlign w:val="bottom"/>
          </w:tcPr>
          <w:p>
            <w:pPr>
              <w:jc w:val="right"/>
              <w:spacing w:after="0"/>
              <w:rPr>
                <w:sz w:val="20"/>
                <w:szCs w:val="20"/>
                <w:color w:val="auto"/>
              </w:rPr>
            </w:pPr>
            <w:r>
              <w:rPr>
                <w:rFonts w:ascii="Arial" w:cs="Arial" w:eastAsia="Arial" w:hAnsi="Arial"/>
                <w:sz w:val="14"/>
                <w:szCs w:val="14"/>
                <w:color w:val="auto"/>
              </w:rPr>
              <w:t>20.0</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200.0</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1,386,000</w:t>
            </w:r>
          </w:p>
        </w:tc>
      </w:tr>
      <w:tr>
        <w:trPr>
          <w:trHeight w:val="29"/>
        </w:trPr>
        <w:tc>
          <w:tcPr>
            <w:tcW w:w="2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4"/>
        </w:trPr>
        <w:tc>
          <w:tcPr>
            <w:tcW w:w="218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Manish Maini</w:t>
            </w:r>
          </w:p>
        </w:tc>
        <w:tc>
          <w:tcPr>
            <w:tcW w:w="128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rPr>
              <w:t>550,000</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75.0</w:t>
            </w:r>
          </w:p>
        </w:tc>
        <w:tc>
          <w:tcPr>
            <w:tcW w:w="112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412,500</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180.0</w:t>
            </w:r>
          </w:p>
        </w:tc>
        <w:tc>
          <w:tcPr>
            <w:tcW w:w="1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w:t>
            </w:r>
          </w:p>
        </w:tc>
        <w:tc>
          <w:tcPr>
            <w:tcW w:w="172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190.0</w:t>
            </w:r>
          </w:p>
        </w:tc>
        <w:tc>
          <w:tcPr>
            <w:tcW w:w="11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783,750</w:t>
            </w:r>
          </w:p>
        </w:tc>
      </w:tr>
      <w:tr>
        <w:trPr>
          <w:trHeight w:val="29"/>
        </w:trPr>
        <w:tc>
          <w:tcPr>
            <w:tcW w:w="2180" w:type="dxa"/>
            <w:vAlign w:val="bottom"/>
            <w:shd w:val="clear" w:color="auto" w:fill="DBDBDB"/>
          </w:tcPr>
          <w:p>
            <w:pPr>
              <w:spacing w:after="0"/>
              <w:rPr>
                <w:sz w:val="2"/>
                <w:szCs w:val="2"/>
                <w:color w:val="auto"/>
              </w:rPr>
            </w:pPr>
          </w:p>
        </w:tc>
        <w:tc>
          <w:tcPr>
            <w:tcW w:w="1280" w:type="dxa"/>
            <w:vAlign w:val="bottom"/>
            <w:shd w:val="clear" w:color="auto" w:fill="DBDBDB"/>
          </w:tcPr>
          <w:p>
            <w:pPr>
              <w:spacing w:after="0"/>
              <w:rPr>
                <w:sz w:val="2"/>
                <w:szCs w:val="2"/>
                <w:color w:val="auto"/>
              </w:rPr>
            </w:pPr>
          </w:p>
        </w:tc>
        <w:tc>
          <w:tcPr>
            <w:tcW w:w="700" w:type="dxa"/>
            <w:vAlign w:val="bottom"/>
            <w:shd w:val="clear" w:color="auto" w:fill="DBDBDB"/>
          </w:tcPr>
          <w:p>
            <w:pPr>
              <w:spacing w:after="0"/>
              <w:rPr>
                <w:sz w:val="2"/>
                <w:szCs w:val="2"/>
                <w:color w:val="auto"/>
              </w:rPr>
            </w:pPr>
          </w:p>
        </w:tc>
        <w:tc>
          <w:tcPr>
            <w:tcW w:w="1120" w:type="dxa"/>
            <w:vAlign w:val="bottom"/>
            <w:shd w:val="clear" w:color="auto" w:fill="DBDBDB"/>
          </w:tcPr>
          <w:p>
            <w:pPr>
              <w:spacing w:after="0"/>
              <w:rPr>
                <w:sz w:val="2"/>
                <w:szCs w:val="2"/>
                <w:color w:val="auto"/>
              </w:rPr>
            </w:pPr>
          </w:p>
        </w:tc>
        <w:tc>
          <w:tcPr>
            <w:tcW w:w="144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c>
          <w:tcPr>
            <w:tcW w:w="172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r>
    </w:tbl>
    <w:p>
      <w:pPr>
        <w:spacing w:after="0" w:line="185" w:lineRule="exact"/>
        <w:rPr>
          <w:sz w:val="20"/>
          <w:szCs w:val="20"/>
          <w:color w:val="auto"/>
        </w:rPr>
      </w:pPr>
    </w:p>
    <w:p>
      <w:pPr>
        <w:ind w:left="340" w:right="260" w:hanging="332"/>
        <w:spacing w:after="0" w:line="286" w:lineRule="auto"/>
        <w:tabs>
          <w:tab w:leader="none" w:pos="337" w:val="left"/>
        </w:tabs>
        <w:numPr>
          <w:ilvl w:val="0"/>
          <w:numId w:val="27"/>
        </w:numPr>
        <w:rPr>
          <w:rFonts w:ascii="Arial" w:cs="Arial" w:eastAsia="Arial" w:hAnsi="Arial"/>
          <w:sz w:val="13"/>
          <w:szCs w:val="13"/>
          <w:color w:val="auto"/>
        </w:rPr>
      </w:pPr>
      <w:r>
        <w:rPr>
          <w:rFonts w:ascii="Arial" w:cs="Arial" w:eastAsia="Arial" w:hAnsi="Arial"/>
          <w:sz w:val="13"/>
          <w:szCs w:val="13"/>
          <w:color w:val="auto"/>
        </w:rPr>
        <w:t>Overall Achievement Factor of Target Bonus is the sum of the % of Target Bonus Earned for Achievement of Company Performance Metrics plus % of Target Bonus Earned for Achievement of Individual Performance Metric.</w:t>
      </w:r>
    </w:p>
    <w:p>
      <w:pPr>
        <w:spacing w:after="0" w:line="75" w:lineRule="exact"/>
        <w:rPr>
          <w:rFonts w:ascii="Arial" w:cs="Arial" w:eastAsia="Arial" w:hAnsi="Arial"/>
          <w:sz w:val="13"/>
          <w:szCs w:val="13"/>
          <w:color w:val="auto"/>
        </w:rPr>
      </w:pPr>
    </w:p>
    <w:p>
      <w:pPr>
        <w:ind w:left="340" w:right="180" w:hanging="332"/>
        <w:spacing w:after="0" w:line="308" w:lineRule="auto"/>
        <w:tabs>
          <w:tab w:leader="none" w:pos="337" w:val="left"/>
        </w:tabs>
        <w:numPr>
          <w:ilvl w:val="0"/>
          <w:numId w:val="27"/>
        </w:numPr>
        <w:rPr>
          <w:rFonts w:ascii="Arial" w:cs="Arial" w:eastAsia="Arial" w:hAnsi="Arial"/>
          <w:sz w:val="13"/>
          <w:szCs w:val="13"/>
          <w:color w:val="auto"/>
        </w:rPr>
      </w:pPr>
      <w:r>
        <w:rPr>
          <w:rFonts w:ascii="Arial" w:cs="Arial" w:eastAsia="Arial" w:hAnsi="Arial"/>
          <w:sz w:val="13"/>
          <w:szCs w:val="13"/>
          <w:color w:val="auto"/>
        </w:rPr>
        <w:t>Bonus payments under the Bonus Plan were calculated by multiplying the NEO’s base salary as of the end of fiscal 2021 by their target bonus opportunity, which was then adjusted by an overall achievement factor of target bonus based on the combined weighted achievement of the Company and individual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702310</wp:posOffset>
            </wp:positionV>
            <wp:extent cx="857250"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color w:val="007EC4"/>
        </w:rPr>
        <w:t xml:space="preserve">42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Long-Term Equity Incentive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2021 Annual Equity Incentive Awards</w:t>
      </w:r>
    </w:p>
    <w:p>
      <w:pPr>
        <w:spacing w:after="0" w:line="68"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 Committee grants equity incentive awards of Options and RSUs to our NEOs annually as part of their overall performance-based compensation package. The Committee may also grant equity awards to address special situations that may arise from time to time. The use of long-term equity incentives creates a link between executive compensation and our long-term performance and growth, thereby creating alignment between executive officer and stockholder interests. In determining the appropriate mix of Options and RSUs for the annual equity incentive award grant, the Committee considers competitive market data of the types of equity incentive award compensation provided to executive officers by the companies in our compensation peer group, with a goal of reaching a mix that would provide the appropriate incentives while staying competitive in our market.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On March 31, 2021, the Company granted the following Options with an exercise price of $26.99 and the following performance-based RSUs to our NEOs: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shd w:val="clear" w:color="auto" w:fill="E1D7AC"/>
          </w:tcPr>
          <w:p>
            <w:pPr>
              <w:ind w:left="100"/>
              <w:spacing w:after="0"/>
              <w:rPr>
                <w:sz w:val="20"/>
                <w:szCs w:val="20"/>
                <w:color w:val="auto"/>
              </w:rPr>
            </w:pPr>
            <w:r>
              <w:rPr>
                <w:rFonts w:ascii="Arial" w:cs="Arial" w:eastAsia="Arial" w:hAnsi="Arial"/>
                <w:sz w:val="14"/>
                <w:szCs w:val="14"/>
                <w:b w:val="1"/>
                <w:bCs w:val="1"/>
                <w:color w:val="auto"/>
              </w:rPr>
              <w:t>NEO</w:t>
            </w:r>
          </w:p>
        </w:tc>
        <w:tc>
          <w:tcPr>
            <w:tcW w:w="2720" w:type="dxa"/>
            <w:vAlign w:val="bottom"/>
            <w:shd w:val="clear" w:color="auto" w:fill="E1D7AC"/>
          </w:tcPr>
          <w:p>
            <w:pPr>
              <w:jc w:val="right"/>
              <w:ind w:right="488"/>
              <w:spacing w:after="0"/>
              <w:rPr>
                <w:sz w:val="20"/>
                <w:szCs w:val="20"/>
                <w:color w:val="auto"/>
              </w:rPr>
            </w:pPr>
            <w:r>
              <w:rPr>
                <w:rFonts w:ascii="Arial" w:cs="Arial" w:eastAsia="Arial" w:hAnsi="Arial"/>
                <w:sz w:val="14"/>
                <w:szCs w:val="14"/>
                <w:b w:val="1"/>
                <w:bCs w:val="1"/>
                <w:color w:val="auto"/>
              </w:rPr>
              <w:t># Options</w:t>
            </w:r>
          </w:p>
        </w:tc>
        <w:tc>
          <w:tcPr>
            <w:tcW w:w="2540" w:type="dxa"/>
            <w:vAlign w:val="bottom"/>
            <w:shd w:val="clear" w:color="auto" w:fill="E1D7AC"/>
          </w:tcPr>
          <w:p>
            <w:pPr>
              <w:jc w:val="right"/>
              <w:ind w:right="668"/>
              <w:spacing w:after="0"/>
              <w:rPr>
                <w:sz w:val="20"/>
                <w:szCs w:val="20"/>
                <w:color w:val="auto"/>
              </w:rPr>
            </w:pPr>
            <w:r>
              <w:rPr>
                <w:rFonts w:ascii="Arial" w:cs="Arial" w:eastAsia="Arial" w:hAnsi="Arial"/>
                <w:sz w:val="14"/>
                <w:szCs w:val="14"/>
                <w:b w:val="1"/>
                <w:bCs w:val="1"/>
                <w:color w:val="auto"/>
              </w:rPr>
              <w:t>$ Value of Options</w:t>
            </w:r>
          </w:p>
        </w:tc>
        <w:tc>
          <w:tcPr>
            <w:tcW w:w="1840" w:type="dxa"/>
            <w:vAlign w:val="bottom"/>
            <w:shd w:val="clear" w:color="auto" w:fill="E1D7AC"/>
          </w:tcPr>
          <w:p>
            <w:pPr>
              <w:jc w:val="right"/>
              <w:ind w:right="508"/>
              <w:spacing w:after="0"/>
              <w:rPr>
                <w:sz w:val="20"/>
                <w:szCs w:val="20"/>
                <w:color w:val="auto"/>
              </w:rPr>
            </w:pPr>
            <w:r>
              <w:rPr>
                <w:rFonts w:ascii="Arial" w:cs="Arial" w:eastAsia="Arial" w:hAnsi="Arial"/>
                <w:sz w:val="14"/>
                <w:szCs w:val="14"/>
                <w:b w:val="1"/>
                <w:bCs w:val="1"/>
                <w:color w:val="auto"/>
              </w:rPr>
              <w:t># RSUs</w:t>
            </w:r>
          </w:p>
        </w:tc>
        <w:tc>
          <w:tcPr>
            <w:tcW w:w="1780" w:type="dxa"/>
            <w:vAlign w:val="bottom"/>
            <w:shd w:val="clear" w:color="auto" w:fill="E1D7AC"/>
          </w:tcPr>
          <w:p>
            <w:pPr>
              <w:jc w:val="right"/>
              <w:ind w:right="48"/>
              <w:spacing w:after="0"/>
              <w:rPr>
                <w:sz w:val="20"/>
                <w:szCs w:val="20"/>
                <w:color w:val="auto"/>
              </w:rPr>
            </w:pPr>
            <w:r>
              <w:rPr>
                <w:rFonts w:ascii="Arial" w:cs="Arial" w:eastAsia="Arial" w:hAnsi="Arial"/>
                <w:sz w:val="14"/>
                <w:szCs w:val="14"/>
                <w:b w:val="1"/>
                <w:bCs w:val="1"/>
                <w:color w:val="auto"/>
              </w:rPr>
              <w:t>$ Value of RSUs</w:t>
            </w:r>
          </w:p>
        </w:tc>
      </w:tr>
      <w:tr>
        <w:trPr>
          <w:trHeight w:val="81"/>
        </w:trPr>
        <w:tc>
          <w:tcPr>
            <w:tcW w:w="2360" w:type="dxa"/>
            <w:vAlign w:val="bottom"/>
            <w:shd w:val="clear" w:color="auto" w:fill="E1D7AC"/>
          </w:tcPr>
          <w:p>
            <w:pPr>
              <w:spacing w:after="0"/>
              <w:rPr>
                <w:sz w:val="7"/>
                <w:szCs w:val="7"/>
                <w:color w:val="auto"/>
              </w:rPr>
            </w:pPr>
          </w:p>
        </w:tc>
        <w:tc>
          <w:tcPr>
            <w:tcW w:w="2720" w:type="dxa"/>
            <w:vAlign w:val="bottom"/>
            <w:shd w:val="clear" w:color="auto" w:fill="E1D7AC"/>
          </w:tcPr>
          <w:p>
            <w:pPr>
              <w:spacing w:after="0"/>
              <w:rPr>
                <w:sz w:val="7"/>
                <w:szCs w:val="7"/>
                <w:color w:val="auto"/>
              </w:rPr>
            </w:pPr>
          </w:p>
        </w:tc>
        <w:tc>
          <w:tcPr>
            <w:tcW w:w="2540" w:type="dxa"/>
            <w:vAlign w:val="bottom"/>
            <w:shd w:val="clear" w:color="auto" w:fill="E1D7AC"/>
          </w:tcPr>
          <w:p>
            <w:pPr>
              <w:spacing w:after="0"/>
              <w:rPr>
                <w:sz w:val="7"/>
                <w:szCs w:val="7"/>
                <w:color w:val="auto"/>
              </w:rPr>
            </w:pPr>
          </w:p>
        </w:tc>
        <w:tc>
          <w:tcPr>
            <w:tcW w:w="1840" w:type="dxa"/>
            <w:vAlign w:val="bottom"/>
            <w:shd w:val="clear" w:color="auto" w:fill="E1D7AC"/>
          </w:tcPr>
          <w:p>
            <w:pPr>
              <w:spacing w:after="0"/>
              <w:rPr>
                <w:sz w:val="7"/>
                <w:szCs w:val="7"/>
                <w:color w:val="auto"/>
              </w:rPr>
            </w:pPr>
          </w:p>
        </w:tc>
        <w:tc>
          <w:tcPr>
            <w:tcW w:w="1780" w:type="dxa"/>
            <w:vAlign w:val="bottom"/>
            <w:shd w:val="clear" w:color="auto" w:fill="E1D7AC"/>
          </w:tcPr>
          <w:p>
            <w:pPr>
              <w:spacing w:after="0"/>
              <w:rPr>
                <w:sz w:val="7"/>
                <w:szCs w:val="7"/>
                <w:color w:val="auto"/>
              </w:rPr>
            </w:pPr>
          </w:p>
        </w:tc>
      </w:tr>
      <w:tr>
        <w:trPr>
          <w:trHeight w:val="223"/>
        </w:trPr>
        <w:tc>
          <w:tcPr>
            <w:tcW w:w="23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Ken Hicks</w:t>
            </w:r>
          </w:p>
        </w:tc>
        <w:tc>
          <w:tcPr>
            <w:tcW w:w="2720" w:type="dxa"/>
            <w:vAlign w:val="bottom"/>
            <w:tcBorders>
              <w:bottom w:val="single" w:sz="8" w:color="DBDBDB"/>
            </w:tcBorders>
            <w:shd w:val="clear" w:color="auto" w:fill="DBDBDB"/>
          </w:tcPr>
          <w:p>
            <w:pPr>
              <w:jc w:val="right"/>
              <w:ind w:right="488"/>
              <w:spacing w:after="0"/>
              <w:rPr>
                <w:sz w:val="20"/>
                <w:szCs w:val="20"/>
                <w:color w:val="auto"/>
              </w:rPr>
            </w:pPr>
            <w:r>
              <w:rPr>
                <w:rFonts w:ascii="Arial" w:cs="Arial" w:eastAsia="Arial" w:hAnsi="Arial"/>
                <w:sz w:val="14"/>
                <w:szCs w:val="14"/>
                <w:color w:val="auto"/>
              </w:rPr>
              <w:t>287,472</w:t>
            </w:r>
          </w:p>
        </w:tc>
        <w:tc>
          <w:tcPr>
            <w:tcW w:w="2540" w:type="dxa"/>
            <w:vAlign w:val="bottom"/>
            <w:tcBorders>
              <w:bottom w:val="single" w:sz="8" w:color="DBDBDB"/>
            </w:tcBorders>
            <w:shd w:val="clear" w:color="auto" w:fill="DBDBDB"/>
          </w:tcPr>
          <w:p>
            <w:pPr>
              <w:jc w:val="right"/>
              <w:ind w:right="668"/>
              <w:spacing w:after="0"/>
              <w:rPr>
                <w:sz w:val="20"/>
                <w:szCs w:val="20"/>
                <w:color w:val="auto"/>
              </w:rPr>
            </w:pPr>
            <w:r>
              <w:rPr>
                <w:rFonts w:ascii="Arial" w:cs="Arial" w:eastAsia="Arial" w:hAnsi="Arial"/>
                <w:sz w:val="14"/>
                <w:szCs w:val="14"/>
                <w:color w:val="auto"/>
              </w:rPr>
              <w:t>3,349,049</w:t>
            </w:r>
          </w:p>
        </w:tc>
        <w:tc>
          <w:tcPr>
            <w:tcW w:w="1840" w:type="dxa"/>
            <w:vAlign w:val="bottom"/>
            <w:tcBorders>
              <w:bottom w:val="single" w:sz="8" w:color="DBDBDB"/>
            </w:tcBorders>
            <w:shd w:val="clear" w:color="auto" w:fill="DBDBDB"/>
          </w:tcPr>
          <w:p>
            <w:pPr>
              <w:jc w:val="right"/>
              <w:ind w:right="508"/>
              <w:spacing w:after="0"/>
              <w:rPr>
                <w:sz w:val="20"/>
                <w:szCs w:val="20"/>
                <w:color w:val="auto"/>
              </w:rPr>
            </w:pPr>
            <w:r>
              <w:rPr>
                <w:rFonts w:ascii="Arial" w:cs="Arial" w:eastAsia="Arial" w:hAnsi="Arial"/>
                <w:sz w:val="14"/>
                <w:szCs w:val="14"/>
                <w:color w:val="auto"/>
              </w:rPr>
              <w:t>61,133</w:t>
            </w:r>
          </w:p>
        </w:tc>
        <w:tc>
          <w:tcPr>
            <w:tcW w:w="17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1,649,980</w:t>
            </w:r>
          </w:p>
        </w:tc>
      </w:tr>
      <w:tr>
        <w:trPr>
          <w:trHeight w:val="214"/>
        </w:trPr>
        <w:tc>
          <w:tcPr>
            <w:tcW w:w="2360" w:type="dxa"/>
            <w:vAlign w:val="bottom"/>
          </w:tcPr>
          <w:p>
            <w:pPr>
              <w:ind w:left="100"/>
              <w:spacing w:after="0"/>
              <w:rPr>
                <w:sz w:val="20"/>
                <w:szCs w:val="20"/>
                <w:color w:val="auto"/>
              </w:rPr>
            </w:pPr>
            <w:r>
              <w:rPr>
                <w:rFonts w:ascii="Arial" w:cs="Arial" w:eastAsia="Arial" w:hAnsi="Arial"/>
                <w:sz w:val="14"/>
                <w:szCs w:val="14"/>
                <w:b w:val="1"/>
                <w:bCs w:val="1"/>
                <w:color w:val="auto"/>
              </w:rPr>
              <w:t>Michael P. Mullican</w:t>
            </w:r>
          </w:p>
        </w:tc>
        <w:tc>
          <w:tcPr>
            <w:tcW w:w="2720" w:type="dxa"/>
            <w:vAlign w:val="bottom"/>
          </w:tcPr>
          <w:p>
            <w:pPr>
              <w:jc w:val="right"/>
              <w:ind w:right="488"/>
              <w:spacing w:after="0"/>
              <w:rPr>
                <w:sz w:val="20"/>
                <w:szCs w:val="20"/>
                <w:color w:val="auto"/>
              </w:rPr>
            </w:pPr>
            <w:r>
              <w:rPr>
                <w:rFonts w:ascii="Arial" w:cs="Arial" w:eastAsia="Arial" w:hAnsi="Arial"/>
                <w:sz w:val="14"/>
                <w:szCs w:val="14"/>
                <w:color w:val="auto"/>
              </w:rPr>
              <w:t>56,843</w:t>
            </w:r>
          </w:p>
        </w:tc>
        <w:tc>
          <w:tcPr>
            <w:tcW w:w="2540" w:type="dxa"/>
            <w:vAlign w:val="bottom"/>
          </w:tcPr>
          <w:p>
            <w:pPr>
              <w:jc w:val="right"/>
              <w:ind w:right="668"/>
              <w:spacing w:after="0"/>
              <w:rPr>
                <w:sz w:val="20"/>
                <w:szCs w:val="20"/>
                <w:color w:val="auto"/>
              </w:rPr>
            </w:pPr>
            <w:r>
              <w:rPr>
                <w:rFonts w:ascii="Arial" w:cs="Arial" w:eastAsia="Arial" w:hAnsi="Arial"/>
                <w:sz w:val="14"/>
                <w:szCs w:val="14"/>
                <w:color w:val="auto"/>
              </w:rPr>
              <w:t>669,997</w:t>
            </w:r>
          </w:p>
        </w:tc>
        <w:tc>
          <w:tcPr>
            <w:tcW w:w="1840" w:type="dxa"/>
            <w:vAlign w:val="bottom"/>
          </w:tcPr>
          <w:p>
            <w:pPr>
              <w:jc w:val="right"/>
              <w:ind w:right="508"/>
              <w:spacing w:after="0"/>
              <w:rPr>
                <w:sz w:val="20"/>
                <w:szCs w:val="20"/>
                <w:color w:val="auto"/>
              </w:rPr>
            </w:pPr>
            <w:r>
              <w:rPr>
                <w:rFonts w:ascii="Arial" w:cs="Arial" w:eastAsia="Arial" w:hAnsi="Arial"/>
                <w:sz w:val="14"/>
                <w:szCs w:val="14"/>
                <w:color w:val="auto"/>
              </w:rPr>
              <w:t>12,226</w:t>
            </w: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329,980</w:t>
            </w:r>
          </w:p>
        </w:tc>
      </w:tr>
      <w:tr>
        <w:trPr>
          <w:trHeight w:val="29"/>
        </w:trPr>
        <w:tc>
          <w:tcPr>
            <w:tcW w:w="2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3"/>
        </w:trPr>
        <w:tc>
          <w:tcPr>
            <w:tcW w:w="23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Steve P. Lawrence</w:t>
            </w:r>
          </w:p>
        </w:tc>
        <w:tc>
          <w:tcPr>
            <w:tcW w:w="2720" w:type="dxa"/>
            <w:vAlign w:val="bottom"/>
            <w:tcBorders>
              <w:bottom w:val="single" w:sz="8" w:color="DBDBDB"/>
            </w:tcBorders>
            <w:shd w:val="clear" w:color="auto" w:fill="DBDBDB"/>
          </w:tcPr>
          <w:p>
            <w:pPr>
              <w:jc w:val="right"/>
              <w:ind w:right="488"/>
              <w:spacing w:after="0"/>
              <w:rPr>
                <w:sz w:val="20"/>
                <w:szCs w:val="20"/>
                <w:color w:val="auto"/>
              </w:rPr>
            </w:pPr>
            <w:r>
              <w:rPr>
                <w:rFonts w:ascii="Arial" w:cs="Arial" w:eastAsia="Arial" w:hAnsi="Arial"/>
                <w:sz w:val="14"/>
                <w:szCs w:val="14"/>
                <w:color w:val="auto"/>
              </w:rPr>
              <w:t>56,843</w:t>
            </w:r>
          </w:p>
        </w:tc>
        <w:tc>
          <w:tcPr>
            <w:tcW w:w="2540" w:type="dxa"/>
            <w:vAlign w:val="bottom"/>
            <w:tcBorders>
              <w:bottom w:val="single" w:sz="8" w:color="DBDBDB"/>
            </w:tcBorders>
            <w:shd w:val="clear" w:color="auto" w:fill="DBDBDB"/>
          </w:tcPr>
          <w:p>
            <w:pPr>
              <w:jc w:val="right"/>
              <w:ind w:right="668"/>
              <w:spacing w:after="0"/>
              <w:rPr>
                <w:sz w:val="20"/>
                <w:szCs w:val="20"/>
                <w:color w:val="auto"/>
              </w:rPr>
            </w:pPr>
            <w:r>
              <w:rPr>
                <w:rFonts w:ascii="Arial" w:cs="Arial" w:eastAsia="Arial" w:hAnsi="Arial"/>
                <w:sz w:val="14"/>
                <w:szCs w:val="14"/>
                <w:color w:val="auto"/>
              </w:rPr>
              <w:t>669,997</w:t>
            </w:r>
          </w:p>
        </w:tc>
        <w:tc>
          <w:tcPr>
            <w:tcW w:w="1840" w:type="dxa"/>
            <w:vAlign w:val="bottom"/>
            <w:tcBorders>
              <w:bottom w:val="single" w:sz="8" w:color="DBDBDB"/>
            </w:tcBorders>
            <w:shd w:val="clear" w:color="auto" w:fill="DBDBDB"/>
          </w:tcPr>
          <w:p>
            <w:pPr>
              <w:jc w:val="right"/>
              <w:ind w:right="508"/>
              <w:spacing w:after="0"/>
              <w:rPr>
                <w:sz w:val="20"/>
                <w:szCs w:val="20"/>
                <w:color w:val="auto"/>
              </w:rPr>
            </w:pPr>
            <w:r>
              <w:rPr>
                <w:rFonts w:ascii="Arial" w:cs="Arial" w:eastAsia="Arial" w:hAnsi="Arial"/>
                <w:sz w:val="14"/>
                <w:szCs w:val="14"/>
                <w:color w:val="auto"/>
              </w:rPr>
              <w:t>12,226</w:t>
            </w:r>
          </w:p>
        </w:tc>
        <w:tc>
          <w:tcPr>
            <w:tcW w:w="17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329,980</w:t>
            </w:r>
          </w:p>
        </w:tc>
      </w:tr>
      <w:tr>
        <w:trPr>
          <w:trHeight w:val="214"/>
        </w:trPr>
        <w:tc>
          <w:tcPr>
            <w:tcW w:w="2360" w:type="dxa"/>
            <w:vAlign w:val="bottom"/>
          </w:tcPr>
          <w:p>
            <w:pPr>
              <w:ind w:left="100"/>
              <w:spacing w:after="0"/>
              <w:rPr>
                <w:sz w:val="20"/>
                <w:szCs w:val="20"/>
                <w:color w:val="auto"/>
              </w:rPr>
            </w:pPr>
            <w:r>
              <w:rPr>
                <w:rFonts w:ascii="Arial" w:cs="Arial" w:eastAsia="Arial" w:hAnsi="Arial"/>
                <w:sz w:val="14"/>
                <w:szCs w:val="14"/>
                <w:b w:val="1"/>
                <w:bCs w:val="1"/>
                <w:color w:val="auto"/>
              </w:rPr>
              <w:t>Sam J. Johnson</w:t>
            </w:r>
          </w:p>
        </w:tc>
        <w:tc>
          <w:tcPr>
            <w:tcW w:w="2720" w:type="dxa"/>
            <w:vAlign w:val="bottom"/>
          </w:tcPr>
          <w:p>
            <w:pPr>
              <w:jc w:val="right"/>
              <w:ind w:right="488"/>
              <w:spacing w:after="0"/>
              <w:rPr>
                <w:sz w:val="20"/>
                <w:szCs w:val="20"/>
                <w:color w:val="auto"/>
              </w:rPr>
            </w:pPr>
            <w:r>
              <w:rPr>
                <w:rFonts w:ascii="Arial" w:cs="Arial" w:eastAsia="Arial" w:hAnsi="Arial"/>
                <w:sz w:val="14"/>
                <w:szCs w:val="14"/>
                <w:color w:val="auto"/>
              </w:rPr>
              <w:t>51,158</w:t>
            </w:r>
          </w:p>
        </w:tc>
        <w:tc>
          <w:tcPr>
            <w:tcW w:w="2540" w:type="dxa"/>
            <w:vAlign w:val="bottom"/>
          </w:tcPr>
          <w:p>
            <w:pPr>
              <w:jc w:val="right"/>
              <w:ind w:right="668"/>
              <w:spacing w:after="0"/>
              <w:rPr>
                <w:sz w:val="20"/>
                <w:szCs w:val="20"/>
                <w:color w:val="auto"/>
              </w:rPr>
            </w:pPr>
            <w:r>
              <w:rPr>
                <w:rFonts w:ascii="Arial" w:cs="Arial" w:eastAsia="Arial" w:hAnsi="Arial"/>
                <w:sz w:val="14"/>
                <w:szCs w:val="14"/>
                <w:color w:val="auto"/>
              </w:rPr>
              <w:t>602,989</w:t>
            </w:r>
          </w:p>
        </w:tc>
        <w:tc>
          <w:tcPr>
            <w:tcW w:w="1840" w:type="dxa"/>
            <w:vAlign w:val="bottom"/>
          </w:tcPr>
          <w:p>
            <w:pPr>
              <w:jc w:val="right"/>
              <w:ind w:right="508"/>
              <w:spacing w:after="0"/>
              <w:rPr>
                <w:sz w:val="20"/>
                <w:szCs w:val="20"/>
                <w:color w:val="auto"/>
              </w:rPr>
            </w:pPr>
            <w:r>
              <w:rPr>
                <w:rFonts w:ascii="Arial" w:cs="Arial" w:eastAsia="Arial" w:hAnsi="Arial"/>
                <w:sz w:val="14"/>
                <w:szCs w:val="14"/>
                <w:color w:val="auto"/>
              </w:rPr>
              <w:t>11,004</w:t>
            </w: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296,998</w:t>
            </w:r>
          </w:p>
        </w:tc>
      </w:tr>
      <w:tr>
        <w:trPr>
          <w:trHeight w:val="29"/>
        </w:trPr>
        <w:tc>
          <w:tcPr>
            <w:tcW w:w="2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14"/>
        </w:trPr>
        <w:tc>
          <w:tcPr>
            <w:tcW w:w="236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Manish Maini</w:t>
            </w:r>
          </w:p>
        </w:tc>
        <w:tc>
          <w:tcPr>
            <w:tcW w:w="2720" w:type="dxa"/>
            <w:vAlign w:val="bottom"/>
            <w:shd w:val="clear" w:color="auto" w:fill="DBDBDB"/>
          </w:tcPr>
          <w:p>
            <w:pPr>
              <w:jc w:val="right"/>
              <w:ind w:right="488"/>
              <w:spacing w:after="0"/>
              <w:rPr>
                <w:sz w:val="20"/>
                <w:szCs w:val="20"/>
                <w:color w:val="auto"/>
              </w:rPr>
            </w:pPr>
            <w:r>
              <w:rPr>
                <w:rFonts w:ascii="Arial" w:cs="Arial" w:eastAsia="Arial" w:hAnsi="Arial"/>
                <w:sz w:val="14"/>
                <w:szCs w:val="14"/>
                <w:color w:val="auto"/>
              </w:rPr>
              <w:t>34,105</w:t>
            </w:r>
          </w:p>
        </w:tc>
        <w:tc>
          <w:tcPr>
            <w:tcW w:w="2540" w:type="dxa"/>
            <w:vAlign w:val="bottom"/>
            <w:shd w:val="clear" w:color="auto" w:fill="DBDBDB"/>
          </w:tcPr>
          <w:p>
            <w:pPr>
              <w:jc w:val="right"/>
              <w:ind w:right="668"/>
              <w:spacing w:after="0"/>
              <w:rPr>
                <w:sz w:val="20"/>
                <w:szCs w:val="20"/>
                <w:color w:val="auto"/>
              </w:rPr>
            </w:pPr>
            <w:r>
              <w:rPr>
                <w:rFonts w:ascii="Arial" w:cs="Arial" w:eastAsia="Arial" w:hAnsi="Arial"/>
                <w:sz w:val="14"/>
                <w:szCs w:val="14"/>
                <w:color w:val="auto"/>
              </w:rPr>
              <w:t>401,989</w:t>
            </w:r>
          </w:p>
        </w:tc>
        <w:tc>
          <w:tcPr>
            <w:tcW w:w="1840" w:type="dxa"/>
            <w:vAlign w:val="bottom"/>
            <w:shd w:val="clear" w:color="auto" w:fill="DBDBDB"/>
          </w:tcPr>
          <w:p>
            <w:pPr>
              <w:jc w:val="right"/>
              <w:ind w:right="508"/>
              <w:spacing w:after="0"/>
              <w:rPr>
                <w:sz w:val="20"/>
                <w:szCs w:val="20"/>
                <w:color w:val="auto"/>
              </w:rPr>
            </w:pPr>
            <w:r>
              <w:rPr>
                <w:rFonts w:ascii="Arial" w:cs="Arial" w:eastAsia="Arial" w:hAnsi="Arial"/>
                <w:sz w:val="14"/>
                <w:szCs w:val="14"/>
                <w:color w:val="auto"/>
              </w:rPr>
              <w:t>7,336</w:t>
            </w:r>
          </w:p>
        </w:tc>
        <w:tc>
          <w:tcPr>
            <w:tcW w:w="178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197,999</w:t>
            </w:r>
          </w:p>
        </w:tc>
      </w:tr>
      <w:tr>
        <w:trPr>
          <w:trHeight w:val="29"/>
        </w:trPr>
        <w:tc>
          <w:tcPr>
            <w:tcW w:w="2360" w:type="dxa"/>
            <w:vAlign w:val="bottom"/>
            <w:shd w:val="clear" w:color="auto" w:fill="DBDBDB"/>
          </w:tcPr>
          <w:p>
            <w:pPr>
              <w:spacing w:after="0"/>
              <w:rPr>
                <w:sz w:val="2"/>
                <w:szCs w:val="2"/>
                <w:color w:val="auto"/>
              </w:rPr>
            </w:pPr>
          </w:p>
        </w:tc>
        <w:tc>
          <w:tcPr>
            <w:tcW w:w="2720" w:type="dxa"/>
            <w:vAlign w:val="bottom"/>
            <w:shd w:val="clear" w:color="auto" w:fill="DBDBDB"/>
          </w:tcPr>
          <w:p>
            <w:pPr>
              <w:spacing w:after="0"/>
              <w:rPr>
                <w:sz w:val="2"/>
                <w:szCs w:val="2"/>
                <w:color w:val="auto"/>
              </w:rPr>
            </w:pPr>
          </w:p>
        </w:tc>
        <w:tc>
          <w:tcPr>
            <w:tcW w:w="2540" w:type="dxa"/>
            <w:vAlign w:val="bottom"/>
            <w:shd w:val="clear" w:color="auto" w:fill="DBDBDB"/>
          </w:tcPr>
          <w:p>
            <w:pPr>
              <w:spacing w:after="0"/>
              <w:rPr>
                <w:sz w:val="2"/>
                <w:szCs w:val="2"/>
                <w:color w:val="auto"/>
              </w:rPr>
            </w:pPr>
          </w:p>
        </w:tc>
        <w:tc>
          <w:tcPr>
            <w:tcW w:w="1840" w:type="dxa"/>
            <w:vAlign w:val="bottom"/>
            <w:shd w:val="clear" w:color="auto" w:fill="DBDBDB"/>
          </w:tcPr>
          <w:p>
            <w:pPr>
              <w:spacing w:after="0"/>
              <w:rPr>
                <w:sz w:val="2"/>
                <w:szCs w:val="2"/>
                <w:color w:val="auto"/>
              </w:rPr>
            </w:pPr>
          </w:p>
        </w:tc>
        <w:tc>
          <w:tcPr>
            <w:tcW w:w="1780" w:type="dxa"/>
            <w:vAlign w:val="bottom"/>
            <w:shd w:val="clear" w:color="auto" w:fill="DBDBDB"/>
          </w:tcPr>
          <w:p>
            <w:pPr>
              <w:spacing w:after="0"/>
              <w:rPr>
                <w:sz w:val="2"/>
                <w:szCs w:val="2"/>
                <w:color w:val="auto"/>
              </w:rPr>
            </w:pPr>
          </w:p>
        </w:tc>
      </w:tr>
    </w:tbl>
    <w:p>
      <w:pPr>
        <w:spacing w:after="0" w:line="29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 2021, approximately 67% of our March annual equity incentive award grants were delivered in the form of Options. The Committee believes that Options, which are granted with exercise prices at least equal to the fair market value of our shares on the date of grant, are performance-based in nature and provide an appropriate long-term incentive for our executive officers, since the Options reward them only to the extent the price of our shares increases and stockholders realize value following the grant date. Options generally vest over a four-year service period. For Mr. Hicks, per the terms of his negotiated employment agreement, 1/48th of the Options become vested and exercisable on each monthly anniversary of the grant date, generally subject to his continued service through the applicable vesting date. For the other NEOs, 25% of the Options become vested and exercisable on each anniversary of the grant date, generally subject to the grantee’s continued service through the applicable vesting date.</w:t>
      </w:r>
    </w:p>
    <w:p>
      <w:pPr>
        <w:spacing w:after="0" w:line="174"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Approximately 33% of our March annual equity incentive award grants were delivered in the form of performance-based RSUs. The Committee believes that RSUs help us to retain our executive officers and reward them for long-term stock price appreciation while at the same time providing greater transparency and predictability to our executive officers regarding the ultimate value of their compensation opportunities. Performance-based RSUs are structured so that only “Earned RSUs” are eligible to vest over a 4-year service-based vesting schedule. RSUs become “Earned RSUs” based on (i) the Company’s level of achievement against a consolidated Adjusted EBIT target for the fiscal year in which the grant date occurs (such period, the “RSU Grant Year”), or (ii) the Company’s later achievement of a specified target share price. If the Company’s actual consolidated Adjusted EBIT for the RSU Grant Year is: (i) equal to or greater than the “high performance target,” then 100% of the RSUs will be Earned RSUs; (ii) less than the “high performance target” but equal to or greater than the “low performance target,” then a specified percentage (based on a linear performance scale) of the RSUs will be Earned RSUs; or (iii) less than the “low performance target,” then none of the RSUs will become Earned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857250" cy="20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On March 2, 2022, the Committee determined that the Company’s actual consolidated Adjusted EBIT for 2021 was $969 million. This exceeded the high performance target of $394 million, and accordingly 100% of the RSUs became Earned RSUs. Such Earned RSUs remain subject to service-based vesting conditions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Performance-based Vesting</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2021 Grant:</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Performance-Based RSUs</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Service-based Vesting</w:t>
      </w:r>
    </w:p>
    <w:p>
      <w:pPr>
        <w:spacing w:after="0" w:line="31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CEO</w:t>
      </w:r>
    </w:p>
    <w:p>
      <w:pPr>
        <w:spacing w:after="0" w:line="37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Other NEOs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tabs>
          <w:tab w:leader="none" w:pos="5380" w:val="left"/>
          <w:tab w:leader="none" w:pos="7220" w:val="left"/>
        </w:tabs>
        <w:rPr>
          <w:sz w:val="20"/>
          <w:szCs w:val="20"/>
          <w:color w:val="auto"/>
        </w:rPr>
      </w:pPr>
      <w:r>
        <w:rPr>
          <w:rFonts w:ascii="Arial" w:cs="Arial" w:eastAsia="Arial" w:hAnsi="Arial"/>
          <w:sz w:val="14"/>
          <w:szCs w:val="14"/>
          <w:b w:val="1"/>
          <w:bCs w:val="1"/>
          <w:color w:val="auto"/>
        </w:rPr>
        <w:t>Metric</w:t>
      </w:r>
      <w:r>
        <w:rPr>
          <w:sz w:val="20"/>
          <w:szCs w:val="20"/>
          <w:color w:val="auto"/>
        </w:rPr>
        <w:tab/>
      </w:r>
      <w:r>
        <w:rPr>
          <w:rFonts w:ascii="Arial" w:cs="Arial" w:eastAsia="Arial" w:hAnsi="Arial"/>
          <w:sz w:val="14"/>
          <w:szCs w:val="14"/>
          <w:b w:val="1"/>
          <w:bCs w:val="1"/>
          <w:color w:val="auto"/>
        </w:rPr>
        <w:t>Achievement</w:t>
      </w:r>
      <w:r>
        <w:rPr>
          <w:sz w:val="20"/>
          <w:szCs w:val="20"/>
          <w:color w:val="auto"/>
        </w:rPr>
        <w:tab/>
      </w:r>
      <w:r>
        <w:rPr>
          <w:rFonts w:ascii="Arial" w:cs="Arial" w:eastAsia="Arial" w:hAnsi="Arial"/>
          <w:sz w:val="14"/>
          <w:szCs w:val="14"/>
          <w:b w:val="1"/>
          <w:bCs w:val="1"/>
          <w:color w:val="auto"/>
        </w:rPr>
        <w:t>Outcome</w:t>
      </w:r>
    </w:p>
    <w:p>
      <w:pPr>
        <w:spacing w:after="0" w:line="177" w:lineRule="exact"/>
        <w:rPr>
          <w:sz w:val="20"/>
          <w:szCs w:val="20"/>
          <w:color w:val="auto"/>
        </w:rPr>
      </w:pPr>
    </w:p>
    <w:p>
      <w:pPr>
        <w:spacing w:after="0"/>
        <w:tabs>
          <w:tab w:leader="none" w:pos="5440" w:val="left"/>
          <w:tab w:leader="none" w:pos="6800" w:val="left"/>
        </w:tabs>
        <w:rPr>
          <w:sz w:val="20"/>
          <w:szCs w:val="20"/>
          <w:color w:val="auto"/>
        </w:rPr>
      </w:pPr>
      <w:r>
        <w:rPr>
          <w:rFonts w:ascii="Arial" w:cs="Arial" w:eastAsia="Arial" w:hAnsi="Arial"/>
          <w:sz w:val="14"/>
          <w:szCs w:val="14"/>
          <w:color w:val="auto"/>
        </w:rPr>
        <w:t>Achieve 2021 Adjusted EBIT target of $394 million</w:t>
      </w:r>
      <w:r>
        <w:rPr>
          <w:sz w:val="20"/>
          <w:szCs w:val="20"/>
          <w:color w:val="auto"/>
        </w:rPr>
        <w:tab/>
      </w:r>
      <w:r>
        <w:rPr>
          <w:rFonts w:ascii="Arial" w:cs="Arial" w:eastAsia="Arial" w:hAnsi="Arial"/>
          <w:sz w:val="14"/>
          <w:szCs w:val="14"/>
          <w:color w:val="auto"/>
        </w:rPr>
        <w:t>$969 million</w:t>
      </w:r>
      <w:r>
        <w:rPr>
          <w:sz w:val="20"/>
          <w:szCs w:val="20"/>
          <w:color w:val="auto"/>
        </w:rPr>
        <w:tab/>
      </w:r>
      <w:r>
        <w:rPr>
          <w:rFonts w:ascii="Arial" w:cs="Arial" w:eastAsia="Arial" w:hAnsi="Arial"/>
          <w:sz w:val="14"/>
          <w:szCs w:val="14"/>
          <w:color w:val="auto"/>
        </w:rPr>
        <w:t>100% of Grant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100965</wp:posOffset>
            </wp:positionV>
            <wp:extent cx="7132320" cy="6000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spacing w:after="0" w:line="386" w:lineRule="exact"/>
        <w:rPr>
          <w:sz w:val="20"/>
          <w:szCs w:val="20"/>
          <w:color w:val="auto"/>
        </w:rPr>
      </w:pPr>
    </w:p>
    <w:p>
      <w:pPr>
        <w:ind w:right="320"/>
        <w:spacing w:after="0" w:line="256" w:lineRule="auto"/>
        <w:rPr>
          <w:sz w:val="20"/>
          <w:szCs w:val="20"/>
          <w:color w:val="auto"/>
        </w:rPr>
      </w:pPr>
      <w:r>
        <w:rPr>
          <w:rFonts w:ascii="Arial" w:cs="Arial" w:eastAsia="Arial" w:hAnsi="Arial"/>
          <w:sz w:val="14"/>
          <w:szCs w:val="14"/>
          <w:color w:val="auto"/>
        </w:rPr>
        <w:t>Upon the Committee’s certification of attainment of the performance goal, 1/48th of the total number of Earned RSUs is deemed vested for each monthly anniversary from the start of the 2021 fiscal year with the remainder continuing to vest in monthly installments thereafter per the terms of Mr. Hicks’ negotiated employment agreement. Earned RSUs are fully vested by the 4th anniversary of the start of the 2021 fiscal year.</w:t>
      </w:r>
    </w:p>
    <w:p>
      <w:pPr>
        <w:spacing w:after="0" w:line="15" w:lineRule="exact"/>
        <w:rPr>
          <w:sz w:val="20"/>
          <w:szCs w:val="20"/>
          <w:color w:val="auto"/>
        </w:rPr>
      </w:pPr>
    </w:p>
    <w:p>
      <w:pPr>
        <w:ind w:right="260"/>
        <w:spacing w:after="0" w:line="285" w:lineRule="auto"/>
        <w:rPr>
          <w:sz w:val="20"/>
          <w:szCs w:val="20"/>
          <w:color w:val="auto"/>
        </w:rPr>
      </w:pPr>
      <w:r>
        <w:rPr>
          <w:rFonts w:ascii="Arial" w:cs="Arial" w:eastAsia="Arial" w:hAnsi="Arial"/>
          <w:sz w:val="14"/>
          <w:szCs w:val="14"/>
          <w:color w:val="auto"/>
        </w:rPr>
        <w:t>Upon the Committee’s certification of attainment of the performance goal, 25% of the Earned RSUs vest immediately. Thereafter, 25% of the Earned RSUs vest on each of the 2nd, 3rd, and 4th anniversaries of the start of the 2021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-5080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720"/>
            <w:col w:w="8440"/>
          </w:cols>
          <w:pgMar w:left="320" w:top="122" w:right="339"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2021 Special Equity Awards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On September 7, 2021, the Board, upon the recommendation of the Committee, approved special service-based vesting RSU awards under the Company’s 2020 Omnibus Incentive Plan for certain key employees, including Messrs. Lawrence, Mullican, Johnson, and Maini. The Board and Committee believed that the strategic leadership of these key employees has been a key driver of the Company’s success to date, and that these special RSU awards, in combination with the other elements of their compensation including the compensation changes described earlier in the “Base Salary” and “2021 Executive Team Bonus Plan” sections, provide a market-competitive package designed to reward each NEO’s strong performance, provide an incentive to drive results, increase alignment with stockholders, and retain the NEO’s services to help drive the Company’s long-term growth. These special RSU awards also reflect the Board’s and the Committee’s desire to increase the proportion of unvested equity awards held by Messrs. Lawrence, Mullican, Johnson and Maini, particularly in light of the Company’s May 2021 secondary offering that resulted in a change of control event under the Company’s 2011 Unit Incentive Plan which caused all equity awards granted under that plan to vest in full. These RSU awards have been designed to encourage retention and will vest in 50% increments on the second and third anniversaries of the grant date, generally subject to the NEO’s continued employment through the applicable vesting date: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4"/>
                <w:szCs w:val="14"/>
                <w:b w:val="1"/>
                <w:bCs w:val="1"/>
                <w:color w:val="auto"/>
              </w:rPr>
              <w:t>Name</w:t>
            </w:r>
          </w:p>
        </w:tc>
        <w:tc>
          <w:tcPr>
            <w:tcW w:w="4980" w:type="dxa"/>
            <w:vAlign w:val="bottom"/>
            <w:tcBorders>
              <w:bottom w:val="single" w:sz="8" w:color="E1D7AC"/>
            </w:tcBorders>
            <w:shd w:val="clear" w:color="auto" w:fill="E1D7AC"/>
          </w:tcPr>
          <w:p>
            <w:pPr>
              <w:jc w:val="right"/>
              <w:ind w:right="1368"/>
              <w:spacing w:after="0"/>
              <w:rPr>
                <w:sz w:val="20"/>
                <w:szCs w:val="20"/>
                <w:color w:val="auto"/>
              </w:rPr>
            </w:pPr>
            <w:r>
              <w:rPr>
                <w:rFonts w:ascii="Arial" w:cs="Arial" w:eastAsia="Arial" w:hAnsi="Arial"/>
                <w:sz w:val="14"/>
                <w:szCs w:val="14"/>
                <w:b w:val="1"/>
                <w:bCs w:val="1"/>
                <w:color w:val="auto"/>
              </w:rPr>
              <w:t># of RSUs Awarded</w:t>
            </w:r>
            <w:r>
              <w:rPr>
                <w:rFonts w:ascii="Arial" w:cs="Arial" w:eastAsia="Arial" w:hAnsi="Arial"/>
                <w:sz w:val="9"/>
                <w:szCs w:val="9"/>
                <w:b w:val="1"/>
                <w:bCs w:val="1"/>
                <w:color w:val="auto"/>
              </w:rPr>
              <w:t>(1)</w:t>
            </w:r>
          </w:p>
        </w:tc>
        <w:tc>
          <w:tcPr>
            <w:tcW w:w="2660" w:type="dxa"/>
            <w:vAlign w:val="bottom"/>
            <w:tcBorders>
              <w:bottom w:val="single" w:sz="8" w:color="E1D7AC"/>
            </w:tcBorders>
            <w:shd w:val="clear" w:color="auto" w:fill="E1D7AC"/>
          </w:tcPr>
          <w:p>
            <w:pPr>
              <w:jc w:val="right"/>
              <w:ind w:right="48"/>
              <w:spacing w:after="0"/>
              <w:rPr>
                <w:sz w:val="20"/>
                <w:szCs w:val="20"/>
                <w:color w:val="auto"/>
              </w:rPr>
            </w:pPr>
            <w:r>
              <w:rPr>
                <w:rFonts w:ascii="Arial" w:cs="Arial" w:eastAsia="Arial" w:hAnsi="Arial"/>
                <w:sz w:val="14"/>
                <w:szCs w:val="14"/>
                <w:b w:val="1"/>
                <w:bCs w:val="1"/>
                <w:color w:val="auto"/>
              </w:rPr>
              <w:t>$ Value of RSUs</w:t>
            </w:r>
          </w:p>
        </w:tc>
      </w:tr>
      <w:tr>
        <w:trPr>
          <w:trHeight w:val="214"/>
        </w:trPr>
        <w:tc>
          <w:tcPr>
            <w:tcW w:w="3480" w:type="dxa"/>
            <w:vAlign w:val="bottom"/>
          </w:tcPr>
          <w:p>
            <w:pPr>
              <w:ind w:left="100"/>
              <w:spacing w:after="0"/>
              <w:rPr>
                <w:sz w:val="20"/>
                <w:szCs w:val="20"/>
                <w:color w:val="auto"/>
              </w:rPr>
            </w:pPr>
            <w:r>
              <w:rPr>
                <w:rFonts w:ascii="Arial" w:cs="Arial" w:eastAsia="Arial" w:hAnsi="Arial"/>
                <w:sz w:val="14"/>
                <w:szCs w:val="14"/>
                <w:b w:val="1"/>
                <w:bCs w:val="1"/>
                <w:color w:val="auto"/>
              </w:rPr>
              <w:t>Michael P. Mullican</w:t>
            </w:r>
          </w:p>
        </w:tc>
        <w:tc>
          <w:tcPr>
            <w:tcW w:w="4980" w:type="dxa"/>
            <w:vAlign w:val="bottom"/>
          </w:tcPr>
          <w:p>
            <w:pPr>
              <w:jc w:val="right"/>
              <w:ind w:right="1368"/>
              <w:spacing w:after="0"/>
              <w:rPr>
                <w:sz w:val="20"/>
                <w:szCs w:val="20"/>
                <w:color w:val="auto"/>
              </w:rPr>
            </w:pPr>
            <w:r>
              <w:rPr>
                <w:rFonts w:ascii="Arial" w:cs="Arial" w:eastAsia="Arial" w:hAnsi="Arial"/>
                <w:sz w:val="14"/>
                <w:szCs w:val="14"/>
                <w:color w:val="auto"/>
              </w:rPr>
              <w:t>21,862</w:t>
            </w:r>
          </w:p>
        </w:tc>
        <w:tc>
          <w:tcPr>
            <w:tcW w:w="2660" w:type="dxa"/>
            <w:vAlign w:val="bottom"/>
          </w:tcPr>
          <w:p>
            <w:pPr>
              <w:jc w:val="right"/>
              <w:ind w:right="48"/>
              <w:spacing w:after="0"/>
              <w:rPr>
                <w:sz w:val="20"/>
                <w:szCs w:val="20"/>
                <w:color w:val="auto"/>
              </w:rPr>
            </w:pPr>
            <w:r>
              <w:rPr>
                <w:rFonts w:ascii="Arial" w:cs="Arial" w:eastAsia="Arial" w:hAnsi="Arial"/>
                <w:sz w:val="14"/>
                <w:szCs w:val="14"/>
                <w:color w:val="auto"/>
              </w:rPr>
              <w:t>999,968</w:t>
            </w:r>
          </w:p>
        </w:tc>
      </w:tr>
      <w:tr>
        <w:trPr>
          <w:trHeight w:val="29"/>
        </w:trPr>
        <w:tc>
          <w:tcPr>
            <w:tcW w:w="3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23"/>
        </w:trPr>
        <w:tc>
          <w:tcPr>
            <w:tcW w:w="348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Steve P. Lawrence</w:t>
            </w:r>
          </w:p>
        </w:tc>
        <w:tc>
          <w:tcPr>
            <w:tcW w:w="4980" w:type="dxa"/>
            <w:vAlign w:val="bottom"/>
            <w:tcBorders>
              <w:bottom w:val="single" w:sz="8" w:color="DBDBDB"/>
            </w:tcBorders>
            <w:shd w:val="clear" w:color="auto" w:fill="DBDBDB"/>
          </w:tcPr>
          <w:p>
            <w:pPr>
              <w:jc w:val="right"/>
              <w:ind w:right="1368"/>
              <w:spacing w:after="0"/>
              <w:rPr>
                <w:sz w:val="20"/>
                <w:szCs w:val="20"/>
                <w:color w:val="auto"/>
              </w:rPr>
            </w:pPr>
            <w:r>
              <w:rPr>
                <w:rFonts w:ascii="Arial" w:cs="Arial" w:eastAsia="Arial" w:hAnsi="Arial"/>
                <w:sz w:val="14"/>
                <w:szCs w:val="14"/>
                <w:color w:val="auto"/>
              </w:rPr>
              <w:t>21,862</w:t>
            </w:r>
          </w:p>
        </w:tc>
        <w:tc>
          <w:tcPr>
            <w:tcW w:w="26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999,968</w:t>
            </w:r>
          </w:p>
        </w:tc>
      </w:tr>
      <w:tr>
        <w:trPr>
          <w:trHeight w:val="214"/>
        </w:trPr>
        <w:tc>
          <w:tcPr>
            <w:tcW w:w="3480" w:type="dxa"/>
            <w:vAlign w:val="bottom"/>
          </w:tcPr>
          <w:p>
            <w:pPr>
              <w:ind w:left="100"/>
              <w:spacing w:after="0"/>
              <w:rPr>
                <w:sz w:val="20"/>
                <w:szCs w:val="20"/>
                <w:color w:val="auto"/>
              </w:rPr>
            </w:pPr>
            <w:r>
              <w:rPr>
                <w:rFonts w:ascii="Arial" w:cs="Arial" w:eastAsia="Arial" w:hAnsi="Arial"/>
                <w:sz w:val="14"/>
                <w:szCs w:val="14"/>
                <w:b w:val="1"/>
                <w:bCs w:val="1"/>
                <w:color w:val="auto"/>
              </w:rPr>
              <w:t>Sam J. Johnson</w:t>
            </w:r>
          </w:p>
        </w:tc>
        <w:tc>
          <w:tcPr>
            <w:tcW w:w="4980" w:type="dxa"/>
            <w:vAlign w:val="bottom"/>
          </w:tcPr>
          <w:p>
            <w:pPr>
              <w:jc w:val="right"/>
              <w:ind w:right="1368"/>
              <w:spacing w:after="0"/>
              <w:rPr>
                <w:sz w:val="20"/>
                <w:szCs w:val="20"/>
                <w:color w:val="auto"/>
              </w:rPr>
            </w:pPr>
            <w:r>
              <w:rPr>
                <w:rFonts w:ascii="Arial" w:cs="Arial" w:eastAsia="Arial" w:hAnsi="Arial"/>
                <w:sz w:val="14"/>
                <w:szCs w:val="14"/>
                <w:color w:val="auto"/>
              </w:rPr>
              <w:t>21,862</w:t>
            </w:r>
          </w:p>
        </w:tc>
        <w:tc>
          <w:tcPr>
            <w:tcW w:w="2660" w:type="dxa"/>
            <w:vAlign w:val="bottom"/>
          </w:tcPr>
          <w:p>
            <w:pPr>
              <w:jc w:val="right"/>
              <w:ind w:right="48"/>
              <w:spacing w:after="0"/>
              <w:rPr>
                <w:sz w:val="20"/>
                <w:szCs w:val="20"/>
                <w:color w:val="auto"/>
              </w:rPr>
            </w:pPr>
            <w:r>
              <w:rPr>
                <w:rFonts w:ascii="Arial" w:cs="Arial" w:eastAsia="Arial" w:hAnsi="Arial"/>
                <w:sz w:val="14"/>
                <w:szCs w:val="14"/>
                <w:color w:val="auto"/>
              </w:rPr>
              <w:t>999,968</w:t>
            </w:r>
          </w:p>
        </w:tc>
      </w:tr>
      <w:tr>
        <w:trPr>
          <w:trHeight w:val="29"/>
        </w:trPr>
        <w:tc>
          <w:tcPr>
            <w:tcW w:w="3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14"/>
        </w:trPr>
        <w:tc>
          <w:tcPr>
            <w:tcW w:w="348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Manish Maini</w:t>
            </w:r>
          </w:p>
        </w:tc>
        <w:tc>
          <w:tcPr>
            <w:tcW w:w="4980" w:type="dxa"/>
            <w:vAlign w:val="bottom"/>
            <w:shd w:val="clear" w:color="auto" w:fill="DBDBDB"/>
          </w:tcPr>
          <w:p>
            <w:pPr>
              <w:jc w:val="right"/>
              <w:ind w:right="1368"/>
              <w:spacing w:after="0"/>
              <w:rPr>
                <w:sz w:val="20"/>
                <w:szCs w:val="20"/>
                <w:color w:val="auto"/>
              </w:rPr>
            </w:pPr>
            <w:r>
              <w:rPr>
                <w:rFonts w:ascii="Arial" w:cs="Arial" w:eastAsia="Arial" w:hAnsi="Arial"/>
                <w:sz w:val="14"/>
                <w:szCs w:val="14"/>
                <w:color w:val="auto"/>
              </w:rPr>
              <w:t>16,397</w:t>
            </w:r>
          </w:p>
        </w:tc>
        <w:tc>
          <w:tcPr>
            <w:tcW w:w="26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749,999</w:t>
            </w:r>
          </w:p>
        </w:tc>
      </w:tr>
      <w:tr>
        <w:trPr>
          <w:trHeight w:val="29"/>
        </w:trPr>
        <w:tc>
          <w:tcPr>
            <w:tcW w:w="3480" w:type="dxa"/>
            <w:vAlign w:val="bottom"/>
            <w:shd w:val="clear" w:color="auto" w:fill="DBDBDB"/>
          </w:tcPr>
          <w:p>
            <w:pPr>
              <w:spacing w:after="0"/>
              <w:rPr>
                <w:sz w:val="2"/>
                <w:szCs w:val="2"/>
                <w:color w:val="auto"/>
              </w:rPr>
            </w:pPr>
          </w:p>
        </w:tc>
        <w:tc>
          <w:tcPr>
            <w:tcW w:w="4980" w:type="dxa"/>
            <w:vAlign w:val="bottom"/>
            <w:shd w:val="clear" w:color="auto" w:fill="DBDBDB"/>
          </w:tcPr>
          <w:p>
            <w:pPr>
              <w:spacing w:after="0"/>
              <w:rPr>
                <w:sz w:val="2"/>
                <w:szCs w:val="2"/>
                <w:color w:val="auto"/>
              </w:rPr>
            </w:pPr>
          </w:p>
        </w:tc>
        <w:tc>
          <w:tcPr>
            <w:tcW w:w="2660" w:type="dxa"/>
            <w:vAlign w:val="bottom"/>
            <w:shd w:val="clear" w:color="auto" w:fill="DBDBDB"/>
          </w:tcPr>
          <w:p>
            <w:pPr>
              <w:spacing w:after="0"/>
              <w:rPr>
                <w:sz w:val="2"/>
                <w:szCs w:val="2"/>
                <w:color w:val="auto"/>
              </w:rPr>
            </w:pPr>
          </w:p>
        </w:tc>
      </w:tr>
    </w:tbl>
    <w:p>
      <w:pPr>
        <w:spacing w:after="0" w:line="198"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Determined by dividing the grant value by $45.74, which was the closing price on the date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970915</wp:posOffset>
            </wp:positionV>
            <wp:extent cx="857250" cy="2057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3"/>
          <w:szCs w:val="13"/>
          <w:b w:val="1"/>
          <w:bCs w:val="1"/>
          <w:color w:val="007EC4"/>
        </w:rPr>
        <w:t xml:space="preserve">44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Other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General Benefits</w:t>
      </w:r>
    </w:p>
    <w:p>
      <w:pPr>
        <w:spacing w:after="0" w:line="68"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Our NEOs participate in the Company’s general benefit plans on the same terms as other team members. These plans include medical, dental and vision benefits, short-term disability, long-term disability, an Employee Stock Purchase Plan, a 401(k) Plan and a 20% employee discount on merchandise purchased in the Company’s stores or through our website.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Perquisites and Other Benefits</w:t>
      </w:r>
    </w:p>
    <w:p>
      <w:pPr>
        <w:spacing w:after="0" w:line="81"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The perquisites and other personal benefits described below are provided to the applicable NEOs to eliminate potential distractions from performing their regular job duties and to promote productivity, health and well-being. We believe the cost of these programs is counterbalanced by an increase in productivity by the NEOs receiving access to them. All of the perquisites and personal benefits described below have been approved by the Committee.</w:t>
      </w:r>
    </w:p>
    <w:p>
      <w:pPr>
        <w:spacing w:after="0" w:line="18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In order to maintain competitiveness in the market as well as to maintain continuity of leadership by encouraging physical and financial well-being, the Committee approved reimbursement for annual physicals up to $2,000, with a tax gross-up for Mr. Hicks. The Company also provides each NEO with up to $5,000 in reimbursements for financial planning services.</w:t>
      </w:r>
    </w:p>
    <w:p>
      <w:pPr>
        <w:spacing w:after="0" w:line="16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Pursuant to the terms of his employment agreement, during Mr. Hicks’ employment: (i) the Company will pay directly or reimburse him for reasonable monthly rent and utilities costs for a rental apartment in the Katy, Texas area, (ii) he will have use of a Company-owned vehicle when in Katy, Texas and have the Company pay all maintenance and insurance costs with respect to such vehicle, and (iii) the Company will pay directly or reimburse him on a monthly basis for reasonable and necessary expenses incurred in connection with periodic travel from work in Katy, Texas to his residence in California. In addition, he is entitled to receive from the Company on a monthly basis an additional payment in an amount sufficient to indemnify him on a net after-tax basis for any income tax associated with the provision of any of the perquisites described above.</w:t>
      </w:r>
    </w:p>
    <w:p>
      <w:pPr>
        <w:spacing w:after="0" w:line="176"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Company partners with various athletic organizations for business purposes and these organizations may include tickets to their events as part of our partnership with them. NEOs and team members may have the opportunity to use these tickets for personal use, only if they are not already being used for business purposes. There is no incremental cost to the Company for providing these individual tickets to team members and so there is no amount to disclose on the Summary Compensation Table.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How We Set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Role of the Committee</w:t>
      </w:r>
    </w:p>
    <w:p>
      <w:pPr>
        <w:spacing w:after="0" w:line="8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Committee is comprised solely of independent non-employee directors. The Committee’s primary responsibilities are to determine the compensation of our Chief Executive Officer and other executive officers, evaluate our Chief Executive Officer’s performance, and administer our executive officer compensation and benefit programs. The Committee’s charter is described earlier in this Proxy Statement and available in the corporate governance section of our investor relations website at investors.academy.com.</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When selecting and setting the amount of each compensation element, the Committee generally considers the following factors:</w:t>
      </w:r>
    </w:p>
    <w:p>
      <w:pPr>
        <w:spacing w:after="0" w:line="235" w:lineRule="exact"/>
        <w:rPr>
          <w:sz w:val="20"/>
          <w:szCs w:val="20"/>
          <w:color w:val="auto"/>
        </w:rPr>
      </w:pPr>
    </w:p>
    <w:p>
      <w:pPr>
        <w:ind w:left="460" w:hanging="209"/>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performance against the financial and operational objectives established by the Committee;</w:t>
      </w:r>
    </w:p>
    <w:p>
      <w:pPr>
        <w:spacing w:after="0" w:line="113" w:lineRule="exact"/>
        <w:rPr>
          <w:rFonts w:ascii="Arial" w:cs="Arial" w:eastAsia="Arial" w:hAnsi="Arial"/>
          <w:sz w:val="16"/>
          <w:szCs w:val="16"/>
          <w:color w:val="auto"/>
        </w:rPr>
      </w:pPr>
    </w:p>
    <w:p>
      <w:pPr>
        <w:ind w:left="500" w:right="320" w:hanging="249"/>
        <w:spacing w:after="0" w:line="286" w:lineRule="auto"/>
        <w:tabs>
          <w:tab w:leader="none" w:pos="4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each individual executive officer’s skills, experience, and qualifications relative to other similarly-situated executive officers at the companies in our compensation peer group;</w:t>
      </w:r>
    </w:p>
    <w:p>
      <w:pPr>
        <w:spacing w:after="0" w:line="61" w:lineRule="exact"/>
        <w:rPr>
          <w:rFonts w:ascii="Arial" w:cs="Arial" w:eastAsia="Arial" w:hAnsi="Arial"/>
          <w:sz w:val="16"/>
          <w:szCs w:val="16"/>
          <w:color w:val="auto"/>
        </w:rPr>
      </w:pPr>
    </w:p>
    <w:p>
      <w:pPr>
        <w:ind w:left="460" w:hanging="209"/>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scope of each executive officer’s role compared to other similarly-situated executive officers at the companies in our compensation peer group;</w:t>
      </w:r>
    </w:p>
    <w:p>
      <w:pPr>
        <w:spacing w:after="0" w:line="113" w:lineRule="exact"/>
        <w:rPr>
          <w:rFonts w:ascii="Arial" w:cs="Arial" w:eastAsia="Arial" w:hAnsi="Arial"/>
          <w:sz w:val="16"/>
          <w:szCs w:val="16"/>
          <w:color w:val="auto"/>
        </w:rPr>
      </w:pPr>
    </w:p>
    <w:p>
      <w:pPr>
        <w:ind w:left="500" w:right="40" w:hanging="249"/>
        <w:spacing w:after="0" w:line="304" w:lineRule="auto"/>
        <w:tabs>
          <w:tab w:leader="none" w:pos="4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performance of each individual executive officer, based on a subjective assessment of their contributions to our overall performance, ability to lead their business unit or function, and work as part of a team, all in furtherance of our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857250"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hanging="209"/>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internal pay equity among our executive officers, including the NEOs (other than our Chief Executive Officer);</w:t>
      </w:r>
    </w:p>
    <w:p>
      <w:pPr>
        <w:spacing w:after="0" w:line="113" w:lineRule="exact"/>
        <w:rPr>
          <w:rFonts w:ascii="Arial" w:cs="Arial" w:eastAsia="Arial" w:hAnsi="Arial"/>
          <w:sz w:val="16"/>
          <w:szCs w:val="16"/>
          <w:color w:val="auto"/>
        </w:rPr>
      </w:pPr>
    </w:p>
    <w:p>
      <w:pPr>
        <w:ind w:left="460" w:hanging="209"/>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performance relative to our compensation peer group; and</w:t>
      </w:r>
    </w:p>
    <w:p>
      <w:pPr>
        <w:spacing w:after="0" w:line="126" w:lineRule="exact"/>
        <w:rPr>
          <w:rFonts w:ascii="Arial" w:cs="Arial" w:eastAsia="Arial" w:hAnsi="Arial"/>
          <w:sz w:val="16"/>
          <w:szCs w:val="16"/>
          <w:color w:val="auto"/>
        </w:rPr>
      </w:pPr>
    </w:p>
    <w:p>
      <w:pPr>
        <w:ind w:left="500" w:right="220" w:hanging="249"/>
        <w:spacing w:after="0" w:line="286" w:lineRule="auto"/>
        <w:tabs>
          <w:tab w:leader="none" w:pos="4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compensation practices of our compensation peer group and how each executive officer’s target compensation compares to a ranking of similar positions in our compensation peer group.</w:t>
      </w:r>
    </w:p>
    <w:p>
      <w:pPr>
        <w:spacing w:after="0" w:line="169"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During 2021 the Committee granted equity incentive awards to our NEOs. In determining the amount of long-term equity incentive compensation for our executive officers as part of its annual compensation review, the Committee also considers the accounting impact of the proposed awards on our earnings and the proportion of our total shares outstanding used for annual employee long-term equity incentive compensation awards, or burn rate, in relation to the median proportions of the companies in the retail sector benchmarks.</w:t>
      </w:r>
    </w:p>
    <w:p>
      <w:pPr>
        <w:spacing w:after="0" w:line="173"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These factors provide the framework for compensation decision-making and final decisions regarding the compensation opportunity for each executive officer. No single factor is determinative in setting pay levels, nor is the impact of any factor on the determination of pay levels quantifiable. The Committee retains significant authority to adjust the compensation levels of our executive officers based on the foregoing, and other, factors that it may deem appropriate to achieve our overall compensation goals.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Role of Executive Compensation Team</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discharging its responsibilities, the Committee works with members of our executive compensation team (i.e., our Chief Executive Officer, Chief Human Resources Officer, and Vice President of Compensation, Benefits, Human Resources Operations, and Payroll). The executive compensation team (with input from its consultant) assists the Committee by providing information on our performance and the individual performance of our executive officers, as well as market and industry data, and the executive compensation team’s perspective and recommendations on compensation matters. The Committee solicits and considers our executive compensation team’s recommendations and proposals with respect to adjustments to base salaries, annual cash bonus opportunities, long-term incentive compensation opportunities, perquisites, program structures, and other compensation-related matters for our executive officers. The Committee reviews and discusses these recommendations and proposals with some or all of the members of our executive compensation team and uses them as one factor in determining and approving the compensation for our executive officers. In addition, the level of attainment of each individual NEOs performance goals pursuant to the Company’s Executive Team Bonus Plan (described in “—2021 Executive Team Bonus Plan”) is recommended by our Chief Executive Officer (other than with respect to his own, which is determined by the Committee) to the Committee for its final approval. The executive officers on the executive compensation team for compensation recuse themselves from all Committee deliberations regarding their own individual compensation.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Role of Compensation Consultant</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Pursuant to its charter, the Committee has the authority to retain the services of external advisors, including compensation consultants, legal counsel, and other advisors, to assist in the performance of its responsibilities. In February 2021, the Committee retained as its independent advisor a nationally-recognized executive compensation consultant, Compensation Advisory Partners (“CAP”). CAP performs no work for management and reports directly to the Committee. The Committee has assessed the independence of CAP based on standards promulgated by the SEC and concluded that no conflict of interest exists that would prevent it from serving as an independent consultant to the Committee.</w:t>
      </w:r>
    </w:p>
    <w:p>
      <w:pPr>
        <w:spacing w:after="0" w:line="17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Committee has utilized CAP for general input and guidance on components of our executive officer compensation program. CAP advises the Committee with respect to developing a compensation benchmarking peer group and market data for base salary, annual bonus, long-term equity compensation, and perquisites for similarly situated executive officers in the Company’s compensation peer group. CAP also advises the Committee on general executive compensation program elements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975995</wp:posOffset>
            </wp:positionV>
            <wp:extent cx="857250" cy="205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color w:val="007EC4"/>
        </w:rPr>
        <w:t xml:space="preserve">46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How We Determine and Use our Compensation Peer Group</w:t>
      </w:r>
    </w:p>
    <w:p>
      <w:pPr>
        <w:spacing w:after="0" w:line="6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For purposes of comparing our executive compensation against the competitive market, the Committee reviews and considers the compensation levels and practices of a group of comparable retail companies. In December 2020, the Committee, with the input of data and analysis from Meridian Compensation Partners (the Company’s compensation consultant) and the Company’s executive compensation team developed and approved the following compensation peer group (“2021 Peer Group”) for purposes of understanding the competitive market:</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40" w:type="dxa"/>
            <w:vAlign w:val="bottom"/>
            <w:tcBorders>
              <w:top w:val="single" w:sz="8" w:color="DBDBDB"/>
              <w:left w:val="single" w:sz="8" w:color="DBDBDB"/>
              <w:bottom w:val="single" w:sz="8" w:color="DBDBDB"/>
              <w:right w:val="single" w:sz="8" w:color="E8E9EF"/>
            </w:tcBorders>
            <w:shd w:val="clear" w:color="auto" w:fill="DBDBDB"/>
          </w:tcPr>
          <w:p>
            <w:pPr>
              <w:jc w:val="center"/>
              <w:spacing w:after="0"/>
              <w:rPr>
                <w:sz w:val="20"/>
                <w:szCs w:val="20"/>
                <w:color w:val="auto"/>
              </w:rPr>
            </w:pPr>
            <w:r>
              <w:rPr>
                <w:rFonts w:ascii="Arial" w:cs="Arial" w:eastAsia="Arial" w:hAnsi="Arial"/>
                <w:sz w:val="14"/>
                <w:szCs w:val="14"/>
                <w:color w:val="auto"/>
              </w:rPr>
              <w:t>Advance Auto Parts, Inc.</w:t>
            </w:r>
          </w:p>
        </w:tc>
        <w:tc>
          <w:tcPr>
            <w:tcW w:w="2800" w:type="dxa"/>
            <w:vAlign w:val="bottom"/>
            <w:tcBorders>
              <w:top w:val="single" w:sz="8" w:color="DBDBDB"/>
              <w:right w:val="single" w:sz="8" w:color="E8E9EF"/>
            </w:tcBorders>
          </w:tcPr>
          <w:p>
            <w:pPr>
              <w:jc w:val="center"/>
              <w:spacing w:after="0"/>
              <w:rPr>
                <w:sz w:val="20"/>
                <w:szCs w:val="20"/>
                <w:color w:val="auto"/>
              </w:rPr>
            </w:pPr>
            <w:r>
              <w:rPr>
                <w:rFonts w:ascii="Arial" w:cs="Arial" w:eastAsia="Arial" w:hAnsi="Arial"/>
                <w:sz w:val="14"/>
                <w:szCs w:val="14"/>
                <w:color w:val="auto"/>
              </w:rPr>
              <w:t>Caleres, Inc.</w:t>
            </w:r>
          </w:p>
        </w:tc>
        <w:tc>
          <w:tcPr>
            <w:tcW w:w="2820" w:type="dxa"/>
            <w:vAlign w:val="bottom"/>
            <w:tcBorders>
              <w:top w:val="single" w:sz="8" w:color="DBDBDB"/>
              <w:bottom w:val="single" w:sz="8" w:color="DBDBDB"/>
              <w:right w:val="single" w:sz="8" w:color="E8E9EF"/>
            </w:tcBorders>
            <w:shd w:val="clear" w:color="auto" w:fill="DBDBDB"/>
          </w:tcPr>
          <w:p>
            <w:pPr>
              <w:jc w:val="center"/>
              <w:spacing w:after="0"/>
              <w:rPr>
                <w:sz w:val="20"/>
                <w:szCs w:val="20"/>
                <w:color w:val="auto"/>
              </w:rPr>
            </w:pPr>
            <w:r>
              <w:rPr>
                <w:rFonts w:ascii="Arial" w:cs="Arial" w:eastAsia="Arial" w:hAnsi="Arial"/>
                <w:sz w:val="14"/>
                <w:szCs w:val="14"/>
                <w:color w:val="auto"/>
              </w:rPr>
              <w:t>Foot Locker, Inc.</w:t>
            </w:r>
          </w:p>
        </w:tc>
        <w:tc>
          <w:tcPr>
            <w:tcW w:w="2800" w:type="dxa"/>
            <w:vAlign w:val="bottom"/>
            <w:tcBorders>
              <w:top w:val="single" w:sz="8" w:color="DBDBDB"/>
              <w:right w:val="single" w:sz="8" w:color="DBDBDB"/>
            </w:tcBorders>
          </w:tcPr>
          <w:p>
            <w:pPr>
              <w:jc w:val="center"/>
              <w:spacing w:after="0"/>
              <w:rPr>
                <w:sz w:val="20"/>
                <w:szCs w:val="20"/>
                <w:color w:val="auto"/>
              </w:rPr>
            </w:pPr>
            <w:r>
              <w:rPr>
                <w:rFonts w:ascii="Arial" w:cs="Arial" w:eastAsia="Arial" w:hAnsi="Arial"/>
                <w:sz w:val="14"/>
                <w:szCs w:val="14"/>
                <w:color w:val="auto"/>
              </w:rPr>
              <w:t>The Michaels Companies, Inc.</w:t>
            </w:r>
          </w:p>
        </w:tc>
      </w:tr>
      <w:tr>
        <w:trPr>
          <w:trHeight w:val="237"/>
        </w:trPr>
        <w:tc>
          <w:tcPr>
            <w:tcW w:w="2840" w:type="dxa"/>
            <w:vAlign w:val="bottom"/>
            <w:tcBorders>
              <w:top w:val="single" w:sz="8" w:color="E8E9EF"/>
              <w:left w:val="single" w:sz="8" w:color="DBDBDB"/>
              <w:right w:val="single" w:sz="8" w:color="E8E9EF"/>
            </w:tcBorders>
          </w:tcPr>
          <w:p>
            <w:pPr>
              <w:jc w:val="center"/>
              <w:spacing w:after="0"/>
              <w:rPr>
                <w:sz w:val="20"/>
                <w:szCs w:val="20"/>
                <w:color w:val="auto"/>
              </w:rPr>
            </w:pPr>
            <w:r>
              <w:rPr>
                <w:rFonts w:ascii="Arial" w:cs="Arial" w:eastAsia="Arial" w:hAnsi="Arial"/>
                <w:sz w:val="14"/>
                <w:szCs w:val="14"/>
                <w:color w:val="auto"/>
              </w:rPr>
              <w:t>AutoZone, Inc.</w:t>
            </w:r>
          </w:p>
        </w:tc>
        <w:tc>
          <w:tcPr>
            <w:tcW w:w="2800" w:type="dxa"/>
            <w:vAlign w:val="bottom"/>
            <w:tcBorders>
              <w:top w:val="single" w:sz="8" w:color="E8E9EF"/>
              <w:bottom w:val="single" w:sz="8" w:color="DBDBDB"/>
              <w:right w:val="single" w:sz="8" w:color="E8E9EF"/>
            </w:tcBorders>
            <w:shd w:val="clear" w:color="auto" w:fill="DBDBDB"/>
          </w:tcPr>
          <w:p>
            <w:pPr>
              <w:jc w:val="center"/>
              <w:spacing w:after="0"/>
              <w:rPr>
                <w:sz w:val="20"/>
                <w:szCs w:val="20"/>
                <w:color w:val="auto"/>
              </w:rPr>
            </w:pPr>
            <w:r>
              <w:rPr>
                <w:rFonts w:ascii="Arial" w:cs="Arial" w:eastAsia="Arial" w:hAnsi="Arial"/>
                <w:sz w:val="14"/>
                <w:szCs w:val="14"/>
                <w:color w:val="auto"/>
              </w:rPr>
              <w:t>Carter’s, Inc.</w:t>
            </w:r>
          </w:p>
        </w:tc>
        <w:tc>
          <w:tcPr>
            <w:tcW w:w="2820" w:type="dxa"/>
            <w:vAlign w:val="bottom"/>
            <w:tcBorders>
              <w:top w:val="single" w:sz="8" w:color="E8E9EF"/>
              <w:right w:val="single" w:sz="8" w:color="E8E9EF"/>
            </w:tcBorders>
          </w:tcPr>
          <w:p>
            <w:pPr>
              <w:jc w:val="center"/>
              <w:spacing w:after="0"/>
              <w:rPr>
                <w:sz w:val="20"/>
                <w:szCs w:val="20"/>
                <w:color w:val="auto"/>
              </w:rPr>
            </w:pPr>
            <w:r>
              <w:rPr>
                <w:rFonts w:ascii="Arial" w:cs="Arial" w:eastAsia="Arial" w:hAnsi="Arial"/>
                <w:sz w:val="14"/>
                <w:szCs w:val="14"/>
                <w:color w:val="auto"/>
              </w:rPr>
              <w:t>GameStop Corp.</w:t>
            </w:r>
          </w:p>
        </w:tc>
        <w:tc>
          <w:tcPr>
            <w:tcW w:w="2800" w:type="dxa"/>
            <w:vAlign w:val="bottom"/>
            <w:tcBorders>
              <w:top w:val="single" w:sz="8" w:color="E8E9EF"/>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Tractor Supply Company</w:t>
            </w:r>
          </w:p>
        </w:tc>
      </w:tr>
      <w:tr>
        <w:trPr>
          <w:trHeight w:val="237"/>
        </w:trPr>
        <w:tc>
          <w:tcPr>
            <w:tcW w:w="2840" w:type="dxa"/>
            <w:vAlign w:val="bottom"/>
            <w:tcBorders>
              <w:top w:val="single" w:sz="8" w:color="E8E9EF"/>
              <w:left w:val="single" w:sz="8" w:color="DBDBDB"/>
              <w:bottom w:val="single" w:sz="8" w:color="DBDBDB"/>
              <w:right w:val="single" w:sz="8" w:color="E8E9EF"/>
            </w:tcBorders>
            <w:shd w:val="clear" w:color="auto" w:fill="DBDBDB"/>
          </w:tcPr>
          <w:p>
            <w:pPr>
              <w:jc w:val="center"/>
              <w:spacing w:after="0"/>
              <w:rPr>
                <w:sz w:val="20"/>
                <w:szCs w:val="20"/>
                <w:color w:val="auto"/>
              </w:rPr>
            </w:pPr>
            <w:r>
              <w:rPr>
                <w:rFonts w:ascii="Arial" w:cs="Arial" w:eastAsia="Arial" w:hAnsi="Arial"/>
                <w:sz w:val="14"/>
                <w:szCs w:val="14"/>
                <w:color w:val="auto"/>
              </w:rPr>
              <w:t>Big Lots</w:t>
            </w:r>
          </w:p>
        </w:tc>
        <w:tc>
          <w:tcPr>
            <w:tcW w:w="2800" w:type="dxa"/>
            <w:vAlign w:val="bottom"/>
            <w:tcBorders>
              <w:top w:val="single" w:sz="8" w:color="E8E9EF"/>
              <w:right w:val="single" w:sz="8" w:color="E8E9EF"/>
            </w:tcBorders>
          </w:tcPr>
          <w:p>
            <w:pPr>
              <w:jc w:val="center"/>
              <w:spacing w:after="0"/>
              <w:rPr>
                <w:sz w:val="20"/>
                <w:szCs w:val="20"/>
                <w:color w:val="auto"/>
              </w:rPr>
            </w:pPr>
            <w:r>
              <w:rPr>
                <w:rFonts w:ascii="Arial" w:cs="Arial" w:eastAsia="Arial" w:hAnsi="Arial"/>
                <w:sz w:val="14"/>
                <w:szCs w:val="14"/>
                <w:color w:val="auto"/>
              </w:rPr>
              <w:t>Designer Brands Inc.</w:t>
            </w:r>
          </w:p>
        </w:tc>
        <w:tc>
          <w:tcPr>
            <w:tcW w:w="2820" w:type="dxa"/>
            <w:vAlign w:val="bottom"/>
            <w:tcBorders>
              <w:top w:val="single" w:sz="8" w:color="E8E9EF"/>
              <w:bottom w:val="single" w:sz="8" w:color="DBDBDB"/>
              <w:right w:val="single" w:sz="8" w:color="E8E9EF"/>
            </w:tcBorders>
            <w:shd w:val="clear" w:color="auto" w:fill="DBDBDB"/>
          </w:tcPr>
          <w:p>
            <w:pPr>
              <w:jc w:val="center"/>
              <w:spacing w:after="0"/>
              <w:rPr>
                <w:sz w:val="20"/>
                <w:szCs w:val="20"/>
                <w:color w:val="auto"/>
              </w:rPr>
            </w:pPr>
            <w:r>
              <w:rPr>
                <w:rFonts w:ascii="Arial" w:cs="Arial" w:eastAsia="Arial" w:hAnsi="Arial"/>
                <w:sz w:val="14"/>
                <w:szCs w:val="14"/>
                <w:color w:val="auto"/>
              </w:rPr>
              <w:t>Genesco Inc.</w:t>
            </w:r>
          </w:p>
        </w:tc>
        <w:tc>
          <w:tcPr>
            <w:tcW w:w="2800" w:type="dxa"/>
            <w:vAlign w:val="bottom"/>
            <w:tcBorders>
              <w:top w:val="single" w:sz="8" w:color="E8E9EF"/>
              <w:right w:val="single" w:sz="8" w:color="DBDBDB"/>
            </w:tcBorders>
          </w:tcPr>
          <w:p>
            <w:pPr>
              <w:jc w:val="center"/>
              <w:spacing w:after="0"/>
              <w:rPr>
                <w:sz w:val="20"/>
                <w:szCs w:val="20"/>
                <w:color w:val="auto"/>
              </w:rPr>
            </w:pPr>
            <w:r>
              <w:rPr>
                <w:rFonts w:ascii="Arial" w:cs="Arial" w:eastAsia="Arial" w:hAnsi="Arial"/>
                <w:sz w:val="14"/>
                <w:szCs w:val="14"/>
                <w:color w:val="auto"/>
              </w:rPr>
              <w:t>Urban Outfitters, Inc.</w:t>
            </w:r>
          </w:p>
        </w:tc>
      </w:tr>
      <w:tr>
        <w:trPr>
          <w:trHeight w:val="202"/>
        </w:trPr>
        <w:tc>
          <w:tcPr>
            <w:tcW w:w="2840" w:type="dxa"/>
            <w:vAlign w:val="bottom"/>
            <w:tcBorders>
              <w:top w:val="single" w:sz="8" w:color="E8E9EF"/>
              <w:left w:val="single" w:sz="8" w:color="DBDBDB"/>
              <w:right w:val="single" w:sz="8" w:color="E8E9EF"/>
            </w:tcBorders>
          </w:tcPr>
          <w:p>
            <w:pPr>
              <w:jc w:val="center"/>
              <w:spacing w:after="0"/>
              <w:rPr>
                <w:sz w:val="20"/>
                <w:szCs w:val="20"/>
                <w:color w:val="auto"/>
              </w:rPr>
            </w:pPr>
            <w:r>
              <w:rPr>
                <w:rFonts w:ascii="Arial" w:cs="Arial" w:eastAsia="Arial" w:hAnsi="Arial"/>
                <w:sz w:val="14"/>
                <w:szCs w:val="14"/>
                <w:color w:val="auto"/>
              </w:rPr>
              <w:t>Burlington Stores, Inc.</w:t>
            </w:r>
          </w:p>
        </w:tc>
        <w:tc>
          <w:tcPr>
            <w:tcW w:w="2800" w:type="dxa"/>
            <w:vAlign w:val="bottom"/>
            <w:tcBorders>
              <w:top w:val="single" w:sz="8" w:color="E8E9EF"/>
              <w:right w:val="single" w:sz="8" w:color="E8E9EF"/>
            </w:tcBorders>
            <w:shd w:val="clear" w:color="auto" w:fill="DBDBDB"/>
          </w:tcPr>
          <w:p>
            <w:pPr>
              <w:jc w:val="center"/>
              <w:spacing w:after="0"/>
              <w:rPr>
                <w:sz w:val="20"/>
                <w:szCs w:val="20"/>
                <w:color w:val="auto"/>
              </w:rPr>
            </w:pPr>
            <w:r>
              <w:rPr>
                <w:rFonts w:ascii="Arial" w:cs="Arial" w:eastAsia="Arial" w:hAnsi="Arial"/>
                <w:sz w:val="14"/>
                <w:szCs w:val="14"/>
                <w:color w:val="auto"/>
              </w:rPr>
              <w:t>Dick’s Sporting Goods, Inc.</w:t>
            </w:r>
          </w:p>
        </w:tc>
        <w:tc>
          <w:tcPr>
            <w:tcW w:w="2820" w:type="dxa"/>
            <w:vAlign w:val="bottom"/>
            <w:tcBorders>
              <w:top w:val="single" w:sz="8" w:color="E8E9EF"/>
              <w:right w:val="single" w:sz="8" w:color="E8E9EF"/>
            </w:tcBorders>
          </w:tcPr>
          <w:p>
            <w:pPr>
              <w:jc w:val="center"/>
              <w:spacing w:after="0"/>
              <w:rPr>
                <w:sz w:val="20"/>
                <w:szCs w:val="20"/>
                <w:color w:val="auto"/>
              </w:rPr>
            </w:pPr>
            <w:r>
              <w:rPr>
                <w:rFonts w:ascii="Arial" w:cs="Arial" w:eastAsia="Arial" w:hAnsi="Arial"/>
                <w:sz w:val="14"/>
                <w:szCs w:val="14"/>
                <w:color w:val="auto"/>
              </w:rPr>
              <w:t>Sally Beauty Holdings, Inc.</w:t>
            </w:r>
          </w:p>
        </w:tc>
        <w:tc>
          <w:tcPr>
            <w:tcW w:w="2800" w:type="dxa"/>
            <w:vAlign w:val="bottom"/>
            <w:tcBorders>
              <w:top w:val="single" w:sz="8" w:color="E8E9EF"/>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Williams-Sonoma, Inc.</w:t>
            </w:r>
          </w:p>
        </w:tc>
      </w:tr>
      <w:tr>
        <w:trPr>
          <w:trHeight w:val="35"/>
        </w:trPr>
        <w:tc>
          <w:tcPr>
            <w:tcW w:w="2840" w:type="dxa"/>
            <w:vAlign w:val="bottom"/>
            <w:tcBorders>
              <w:left w:val="single" w:sz="8" w:color="DBDBDB"/>
              <w:bottom w:val="single" w:sz="8" w:color="DBDBDB"/>
              <w:right w:val="single" w:sz="8" w:color="E8E9EF"/>
            </w:tcBorders>
          </w:tcPr>
          <w:p>
            <w:pPr>
              <w:spacing w:after="0"/>
              <w:rPr>
                <w:sz w:val="3"/>
                <w:szCs w:val="3"/>
                <w:color w:val="auto"/>
              </w:rPr>
            </w:pPr>
          </w:p>
        </w:tc>
        <w:tc>
          <w:tcPr>
            <w:tcW w:w="2800" w:type="dxa"/>
            <w:vAlign w:val="bottom"/>
            <w:tcBorders>
              <w:bottom w:val="single" w:sz="8" w:color="DBDBDB"/>
              <w:right w:val="single" w:sz="8" w:color="E8E9EF"/>
            </w:tcBorders>
            <w:shd w:val="clear" w:color="auto" w:fill="DBDBDB"/>
          </w:tcPr>
          <w:p>
            <w:pPr>
              <w:spacing w:after="0"/>
              <w:rPr>
                <w:sz w:val="3"/>
                <w:szCs w:val="3"/>
                <w:color w:val="auto"/>
              </w:rPr>
            </w:pPr>
          </w:p>
        </w:tc>
        <w:tc>
          <w:tcPr>
            <w:tcW w:w="2820" w:type="dxa"/>
            <w:vAlign w:val="bottom"/>
            <w:tcBorders>
              <w:bottom w:val="single" w:sz="8" w:color="DBDBDB"/>
              <w:right w:val="single" w:sz="8" w:color="E8E9EF"/>
            </w:tcBorders>
          </w:tcPr>
          <w:p>
            <w:pPr>
              <w:spacing w:after="0"/>
              <w:rPr>
                <w:sz w:val="3"/>
                <w:szCs w:val="3"/>
                <w:color w:val="auto"/>
              </w:rPr>
            </w:pPr>
          </w:p>
        </w:tc>
        <w:tc>
          <w:tcPr>
            <w:tcW w:w="2800" w:type="dxa"/>
            <w:vAlign w:val="bottom"/>
            <w:tcBorders>
              <w:bottom w:val="single" w:sz="8" w:color="DBDBDB"/>
              <w:right w:val="single" w:sz="8" w:color="DBDBDB"/>
            </w:tcBorders>
            <w:shd w:val="clear" w:color="auto" w:fill="DBDBDB"/>
          </w:tcPr>
          <w:p>
            <w:pPr>
              <w:spacing w:after="0"/>
              <w:rPr>
                <w:sz w:val="3"/>
                <w:szCs w:val="3"/>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companies in the 2021 Peer Group were selected using the following criteria:</w:t>
      </w:r>
    </w:p>
    <w:p>
      <w:pPr>
        <w:spacing w:after="0" w:line="235" w:lineRule="exact"/>
        <w:rPr>
          <w:sz w:val="20"/>
          <w:szCs w:val="20"/>
          <w:color w:val="auto"/>
        </w:rPr>
      </w:pPr>
    </w:p>
    <w:p>
      <w:pPr>
        <w:ind w:left="460" w:hanging="209"/>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Similar revenue size – 0.4 times to 2.4 times our last four fiscal quarters’ revenue as of the third quarter of 2020;</w:t>
      </w:r>
    </w:p>
    <w:p>
      <w:pPr>
        <w:spacing w:after="0" w:line="126" w:lineRule="exact"/>
        <w:rPr>
          <w:rFonts w:ascii="Arial" w:cs="Arial" w:eastAsia="Arial" w:hAnsi="Arial"/>
          <w:sz w:val="16"/>
          <w:szCs w:val="16"/>
          <w:color w:val="auto"/>
        </w:rPr>
      </w:pPr>
    </w:p>
    <w:p>
      <w:pPr>
        <w:ind w:left="460" w:hanging="209"/>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Companies primarily in the retail business; and</w:t>
      </w:r>
    </w:p>
    <w:p>
      <w:pPr>
        <w:spacing w:after="0" w:line="113" w:lineRule="exact"/>
        <w:rPr>
          <w:rFonts w:ascii="Arial" w:cs="Arial" w:eastAsia="Arial" w:hAnsi="Arial"/>
          <w:sz w:val="16"/>
          <w:szCs w:val="16"/>
          <w:color w:val="auto"/>
        </w:rPr>
      </w:pPr>
    </w:p>
    <w:p>
      <w:pPr>
        <w:ind w:left="460" w:hanging="209"/>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Similar business model and/or product.</w:t>
      </w:r>
    </w:p>
    <w:p>
      <w:pPr>
        <w:spacing w:after="0" w:line="221" w:lineRule="exact"/>
        <w:rPr>
          <w:sz w:val="20"/>
          <w:szCs w:val="20"/>
          <w:color w:val="auto"/>
        </w:rPr>
      </w:pPr>
    </w:p>
    <w:p>
      <w:pPr>
        <w:jc w:val="both"/>
        <w:ind w:right="80"/>
        <w:spacing w:after="0" w:line="265" w:lineRule="auto"/>
        <w:rPr>
          <w:sz w:val="20"/>
          <w:szCs w:val="20"/>
          <w:color w:val="auto"/>
        </w:rPr>
      </w:pPr>
      <w:r>
        <w:rPr>
          <w:rFonts w:ascii="Arial" w:cs="Arial" w:eastAsia="Arial" w:hAnsi="Arial"/>
          <w:sz w:val="16"/>
          <w:szCs w:val="16"/>
          <w:color w:val="auto"/>
        </w:rPr>
        <w:t>This 2021 Peer Group was used by the Committee during 2021 as a reference for understanding the compensation practices of companies in our industry sector. To analyze the compensation practices of the companies in our 2021 Peer Group, Meridian gathered data for the peer group companies from public filings (primarily proxy statements). This market data was then used as a reference point for the Committee to assess our current compensation levels in the course of its deliberations on compensation forms and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Employment Agreements</w:t>
      </w:r>
    </w:p>
    <w:p>
      <w:pPr>
        <w:spacing w:after="0" w:line="68"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We have entered into employment agreements with each of our NEOs and all of our other executive officers to help retain these executive officers who are key to the future success of the Company. For additional information regarding our NEO employment agreements, see “—Employment Agreements with NEOs.”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Stock Ownership Guidelines</w:t>
      </w:r>
    </w:p>
    <w:p>
      <w:pPr>
        <w:spacing w:after="0" w:line="8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have adopted meaningful stock ownership guidelines for our officers. The CEO is required to hold five times his annual base salary, an EVP is required to hold three times their annual base salary, an executive team SVP is required to hold two times their annual base salary, and other covered executive officers are required to hold one times or half their annual base salaries. If an officer has not met the required levels of ownership within the five-year prescribed timeframe, they will be required to retain 100% of any Company equity acquired or held (net of taxes) until they meet their applicable required ownership guidelines. All of our NEOs are in compliance with these stock ownership guidelines or are within the five-year prescribed timeframe for complying with these stock ownership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Clawback Policy</w:t>
      </w:r>
    </w:p>
    <w:p>
      <w:pPr>
        <w:spacing w:after="0" w:line="6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have adopted a clawback policy which provides for the recoupment of certain incentive compensation if the Committee determines that the incentive compensation of any executive officer was overpaid, in whole or in part, as a result of a misstatement triggering a restatement of the reported financial results of the Company due to the Company’s material noncompliance with financial reporting requirements under the securities laws, that is caused directly or indirectly by fraud, intentional illegal conduct or gross negligence. The Committee is closely monitoring the SEC proposed rules regarding recoupment of incentive-based compensation and will amend the policy if necessary when the final rules are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786765</wp:posOffset>
            </wp:positionV>
            <wp:extent cx="857250"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1" w:name="page52"/>
    <w:bookmarkEnd w:id="51"/>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49"/>
          <w:szCs w:val="49"/>
          <w:b w:val="1"/>
          <w:bCs w:val="1"/>
          <w:color w:val="1B4093"/>
        </w:rPr>
        <w:t>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640"/>
        <w:spacing w:after="0" w:line="265"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management. Based on its review and discussion with management, the Committee recommended to the Board that the Compensation Discussion and Analysis be included in this Proxy Statement and incorporated by reference in the Annual Report on Form 10-K for the fiscal year ended January 29, 2022 filed with the Securities and Exchange Commission.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Submitted by the Compensation Committee of the Company’s Board of Directors: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Compensation Committee Members:</w:t>
      </w:r>
    </w:p>
    <w:p>
      <w:pPr>
        <w:spacing w:after="0" w:line="68" w:lineRule="exact"/>
        <w:rPr>
          <w:sz w:val="20"/>
          <w:szCs w:val="20"/>
          <w:color w:val="auto"/>
        </w:rPr>
      </w:pPr>
    </w:p>
    <w:p>
      <w:pPr>
        <w:ind w:left="460" w:hanging="209"/>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Beryl B. Raff, Chair</w:t>
      </w:r>
    </w:p>
    <w:p>
      <w:pPr>
        <w:spacing w:after="0" w:line="59" w:lineRule="exact"/>
        <w:rPr>
          <w:rFonts w:ascii="Arial" w:cs="Arial" w:eastAsia="Arial" w:hAnsi="Arial"/>
          <w:sz w:val="16"/>
          <w:szCs w:val="16"/>
          <w:color w:val="auto"/>
        </w:rPr>
      </w:pPr>
    </w:p>
    <w:p>
      <w:pPr>
        <w:ind w:left="460" w:hanging="209"/>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Tom M. Nealon</w:t>
      </w:r>
    </w:p>
    <w:p>
      <w:pPr>
        <w:spacing w:after="0" w:line="72" w:lineRule="exact"/>
        <w:rPr>
          <w:rFonts w:ascii="Arial" w:cs="Arial" w:eastAsia="Arial" w:hAnsi="Arial"/>
          <w:sz w:val="16"/>
          <w:szCs w:val="16"/>
          <w:color w:val="auto"/>
        </w:rPr>
      </w:pPr>
    </w:p>
    <w:p>
      <w:pPr>
        <w:ind w:left="460" w:hanging="209"/>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Sharen J. Turney</w:t>
      </w:r>
    </w:p>
    <w:p>
      <w:pPr>
        <w:spacing w:after="0" w:line="59" w:lineRule="exact"/>
        <w:rPr>
          <w:rFonts w:ascii="Arial" w:cs="Arial" w:eastAsia="Arial" w:hAnsi="Arial"/>
          <w:sz w:val="16"/>
          <w:szCs w:val="16"/>
          <w:color w:val="auto"/>
        </w:rPr>
      </w:pPr>
    </w:p>
    <w:p>
      <w:pPr>
        <w:ind w:left="460" w:hanging="209"/>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Jeff C. Tweedy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2755265</wp:posOffset>
            </wp:positionV>
            <wp:extent cx="857250"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color w:val="007EC4"/>
        </w:rPr>
        <w:t xml:space="preserve">48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Summary Compensation Table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total compensation earned by our NEOs in the fiscal year ended January 29, 2022 (or also referred to as 2021).</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100" w:type="dxa"/>
            <w:vAlign w:val="bottom"/>
            <w:shd w:val="clear" w:color="auto" w:fill="E1D7AC"/>
          </w:tcPr>
          <w:p>
            <w:pPr>
              <w:spacing w:after="0"/>
              <w:rPr>
                <w:sz w:val="23"/>
                <w:szCs w:val="23"/>
                <w:color w:val="auto"/>
              </w:rPr>
            </w:pPr>
          </w:p>
        </w:tc>
        <w:tc>
          <w:tcPr>
            <w:tcW w:w="900" w:type="dxa"/>
            <w:vAlign w:val="bottom"/>
            <w:shd w:val="clear" w:color="auto" w:fill="E1D7AC"/>
          </w:tcPr>
          <w:p>
            <w:pPr>
              <w:spacing w:after="0"/>
              <w:rPr>
                <w:sz w:val="23"/>
                <w:szCs w:val="23"/>
                <w:color w:val="auto"/>
              </w:rPr>
            </w:pPr>
          </w:p>
        </w:tc>
        <w:tc>
          <w:tcPr>
            <w:tcW w:w="960" w:type="dxa"/>
            <w:vAlign w:val="bottom"/>
            <w:shd w:val="clear" w:color="auto" w:fill="E1D7AC"/>
          </w:tcPr>
          <w:p>
            <w:pPr>
              <w:spacing w:after="0"/>
              <w:rPr>
                <w:sz w:val="23"/>
                <w:szCs w:val="23"/>
                <w:color w:val="auto"/>
              </w:rPr>
            </w:pPr>
          </w:p>
        </w:tc>
        <w:tc>
          <w:tcPr>
            <w:tcW w:w="860" w:type="dxa"/>
            <w:vAlign w:val="bottom"/>
            <w:shd w:val="clear" w:color="auto" w:fill="E1D7AC"/>
          </w:tcPr>
          <w:p>
            <w:pPr>
              <w:spacing w:after="0"/>
              <w:rPr>
                <w:sz w:val="23"/>
                <w:szCs w:val="23"/>
                <w:color w:val="auto"/>
              </w:rPr>
            </w:pPr>
          </w:p>
        </w:tc>
        <w:tc>
          <w:tcPr>
            <w:tcW w:w="1020" w:type="dxa"/>
            <w:vAlign w:val="bottom"/>
            <w:shd w:val="clear" w:color="auto" w:fill="E1D7AC"/>
          </w:tcPr>
          <w:p>
            <w:pPr>
              <w:spacing w:after="0"/>
              <w:rPr>
                <w:sz w:val="23"/>
                <w:szCs w:val="23"/>
                <w:color w:val="auto"/>
              </w:rPr>
            </w:pPr>
          </w:p>
        </w:tc>
        <w:tc>
          <w:tcPr>
            <w:tcW w:w="1160" w:type="dxa"/>
            <w:vAlign w:val="bottom"/>
            <w:shd w:val="clear" w:color="auto" w:fill="E1D7AC"/>
          </w:tcPr>
          <w:p>
            <w:pPr>
              <w:spacing w:after="0"/>
              <w:rPr>
                <w:sz w:val="23"/>
                <w:szCs w:val="23"/>
                <w:color w:val="auto"/>
              </w:rPr>
            </w:pPr>
          </w:p>
        </w:tc>
        <w:tc>
          <w:tcPr>
            <w:tcW w:w="1020" w:type="dxa"/>
            <w:vAlign w:val="bottom"/>
            <w:shd w:val="clear" w:color="auto" w:fill="E1D7AC"/>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900" w:type="dxa"/>
            <w:vAlign w:val="bottom"/>
            <w:shd w:val="clear" w:color="auto" w:fill="E1D7AC"/>
          </w:tcPr>
          <w:p>
            <w:pPr>
              <w:jc w:val="right"/>
              <w:ind w:right="8"/>
              <w:spacing w:after="0"/>
              <w:rPr>
                <w:sz w:val="20"/>
                <w:szCs w:val="20"/>
                <w:color w:val="auto"/>
              </w:rPr>
            </w:pPr>
            <w:r>
              <w:rPr>
                <w:rFonts w:ascii="Arial" w:cs="Arial" w:eastAsia="Arial" w:hAnsi="Arial"/>
                <w:sz w:val="14"/>
                <w:szCs w:val="14"/>
                <w:b w:val="1"/>
                <w:bCs w:val="1"/>
                <w:color w:val="auto"/>
              </w:rPr>
              <w:t>Option</w:t>
            </w:r>
          </w:p>
        </w:tc>
        <w:tc>
          <w:tcPr>
            <w:tcW w:w="1680" w:type="dxa"/>
            <w:vAlign w:val="bottom"/>
            <w:shd w:val="clear" w:color="auto" w:fill="E1D7AC"/>
          </w:tcPr>
          <w:p>
            <w:pPr>
              <w:jc w:val="right"/>
              <w:ind w:right="128"/>
              <w:spacing w:after="0"/>
              <w:rPr>
                <w:sz w:val="20"/>
                <w:szCs w:val="20"/>
                <w:color w:val="auto"/>
              </w:rPr>
            </w:pPr>
            <w:r>
              <w:rPr>
                <w:rFonts w:ascii="Arial" w:cs="Arial" w:eastAsia="Arial" w:hAnsi="Arial"/>
                <w:sz w:val="14"/>
                <w:szCs w:val="14"/>
                <w:b w:val="1"/>
                <w:bCs w:val="1"/>
                <w:color w:val="auto"/>
              </w:rPr>
              <w:t>Non Equity Incentive</w:t>
            </w:r>
          </w:p>
        </w:tc>
        <w:tc>
          <w:tcPr>
            <w:tcW w:w="1500" w:type="dxa"/>
            <w:vAlign w:val="bottom"/>
            <w:shd w:val="clear" w:color="auto" w:fill="E1D7AC"/>
          </w:tcPr>
          <w:p>
            <w:pPr>
              <w:jc w:val="right"/>
              <w:ind w:right="228"/>
              <w:spacing w:after="0"/>
              <w:rPr>
                <w:sz w:val="20"/>
                <w:szCs w:val="20"/>
                <w:color w:val="auto"/>
              </w:rPr>
            </w:pPr>
            <w:r>
              <w:rPr>
                <w:rFonts w:ascii="Arial" w:cs="Arial" w:eastAsia="Arial" w:hAnsi="Arial"/>
                <w:sz w:val="14"/>
                <w:szCs w:val="14"/>
                <w:b w:val="1"/>
                <w:bCs w:val="1"/>
                <w:color w:val="auto"/>
              </w:rPr>
              <w:t>All Other</w:t>
            </w:r>
          </w:p>
        </w:tc>
        <w:tc>
          <w:tcPr>
            <w:tcW w:w="1040" w:type="dxa"/>
            <w:vAlign w:val="bottom"/>
            <w:shd w:val="clear" w:color="auto" w:fill="E1D7AC"/>
          </w:tcPr>
          <w:p>
            <w:pPr>
              <w:spacing w:after="0"/>
              <w:rPr>
                <w:sz w:val="23"/>
                <w:szCs w:val="23"/>
                <w:color w:val="auto"/>
              </w:rPr>
            </w:pPr>
          </w:p>
        </w:tc>
        <w:tc>
          <w:tcPr>
            <w:tcW w:w="100" w:type="dxa"/>
            <w:vAlign w:val="bottom"/>
            <w:shd w:val="clear" w:color="auto" w:fill="E1D7AC"/>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00" w:type="dxa"/>
            <w:vAlign w:val="bottom"/>
            <w:shd w:val="clear" w:color="auto" w:fill="E1D7AC"/>
          </w:tcPr>
          <w:p>
            <w:pPr>
              <w:spacing w:after="0"/>
              <w:rPr>
                <w:sz w:val="14"/>
                <w:szCs w:val="14"/>
                <w:color w:val="auto"/>
              </w:rPr>
            </w:pPr>
          </w:p>
        </w:tc>
        <w:tc>
          <w:tcPr>
            <w:tcW w:w="1860" w:type="dxa"/>
            <w:vAlign w:val="bottom"/>
            <w:gridSpan w:val="2"/>
            <w:shd w:val="clear" w:color="auto" w:fill="E1D7AC"/>
          </w:tcPr>
          <w:p>
            <w:pPr>
              <w:spacing w:after="0"/>
              <w:rPr>
                <w:sz w:val="20"/>
                <w:szCs w:val="20"/>
                <w:color w:val="auto"/>
              </w:rPr>
            </w:pPr>
            <w:r>
              <w:rPr>
                <w:rFonts w:ascii="Arial" w:cs="Arial" w:eastAsia="Arial" w:hAnsi="Arial"/>
                <w:sz w:val="14"/>
                <w:szCs w:val="14"/>
                <w:b w:val="1"/>
                <w:bCs w:val="1"/>
                <w:color w:val="auto"/>
              </w:rPr>
              <w:t>Name and</w:t>
            </w:r>
          </w:p>
        </w:tc>
        <w:tc>
          <w:tcPr>
            <w:tcW w:w="860" w:type="dxa"/>
            <w:vAlign w:val="bottom"/>
            <w:shd w:val="clear" w:color="auto" w:fill="E1D7AC"/>
          </w:tcPr>
          <w:p>
            <w:pPr>
              <w:spacing w:after="0"/>
              <w:rPr>
                <w:sz w:val="14"/>
                <w:szCs w:val="14"/>
                <w:color w:val="auto"/>
              </w:rPr>
            </w:pPr>
          </w:p>
        </w:tc>
        <w:tc>
          <w:tcPr>
            <w:tcW w:w="102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rPr>
              <w:t>Salary</w:t>
            </w:r>
          </w:p>
        </w:tc>
        <w:tc>
          <w:tcPr>
            <w:tcW w:w="1160" w:type="dxa"/>
            <w:vAlign w:val="bottom"/>
            <w:shd w:val="clear" w:color="auto" w:fill="E1D7AC"/>
          </w:tcPr>
          <w:p>
            <w:pPr>
              <w:jc w:val="right"/>
              <w:ind w:right="108"/>
              <w:spacing w:after="0"/>
              <w:rPr>
                <w:sz w:val="20"/>
                <w:szCs w:val="20"/>
                <w:color w:val="auto"/>
              </w:rPr>
            </w:pPr>
            <w:r>
              <w:rPr>
                <w:rFonts w:ascii="Arial" w:cs="Arial" w:eastAsia="Arial" w:hAnsi="Arial"/>
                <w:sz w:val="14"/>
                <w:szCs w:val="14"/>
                <w:b w:val="1"/>
                <w:bCs w:val="1"/>
                <w:color w:val="auto"/>
              </w:rPr>
              <w:t>Bonus</w:t>
            </w:r>
          </w:p>
        </w:tc>
        <w:tc>
          <w:tcPr>
            <w:tcW w:w="1020" w:type="dxa"/>
            <w:vAlign w:val="bottom"/>
            <w:shd w:val="clear" w:color="auto" w:fill="E1D7AC"/>
          </w:tcPr>
          <w:p>
            <w:pPr>
              <w:jc w:val="right"/>
              <w:ind w:right="108"/>
              <w:spacing w:after="0"/>
              <w:rPr>
                <w:sz w:val="20"/>
                <w:szCs w:val="20"/>
                <w:color w:val="auto"/>
              </w:rPr>
            </w:pPr>
            <w:r>
              <w:rPr>
                <w:rFonts w:ascii="Arial" w:cs="Arial" w:eastAsia="Arial" w:hAnsi="Arial"/>
                <w:sz w:val="14"/>
                <w:szCs w:val="14"/>
                <w:b w:val="1"/>
                <w:bCs w:val="1"/>
                <w:color w:val="auto"/>
              </w:rPr>
              <w:t>Awards</w:t>
            </w:r>
          </w:p>
        </w:tc>
        <w:tc>
          <w:tcPr>
            <w:tcW w:w="900" w:type="dxa"/>
            <w:vAlign w:val="bottom"/>
            <w:shd w:val="clear" w:color="auto" w:fill="E1D7AC"/>
          </w:tcPr>
          <w:p>
            <w:pPr>
              <w:jc w:val="right"/>
              <w:ind w:right="8"/>
              <w:spacing w:after="0"/>
              <w:rPr>
                <w:sz w:val="20"/>
                <w:szCs w:val="20"/>
                <w:color w:val="auto"/>
              </w:rPr>
            </w:pPr>
            <w:r>
              <w:rPr>
                <w:rFonts w:ascii="Arial" w:cs="Arial" w:eastAsia="Arial" w:hAnsi="Arial"/>
                <w:sz w:val="14"/>
                <w:szCs w:val="14"/>
                <w:b w:val="1"/>
                <w:bCs w:val="1"/>
                <w:color w:val="auto"/>
              </w:rPr>
              <w:t>Awards</w:t>
            </w:r>
          </w:p>
        </w:tc>
        <w:tc>
          <w:tcPr>
            <w:tcW w:w="1680" w:type="dxa"/>
            <w:vAlign w:val="bottom"/>
            <w:shd w:val="clear" w:color="auto" w:fill="E1D7AC"/>
          </w:tcPr>
          <w:p>
            <w:pPr>
              <w:jc w:val="right"/>
              <w:ind w:right="128"/>
              <w:spacing w:after="0"/>
              <w:rPr>
                <w:sz w:val="20"/>
                <w:szCs w:val="20"/>
                <w:color w:val="auto"/>
              </w:rPr>
            </w:pPr>
            <w:r>
              <w:rPr>
                <w:rFonts w:ascii="Arial" w:cs="Arial" w:eastAsia="Arial" w:hAnsi="Arial"/>
                <w:sz w:val="14"/>
                <w:szCs w:val="14"/>
                <w:b w:val="1"/>
                <w:bCs w:val="1"/>
                <w:color w:val="auto"/>
              </w:rPr>
              <w:t>Plan Compensation</w:t>
            </w:r>
          </w:p>
        </w:tc>
        <w:tc>
          <w:tcPr>
            <w:tcW w:w="1500" w:type="dxa"/>
            <w:vAlign w:val="bottom"/>
            <w:shd w:val="clear" w:color="auto" w:fill="E1D7AC"/>
          </w:tcPr>
          <w:p>
            <w:pPr>
              <w:jc w:val="right"/>
              <w:ind w:right="228"/>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Total</w:t>
            </w:r>
          </w:p>
        </w:tc>
        <w:tc>
          <w:tcPr>
            <w:tcW w:w="100" w:type="dxa"/>
            <w:vAlign w:val="bottom"/>
            <w:shd w:val="clear" w:color="auto" w:fill="E1D7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E1D7AC"/>
          </w:tcPr>
          <w:p>
            <w:pPr>
              <w:spacing w:after="0"/>
              <w:rPr>
                <w:sz w:val="16"/>
                <w:szCs w:val="16"/>
                <w:color w:val="auto"/>
              </w:rPr>
            </w:pPr>
          </w:p>
        </w:tc>
        <w:tc>
          <w:tcPr>
            <w:tcW w:w="1860" w:type="dxa"/>
            <w:vAlign w:val="bottom"/>
            <w:gridSpan w:val="2"/>
            <w:shd w:val="clear" w:color="auto" w:fill="E1D7AC"/>
          </w:tcPr>
          <w:p>
            <w:pPr>
              <w:spacing w:after="0"/>
              <w:rPr>
                <w:sz w:val="20"/>
                <w:szCs w:val="20"/>
                <w:color w:val="auto"/>
              </w:rPr>
            </w:pPr>
            <w:r>
              <w:rPr>
                <w:rFonts w:ascii="Arial" w:cs="Arial" w:eastAsia="Arial" w:hAnsi="Arial"/>
                <w:sz w:val="14"/>
                <w:szCs w:val="14"/>
                <w:b w:val="1"/>
                <w:bCs w:val="1"/>
                <w:color w:val="auto"/>
              </w:rPr>
              <w:t>Principal Position</w:t>
            </w:r>
          </w:p>
        </w:tc>
        <w:tc>
          <w:tcPr>
            <w:tcW w:w="860" w:type="dxa"/>
            <w:vAlign w:val="bottom"/>
            <w:shd w:val="clear" w:color="auto" w:fill="E1D7AC"/>
          </w:tcPr>
          <w:p>
            <w:pPr>
              <w:ind w:left="280"/>
              <w:spacing w:after="0"/>
              <w:rPr>
                <w:sz w:val="20"/>
                <w:szCs w:val="20"/>
                <w:color w:val="auto"/>
              </w:rPr>
            </w:pPr>
            <w:r>
              <w:rPr>
                <w:rFonts w:ascii="Arial" w:cs="Arial" w:eastAsia="Arial" w:hAnsi="Arial"/>
                <w:sz w:val="14"/>
                <w:szCs w:val="14"/>
                <w:b w:val="1"/>
                <w:bCs w:val="1"/>
                <w:color w:val="auto"/>
                <w:shd w:val="clear" w:color="auto" w:fill="E1D7AC"/>
              </w:rPr>
              <w:t>Year</w:t>
            </w:r>
          </w:p>
        </w:tc>
        <w:tc>
          <w:tcPr>
            <w:tcW w:w="1020" w:type="dxa"/>
            <w:vAlign w:val="bottom"/>
            <w:shd w:val="clear" w:color="auto" w:fill="E1D7AC"/>
          </w:tcPr>
          <w:p>
            <w:pPr>
              <w:jc w:val="right"/>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160" w:type="dxa"/>
            <w:vAlign w:val="bottom"/>
            <w:shd w:val="clear" w:color="auto" w:fill="E1D7AC"/>
          </w:tcPr>
          <w:p>
            <w:pPr>
              <w:jc w:val="right"/>
              <w:ind w:right="10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E1D7AC"/>
          </w:tcPr>
          <w:p>
            <w:pPr>
              <w:jc w:val="right"/>
              <w:ind w:right="10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900" w:type="dxa"/>
            <w:vAlign w:val="bottom"/>
            <w:shd w:val="clear" w:color="auto" w:fill="E1D7AC"/>
          </w:tcPr>
          <w:p>
            <w:pPr>
              <w:jc w:val="right"/>
              <w:ind w:right="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(3)</w:t>
            </w:r>
          </w:p>
        </w:tc>
        <w:tc>
          <w:tcPr>
            <w:tcW w:w="1680" w:type="dxa"/>
            <w:vAlign w:val="bottom"/>
            <w:shd w:val="clear" w:color="auto" w:fill="E1D7AC"/>
          </w:tcPr>
          <w:p>
            <w:pPr>
              <w:jc w:val="right"/>
              <w:ind w:right="12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(4)</w:t>
            </w:r>
          </w:p>
        </w:tc>
        <w:tc>
          <w:tcPr>
            <w:tcW w:w="1500" w:type="dxa"/>
            <w:vAlign w:val="bottom"/>
            <w:shd w:val="clear" w:color="auto" w:fill="E1D7AC"/>
          </w:tcPr>
          <w:p>
            <w:pPr>
              <w:jc w:val="right"/>
              <w:ind w:right="22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(5)</w:t>
            </w:r>
          </w:p>
        </w:tc>
        <w:tc>
          <w:tcPr>
            <w:tcW w:w="104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w:t>
            </w:r>
          </w:p>
        </w:tc>
        <w:tc>
          <w:tcPr>
            <w:tcW w:w="100" w:type="dxa"/>
            <w:vAlign w:val="bottom"/>
            <w:shd w:val="clear" w:color="auto" w:fill="E1D7AC"/>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00" w:type="dxa"/>
            <w:vAlign w:val="bottom"/>
            <w:shd w:val="clear" w:color="auto" w:fill="E1D7AC"/>
          </w:tcPr>
          <w:p>
            <w:pPr>
              <w:spacing w:after="0"/>
              <w:rPr>
                <w:sz w:val="9"/>
                <w:szCs w:val="9"/>
                <w:color w:val="auto"/>
              </w:rPr>
            </w:pPr>
          </w:p>
        </w:tc>
        <w:tc>
          <w:tcPr>
            <w:tcW w:w="900" w:type="dxa"/>
            <w:vAlign w:val="bottom"/>
            <w:shd w:val="clear" w:color="auto" w:fill="E1D7AC"/>
          </w:tcPr>
          <w:p>
            <w:pPr>
              <w:spacing w:after="0"/>
              <w:rPr>
                <w:sz w:val="9"/>
                <w:szCs w:val="9"/>
                <w:color w:val="auto"/>
              </w:rPr>
            </w:pPr>
          </w:p>
        </w:tc>
        <w:tc>
          <w:tcPr>
            <w:tcW w:w="960" w:type="dxa"/>
            <w:vAlign w:val="bottom"/>
            <w:shd w:val="clear" w:color="auto" w:fill="E1D7AC"/>
          </w:tcPr>
          <w:p>
            <w:pPr>
              <w:spacing w:after="0"/>
              <w:rPr>
                <w:sz w:val="9"/>
                <w:szCs w:val="9"/>
                <w:color w:val="auto"/>
              </w:rPr>
            </w:pPr>
          </w:p>
        </w:tc>
        <w:tc>
          <w:tcPr>
            <w:tcW w:w="860" w:type="dxa"/>
            <w:vAlign w:val="bottom"/>
            <w:shd w:val="clear" w:color="auto" w:fill="E1D7AC"/>
          </w:tcPr>
          <w:p>
            <w:pPr>
              <w:spacing w:after="0"/>
              <w:rPr>
                <w:sz w:val="9"/>
                <w:szCs w:val="9"/>
                <w:color w:val="auto"/>
              </w:rPr>
            </w:pPr>
          </w:p>
        </w:tc>
        <w:tc>
          <w:tcPr>
            <w:tcW w:w="1020" w:type="dxa"/>
            <w:vAlign w:val="bottom"/>
            <w:shd w:val="clear" w:color="auto" w:fill="E1D7AC"/>
          </w:tcPr>
          <w:p>
            <w:pPr>
              <w:spacing w:after="0"/>
              <w:rPr>
                <w:sz w:val="9"/>
                <w:szCs w:val="9"/>
                <w:color w:val="auto"/>
              </w:rPr>
            </w:pPr>
          </w:p>
        </w:tc>
        <w:tc>
          <w:tcPr>
            <w:tcW w:w="1160" w:type="dxa"/>
            <w:vAlign w:val="bottom"/>
            <w:shd w:val="clear" w:color="auto" w:fill="E1D7AC"/>
          </w:tcPr>
          <w:p>
            <w:pPr>
              <w:spacing w:after="0"/>
              <w:rPr>
                <w:sz w:val="9"/>
                <w:szCs w:val="9"/>
                <w:color w:val="auto"/>
              </w:rPr>
            </w:pPr>
          </w:p>
        </w:tc>
        <w:tc>
          <w:tcPr>
            <w:tcW w:w="1020" w:type="dxa"/>
            <w:vAlign w:val="bottom"/>
            <w:shd w:val="clear" w:color="auto" w:fill="E1D7AC"/>
          </w:tcPr>
          <w:p>
            <w:pPr>
              <w:spacing w:after="0"/>
              <w:rPr>
                <w:sz w:val="9"/>
                <w:szCs w:val="9"/>
                <w:color w:val="auto"/>
              </w:rPr>
            </w:pPr>
          </w:p>
        </w:tc>
        <w:tc>
          <w:tcPr>
            <w:tcW w:w="900" w:type="dxa"/>
            <w:vAlign w:val="bottom"/>
            <w:shd w:val="clear" w:color="auto" w:fill="E1D7AC"/>
          </w:tcPr>
          <w:p>
            <w:pPr>
              <w:spacing w:after="0"/>
              <w:rPr>
                <w:sz w:val="9"/>
                <w:szCs w:val="9"/>
                <w:color w:val="auto"/>
              </w:rPr>
            </w:pPr>
          </w:p>
        </w:tc>
        <w:tc>
          <w:tcPr>
            <w:tcW w:w="1680" w:type="dxa"/>
            <w:vAlign w:val="bottom"/>
            <w:shd w:val="clear" w:color="auto" w:fill="E1D7AC"/>
          </w:tcPr>
          <w:p>
            <w:pPr>
              <w:spacing w:after="0"/>
              <w:rPr>
                <w:sz w:val="9"/>
                <w:szCs w:val="9"/>
                <w:color w:val="auto"/>
              </w:rPr>
            </w:pPr>
          </w:p>
        </w:tc>
        <w:tc>
          <w:tcPr>
            <w:tcW w:w="1500" w:type="dxa"/>
            <w:vAlign w:val="bottom"/>
            <w:shd w:val="clear" w:color="auto" w:fill="E1D7AC"/>
          </w:tcPr>
          <w:p>
            <w:pPr>
              <w:spacing w:after="0"/>
              <w:rPr>
                <w:sz w:val="9"/>
                <w:szCs w:val="9"/>
                <w:color w:val="auto"/>
              </w:rPr>
            </w:pPr>
          </w:p>
        </w:tc>
        <w:tc>
          <w:tcPr>
            <w:tcW w:w="1040" w:type="dxa"/>
            <w:vAlign w:val="bottom"/>
            <w:shd w:val="clear" w:color="auto" w:fill="E1D7AC"/>
          </w:tcPr>
          <w:p>
            <w:pPr>
              <w:spacing w:after="0"/>
              <w:rPr>
                <w:sz w:val="9"/>
                <w:szCs w:val="9"/>
                <w:color w:val="auto"/>
              </w:rPr>
            </w:pPr>
          </w:p>
        </w:tc>
        <w:tc>
          <w:tcPr>
            <w:tcW w:w="100" w:type="dxa"/>
            <w:vAlign w:val="bottom"/>
            <w:shd w:val="clear" w:color="auto" w:fill="E1D7AC"/>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100" w:type="dxa"/>
            <w:vAlign w:val="bottom"/>
            <w:shd w:val="clear" w:color="auto" w:fill="DBDBDB"/>
          </w:tcPr>
          <w:p>
            <w:pPr>
              <w:spacing w:after="0"/>
              <w:rPr>
                <w:sz w:val="19"/>
                <w:szCs w:val="19"/>
                <w:color w:val="auto"/>
              </w:rPr>
            </w:pPr>
          </w:p>
        </w:tc>
        <w:tc>
          <w:tcPr>
            <w:tcW w:w="1860" w:type="dxa"/>
            <w:vAlign w:val="bottom"/>
            <w:gridSpan w:val="2"/>
            <w:vMerge w:val="restart"/>
            <w:shd w:val="clear" w:color="auto" w:fill="DBDBDB"/>
          </w:tcPr>
          <w:p>
            <w:pPr>
              <w:spacing w:after="0"/>
              <w:rPr>
                <w:sz w:val="20"/>
                <w:szCs w:val="20"/>
                <w:color w:val="auto"/>
              </w:rPr>
            </w:pPr>
            <w:r>
              <w:rPr>
                <w:rFonts w:ascii="Arial" w:cs="Arial" w:eastAsia="Arial" w:hAnsi="Arial"/>
                <w:sz w:val="14"/>
                <w:szCs w:val="14"/>
                <w:b w:val="1"/>
                <w:bCs w:val="1"/>
                <w:color w:val="auto"/>
              </w:rPr>
              <w:t>Ken C. Hicks</w:t>
            </w:r>
          </w:p>
        </w:tc>
        <w:tc>
          <w:tcPr>
            <w:tcW w:w="8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2021</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1,100,000</w:t>
            </w:r>
          </w:p>
        </w:tc>
        <w:tc>
          <w:tcPr>
            <w:tcW w:w="11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1,649,980</w:t>
            </w:r>
          </w:p>
        </w:tc>
        <w:tc>
          <w:tcPr>
            <w:tcW w:w="9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3,349,049</w:t>
            </w:r>
          </w:p>
        </w:tc>
        <w:tc>
          <w:tcPr>
            <w:tcW w:w="16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3,850,000</w:t>
            </w:r>
          </w:p>
        </w:tc>
        <w:tc>
          <w:tcPr>
            <w:tcW w:w="15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1,535,264</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11,484,293</w:t>
            </w:r>
          </w:p>
        </w:tc>
        <w:tc>
          <w:tcPr>
            <w:tcW w:w="1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100" w:type="dxa"/>
            <w:vAlign w:val="bottom"/>
            <w:shd w:val="clear" w:color="auto" w:fill="DBDBDB"/>
          </w:tcPr>
          <w:p>
            <w:pPr>
              <w:spacing w:after="0"/>
              <w:rPr>
                <w:sz w:val="8"/>
                <w:szCs w:val="8"/>
                <w:color w:val="auto"/>
              </w:rPr>
            </w:pPr>
          </w:p>
        </w:tc>
        <w:tc>
          <w:tcPr>
            <w:tcW w:w="1860" w:type="dxa"/>
            <w:vAlign w:val="bottom"/>
            <w:gridSpan w:val="2"/>
            <w:vMerge w:val="continue"/>
            <w:shd w:val="clear" w:color="auto" w:fill="DBDBDB"/>
          </w:tcPr>
          <w:p>
            <w:pPr>
              <w:spacing w:after="0"/>
              <w:rPr>
                <w:sz w:val="8"/>
                <w:szCs w:val="8"/>
                <w:color w:val="auto"/>
              </w:rPr>
            </w:pPr>
          </w:p>
        </w:tc>
        <w:tc>
          <w:tcPr>
            <w:tcW w:w="860" w:type="dxa"/>
            <w:vAlign w:val="bottom"/>
            <w:vMerge w:val="restart"/>
            <w:shd w:val="clear" w:color="auto" w:fill="DBDBDB"/>
          </w:tcPr>
          <w:p>
            <w:pPr>
              <w:ind w:left="280"/>
              <w:spacing w:after="0"/>
              <w:rPr>
                <w:sz w:val="20"/>
                <w:szCs w:val="20"/>
                <w:color w:val="auto"/>
              </w:rPr>
            </w:pPr>
            <w:r>
              <w:rPr>
                <w:rFonts w:ascii="Arial" w:cs="Arial" w:eastAsia="Arial" w:hAnsi="Arial"/>
                <w:sz w:val="14"/>
                <w:szCs w:val="14"/>
                <w:color w:val="auto"/>
              </w:rPr>
              <w:t>2020</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1,004,808</w:t>
            </w:r>
          </w:p>
        </w:tc>
        <w:tc>
          <w:tcPr>
            <w:tcW w:w="1160" w:type="dxa"/>
            <w:vAlign w:val="bottom"/>
            <w:vMerge w:val="restart"/>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DBDBDB"/>
          </w:tcPr>
          <w:p>
            <w:pPr>
              <w:jc w:val="right"/>
              <w:ind w:right="108"/>
              <w:spacing w:after="0"/>
              <w:rPr>
                <w:sz w:val="20"/>
                <w:szCs w:val="20"/>
                <w:color w:val="auto"/>
              </w:rPr>
            </w:pPr>
            <w:r>
              <w:rPr>
                <w:rFonts w:ascii="Arial" w:cs="Arial" w:eastAsia="Arial" w:hAnsi="Arial"/>
                <w:sz w:val="14"/>
                <w:szCs w:val="14"/>
                <w:color w:val="auto"/>
              </w:rPr>
              <w:t>6,166,000</w:t>
            </w:r>
          </w:p>
        </w:tc>
        <w:tc>
          <w:tcPr>
            <w:tcW w:w="90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2,369,005</w:t>
            </w:r>
          </w:p>
        </w:tc>
        <w:tc>
          <w:tcPr>
            <w:tcW w:w="1680" w:type="dxa"/>
            <w:vAlign w:val="bottom"/>
            <w:vMerge w:val="restart"/>
            <w:shd w:val="clear" w:color="auto" w:fill="DBDBDB"/>
          </w:tcPr>
          <w:p>
            <w:pPr>
              <w:jc w:val="right"/>
              <w:ind w:right="128"/>
              <w:spacing w:after="0"/>
              <w:rPr>
                <w:sz w:val="20"/>
                <w:szCs w:val="20"/>
                <w:color w:val="auto"/>
              </w:rPr>
            </w:pPr>
            <w:r>
              <w:rPr>
                <w:rFonts w:ascii="Arial" w:cs="Arial" w:eastAsia="Arial" w:hAnsi="Arial"/>
                <w:sz w:val="14"/>
                <w:szCs w:val="14"/>
                <w:color w:val="auto"/>
              </w:rPr>
              <w:t>4,950,000</w:t>
            </w:r>
          </w:p>
        </w:tc>
        <w:tc>
          <w:tcPr>
            <w:tcW w:w="1500" w:type="dxa"/>
            <w:vAlign w:val="bottom"/>
            <w:vMerge w:val="restart"/>
            <w:shd w:val="clear" w:color="auto" w:fill="DBDBDB"/>
          </w:tcPr>
          <w:p>
            <w:pPr>
              <w:jc w:val="right"/>
              <w:ind w:right="228"/>
              <w:spacing w:after="0"/>
              <w:rPr>
                <w:sz w:val="20"/>
                <w:szCs w:val="20"/>
                <w:color w:val="auto"/>
              </w:rPr>
            </w:pPr>
            <w:r>
              <w:rPr>
                <w:rFonts w:ascii="Arial" w:cs="Arial" w:eastAsia="Arial" w:hAnsi="Arial"/>
                <w:sz w:val="14"/>
                <w:szCs w:val="14"/>
                <w:color w:val="auto"/>
              </w:rPr>
              <w:t>952,138</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15,441,951</w:t>
            </w:r>
          </w:p>
        </w:tc>
        <w:tc>
          <w:tcPr>
            <w:tcW w:w="10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BDBDB"/>
          </w:tcPr>
          <w:p>
            <w:pPr>
              <w:spacing w:after="0"/>
              <w:rPr>
                <w:sz w:val="16"/>
                <w:szCs w:val="16"/>
                <w:color w:val="auto"/>
              </w:rPr>
            </w:pPr>
          </w:p>
        </w:tc>
        <w:tc>
          <w:tcPr>
            <w:tcW w:w="186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Chairman, President, and</w:t>
            </w:r>
          </w:p>
        </w:tc>
        <w:tc>
          <w:tcPr>
            <w:tcW w:w="860" w:type="dxa"/>
            <w:vAlign w:val="bottom"/>
            <w:vMerge w:val="continue"/>
            <w:shd w:val="clear" w:color="auto" w:fill="DBDBDB"/>
          </w:tcPr>
          <w:p>
            <w:pPr>
              <w:spacing w:after="0"/>
              <w:rPr>
                <w:sz w:val="16"/>
                <w:szCs w:val="16"/>
                <w:color w:val="auto"/>
              </w:rPr>
            </w:pPr>
          </w:p>
        </w:tc>
        <w:tc>
          <w:tcPr>
            <w:tcW w:w="1020" w:type="dxa"/>
            <w:vAlign w:val="bottom"/>
            <w:vMerge w:val="continue"/>
            <w:shd w:val="clear" w:color="auto" w:fill="DBDBDB"/>
          </w:tcPr>
          <w:p>
            <w:pPr>
              <w:spacing w:after="0"/>
              <w:rPr>
                <w:sz w:val="16"/>
                <w:szCs w:val="16"/>
                <w:color w:val="auto"/>
              </w:rPr>
            </w:pPr>
          </w:p>
        </w:tc>
        <w:tc>
          <w:tcPr>
            <w:tcW w:w="1160" w:type="dxa"/>
            <w:vAlign w:val="bottom"/>
            <w:vMerge w:val="continue"/>
            <w:shd w:val="clear" w:color="auto" w:fill="DBDBDB"/>
          </w:tcPr>
          <w:p>
            <w:pPr>
              <w:spacing w:after="0"/>
              <w:rPr>
                <w:sz w:val="16"/>
                <w:szCs w:val="16"/>
                <w:color w:val="auto"/>
              </w:rPr>
            </w:pPr>
          </w:p>
        </w:tc>
        <w:tc>
          <w:tcPr>
            <w:tcW w:w="1020" w:type="dxa"/>
            <w:vAlign w:val="bottom"/>
            <w:vMerge w:val="continue"/>
            <w:shd w:val="clear" w:color="auto" w:fill="DBDBDB"/>
          </w:tcPr>
          <w:p>
            <w:pPr>
              <w:spacing w:after="0"/>
              <w:rPr>
                <w:sz w:val="16"/>
                <w:szCs w:val="16"/>
                <w:color w:val="auto"/>
              </w:rPr>
            </w:pPr>
          </w:p>
        </w:tc>
        <w:tc>
          <w:tcPr>
            <w:tcW w:w="900" w:type="dxa"/>
            <w:vAlign w:val="bottom"/>
            <w:vMerge w:val="continue"/>
            <w:shd w:val="clear" w:color="auto" w:fill="DBDBDB"/>
          </w:tcPr>
          <w:p>
            <w:pPr>
              <w:spacing w:after="0"/>
              <w:rPr>
                <w:sz w:val="16"/>
                <w:szCs w:val="16"/>
                <w:color w:val="auto"/>
              </w:rPr>
            </w:pPr>
          </w:p>
        </w:tc>
        <w:tc>
          <w:tcPr>
            <w:tcW w:w="1680" w:type="dxa"/>
            <w:vAlign w:val="bottom"/>
            <w:vMerge w:val="continue"/>
            <w:shd w:val="clear" w:color="auto" w:fill="DBDBDB"/>
          </w:tcPr>
          <w:p>
            <w:pPr>
              <w:spacing w:after="0"/>
              <w:rPr>
                <w:sz w:val="16"/>
                <w:szCs w:val="16"/>
                <w:color w:val="auto"/>
              </w:rPr>
            </w:pPr>
          </w:p>
        </w:tc>
        <w:tc>
          <w:tcPr>
            <w:tcW w:w="1500" w:type="dxa"/>
            <w:vAlign w:val="bottom"/>
            <w:vMerge w:val="continue"/>
            <w:shd w:val="clear" w:color="auto" w:fill="DBDBDB"/>
          </w:tcPr>
          <w:p>
            <w:pPr>
              <w:spacing w:after="0"/>
              <w:rPr>
                <w:sz w:val="16"/>
                <w:szCs w:val="16"/>
                <w:color w:val="auto"/>
              </w:rPr>
            </w:pPr>
          </w:p>
        </w:tc>
        <w:tc>
          <w:tcPr>
            <w:tcW w:w="1040" w:type="dxa"/>
            <w:vAlign w:val="bottom"/>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shd w:val="clear" w:color="auto" w:fill="DBDBDB"/>
          </w:tcPr>
          <w:p>
            <w:pPr>
              <w:spacing w:after="0"/>
              <w:rPr>
                <w:sz w:val="16"/>
                <w:szCs w:val="16"/>
                <w:color w:val="auto"/>
              </w:rPr>
            </w:pPr>
          </w:p>
        </w:tc>
        <w:tc>
          <w:tcPr>
            <w:tcW w:w="186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Chief Executive Officer</w:t>
            </w:r>
          </w:p>
        </w:tc>
        <w:tc>
          <w:tcPr>
            <w:tcW w:w="860" w:type="dxa"/>
            <w:vAlign w:val="bottom"/>
            <w:vMerge w:val="restart"/>
            <w:shd w:val="clear" w:color="auto" w:fill="DBDBDB"/>
          </w:tcPr>
          <w:p>
            <w:pPr>
              <w:ind w:left="280"/>
              <w:spacing w:after="0"/>
              <w:rPr>
                <w:sz w:val="20"/>
                <w:szCs w:val="20"/>
                <w:color w:val="auto"/>
              </w:rPr>
            </w:pPr>
            <w:r>
              <w:rPr>
                <w:rFonts w:ascii="Arial" w:cs="Arial" w:eastAsia="Arial" w:hAnsi="Arial"/>
                <w:sz w:val="14"/>
                <w:szCs w:val="14"/>
                <w:color w:val="auto"/>
              </w:rPr>
              <w:t>2019</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1,100,000</w:t>
            </w:r>
          </w:p>
        </w:tc>
        <w:tc>
          <w:tcPr>
            <w:tcW w:w="1160" w:type="dxa"/>
            <w:vAlign w:val="bottom"/>
            <w:vMerge w:val="restart"/>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2,808,290</w:t>
            </w:r>
          </w:p>
        </w:tc>
        <w:tc>
          <w:tcPr>
            <w:tcW w:w="1680" w:type="dxa"/>
            <w:vAlign w:val="bottom"/>
            <w:vMerge w:val="restart"/>
            <w:shd w:val="clear" w:color="auto" w:fill="DBDBDB"/>
          </w:tcPr>
          <w:p>
            <w:pPr>
              <w:jc w:val="right"/>
              <w:ind w:right="128"/>
              <w:spacing w:after="0"/>
              <w:rPr>
                <w:sz w:val="20"/>
                <w:szCs w:val="20"/>
                <w:color w:val="auto"/>
              </w:rPr>
            </w:pPr>
            <w:r>
              <w:rPr>
                <w:rFonts w:ascii="Arial" w:cs="Arial" w:eastAsia="Arial" w:hAnsi="Arial"/>
                <w:sz w:val="14"/>
                <w:szCs w:val="14"/>
                <w:color w:val="auto"/>
              </w:rPr>
              <w:t>1,868,667</w:t>
            </w:r>
          </w:p>
        </w:tc>
        <w:tc>
          <w:tcPr>
            <w:tcW w:w="1500" w:type="dxa"/>
            <w:vAlign w:val="bottom"/>
            <w:vMerge w:val="restart"/>
            <w:shd w:val="clear" w:color="auto" w:fill="DBDBDB"/>
          </w:tcPr>
          <w:p>
            <w:pPr>
              <w:jc w:val="right"/>
              <w:ind w:right="228"/>
              <w:spacing w:after="0"/>
              <w:rPr>
                <w:sz w:val="20"/>
                <w:szCs w:val="20"/>
                <w:color w:val="auto"/>
              </w:rPr>
            </w:pPr>
            <w:r>
              <w:rPr>
                <w:rFonts w:ascii="Arial" w:cs="Arial" w:eastAsia="Arial" w:hAnsi="Arial"/>
                <w:sz w:val="14"/>
                <w:szCs w:val="14"/>
                <w:color w:val="auto"/>
              </w:rPr>
              <w:t>1,089,042</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6,865,999</w:t>
            </w:r>
          </w:p>
        </w:tc>
        <w:tc>
          <w:tcPr>
            <w:tcW w:w="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DBDBDB"/>
          </w:tcPr>
          <w:p>
            <w:pPr>
              <w:spacing w:after="0"/>
              <w:rPr>
                <w:sz w:val="7"/>
                <w:szCs w:val="7"/>
                <w:color w:val="auto"/>
              </w:rPr>
            </w:pPr>
          </w:p>
        </w:tc>
        <w:tc>
          <w:tcPr>
            <w:tcW w:w="900" w:type="dxa"/>
            <w:vAlign w:val="bottom"/>
            <w:shd w:val="clear" w:color="auto" w:fill="DBDBDB"/>
          </w:tcPr>
          <w:p>
            <w:pPr>
              <w:spacing w:after="0"/>
              <w:rPr>
                <w:sz w:val="7"/>
                <w:szCs w:val="7"/>
                <w:color w:val="auto"/>
              </w:rPr>
            </w:pPr>
          </w:p>
        </w:tc>
        <w:tc>
          <w:tcPr>
            <w:tcW w:w="960" w:type="dxa"/>
            <w:vAlign w:val="bottom"/>
            <w:shd w:val="clear" w:color="auto" w:fill="DBDBDB"/>
          </w:tcPr>
          <w:p>
            <w:pPr>
              <w:spacing w:after="0"/>
              <w:rPr>
                <w:sz w:val="7"/>
                <w:szCs w:val="7"/>
                <w:color w:val="auto"/>
              </w:rPr>
            </w:pPr>
          </w:p>
        </w:tc>
        <w:tc>
          <w:tcPr>
            <w:tcW w:w="860" w:type="dxa"/>
            <w:vAlign w:val="bottom"/>
            <w:vMerge w:val="continue"/>
            <w:shd w:val="clear" w:color="auto" w:fill="DBDBDB"/>
          </w:tcPr>
          <w:p>
            <w:pPr>
              <w:spacing w:after="0"/>
              <w:rPr>
                <w:sz w:val="7"/>
                <w:szCs w:val="7"/>
                <w:color w:val="auto"/>
              </w:rPr>
            </w:pPr>
          </w:p>
        </w:tc>
        <w:tc>
          <w:tcPr>
            <w:tcW w:w="1020" w:type="dxa"/>
            <w:vAlign w:val="bottom"/>
            <w:vMerge w:val="continue"/>
            <w:shd w:val="clear" w:color="auto" w:fill="DBDBDB"/>
          </w:tcPr>
          <w:p>
            <w:pPr>
              <w:spacing w:after="0"/>
              <w:rPr>
                <w:sz w:val="7"/>
                <w:szCs w:val="7"/>
                <w:color w:val="auto"/>
              </w:rPr>
            </w:pPr>
          </w:p>
        </w:tc>
        <w:tc>
          <w:tcPr>
            <w:tcW w:w="1160" w:type="dxa"/>
            <w:vAlign w:val="bottom"/>
            <w:vMerge w:val="continue"/>
            <w:shd w:val="clear" w:color="auto" w:fill="DBDBDB"/>
          </w:tcPr>
          <w:p>
            <w:pPr>
              <w:spacing w:after="0"/>
              <w:rPr>
                <w:sz w:val="7"/>
                <w:szCs w:val="7"/>
                <w:color w:val="auto"/>
              </w:rPr>
            </w:pPr>
          </w:p>
        </w:tc>
        <w:tc>
          <w:tcPr>
            <w:tcW w:w="1020" w:type="dxa"/>
            <w:vAlign w:val="bottom"/>
            <w:vMerge w:val="continue"/>
            <w:shd w:val="clear" w:color="auto" w:fill="DBDBDB"/>
          </w:tcPr>
          <w:p>
            <w:pPr>
              <w:spacing w:after="0"/>
              <w:rPr>
                <w:sz w:val="7"/>
                <w:szCs w:val="7"/>
                <w:color w:val="auto"/>
              </w:rPr>
            </w:pPr>
          </w:p>
        </w:tc>
        <w:tc>
          <w:tcPr>
            <w:tcW w:w="900" w:type="dxa"/>
            <w:vAlign w:val="bottom"/>
            <w:vMerge w:val="continue"/>
            <w:shd w:val="clear" w:color="auto" w:fill="DBDBDB"/>
          </w:tcPr>
          <w:p>
            <w:pPr>
              <w:spacing w:after="0"/>
              <w:rPr>
                <w:sz w:val="7"/>
                <w:szCs w:val="7"/>
                <w:color w:val="auto"/>
              </w:rPr>
            </w:pPr>
          </w:p>
        </w:tc>
        <w:tc>
          <w:tcPr>
            <w:tcW w:w="1680" w:type="dxa"/>
            <w:vAlign w:val="bottom"/>
            <w:vMerge w:val="continue"/>
            <w:shd w:val="clear" w:color="auto" w:fill="DBDBDB"/>
          </w:tcPr>
          <w:p>
            <w:pPr>
              <w:spacing w:after="0"/>
              <w:rPr>
                <w:sz w:val="7"/>
                <w:szCs w:val="7"/>
                <w:color w:val="auto"/>
              </w:rPr>
            </w:pPr>
          </w:p>
        </w:tc>
        <w:tc>
          <w:tcPr>
            <w:tcW w:w="1500" w:type="dxa"/>
            <w:vAlign w:val="bottom"/>
            <w:vMerge w:val="continue"/>
            <w:shd w:val="clear" w:color="auto" w:fill="DBDBDB"/>
          </w:tcPr>
          <w:p>
            <w:pPr>
              <w:spacing w:after="0"/>
              <w:rPr>
                <w:sz w:val="7"/>
                <w:szCs w:val="7"/>
                <w:color w:val="auto"/>
              </w:rPr>
            </w:pPr>
          </w:p>
        </w:tc>
        <w:tc>
          <w:tcPr>
            <w:tcW w:w="1040" w:type="dxa"/>
            <w:vAlign w:val="bottom"/>
            <w:vMerge w:val="continue"/>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00" w:type="dxa"/>
            <w:vAlign w:val="bottom"/>
            <w:shd w:val="clear" w:color="auto" w:fill="DBDBDB"/>
          </w:tcPr>
          <w:p>
            <w:pPr>
              <w:spacing w:after="0"/>
              <w:rPr>
                <w:sz w:val="6"/>
                <w:szCs w:val="6"/>
                <w:color w:val="auto"/>
              </w:rPr>
            </w:pPr>
          </w:p>
        </w:tc>
        <w:tc>
          <w:tcPr>
            <w:tcW w:w="900" w:type="dxa"/>
            <w:vAlign w:val="bottom"/>
            <w:shd w:val="clear" w:color="auto" w:fill="DBDBDB"/>
          </w:tcPr>
          <w:p>
            <w:pPr>
              <w:spacing w:after="0"/>
              <w:rPr>
                <w:sz w:val="6"/>
                <w:szCs w:val="6"/>
                <w:color w:val="auto"/>
              </w:rPr>
            </w:pPr>
          </w:p>
        </w:tc>
        <w:tc>
          <w:tcPr>
            <w:tcW w:w="960" w:type="dxa"/>
            <w:vAlign w:val="bottom"/>
            <w:shd w:val="clear" w:color="auto" w:fill="DBDBDB"/>
          </w:tcPr>
          <w:p>
            <w:pPr>
              <w:spacing w:after="0"/>
              <w:rPr>
                <w:sz w:val="6"/>
                <w:szCs w:val="6"/>
                <w:color w:val="auto"/>
              </w:rPr>
            </w:pPr>
          </w:p>
        </w:tc>
        <w:tc>
          <w:tcPr>
            <w:tcW w:w="86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116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900" w:type="dxa"/>
            <w:vAlign w:val="bottom"/>
            <w:shd w:val="clear" w:color="auto" w:fill="DBDBDB"/>
          </w:tcPr>
          <w:p>
            <w:pPr>
              <w:spacing w:after="0"/>
              <w:rPr>
                <w:sz w:val="6"/>
                <w:szCs w:val="6"/>
                <w:color w:val="auto"/>
              </w:rPr>
            </w:pPr>
          </w:p>
        </w:tc>
        <w:tc>
          <w:tcPr>
            <w:tcW w:w="1680" w:type="dxa"/>
            <w:vAlign w:val="bottom"/>
            <w:shd w:val="clear" w:color="auto" w:fill="DBDBDB"/>
          </w:tcPr>
          <w:p>
            <w:pPr>
              <w:spacing w:after="0"/>
              <w:rPr>
                <w:sz w:val="6"/>
                <w:szCs w:val="6"/>
                <w:color w:val="auto"/>
              </w:rPr>
            </w:pPr>
          </w:p>
        </w:tc>
        <w:tc>
          <w:tcPr>
            <w:tcW w:w="1500" w:type="dxa"/>
            <w:vAlign w:val="bottom"/>
            <w:shd w:val="clear" w:color="auto" w:fill="DBDBDB"/>
          </w:tcPr>
          <w:p>
            <w:pPr>
              <w:spacing w:after="0"/>
              <w:rPr>
                <w:sz w:val="6"/>
                <w:szCs w:val="6"/>
                <w:color w:val="auto"/>
              </w:rPr>
            </w:pPr>
          </w:p>
        </w:tc>
        <w:tc>
          <w:tcPr>
            <w:tcW w:w="104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1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Michael P. Mullican</w:t>
            </w:r>
          </w:p>
        </w:tc>
        <w:tc>
          <w:tcPr>
            <w:tcW w:w="860" w:type="dxa"/>
            <w:vAlign w:val="bottom"/>
          </w:tcPr>
          <w:p>
            <w:pPr>
              <w:ind w:left="280"/>
              <w:spacing w:after="0"/>
              <w:rPr>
                <w:sz w:val="20"/>
                <w:szCs w:val="20"/>
                <w:color w:val="auto"/>
              </w:rPr>
            </w:pPr>
            <w:r>
              <w:rPr>
                <w:rFonts w:ascii="Arial" w:cs="Arial" w:eastAsia="Arial" w:hAnsi="Arial"/>
                <w:sz w:val="14"/>
                <w:szCs w:val="14"/>
                <w:color w:val="auto"/>
              </w:rPr>
              <w:t>2021</w:t>
            </w:r>
          </w:p>
        </w:tc>
        <w:tc>
          <w:tcPr>
            <w:tcW w:w="1020" w:type="dxa"/>
            <w:vAlign w:val="bottom"/>
          </w:tcPr>
          <w:p>
            <w:pPr>
              <w:jc w:val="right"/>
              <w:spacing w:after="0"/>
              <w:rPr>
                <w:sz w:val="20"/>
                <w:szCs w:val="20"/>
                <w:color w:val="auto"/>
              </w:rPr>
            </w:pPr>
            <w:r>
              <w:rPr>
                <w:rFonts w:ascii="Arial" w:cs="Arial" w:eastAsia="Arial" w:hAnsi="Arial"/>
                <w:sz w:val="14"/>
                <w:szCs w:val="14"/>
                <w:color w:val="auto"/>
              </w:rPr>
              <w:t>606,219</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1,329,948</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669,997</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1,620,000</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24,971</w:t>
            </w:r>
          </w:p>
        </w:tc>
        <w:tc>
          <w:tcPr>
            <w:tcW w:w="1040" w:type="dxa"/>
            <w:vAlign w:val="bottom"/>
          </w:tcPr>
          <w:p>
            <w:pPr>
              <w:jc w:val="right"/>
              <w:spacing w:after="0"/>
              <w:rPr>
                <w:sz w:val="20"/>
                <w:szCs w:val="20"/>
                <w:color w:val="auto"/>
              </w:rPr>
            </w:pPr>
            <w:r>
              <w:rPr>
                <w:rFonts w:ascii="Arial" w:cs="Arial" w:eastAsia="Arial" w:hAnsi="Arial"/>
                <w:sz w:val="14"/>
                <w:szCs w:val="14"/>
                <w:color w:val="auto"/>
              </w:rPr>
              <w:t>4,251,135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860" w:type="dxa"/>
            <w:vAlign w:val="bottom"/>
            <w:vMerge w:val="restart"/>
          </w:tcPr>
          <w:p>
            <w:pPr>
              <w:ind w:left="280"/>
              <w:spacing w:after="0"/>
              <w:rPr>
                <w:sz w:val="20"/>
                <w:szCs w:val="20"/>
                <w:color w:val="auto"/>
              </w:rPr>
            </w:pPr>
            <w:r>
              <w:rPr>
                <w:rFonts w:ascii="Arial" w:cs="Arial" w:eastAsia="Arial" w:hAnsi="Arial"/>
                <w:sz w:val="14"/>
                <w:szCs w:val="14"/>
                <w:color w:val="auto"/>
              </w:rPr>
              <w:t>2020</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462,143</w:t>
            </w: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color w:val="auto"/>
              </w:rPr>
              <w:t>100,000</w:t>
            </w: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2,299,971</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434,379</w:t>
            </w:r>
          </w:p>
        </w:tc>
        <w:tc>
          <w:tcPr>
            <w:tcW w:w="1680" w:type="dxa"/>
            <w:vAlign w:val="bottom"/>
            <w:vMerge w:val="restart"/>
          </w:tcPr>
          <w:p>
            <w:pPr>
              <w:jc w:val="right"/>
              <w:ind w:right="128"/>
              <w:spacing w:after="0"/>
              <w:rPr>
                <w:sz w:val="20"/>
                <w:szCs w:val="20"/>
                <w:color w:val="auto"/>
              </w:rPr>
            </w:pPr>
            <w:r>
              <w:rPr>
                <w:rFonts w:ascii="Arial" w:cs="Arial" w:eastAsia="Arial" w:hAnsi="Arial"/>
                <w:sz w:val="14"/>
                <w:szCs w:val="14"/>
                <w:color w:val="auto"/>
              </w:rPr>
              <w:t>1,012,412</w:t>
            </w:r>
          </w:p>
        </w:tc>
        <w:tc>
          <w:tcPr>
            <w:tcW w:w="1500" w:type="dxa"/>
            <w:vAlign w:val="bottom"/>
            <w:vMerge w:val="restart"/>
          </w:tcPr>
          <w:p>
            <w:pPr>
              <w:jc w:val="right"/>
              <w:ind w:right="228"/>
              <w:spacing w:after="0"/>
              <w:rPr>
                <w:sz w:val="20"/>
                <w:szCs w:val="20"/>
                <w:color w:val="auto"/>
              </w:rPr>
            </w:pPr>
            <w:r>
              <w:rPr>
                <w:rFonts w:ascii="Arial" w:cs="Arial" w:eastAsia="Arial" w:hAnsi="Arial"/>
                <w:sz w:val="14"/>
                <w:szCs w:val="14"/>
                <w:color w:val="auto"/>
              </w:rPr>
              <w:t>17,256</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4,326,161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1860" w:type="dxa"/>
            <w:vAlign w:val="bottom"/>
            <w:gridSpan w:val="2"/>
            <w:vMerge w:val="restart"/>
          </w:tcPr>
          <w:p>
            <w:pPr>
              <w:spacing w:after="0"/>
              <w:rPr>
                <w:sz w:val="20"/>
                <w:szCs w:val="20"/>
                <w:color w:val="auto"/>
              </w:rPr>
            </w:pPr>
            <w:r>
              <w:rPr>
                <w:rFonts w:ascii="Arial" w:cs="Arial" w:eastAsia="Arial" w:hAnsi="Arial"/>
                <w:sz w:val="14"/>
                <w:szCs w:val="14"/>
                <w:color w:val="auto"/>
              </w:rPr>
              <w:t>EVP, Chief Financial Officer</w:t>
            </w:r>
          </w:p>
        </w:tc>
        <w:tc>
          <w:tcPr>
            <w:tcW w:w="8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860" w:type="dxa"/>
            <w:vAlign w:val="bottom"/>
            <w:vMerge w:val="restart"/>
          </w:tcPr>
          <w:p>
            <w:pPr>
              <w:ind w:left="280"/>
              <w:spacing w:after="0"/>
              <w:rPr>
                <w:sz w:val="20"/>
                <w:szCs w:val="20"/>
                <w:color w:val="auto"/>
              </w:rPr>
            </w:pPr>
            <w:r>
              <w:rPr>
                <w:rFonts w:ascii="Arial" w:cs="Arial" w:eastAsia="Arial" w:hAnsi="Arial"/>
                <w:sz w:val="14"/>
                <w:szCs w:val="14"/>
                <w:color w:val="auto"/>
              </w:rPr>
              <w:t>2019</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487,827</w:t>
            </w: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571,336</w:t>
            </w:r>
          </w:p>
        </w:tc>
        <w:tc>
          <w:tcPr>
            <w:tcW w:w="1680" w:type="dxa"/>
            <w:vAlign w:val="bottom"/>
            <w:vMerge w:val="restart"/>
          </w:tcPr>
          <w:p>
            <w:pPr>
              <w:jc w:val="right"/>
              <w:ind w:right="128"/>
              <w:spacing w:after="0"/>
              <w:rPr>
                <w:sz w:val="20"/>
                <w:szCs w:val="20"/>
                <w:color w:val="auto"/>
              </w:rPr>
            </w:pPr>
            <w:r>
              <w:rPr>
                <w:rFonts w:ascii="Arial" w:cs="Arial" w:eastAsia="Arial" w:hAnsi="Arial"/>
                <w:sz w:val="14"/>
                <w:szCs w:val="14"/>
                <w:color w:val="auto"/>
              </w:rPr>
              <w:t>505,353</w:t>
            </w:r>
          </w:p>
        </w:tc>
        <w:tc>
          <w:tcPr>
            <w:tcW w:w="1500" w:type="dxa"/>
            <w:vAlign w:val="bottom"/>
            <w:vMerge w:val="restart"/>
          </w:tcPr>
          <w:p>
            <w:pPr>
              <w:jc w:val="right"/>
              <w:ind w:right="228"/>
              <w:spacing w:after="0"/>
              <w:rPr>
                <w:sz w:val="20"/>
                <w:szCs w:val="20"/>
                <w:color w:val="auto"/>
              </w:rPr>
            </w:pPr>
            <w:r>
              <w:rPr>
                <w:rFonts w:ascii="Arial" w:cs="Arial" w:eastAsia="Arial" w:hAnsi="Arial"/>
                <w:sz w:val="14"/>
                <w:szCs w:val="14"/>
                <w:color w:val="auto"/>
              </w:rPr>
              <w:t>23,667</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1,588,183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00" w:type="dxa"/>
            <w:vAlign w:val="bottom"/>
            <w:shd w:val="clear" w:color="auto" w:fill="DBDBDB"/>
          </w:tcPr>
          <w:p>
            <w:pPr>
              <w:spacing w:after="0"/>
              <w:rPr>
                <w:sz w:val="19"/>
                <w:szCs w:val="19"/>
                <w:color w:val="auto"/>
              </w:rPr>
            </w:pPr>
          </w:p>
        </w:tc>
        <w:tc>
          <w:tcPr>
            <w:tcW w:w="1860" w:type="dxa"/>
            <w:vAlign w:val="bottom"/>
            <w:gridSpan w:val="2"/>
            <w:vMerge w:val="restart"/>
            <w:shd w:val="clear" w:color="auto" w:fill="DBDBDB"/>
          </w:tcPr>
          <w:p>
            <w:pPr>
              <w:spacing w:after="0"/>
              <w:rPr>
                <w:sz w:val="20"/>
                <w:szCs w:val="20"/>
                <w:color w:val="auto"/>
              </w:rPr>
            </w:pPr>
            <w:r>
              <w:rPr>
                <w:rFonts w:ascii="Arial" w:cs="Arial" w:eastAsia="Arial" w:hAnsi="Arial"/>
                <w:sz w:val="14"/>
                <w:szCs w:val="14"/>
                <w:b w:val="1"/>
                <w:bCs w:val="1"/>
                <w:color w:val="auto"/>
              </w:rPr>
              <w:t>Steve P. Lawrence</w:t>
            </w:r>
          </w:p>
        </w:tc>
        <w:tc>
          <w:tcPr>
            <w:tcW w:w="8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2021</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748,615</w:t>
            </w:r>
          </w:p>
        </w:tc>
        <w:tc>
          <w:tcPr>
            <w:tcW w:w="11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1,329,948</w:t>
            </w:r>
          </w:p>
        </w:tc>
        <w:tc>
          <w:tcPr>
            <w:tcW w:w="9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669,997</w:t>
            </w:r>
          </w:p>
        </w:tc>
        <w:tc>
          <w:tcPr>
            <w:tcW w:w="16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1,804,800</w:t>
            </w:r>
          </w:p>
        </w:tc>
        <w:tc>
          <w:tcPr>
            <w:tcW w:w="15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22,504</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4,575,864</w:t>
            </w:r>
          </w:p>
        </w:tc>
        <w:tc>
          <w:tcPr>
            <w:tcW w:w="1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shd w:val="clear" w:color="auto" w:fill="DBDBDB"/>
          </w:tcPr>
          <w:p>
            <w:pPr>
              <w:spacing w:after="0"/>
              <w:rPr>
                <w:sz w:val="10"/>
                <w:szCs w:val="10"/>
                <w:color w:val="auto"/>
              </w:rPr>
            </w:pPr>
          </w:p>
        </w:tc>
        <w:tc>
          <w:tcPr>
            <w:tcW w:w="1860" w:type="dxa"/>
            <w:vAlign w:val="bottom"/>
            <w:gridSpan w:val="2"/>
            <w:vMerge w:val="continue"/>
            <w:shd w:val="clear" w:color="auto" w:fill="DBDBDB"/>
          </w:tcPr>
          <w:p>
            <w:pPr>
              <w:spacing w:after="0"/>
              <w:rPr>
                <w:sz w:val="10"/>
                <w:szCs w:val="10"/>
                <w:color w:val="auto"/>
              </w:rPr>
            </w:pPr>
          </w:p>
        </w:tc>
        <w:tc>
          <w:tcPr>
            <w:tcW w:w="860" w:type="dxa"/>
            <w:vAlign w:val="bottom"/>
            <w:vMerge w:val="restart"/>
            <w:shd w:val="clear" w:color="auto" w:fill="DBDBDB"/>
          </w:tcPr>
          <w:p>
            <w:pPr>
              <w:ind w:left="280"/>
              <w:spacing w:after="0"/>
              <w:rPr>
                <w:sz w:val="20"/>
                <w:szCs w:val="20"/>
                <w:color w:val="auto"/>
              </w:rPr>
            </w:pPr>
            <w:r>
              <w:rPr>
                <w:rFonts w:ascii="Arial" w:cs="Arial" w:eastAsia="Arial" w:hAnsi="Arial"/>
                <w:sz w:val="14"/>
                <w:szCs w:val="14"/>
                <w:color w:val="auto"/>
              </w:rPr>
              <w:t>2020</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663,942</w:t>
            </w:r>
          </w:p>
        </w:tc>
        <w:tc>
          <w:tcPr>
            <w:tcW w:w="1160" w:type="dxa"/>
            <w:vAlign w:val="bottom"/>
            <w:vMerge w:val="restart"/>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DBDBDB"/>
          </w:tcPr>
          <w:p>
            <w:pPr>
              <w:jc w:val="right"/>
              <w:ind w:right="108"/>
              <w:spacing w:after="0"/>
              <w:rPr>
                <w:sz w:val="20"/>
                <w:szCs w:val="20"/>
                <w:color w:val="auto"/>
              </w:rPr>
            </w:pPr>
            <w:r>
              <w:rPr>
                <w:rFonts w:ascii="Arial" w:cs="Arial" w:eastAsia="Arial" w:hAnsi="Arial"/>
                <w:sz w:val="14"/>
                <w:szCs w:val="14"/>
                <w:color w:val="auto"/>
              </w:rPr>
              <w:t>2,416,556</w:t>
            </w:r>
          </w:p>
        </w:tc>
        <w:tc>
          <w:tcPr>
            <w:tcW w:w="90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603,304</w:t>
            </w:r>
          </w:p>
        </w:tc>
        <w:tc>
          <w:tcPr>
            <w:tcW w:w="1680" w:type="dxa"/>
            <w:vAlign w:val="bottom"/>
            <w:vMerge w:val="restart"/>
            <w:shd w:val="clear" w:color="auto" w:fill="DBDBDB"/>
          </w:tcPr>
          <w:p>
            <w:pPr>
              <w:jc w:val="right"/>
              <w:ind w:right="128"/>
              <w:spacing w:after="0"/>
              <w:rPr>
                <w:sz w:val="20"/>
                <w:szCs w:val="20"/>
                <w:color w:val="auto"/>
              </w:rPr>
            </w:pPr>
            <w:r>
              <w:rPr>
                <w:rFonts w:ascii="Arial" w:cs="Arial" w:eastAsia="Arial" w:hAnsi="Arial"/>
                <w:sz w:val="14"/>
                <w:szCs w:val="14"/>
                <w:color w:val="auto"/>
              </w:rPr>
              <w:t>1,745,077</w:t>
            </w:r>
          </w:p>
        </w:tc>
        <w:tc>
          <w:tcPr>
            <w:tcW w:w="1500" w:type="dxa"/>
            <w:vAlign w:val="bottom"/>
            <w:vMerge w:val="restart"/>
            <w:shd w:val="clear" w:color="auto" w:fill="DBDBDB"/>
          </w:tcPr>
          <w:p>
            <w:pPr>
              <w:jc w:val="right"/>
              <w:ind w:right="228"/>
              <w:spacing w:after="0"/>
              <w:rPr>
                <w:sz w:val="20"/>
                <w:szCs w:val="20"/>
                <w:color w:val="auto"/>
              </w:rPr>
            </w:pPr>
            <w:r>
              <w:rPr>
                <w:rFonts w:ascii="Arial" w:cs="Arial" w:eastAsia="Arial" w:hAnsi="Arial"/>
                <w:sz w:val="14"/>
                <w:szCs w:val="14"/>
                <w:color w:val="auto"/>
              </w:rPr>
              <w:t>25,529</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5,454,408</w:t>
            </w:r>
          </w:p>
        </w:tc>
        <w:tc>
          <w:tcPr>
            <w:tcW w:w="10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BDBDB"/>
          </w:tcPr>
          <w:p>
            <w:pPr>
              <w:spacing w:after="0"/>
              <w:rPr>
                <w:sz w:val="16"/>
                <w:szCs w:val="16"/>
                <w:color w:val="auto"/>
              </w:rPr>
            </w:pPr>
          </w:p>
        </w:tc>
        <w:tc>
          <w:tcPr>
            <w:tcW w:w="186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EVP, Chief Merchandising</w:t>
            </w:r>
          </w:p>
        </w:tc>
        <w:tc>
          <w:tcPr>
            <w:tcW w:w="860" w:type="dxa"/>
            <w:vAlign w:val="bottom"/>
            <w:vMerge w:val="continue"/>
            <w:shd w:val="clear" w:color="auto" w:fill="DBDBDB"/>
          </w:tcPr>
          <w:p>
            <w:pPr>
              <w:spacing w:after="0"/>
              <w:rPr>
                <w:sz w:val="16"/>
                <w:szCs w:val="16"/>
                <w:color w:val="auto"/>
              </w:rPr>
            </w:pPr>
          </w:p>
        </w:tc>
        <w:tc>
          <w:tcPr>
            <w:tcW w:w="1020" w:type="dxa"/>
            <w:vAlign w:val="bottom"/>
            <w:vMerge w:val="continue"/>
            <w:shd w:val="clear" w:color="auto" w:fill="DBDBDB"/>
          </w:tcPr>
          <w:p>
            <w:pPr>
              <w:spacing w:after="0"/>
              <w:rPr>
                <w:sz w:val="16"/>
                <w:szCs w:val="16"/>
                <w:color w:val="auto"/>
              </w:rPr>
            </w:pPr>
          </w:p>
        </w:tc>
        <w:tc>
          <w:tcPr>
            <w:tcW w:w="1160" w:type="dxa"/>
            <w:vAlign w:val="bottom"/>
            <w:vMerge w:val="continue"/>
            <w:shd w:val="clear" w:color="auto" w:fill="DBDBDB"/>
          </w:tcPr>
          <w:p>
            <w:pPr>
              <w:spacing w:after="0"/>
              <w:rPr>
                <w:sz w:val="16"/>
                <w:szCs w:val="16"/>
                <w:color w:val="auto"/>
              </w:rPr>
            </w:pPr>
          </w:p>
        </w:tc>
        <w:tc>
          <w:tcPr>
            <w:tcW w:w="1020" w:type="dxa"/>
            <w:vAlign w:val="bottom"/>
            <w:vMerge w:val="continue"/>
            <w:shd w:val="clear" w:color="auto" w:fill="DBDBDB"/>
          </w:tcPr>
          <w:p>
            <w:pPr>
              <w:spacing w:after="0"/>
              <w:rPr>
                <w:sz w:val="16"/>
                <w:szCs w:val="16"/>
                <w:color w:val="auto"/>
              </w:rPr>
            </w:pPr>
          </w:p>
        </w:tc>
        <w:tc>
          <w:tcPr>
            <w:tcW w:w="900" w:type="dxa"/>
            <w:vAlign w:val="bottom"/>
            <w:vMerge w:val="continue"/>
            <w:shd w:val="clear" w:color="auto" w:fill="DBDBDB"/>
          </w:tcPr>
          <w:p>
            <w:pPr>
              <w:spacing w:after="0"/>
              <w:rPr>
                <w:sz w:val="16"/>
                <w:szCs w:val="16"/>
                <w:color w:val="auto"/>
              </w:rPr>
            </w:pPr>
          </w:p>
        </w:tc>
        <w:tc>
          <w:tcPr>
            <w:tcW w:w="1680" w:type="dxa"/>
            <w:vAlign w:val="bottom"/>
            <w:vMerge w:val="continue"/>
            <w:shd w:val="clear" w:color="auto" w:fill="DBDBDB"/>
          </w:tcPr>
          <w:p>
            <w:pPr>
              <w:spacing w:after="0"/>
              <w:rPr>
                <w:sz w:val="16"/>
                <w:szCs w:val="16"/>
                <w:color w:val="auto"/>
              </w:rPr>
            </w:pPr>
          </w:p>
        </w:tc>
        <w:tc>
          <w:tcPr>
            <w:tcW w:w="1500" w:type="dxa"/>
            <w:vAlign w:val="bottom"/>
            <w:vMerge w:val="continue"/>
            <w:shd w:val="clear" w:color="auto" w:fill="DBDBDB"/>
          </w:tcPr>
          <w:p>
            <w:pPr>
              <w:spacing w:after="0"/>
              <w:rPr>
                <w:sz w:val="16"/>
                <w:szCs w:val="16"/>
                <w:color w:val="auto"/>
              </w:rPr>
            </w:pPr>
          </w:p>
        </w:tc>
        <w:tc>
          <w:tcPr>
            <w:tcW w:w="1040" w:type="dxa"/>
            <w:vAlign w:val="bottom"/>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shd w:val="clear" w:color="auto" w:fill="DBDBDB"/>
          </w:tcPr>
          <w:p>
            <w:pPr>
              <w:spacing w:after="0"/>
              <w:rPr>
                <w:sz w:val="16"/>
                <w:szCs w:val="16"/>
                <w:color w:val="auto"/>
              </w:rPr>
            </w:pPr>
          </w:p>
        </w:tc>
        <w:tc>
          <w:tcPr>
            <w:tcW w:w="186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Officer</w:t>
            </w:r>
          </w:p>
        </w:tc>
        <w:tc>
          <w:tcPr>
            <w:tcW w:w="860" w:type="dxa"/>
            <w:vAlign w:val="bottom"/>
            <w:vMerge w:val="restart"/>
            <w:shd w:val="clear" w:color="auto" w:fill="DBDBDB"/>
          </w:tcPr>
          <w:p>
            <w:pPr>
              <w:ind w:left="280"/>
              <w:spacing w:after="0"/>
              <w:rPr>
                <w:sz w:val="20"/>
                <w:szCs w:val="20"/>
                <w:color w:val="auto"/>
              </w:rPr>
            </w:pPr>
            <w:r>
              <w:rPr>
                <w:rFonts w:ascii="Arial" w:cs="Arial" w:eastAsia="Arial" w:hAnsi="Arial"/>
                <w:sz w:val="14"/>
                <w:szCs w:val="14"/>
                <w:color w:val="auto"/>
              </w:rPr>
              <w:t>2019</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677,596</w:t>
            </w:r>
          </w:p>
        </w:tc>
        <w:tc>
          <w:tcPr>
            <w:tcW w:w="1160" w:type="dxa"/>
            <w:vAlign w:val="bottom"/>
            <w:vMerge w:val="restart"/>
            <w:shd w:val="clear" w:color="auto" w:fill="DBDBDB"/>
          </w:tcPr>
          <w:p>
            <w:pPr>
              <w:jc w:val="right"/>
              <w:ind w:right="108"/>
              <w:spacing w:after="0"/>
              <w:rPr>
                <w:sz w:val="20"/>
                <w:szCs w:val="20"/>
                <w:color w:val="auto"/>
              </w:rPr>
            </w:pPr>
            <w:r>
              <w:rPr>
                <w:rFonts w:ascii="Arial" w:cs="Arial" w:eastAsia="Arial" w:hAnsi="Arial"/>
                <w:sz w:val="14"/>
                <w:szCs w:val="14"/>
                <w:color w:val="auto"/>
              </w:rPr>
              <w:t>200,000</w:t>
            </w:r>
          </w:p>
        </w:tc>
        <w:tc>
          <w:tcPr>
            <w:tcW w:w="1020" w:type="dxa"/>
            <w:vAlign w:val="bottom"/>
            <w:vMerge w:val="restart"/>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1,428,983</w:t>
            </w:r>
          </w:p>
        </w:tc>
        <w:tc>
          <w:tcPr>
            <w:tcW w:w="1680" w:type="dxa"/>
            <w:vAlign w:val="bottom"/>
            <w:vMerge w:val="restart"/>
            <w:shd w:val="clear" w:color="auto" w:fill="DBDBDB"/>
          </w:tcPr>
          <w:p>
            <w:pPr>
              <w:jc w:val="right"/>
              <w:ind w:right="128"/>
              <w:spacing w:after="0"/>
              <w:rPr>
                <w:sz w:val="20"/>
                <w:szCs w:val="20"/>
                <w:color w:val="auto"/>
              </w:rPr>
            </w:pPr>
            <w:r>
              <w:rPr>
                <w:rFonts w:ascii="Arial" w:cs="Arial" w:eastAsia="Arial" w:hAnsi="Arial"/>
                <w:sz w:val="14"/>
                <w:szCs w:val="14"/>
                <w:color w:val="auto"/>
              </w:rPr>
              <w:t>858,663</w:t>
            </w:r>
          </w:p>
        </w:tc>
        <w:tc>
          <w:tcPr>
            <w:tcW w:w="1500" w:type="dxa"/>
            <w:vAlign w:val="bottom"/>
            <w:vMerge w:val="restart"/>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3,165,242</w:t>
            </w:r>
          </w:p>
        </w:tc>
        <w:tc>
          <w:tcPr>
            <w:tcW w:w="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00" w:type="dxa"/>
            <w:vAlign w:val="bottom"/>
            <w:shd w:val="clear" w:color="auto" w:fill="DBDBDB"/>
          </w:tcPr>
          <w:p>
            <w:pPr>
              <w:spacing w:after="0"/>
              <w:rPr>
                <w:sz w:val="9"/>
                <w:szCs w:val="9"/>
                <w:color w:val="auto"/>
              </w:rPr>
            </w:pPr>
          </w:p>
        </w:tc>
        <w:tc>
          <w:tcPr>
            <w:tcW w:w="900" w:type="dxa"/>
            <w:vAlign w:val="bottom"/>
            <w:shd w:val="clear" w:color="auto" w:fill="DBDBDB"/>
          </w:tcPr>
          <w:p>
            <w:pPr>
              <w:spacing w:after="0"/>
              <w:rPr>
                <w:sz w:val="9"/>
                <w:szCs w:val="9"/>
                <w:color w:val="auto"/>
              </w:rPr>
            </w:pPr>
          </w:p>
        </w:tc>
        <w:tc>
          <w:tcPr>
            <w:tcW w:w="960" w:type="dxa"/>
            <w:vAlign w:val="bottom"/>
            <w:shd w:val="clear" w:color="auto" w:fill="DBDBDB"/>
          </w:tcPr>
          <w:p>
            <w:pPr>
              <w:spacing w:after="0"/>
              <w:rPr>
                <w:sz w:val="9"/>
                <w:szCs w:val="9"/>
                <w:color w:val="auto"/>
              </w:rPr>
            </w:pPr>
          </w:p>
        </w:tc>
        <w:tc>
          <w:tcPr>
            <w:tcW w:w="860" w:type="dxa"/>
            <w:vAlign w:val="bottom"/>
            <w:vMerge w:val="continue"/>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1160" w:type="dxa"/>
            <w:vAlign w:val="bottom"/>
            <w:vMerge w:val="continue"/>
            <w:shd w:val="clear" w:color="auto" w:fill="DBDBDB"/>
          </w:tcPr>
          <w:p>
            <w:pPr>
              <w:spacing w:after="0"/>
              <w:rPr>
                <w:sz w:val="9"/>
                <w:szCs w:val="9"/>
                <w:color w:val="auto"/>
              </w:rPr>
            </w:pPr>
          </w:p>
        </w:tc>
        <w:tc>
          <w:tcPr>
            <w:tcW w:w="1020" w:type="dxa"/>
            <w:vAlign w:val="bottom"/>
            <w:vMerge w:val="continue"/>
            <w:shd w:val="clear" w:color="auto" w:fill="DBDBDB"/>
          </w:tcPr>
          <w:p>
            <w:pPr>
              <w:spacing w:after="0"/>
              <w:rPr>
                <w:sz w:val="9"/>
                <w:szCs w:val="9"/>
                <w:color w:val="auto"/>
              </w:rPr>
            </w:pPr>
          </w:p>
        </w:tc>
        <w:tc>
          <w:tcPr>
            <w:tcW w:w="900" w:type="dxa"/>
            <w:vAlign w:val="bottom"/>
            <w:vMerge w:val="continue"/>
            <w:shd w:val="clear" w:color="auto" w:fill="DBDBDB"/>
          </w:tcPr>
          <w:p>
            <w:pPr>
              <w:spacing w:after="0"/>
              <w:rPr>
                <w:sz w:val="9"/>
                <w:szCs w:val="9"/>
                <w:color w:val="auto"/>
              </w:rPr>
            </w:pPr>
          </w:p>
        </w:tc>
        <w:tc>
          <w:tcPr>
            <w:tcW w:w="1680" w:type="dxa"/>
            <w:vAlign w:val="bottom"/>
            <w:vMerge w:val="continue"/>
            <w:shd w:val="clear" w:color="auto" w:fill="DBDBDB"/>
          </w:tcPr>
          <w:p>
            <w:pPr>
              <w:spacing w:after="0"/>
              <w:rPr>
                <w:sz w:val="9"/>
                <w:szCs w:val="9"/>
                <w:color w:val="auto"/>
              </w:rPr>
            </w:pPr>
          </w:p>
        </w:tc>
        <w:tc>
          <w:tcPr>
            <w:tcW w:w="1500" w:type="dxa"/>
            <w:vAlign w:val="bottom"/>
            <w:vMerge w:val="continue"/>
            <w:shd w:val="clear" w:color="auto" w:fill="DBDBDB"/>
          </w:tcPr>
          <w:p>
            <w:pPr>
              <w:spacing w:after="0"/>
              <w:rPr>
                <w:sz w:val="9"/>
                <w:szCs w:val="9"/>
                <w:color w:val="auto"/>
              </w:rPr>
            </w:pPr>
          </w:p>
        </w:tc>
        <w:tc>
          <w:tcPr>
            <w:tcW w:w="1040" w:type="dxa"/>
            <w:vAlign w:val="bottom"/>
            <w:vMerge w:val="continue"/>
            <w:shd w:val="clear" w:color="auto" w:fill="DBDBDB"/>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00" w:type="dxa"/>
            <w:vAlign w:val="bottom"/>
            <w:shd w:val="clear" w:color="auto" w:fill="DBDBDB"/>
          </w:tcPr>
          <w:p>
            <w:pPr>
              <w:spacing w:after="0"/>
              <w:rPr>
                <w:sz w:val="6"/>
                <w:szCs w:val="6"/>
                <w:color w:val="auto"/>
              </w:rPr>
            </w:pPr>
          </w:p>
        </w:tc>
        <w:tc>
          <w:tcPr>
            <w:tcW w:w="900" w:type="dxa"/>
            <w:vAlign w:val="bottom"/>
            <w:shd w:val="clear" w:color="auto" w:fill="DBDBDB"/>
          </w:tcPr>
          <w:p>
            <w:pPr>
              <w:spacing w:after="0"/>
              <w:rPr>
                <w:sz w:val="6"/>
                <w:szCs w:val="6"/>
                <w:color w:val="auto"/>
              </w:rPr>
            </w:pPr>
          </w:p>
        </w:tc>
        <w:tc>
          <w:tcPr>
            <w:tcW w:w="960" w:type="dxa"/>
            <w:vAlign w:val="bottom"/>
            <w:shd w:val="clear" w:color="auto" w:fill="DBDBDB"/>
          </w:tcPr>
          <w:p>
            <w:pPr>
              <w:spacing w:after="0"/>
              <w:rPr>
                <w:sz w:val="6"/>
                <w:szCs w:val="6"/>
                <w:color w:val="auto"/>
              </w:rPr>
            </w:pPr>
          </w:p>
        </w:tc>
        <w:tc>
          <w:tcPr>
            <w:tcW w:w="86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116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900" w:type="dxa"/>
            <w:vAlign w:val="bottom"/>
            <w:shd w:val="clear" w:color="auto" w:fill="DBDBDB"/>
          </w:tcPr>
          <w:p>
            <w:pPr>
              <w:spacing w:after="0"/>
              <w:rPr>
                <w:sz w:val="6"/>
                <w:szCs w:val="6"/>
                <w:color w:val="auto"/>
              </w:rPr>
            </w:pPr>
          </w:p>
        </w:tc>
        <w:tc>
          <w:tcPr>
            <w:tcW w:w="1680" w:type="dxa"/>
            <w:vAlign w:val="bottom"/>
            <w:shd w:val="clear" w:color="auto" w:fill="DBDBDB"/>
          </w:tcPr>
          <w:p>
            <w:pPr>
              <w:spacing w:after="0"/>
              <w:rPr>
                <w:sz w:val="6"/>
                <w:szCs w:val="6"/>
                <w:color w:val="auto"/>
              </w:rPr>
            </w:pPr>
          </w:p>
        </w:tc>
        <w:tc>
          <w:tcPr>
            <w:tcW w:w="1500" w:type="dxa"/>
            <w:vAlign w:val="bottom"/>
            <w:shd w:val="clear" w:color="auto" w:fill="DBDBDB"/>
          </w:tcPr>
          <w:p>
            <w:pPr>
              <w:spacing w:after="0"/>
              <w:rPr>
                <w:sz w:val="6"/>
                <w:szCs w:val="6"/>
                <w:color w:val="auto"/>
              </w:rPr>
            </w:pPr>
          </w:p>
        </w:tc>
        <w:tc>
          <w:tcPr>
            <w:tcW w:w="104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ind w:left="280"/>
              <w:spacing w:after="0"/>
              <w:rPr>
                <w:sz w:val="20"/>
                <w:szCs w:val="20"/>
                <w:color w:val="auto"/>
              </w:rPr>
            </w:pPr>
            <w:r>
              <w:rPr>
                <w:rFonts w:ascii="Arial" w:cs="Arial" w:eastAsia="Arial" w:hAnsi="Arial"/>
                <w:sz w:val="14"/>
                <w:szCs w:val="14"/>
                <w:color w:val="auto"/>
              </w:rPr>
              <w:t>2021</w:t>
            </w:r>
          </w:p>
        </w:tc>
        <w:tc>
          <w:tcPr>
            <w:tcW w:w="1020" w:type="dxa"/>
            <w:vAlign w:val="bottom"/>
          </w:tcPr>
          <w:p>
            <w:pPr>
              <w:jc w:val="right"/>
              <w:spacing w:after="0"/>
              <w:rPr>
                <w:sz w:val="20"/>
                <w:szCs w:val="20"/>
                <w:color w:val="auto"/>
              </w:rPr>
            </w:pPr>
            <w:r>
              <w:rPr>
                <w:rFonts w:ascii="Arial" w:cs="Arial" w:eastAsia="Arial" w:hAnsi="Arial"/>
                <w:sz w:val="14"/>
                <w:szCs w:val="14"/>
                <w:color w:val="auto"/>
              </w:rPr>
              <w:t>544,765</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1,296,966</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602,989</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1,386,000</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24,565</w:t>
            </w:r>
          </w:p>
        </w:tc>
        <w:tc>
          <w:tcPr>
            <w:tcW w:w="1040" w:type="dxa"/>
            <w:vAlign w:val="bottom"/>
          </w:tcPr>
          <w:p>
            <w:pPr>
              <w:jc w:val="right"/>
              <w:spacing w:after="0"/>
              <w:rPr>
                <w:sz w:val="20"/>
                <w:szCs w:val="20"/>
                <w:color w:val="auto"/>
              </w:rPr>
            </w:pPr>
            <w:r>
              <w:rPr>
                <w:rFonts w:ascii="Arial" w:cs="Arial" w:eastAsia="Arial" w:hAnsi="Arial"/>
                <w:sz w:val="14"/>
                <w:szCs w:val="14"/>
                <w:color w:val="auto"/>
              </w:rPr>
              <w:t>3,855,285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Sam J. Johnson</w:t>
            </w:r>
          </w:p>
        </w:tc>
        <w:tc>
          <w:tcPr>
            <w:tcW w:w="860" w:type="dxa"/>
            <w:vAlign w:val="bottom"/>
            <w:vMerge w:val="restart"/>
          </w:tcPr>
          <w:p>
            <w:pPr>
              <w:ind w:left="280"/>
              <w:spacing w:after="0"/>
              <w:rPr>
                <w:sz w:val="20"/>
                <w:szCs w:val="20"/>
                <w:color w:val="auto"/>
              </w:rPr>
            </w:pPr>
            <w:r>
              <w:rPr>
                <w:rFonts w:ascii="Arial" w:cs="Arial" w:eastAsia="Arial" w:hAnsi="Arial"/>
                <w:sz w:val="14"/>
                <w:szCs w:val="14"/>
                <w:color w:val="auto"/>
              </w:rPr>
              <w:t>2020</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453,338</w:t>
            </w: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2,299,971</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434,379</w:t>
            </w:r>
          </w:p>
        </w:tc>
        <w:tc>
          <w:tcPr>
            <w:tcW w:w="1680" w:type="dxa"/>
            <w:vAlign w:val="bottom"/>
            <w:vMerge w:val="restart"/>
          </w:tcPr>
          <w:p>
            <w:pPr>
              <w:jc w:val="right"/>
              <w:ind w:right="128"/>
              <w:spacing w:after="0"/>
              <w:rPr>
                <w:sz w:val="20"/>
                <w:szCs w:val="20"/>
                <w:color w:val="auto"/>
              </w:rPr>
            </w:pPr>
            <w:r>
              <w:rPr>
                <w:rFonts w:ascii="Arial" w:cs="Arial" w:eastAsia="Arial" w:hAnsi="Arial"/>
                <w:sz w:val="14"/>
                <w:szCs w:val="14"/>
                <w:color w:val="auto"/>
              </w:rPr>
              <w:t>993,049</w:t>
            </w:r>
          </w:p>
        </w:tc>
        <w:tc>
          <w:tcPr>
            <w:tcW w:w="1500" w:type="dxa"/>
            <w:vAlign w:val="bottom"/>
            <w:vMerge w:val="restart"/>
          </w:tcPr>
          <w:p>
            <w:pPr>
              <w:jc w:val="right"/>
              <w:ind w:right="228"/>
              <w:spacing w:after="0"/>
              <w:rPr>
                <w:sz w:val="20"/>
                <w:szCs w:val="20"/>
                <w:color w:val="auto"/>
              </w:rPr>
            </w:pPr>
            <w:r>
              <w:rPr>
                <w:rFonts w:ascii="Arial" w:cs="Arial" w:eastAsia="Arial" w:hAnsi="Arial"/>
                <w:sz w:val="14"/>
                <w:szCs w:val="14"/>
                <w:color w:val="auto"/>
              </w:rPr>
              <w:t>19,063</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4,199,800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1860" w:type="dxa"/>
            <w:vAlign w:val="bottom"/>
            <w:gridSpan w:val="2"/>
            <w:vMerge w:val="restart"/>
          </w:tcPr>
          <w:p>
            <w:pPr>
              <w:spacing w:after="0"/>
              <w:rPr>
                <w:sz w:val="20"/>
                <w:szCs w:val="20"/>
                <w:color w:val="auto"/>
              </w:rPr>
            </w:pPr>
            <w:r>
              <w:rPr>
                <w:rFonts w:ascii="Arial" w:cs="Arial" w:eastAsia="Arial" w:hAnsi="Arial"/>
                <w:sz w:val="14"/>
                <w:szCs w:val="14"/>
                <w:color w:val="auto"/>
              </w:rPr>
              <w:t>EVP, Retail Operations</w:t>
            </w:r>
          </w:p>
        </w:tc>
        <w:tc>
          <w:tcPr>
            <w:tcW w:w="8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8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ind w:left="280"/>
              <w:spacing w:after="0"/>
              <w:rPr>
                <w:sz w:val="20"/>
                <w:szCs w:val="20"/>
                <w:color w:val="auto"/>
              </w:rPr>
            </w:pPr>
            <w:r>
              <w:rPr>
                <w:rFonts w:ascii="Arial" w:cs="Arial" w:eastAsia="Arial" w:hAnsi="Arial"/>
                <w:sz w:val="14"/>
                <w:szCs w:val="14"/>
                <w:color w:val="auto"/>
              </w:rPr>
              <w:t>2019</w:t>
            </w:r>
          </w:p>
        </w:tc>
        <w:tc>
          <w:tcPr>
            <w:tcW w:w="1020" w:type="dxa"/>
            <w:vAlign w:val="bottom"/>
          </w:tcPr>
          <w:p>
            <w:pPr>
              <w:jc w:val="right"/>
              <w:spacing w:after="0"/>
              <w:rPr>
                <w:sz w:val="20"/>
                <w:szCs w:val="20"/>
                <w:color w:val="auto"/>
              </w:rPr>
            </w:pPr>
            <w:r>
              <w:rPr>
                <w:rFonts w:ascii="Arial" w:cs="Arial" w:eastAsia="Arial" w:hAnsi="Arial"/>
                <w:sz w:val="14"/>
                <w:szCs w:val="14"/>
                <w:color w:val="auto"/>
              </w:rPr>
              <w:t>463,884</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499,922</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480,509</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53,867</w:t>
            </w:r>
          </w:p>
        </w:tc>
        <w:tc>
          <w:tcPr>
            <w:tcW w:w="1040" w:type="dxa"/>
            <w:vAlign w:val="bottom"/>
          </w:tcPr>
          <w:p>
            <w:pPr>
              <w:jc w:val="right"/>
              <w:spacing w:after="0"/>
              <w:rPr>
                <w:sz w:val="20"/>
                <w:szCs w:val="20"/>
                <w:color w:val="auto"/>
              </w:rPr>
            </w:pPr>
            <w:r>
              <w:rPr>
                <w:rFonts w:ascii="Arial" w:cs="Arial" w:eastAsia="Arial" w:hAnsi="Arial"/>
                <w:sz w:val="14"/>
                <w:szCs w:val="14"/>
                <w:color w:val="auto"/>
              </w:rPr>
              <w:t>1,498,182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00" w:type="dxa"/>
            <w:vAlign w:val="bottom"/>
            <w:shd w:val="clear" w:color="auto" w:fill="DBDBDB"/>
          </w:tcPr>
          <w:p>
            <w:pPr>
              <w:spacing w:after="0"/>
              <w:rPr>
                <w:sz w:val="18"/>
                <w:szCs w:val="18"/>
                <w:color w:val="auto"/>
              </w:rPr>
            </w:pPr>
          </w:p>
        </w:tc>
        <w:tc>
          <w:tcPr>
            <w:tcW w:w="900" w:type="dxa"/>
            <w:vAlign w:val="bottom"/>
            <w:vMerge w:val="restart"/>
            <w:shd w:val="clear" w:color="auto" w:fill="DBDBDB"/>
          </w:tcPr>
          <w:p>
            <w:pPr>
              <w:spacing w:after="0"/>
              <w:rPr>
                <w:sz w:val="20"/>
                <w:szCs w:val="20"/>
                <w:color w:val="auto"/>
              </w:rPr>
            </w:pPr>
            <w:r>
              <w:rPr>
                <w:rFonts w:ascii="Arial" w:cs="Arial" w:eastAsia="Arial" w:hAnsi="Arial"/>
                <w:sz w:val="14"/>
                <w:szCs w:val="14"/>
                <w:b w:val="1"/>
                <w:bCs w:val="1"/>
                <w:color w:val="auto"/>
                <w:highlight w:val="lightGray"/>
              </w:rPr>
              <w:t>Manish Maini</w:t>
            </w:r>
          </w:p>
        </w:tc>
        <w:tc>
          <w:tcPr>
            <w:tcW w:w="960" w:type="dxa"/>
            <w:vAlign w:val="bottom"/>
            <w:shd w:val="clear" w:color="auto" w:fill="DBDBDB"/>
          </w:tcPr>
          <w:p>
            <w:pPr>
              <w:spacing w:after="0"/>
              <w:rPr>
                <w:sz w:val="18"/>
                <w:szCs w:val="18"/>
                <w:color w:val="auto"/>
              </w:rPr>
            </w:pPr>
          </w:p>
        </w:tc>
        <w:tc>
          <w:tcPr>
            <w:tcW w:w="8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2021</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532,819</w:t>
            </w:r>
          </w:p>
        </w:tc>
        <w:tc>
          <w:tcPr>
            <w:tcW w:w="11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947,998</w:t>
            </w:r>
          </w:p>
        </w:tc>
        <w:tc>
          <w:tcPr>
            <w:tcW w:w="9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401,989</w:t>
            </w:r>
          </w:p>
        </w:tc>
        <w:tc>
          <w:tcPr>
            <w:tcW w:w="16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783,750</w:t>
            </w:r>
          </w:p>
        </w:tc>
        <w:tc>
          <w:tcPr>
            <w:tcW w:w="15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24,491</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2,691,047</w:t>
            </w:r>
          </w:p>
        </w:tc>
        <w:tc>
          <w:tcPr>
            <w:tcW w:w="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00" w:type="dxa"/>
            <w:vAlign w:val="bottom"/>
            <w:shd w:val="clear" w:color="auto" w:fill="DBDBDB"/>
          </w:tcPr>
          <w:p>
            <w:pPr>
              <w:spacing w:after="0"/>
              <w:rPr>
                <w:sz w:val="10"/>
                <w:szCs w:val="10"/>
                <w:color w:val="auto"/>
              </w:rPr>
            </w:pPr>
          </w:p>
        </w:tc>
        <w:tc>
          <w:tcPr>
            <w:tcW w:w="900" w:type="dxa"/>
            <w:vAlign w:val="bottom"/>
            <w:vMerge w:val="continue"/>
            <w:shd w:val="clear" w:color="auto" w:fill="DBDBDB"/>
          </w:tcPr>
          <w:p>
            <w:pPr>
              <w:spacing w:after="0"/>
              <w:rPr>
                <w:sz w:val="10"/>
                <w:szCs w:val="10"/>
                <w:color w:val="auto"/>
              </w:rPr>
            </w:pPr>
          </w:p>
        </w:tc>
        <w:tc>
          <w:tcPr>
            <w:tcW w:w="960" w:type="dxa"/>
            <w:vAlign w:val="bottom"/>
            <w:shd w:val="clear" w:color="auto" w:fill="DBDBDB"/>
          </w:tcPr>
          <w:p>
            <w:pPr>
              <w:spacing w:after="0"/>
              <w:rPr>
                <w:sz w:val="10"/>
                <w:szCs w:val="10"/>
                <w:color w:val="auto"/>
              </w:rPr>
            </w:pPr>
          </w:p>
        </w:tc>
        <w:tc>
          <w:tcPr>
            <w:tcW w:w="860" w:type="dxa"/>
            <w:vAlign w:val="bottom"/>
            <w:vMerge w:val="restart"/>
            <w:shd w:val="clear" w:color="auto" w:fill="DBDBDB"/>
          </w:tcPr>
          <w:p>
            <w:pPr>
              <w:ind w:left="280"/>
              <w:spacing w:after="0"/>
              <w:rPr>
                <w:sz w:val="20"/>
                <w:szCs w:val="20"/>
                <w:color w:val="auto"/>
              </w:rPr>
            </w:pPr>
            <w:r>
              <w:rPr>
                <w:rFonts w:ascii="Arial" w:cs="Arial" w:eastAsia="Arial" w:hAnsi="Arial"/>
                <w:sz w:val="14"/>
                <w:szCs w:val="14"/>
                <w:color w:val="auto"/>
              </w:rPr>
              <w:t>2020</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442,867</w:t>
            </w:r>
          </w:p>
        </w:tc>
        <w:tc>
          <w:tcPr>
            <w:tcW w:w="1160" w:type="dxa"/>
            <w:vAlign w:val="bottom"/>
            <w:vMerge w:val="restart"/>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DBDBDB"/>
          </w:tcPr>
          <w:p>
            <w:pPr>
              <w:jc w:val="right"/>
              <w:ind w:right="108"/>
              <w:spacing w:after="0"/>
              <w:rPr>
                <w:sz w:val="20"/>
                <w:szCs w:val="20"/>
                <w:color w:val="auto"/>
              </w:rPr>
            </w:pPr>
            <w:r>
              <w:rPr>
                <w:rFonts w:ascii="Arial" w:cs="Arial" w:eastAsia="Arial" w:hAnsi="Arial"/>
                <w:sz w:val="14"/>
                <w:szCs w:val="14"/>
                <w:color w:val="auto"/>
              </w:rPr>
              <w:t>966,816</w:t>
            </w:r>
          </w:p>
        </w:tc>
        <w:tc>
          <w:tcPr>
            <w:tcW w:w="90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314,079</w:t>
            </w:r>
          </w:p>
        </w:tc>
        <w:tc>
          <w:tcPr>
            <w:tcW w:w="1680" w:type="dxa"/>
            <w:vAlign w:val="bottom"/>
            <w:vMerge w:val="restart"/>
            <w:shd w:val="clear" w:color="auto" w:fill="DBDBDB"/>
          </w:tcPr>
          <w:p>
            <w:pPr>
              <w:jc w:val="right"/>
              <w:ind w:right="128"/>
              <w:spacing w:after="0"/>
              <w:rPr>
                <w:sz w:val="20"/>
                <w:szCs w:val="20"/>
                <w:color w:val="auto"/>
              </w:rPr>
            </w:pPr>
            <w:r>
              <w:rPr>
                <w:rFonts w:ascii="Arial" w:cs="Arial" w:eastAsia="Arial" w:hAnsi="Arial"/>
                <w:sz w:val="14"/>
                <w:szCs w:val="14"/>
                <w:color w:val="auto"/>
              </w:rPr>
              <w:t>709,421</w:t>
            </w:r>
          </w:p>
        </w:tc>
        <w:tc>
          <w:tcPr>
            <w:tcW w:w="1500" w:type="dxa"/>
            <w:vAlign w:val="bottom"/>
            <w:vMerge w:val="restart"/>
            <w:shd w:val="clear" w:color="auto" w:fill="DBDBDB"/>
          </w:tcPr>
          <w:p>
            <w:pPr>
              <w:jc w:val="right"/>
              <w:ind w:right="228"/>
              <w:spacing w:after="0"/>
              <w:rPr>
                <w:sz w:val="20"/>
                <w:szCs w:val="20"/>
                <w:color w:val="auto"/>
              </w:rPr>
            </w:pPr>
            <w:r>
              <w:rPr>
                <w:rFonts w:ascii="Arial" w:cs="Arial" w:eastAsia="Arial" w:hAnsi="Arial"/>
                <w:sz w:val="14"/>
                <w:szCs w:val="14"/>
                <w:color w:val="auto"/>
              </w:rPr>
              <w:t>19,067</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2,452,250</w:t>
            </w:r>
          </w:p>
        </w:tc>
        <w:tc>
          <w:tcPr>
            <w:tcW w:w="10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00" w:type="dxa"/>
            <w:vAlign w:val="bottom"/>
            <w:shd w:val="clear" w:color="auto" w:fill="DBDBDB"/>
          </w:tcPr>
          <w:p>
            <w:pPr>
              <w:spacing w:after="0"/>
              <w:rPr>
                <w:sz w:val="17"/>
                <w:szCs w:val="17"/>
                <w:color w:val="auto"/>
              </w:rPr>
            </w:pPr>
          </w:p>
        </w:tc>
        <w:tc>
          <w:tcPr>
            <w:tcW w:w="186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SVP, Chief Information</w:t>
            </w:r>
          </w:p>
        </w:tc>
        <w:tc>
          <w:tcPr>
            <w:tcW w:w="860" w:type="dxa"/>
            <w:vAlign w:val="bottom"/>
            <w:vMerge w:val="continue"/>
            <w:shd w:val="clear" w:color="auto" w:fill="DBDBDB"/>
          </w:tcPr>
          <w:p>
            <w:pPr>
              <w:spacing w:after="0"/>
              <w:rPr>
                <w:sz w:val="17"/>
                <w:szCs w:val="17"/>
                <w:color w:val="auto"/>
              </w:rPr>
            </w:pPr>
          </w:p>
        </w:tc>
        <w:tc>
          <w:tcPr>
            <w:tcW w:w="1020" w:type="dxa"/>
            <w:vAlign w:val="bottom"/>
            <w:vMerge w:val="continue"/>
            <w:shd w:val="clear" w:color="auto" w:fill="DBDBDB"/>
          </w:tcPr>
          <w:p>
            <w:pPr>
              <w:spacing w:after="0"/>
              <w:rPr>
                <w:sz w:val="17"/>
                <w:szCs w:val="17"/>
                <w:color w:val="auto"/>
              </w:rPr>
            </w:pPr>
          </w:p>
        </w:tc>
        <w:tc>
          <w:tcPr>
            <w:tcW w:w="1160" w:type="dxa"/>
            <w:vAlign w:val="bottom"/>
            <w:vMerge w:val="continue"/>
            <w:shd w:val="clear" w:color="auto" w:fill="DBDBDB"/>
          </w:tcPr>
          <w:p>
            <w:pPr>
              <w:spacing w:after="0"/>
              <w:rPr>
                <w:sz w:val="17"/>
                <w:szCs w:val="17"/>
                <w:color w:val="auto"/>
              </w:rPr>
            </w:pPr>
          </w:p>
        </w:tc>
        <w:tc>
          <w:tcPr>
            <w:tcW w:w="1020" w:type="dxa"/>
            <w:vAlign w:val="bottom"/>
            <w:vMerge w:val="continue"/>
            <w:shd w:val="clear" w:color="auto" w:fill="DBDBDB"/>
          </w:tcPr>
          <w:p>
            <w:pPr>
              <w:spacing w:after="0"/>
              <w:rPr>
                <w:sz w:val="17"/>
                <w:szCs w:val="17"/>
                <w:color w:val="auto"/>
              </w:rPr>
            </w:pPr>
          </w:p>
        </w:tc>
        <w:tc>
          <w:tcPr>
            <w:tcW w:w="900" w:type="dxa"/>
            <w:vAlign w:val="bottom"/>
            <w:vMerge w:val="continue"/>
            <w:shd w:val="clear" w:color="auto" w:fill="DBDBDB"/>
          </w:tcPr>
          <w:p>
            <w:pPr>
              <w:spacing w:after="0"/>
              <w:rPr>
                <w:sz w:val="17"/>
                <w:szCs w:val="17"/>
                <w:color w:val="auto"/>
              </w:rPr>
            </w:pPr>
          </w:p>
        </w:tc>
        <w:tc>
          <w:tcPr>
            <w:tcW w:w="1680" w:type="dxa"/>
            <w:vAlign w:val="bottom"/>
            <w:vMerge w:val="continue"/>
            <w:shd w:val="clear" w:color="auto" w:fill="DBDBDB"/>
          </w:tcPr>
          <w:p>
            <w:pPr>
              <w:spacing w:after="0"/>
              <w:rPr>
                <w:sz w:val="17"/>
                <w:szCs w:val="17"/>
                <w:color w:val="auto"/>
              </w:rPr>
            </w:pPr>
          </w:p>
        </w:tc>
        <w:tc>
          <w:tcPr>
            <w:tcW w:w="1500" w:type="dxa"/>
            <w:vAlign w:val="bottom"/>
            <w:vMerge w:val="continue"/>
            <w:shd w:val="clear" w:color="auto" w:fill="DBDBDB"/>
          </w:tcPr>
          <w:p>
            <w:pPr>
              <w:spacing w:after="0"/>
              <w:rPr>
                <w:sz w:val="17"/>
                <w:szCs w:val="17"/>
                <w:color w:val="auto"/>
              </w:rPr>
            </w:pPr>
          </w:p>
        </w:tc>
        <w:tc>
          <w:tcPr>
            <w:tcW w:w="104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shd w:val="clear" w:color="auto" w:fill="DBDBDB"/>
          </w:tcPr>
          <w:p>
            <w:pPr>
              <w:spacing w:after="0"/>
              <w:rPr>
                <w:sz w:val="16"/>
                <w:szCs w:val="16"/>
                <w:color w:val="auto"/>
              </w:rPr>
            </w:pPr>
          </w:p>
        </w:tc>
        <w:tc>
          <w:tcPr>
            <w:tcW w:w="186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officer</w:t>
            </w:r>
          </w:p>
        </w:tc>
        <w:tc>
          <w:tcPr>
            <w:tcW w:w="860" w:type="dxa"/>
            <w:vAlign w:val="bottom"/>
            <w:vMerge w:val="restart"/>
            <w:shd w:val="clear" w:color="auto" w:fill="DBDBDB"/>
          </w:tcPr>
          <w:p>
            <w:pPr>
              <w:ind w:left="280"/>
              <w:spacing w:after="0"/>
              <w:rPr>
                <w:sz w:val="20"/>
                <w:szCs w:val="20"/>
                <w:color w:val="auto"/>
              </w:rPr>
            </w:pPr>
            <w:r>
              <w:rPr>
                <w:rFonts w:ascii="Arial" w:cs="Arial" w:eastAsia="Arial" w:hAnsi="Arial"/>
                <w:sz w:val="14"/>
                <w:szCs w:val="14"/>
                <w:color w:val="auto"/>
              </w:rPr>
              <w:t>2019</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466,942</w:t>
            </w:r>
          </w:p>
        </w:tc>
        <w:tc>
          <w:tcPr>
            <w:tcW w:w="1160" w:type="dxa"/>
            <w:vAlign w:val="bottom"/>
            <w:vMerge w:val="restart"/>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464,211</w:t>
            </w:r>
          </w:p>
        </w:tc>
        <w:tc>
          <w:tcPr>
            <w:tcW w:w="1680" w:type="dxa"/>
            <w:vAlign w:val="bottom"/>
            <w:vMerge w:val="restart"/>
            <w:shd w:val="clear" w:color="auto" w:fill="DBDBDB"/>
          </w:tcPr>
          <w:p>
            <w:pPr>
              <w:jc w:val="right"/>
              <w:ind w:right="128"/>
              <w:spacing w:after="0"/>
              <w:rPr>
                <w:sz w:val="20"/>
                <w:szCs w:val="20"/>
                <w:color w:val="auto"/>
              </w:rPr>
            </w:pPr>
            <w:r>
              <w:rPr>
                <w:rFonts w:ascii="Arial" w:cs="Arial" w:eastAsia="Arial" w:hAnsi="Arial"/>
                <w:sz w:val="14"/>
                <w:szCs w:val="14"/>
                <w:color w:val="auto"/>
              </w:rPr>
              <w:t>362,788</w:t>
            </w:r>
          </w:p>
        </w:tc>
        <w:tc>
          <w:tcPr>
            <w:tcW w:w="1500" w:type="dxa"/>
            <w:vAlign w:val="bottom"/>
            <w:vMerge w:val="restart"/>
            <w:shd w:val="clear" w:color="auto" w:fill="DBDBDB"/>
          </w:tcPr>
          <w:p>
            <w:pPr>
              <w:jc w:val="right"/>
              <w:ind w:right="228"/>
              <w:spacing w:after="0"/>
              <w:rPr>
                <w:sz w:val="20"/>
                <w:szCs w:val="20"/>
                <w:color w:val="auto"/>
              </w:rPr>
            </w:pPr>
            <w:r>
              <w:rPr>
                <w:rFonts w:ascii="Arial" w:cs="Arial" w:eastAsia="Arial" w:hAnsi="Arial"/>
                <w:sz w:val="14"/>
                <w:szCs w:val="14"/>
                <w:color w:val="auto"/>
              </w:rPr>
              <w:t>23,621</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1,317,562</w:t>
            </w:r>
          </w:p>
        </w:tc>
        <w:tc>
          <w:tcPr>
            <w:tcW w:w="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00" w:type="dxa"/>
            <w:vAlign w:val="bottom"/>
            <w:shd w:val="clear" w:color="auto" w:fill="DBDBDB"/>
          </w:tcPr>
          <w:p>
            <w:pPr>
              <w:spacing w:after="0"/>
              <w:rPr>
                <w:sz w:val="8"/>
                <w:szCs w:val="8"/>
                <w:color w:val="auto"/>
              </w:rPr>
            </w:pPr>
          </w:p>
        </w:tc>
        <w:tc>
          <w:tcPr>
            <w:tcW w:w="900" w:type="dxa"/>
            <w:vAlign w:val="bottom"/>
            <w:shd w:val="clear" w:color="auto" w:fill="DBDBDB"/>
          </w:tcPr>
          <w:p>
            <w:pPr>
              <w:spacing w:after="0"/>
              <w:rPr>
                <w:sz w:val="8"/>
                <w:szCs w:val="8"/>
                <w:color w:val="auto"/>
              </w:rPr>
            </w:pPr>
          </w:p>
        </w:tc>
        <w:tc>
          <w:tcPr>
            <w:tcW w:w="960" w:type="dxa"/>
            <w:vAlign w:val="bottom"/>
            <w:shd w:val="clear" w:color="auto" w:fill="DBDBDB"/>
          </w:tcPr>
          <w:p>
            <w:pPr>
              <w:spacing w:after="0"/>
              <w:rPr>
                <w:sz w:val="8"/>
                <w:szCs w:val="8"/>
                <w:color w:val="auto"/>
              </w:rPr>
            </w:pPr>
          </w:p>
        </w:tc>
        <w:tc>
          <w:tcPr>
            <w:tcW w:w="860" w:type="dxa"/>
            <w:vAlign w:val="bottom"/>
            <w:vMerge w:val="continue"/>
            <w:shd w:val="clear" w:color="auto" w:fill="DBDBDB"/>
          </w:tcPr>
          <w:p>
            <w:pPr>
              <w:spacing w:after="0"/>
              <w:rPr>
                <w:sz w:val="8"/>
                <w:szCs w:val="8"/>
                <w:color w:val="auto"/>
              </w:rPr>
            </w:pPr>
          </w:p>
        </w:tc>
        <w:tc>
          <w:tcPr>
            <w:tcW w:w="1020" w:type="dxa"/>
            <w:vAlign w:val="bottom"/>
            <w:vMerge w:val="continue"/>
            <w:shd w:val="clear" w:color="auto" w:fill="DBDBDB"/>
          </w:tcPr>
          <w:p>
            <w:pPr>
              <w:spacing w:after="0"/>
              <w:rPr>
                <w:sz w:val="8"/>
                <w:szCs w:val="8"/>
                <w:color w:val="auto"/>
              </w:rPr>
            </w:pPr>
          </w:p>
        </w:tc>
        <w:tc>
          <w:tcPr>
            <w:tcW w:w="1160" w:type="dxa"/>
            <w:vAlign w:val="bottom"/>
            <w:vMerge w:val="continue"/>
            <w:shd w:val="clear" w:color="auto" w:fill="DBDBDB"/>
          </w:tcPr>
          <w:p>
            <w:pPr>
              <w:spacing w:after="0"/>
              <w:rPr>
                <w:sz w:val="8"/>
                <w:szCs w:val="8"/>
                <w:color w:val="auto"/>
              </w:rPr>
            </w:pPr>
          </w:p>
        </w:tc>
        <w:tc>
          <w:tcPr>
            <w:tcW w:w="1020" w:type="dxa"/>
            <w:vAlign w:val="bottom"/>
            <w:vMerge w:val="continue"/>
            <w:shd w:val="clear" w:color="auto" w:fill="DBDBDB"/>
          </w:tcPr>
          <w:p>
            <w:pPr>
              <w:spacing w:after="0"/>
              <w:rPr>
                <w:sz w:val="8"/>
                <w:szCs w:val="8"/>
                <w:color w:val="auto"/>
              </w:rPr>
            </w:pPr>
          </w:p>
        </w:tc>
        <w:tc>
          <w:tcPr>
            <w:tcW w:w="900" w:type="dxa"/>
            <w:vAlign w:val="bottom"/>
            <w:vMerge w:val="continue"/>
            <w:shd w:val="clear" w:color="auto" w:fill="DBDBDB"/>
          </w:tcPr>
          <w:p>
            <w:pPr>
              <w:spacing w:after="0"/>
              <w:rPr>
                <w:sz w:val="8"/>
                <w:szCs w:val="8"/>
                <w:color w:val="auto"/>
              </w:rPr>
            </w:pPr>
          </w:p>
        </w:tc>
        <w:tc>
          <w:tcPr>
            <w:tcW w:w="1680" w:type="dxa"/>
            <w:vAlign w:val="bottom"/>
            <w:vMerge w:val="continue"/>
            <w:shd w:val="clear" w:color="auto" w:fill="DBDBDB"/>
          </w:tcPr>
          <w:p>
            <w:pPr>
              <w:spacing w:after="0"/>
              <w:rPr>
                <w:sz w:val="8"/>
                <w:szCs w:val="8"/>
                <w:color w:val="auto"/>
              </w:rPr>
            </w:pPr>
          </w:p>
        </w:tc>
        <w:tc>
          <w:tcPr>
            <w:tcW w:w="1500" w:type="dxa"/>
            <w:vAlign w:val="bottom"/>
            <w:vMerge w:val="continue"/>
            <w:shd w:val="clear" w:color="auto" w:fill="DBDBDB"/>
          </w:tcPr>
          <w:p>
            <w:pPr>
              <w:spacing w:after="0"/>
              <w:rPr>
                <w:sz w:val="8"/>
                <w:szCs w:val="8"/>
                <w:color w:val="auto"/>
              </w:rPr>
            </w:pPr>
          </w:p>
        </w:tc>
        <w:tc>
          <w:tcPr>
            <w:tcW w:w="1040" w:type="dxa"/>
            <w:vAlign w:val="bottom"/>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00" w:type="dxa"/>
            <w:vAlign w:val="bottom"/>
            <w:shd w:val="clear" w:color="auto" w:fill="DBDBDB"/>
          </w:tcPr>
          <w:p>
            <w:pPr>
              <w:spacing w:after="0"/>
              <w:rPr>
                <w:sz w:val="6"/>
                <w:szCs w:val="6"/>
                <w:color w:val="auto"/>
              </w:rPr>
            </w:pPr>
          </w:p>
        </w:tc>
        <w:tc>
          <w:tcPr>
            <w:tcW w:w="900" w:type="dxa"/>
            <w:vAlign w:val="bottom"/>
            <w:shd w:val="clear" w:color="auto" w:fill="DBDBDB"/>
          </w:tcPr>
          <w:p>
            <w:pPr>
              <w:spacing w:after="0"/>
              <w:rPr>
                <w:sz w:val="6"/>
                <w:szCs w:val="6"/>
                <w:color w:val="auto"/>
              </w:rPr>
            </w:pPr>
          </w:p>
        </w:tc>
        <w:tc>
          <w:tcPr>
            <w:tcW w:w="960" w:type="dxa"/>
            <w:vAlign w:val="bottom"/>
            <w:shd w:val="clear" w:color="auto" w:fill="DBDBDB"/>
          </w:tcPr>
          <w:p>
            <w:pPr>
              <w:spacing w:after="0"/>
              <w:rPr>
                <w:sz w:val="6"/>
                <w:szCs w:val="6"/>
                <w:color w:val="auto"/>
              </w:rPr>
            </w:pPr>
          </w:p>
        </w:tc>
        <w:tc>
          <w:tcPr>
            <w:tcW w:w="86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116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900" w:type="dxa"/>
            <w:vAlign w:val="bottom"/>
            <w:shd w:val="clear" w:color="auto" w:fill="DBDBDB"/>
          </w:tcPr>
          <w:p>
            <w:pPr>
              <w:spacing w:after="0"/>
              <w:rPr>
                <w:sz w:val="6"/>
                <w:szCs w:val="6"/>
                <w:color w:val="auto"/>
              </w:rPr>
            </w:pPr>
          </w:p>
        </w:tc>
        <w:tc>
          <w:tcPr>
            <w:tcW w:w="1680" w:type="dxa"/>
            <w:vAlign w:val="bottom"/>
            <w:shd w:val="clear" w:color="auto" w:fill="DBDBDB"/>
          </w:tcPr>
          <w:p>
            <w:pPr>
              <w:spacing w:after="0"/>
              <w:rPr>
                <w:sz w:val="6"/>
                <w:szCs w:val="6"/>
                <w:color w:val="auto"/>
              </w:rPr>
            </w:pPr>
          </w:p>
        </w:tc>
        <w:tc>
          <w:tcPr>
            <w:tcW w:w="1500" w:type="dxa"/>
            <w:vAlign w:val="bottom"/>
            <w:shd w:val="clear" w:color="auto" w:fill="DBDBDB"/>
          </w:tcPr>
          <w:p>
            <w:pPr>
              <w:spacing w:after="0"/>
              <w:rPr>
                <w:sz w:val="6"/>
                <w:szCs w:val="6"/>
                <w:color w:val="auto"/>
              </w:rPr>
            </w:pPr>
          </w:p>
        </w:tc>
        <w:tc>
          <w:tcPr>
            <w:tcW w:w="104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NEO’s base salary paid during the specified fiscal year and reflect the mid-year increases for 2021.</w:t>
      </w:r>
    </w:p>
    <w:p>
      <w:pPr>
        <w:spacing w:after="0" w:line="107" w:lineRule="exact"/>
        <w:rPr>
          <w:rFonts w:ascii="Arial" w:cs="Arial" w:eastAsia="Arial" w:hAnsi="Arial"/>
          <w:sz w:val="13"/>
          <w:szCs w:val="13"/>
          <w:color w:val="auto"/>
        </w:rPr>
      </w:pPr>
    </w:p>
    <w:p>
      <w:pPr>
        <w:ind w:left="340" w:right="20" w:hanging="332"/>
        <w:spacing w:after="0" w:line="276" w:lineRule="auto"/>
        <w:tabs>
          <w:tab w:leader="none" w:pos="337"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amounts reported in this column represent the grant date fair value of the Time RSUs and Performance RSUs granted to each of the NEOs in the specified fiscal year, computed in accordance with FASB Accounting Standards Codification Topic 718. In the case of Time RSUs, the grant date fair value is determined by multiplying the number of units granted by the closing price of our common stock on the grant date. The grant date fair value of the Performance RSUs granted in 2021 is based upon the probable outcome of the performance conditions at the date of grant and assumes the “target” level of performance is achieved, which is the highest level of performance condition achievable for the awards. The valuation assumptions used in determining such amounts are described in Note 9, Equity and Share-Based Compensation to our audited consolidated financial statements included in our Annual Report, incorporated by reference in this Proxy Statement.</w:t>
      </w:r>
    </w:p>
    <w:p>
      <w:pPr>
        <w:spacing w:after="0" w:line="70" w:lineRule="exact"/>
        <w:rPr>
          <w:rFonts w:ascii="Arial" w:cs="Arial" w:eastAsia="Arial" w:hAnsi="Arial"/>
          <w:sz w:val="12"/>
          <w:szCs w:val="12"/>
          <w:color w:val="auto"/>
        </w:rPr>
      </w:pPr>
    </w:p>
    <w:p>
      <w:pPr>
        <w:ind w:left="340" w:right="300" w:hanging="332"/>
        <w:spacing w:after="0" w:line="251" w:lineRule="auto"/>
        <w:tabs>
          <w:tab w:leader="none" w:pos="337"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grant date fair value of the Options granted to each of the NEOs in the specified fiscal year, computed in accordance with FASB Accounting Standards Codification Topic 718. The valuation assumptions used in determining such amounts are described in Note 9, Equity and Share-Based Compensation to our audited consolidated financial statements included in our Annual Report, incorporated by reference in this Proxy Statement.</w:t>
      </w:r>
    </w:p>
    <w:p>
      <w:pPr>
        <w:spacing w:after="0" w:line="97" w:lineRule="exact"/>
        <w:rPr>
          <w:rFonts w:ascii="Arial" w:cs="Arial" w:eastAsia="Arial" w:hAnsi="Arial"/>
          <w:sz w:val="13"/>
          <w:szCs w:val="13"/>
          <w:color w:val="auto"/>
        </w:rPr>
      </w:pPr>
    </w:p>
    <w:p>
      <w:pPr>
        <w:ind w:left="320" w:hanging="312"/>
        <w:spacing w:after="0"/>
        <w:tabs>
          <w:tab w:leader="none" w:pos="3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annual incentive bonus amounts earned by each NEO pursuant to the Bonus Plan.</w:t>
      </w:r>
    </w:p>
    <w:p>
      <w:pPr>
        <w:spacing w:after="0" w:line="107" w:lineRule="exact"/>
        <w:rPr>
          <w:rFonts w:ascii="Arial" w:cs="Arial" w:eastAsia="Arial" w:hAnsi="Arial"/>
          <w:sz w:val="13"/>
          <w:szCs w:val="13"/>
          <w:color w:val="auto"/>
        </w:rPr>
      </w:pPr>
    </w:p>
    <w:p>
      <w:pPr>
        <w:ind w:left="340" w:right="140" w:hanging="332"/>
        <w:spacing w:after="0" w:line="264" w:lineRule="auto"/>
        <w:tabs>
          <w:tab w:leader="none" w:pos="337" w:val="left"/>
        </w:tabs>
        <w:numPr>
          <w:ilvl w:val="0"/>
          <w:numId w:val="33"/>
        </w:numPr>
        <w:rPr>
          <w:rFonts w:ascii="Arial" w:cs="Arial" w:eastAsia="Arial" w:hAnsi="Arial"/>
          <w:sz w:val="13"/>
          <w:szCs w:val="13"/>
          <w:color w:val="auto"/>
        </w:rPr>
      </w:pPr>
      <w:r>
        <w:rPr>
          <w:rFonts w:ascii="Arial" w:cs="Arial" w:eastAsia="Arial" w:hAnsi="Arial"/>
          <w:sz w:val="13"/>
          <w:szCs w:val="13"/>
          <w:color w:val="auto"/>
        </w:rPr>
        <w:t>For a description of our perquisites, see “Other Compensation - Perquisites and Other Benefits” in this Compensation Discussion and Analysis. The table below summarizes the items included in the “All Other Compensation” for each NEO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857250"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261"/>
        </w:trPr>
        <w:tc>
          <w:tcPr>
            <w:tcW w:w="1840" w:type="dxa"/>
            <w:vAlign w:val="bottom"/>
            <w:shd w:val="clear" w:color="auto" w:fill="E1D7AC"/>
          </w:tcPr>
          <w:p>
            <w:pPr>
              <w:spacing w:after="0"/>
              <w:rPr>
                <w:sz w:val="22"/>
                <w:szCs w:val="22"/>
                <w:color w:val="auto"/>
              </w:rPr>
            </w:pPr>
          </w:p>
        </w:tc>
        <w:tc>
          <w:tcPr>
            <w:tcW w:w="1320" w:type="dxa"/>
            <w:vAlign w:val="bottom"/>
            <w:shd w:val="clear" w:color="auto" w:fill="E1D7AC"/>
          </w:tcPr>
          <w:p>
            <w:pPr>
              <w:spacing w:after="0"/>
              <w:rPr>
                <w:sz w:val="22"/>
                <w:szCs w:val="22"/>
                <w:color w:val="auto"/>
              </w:rPr>
            </w:pPr>
          </w:p>
        </w:tc>
        <w:tc>
          <w:tcPr>
            <w:tcW w:w="1480" w:type="dxa"/>
            <w:vAlign w:val="bottom"/>
            <w:shd w:val="clear" w:color="auto" w:fill="E1D7AC"/>
          </w:tcPr>
          <w:p>
            <w:pPr>
              <w:spacing w:after="0"/>
              <w:rPr>
                <w:sz w:val="22"/>
                <w:szCs w:val="22"/>
                <w:color w:val="auto"/>
              </w:rPr>
            </w:pPr>
          </w:p>
        </w:tc>
        <w:tc>
          <w:tcPr>
            <w:tcW w:w="1660" w:type="dxa"/>
            <w:vAlign w:val="bottom"/>
            <w:shd w:val="clear" w:color="auto" w:fill="E1D7AC"/>
          </w:tcPr>
          <w:p>
            <w:pPr>
              <w:spacing w:after="0"/>
              <w:rPr>
                <w:sz w:val="22"/>
                <w:szCs w:val="22"/>
                <w:color w:val="auto"/>
              </w:rPr>
            </w:pPr>
          </w:p>
        </w:tc>
        <w:tc>
          <w:tcPr>
            <w:tcW w:w="1260" w:type="dxa"/>
            <w:vAlign w:val="bottom"/>
            <w:shd w:val="clear" w:color="auto" w:fill="E1D7AC"/>
          </w:tcPr>
          <w:p>
            <w:pPr>
              <w:jc w:val="right"/>
              <w:ind w:right="8"/>
              <w:spacing w:after="0"/>
              <w:rPr>
                <w:sz w:val="20"/>
                <w:szCs w:val="20"/>
                <w:color w:val="auto"/>
              </w:rPr>
            </w:pPr>
            <w:r>
              <w:rPr>
                <w:rFonts w:ascii="Arial" w:cs="Arial" w:eastAsia="Arial" w:hAnsi="Arial"/>
                <w:sz w:val="14"/>
                <w:szCs w:val="14"/>
                <w:b w:val="1"/>
                <w:bCs w:val="1"/>
                <w:color w:val="auto"/>
              </w:rPr>
              <w:t>Perquisites</w:t>
            </w:r>
          </w:p>
        </w:tc>
        <w:tc>
          <w:tcPr>
            <w:tcW w:w="1640" w:type="dxa"/>
            <w:vAlign w:val="bottom"/>
            <w:shd w:val="clear" w:color="auto" w:fill="E1D7AC"/>
          </w:tcPr>
          <w:p>
            <w:pPr>
              <w:spacing w:after="0"/>
              <w:rPr>
                <w:sz w:val="22"/>
                <w:szCs w:val="22"/>
                <w:color w:val="auto"/>
              </w:rPr>
            </w:pPr>
          </w:p>
        </w:tc>
        <w:tc>
          <w:tcPr>
            <w:tcW w:w="1400" w:type="dxa"/>
            <w:vAlign w:val="bottom"/>
            <w:shd w:val="clear" w:color="auto" w:fill="E1D7AC"/>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E1D7AC"/>
          </w:tcPr>
          <w:p>
            <w:pPr>
              <w:spacing w:after="0"/>
              <w:rPr>
                <w:sz w:val="16"/>
                <w:szCs w:val="16"/>
                <w:color w:val="auto"/>
              </w:rPr>
            </w:pPr>
          </w:p>
        </w:tc>
        <w:tc>
          <w:tcPr>
            <w:tcW w:w="1320" w:type="dxa"/>
            <w:vAlign w:val="bottom"/>
            <w:shd w:val="clear" w:color="auto" w:fill="E1D7AC"/>
          </w:tcPr>
          <w:p>
            <w:pPr>
              <w:spacing w:after="0"/>
              <w:rPr>
                <w:sz w:val="16"/>
                <w:szCs w:val="16"/>
                <w:color w:val="auto"/>
              </w:rPr>
            </w:pPr>
          </w:p>
        </w:tc>
        <w:tc>
          <w:tcPr>
            <w:tcW w:w="1480" w:type="dxa"/>
            <w:vAlign w:val="bottom"/>
            <w:vMerge w:val="restart"/>
            <w:shd w:val="clear" w:color="auto" w:fill="E1D7AC"/>
          </w:tcPr>
          <w:p>
            <w:pPr>
              <w:jc w:val="right"/>
              <w:spacing w:after="0"/>
              <w:rPr>
                <w:sz w:val="20"/>
                <w:szCs w:val="20"/>
                <w:color w:val="auto"/>
              </w:rPr>
            </w:pPr>
            <w:r>
              <w:rPr>
                <w:rFonts w:ascii="Arial" w:cs="Arial" w:eastAsia="Arial" w:hAnsi="Arial"/>
                <w:sz w:val="14"/>
                <w:szCs w:val="14"/>
                <w:b w:val="1"/>
                <w:bCs w:val="1"/>
                <w:color w:val="auto"/>
              </w:rPr>
              <w:t>Financial</w:t>
            </w:r>
          </w:p>
        </w:tc>
        <w:tc>
          <w:tcPr>
            <w:tcW w:w="1660" w:type="dxa"/>
            <w:vAlign w:val="bottom"/>
            <w:shd w:val="clear" w:color="auto" w:fill="E1D7AC"/>
          </w:tcPr>
          <w:p>
            <w:pPr>
              <w:spacing w:after="0"/>
              <w:rPr>
                <w:sz w:val="16"/>
                <w:szCs w:val="16"/>
                <w:color w:val="auto"/>
              </w:rPr>
            </w:pPr>
          </w:p>
        </w:tc>
        <w:tc>
          <w:tcPr>
            <w:tcW w:w="1260" w:type="dxa"/>
            <w:vAlign w:val="bottom"/>
            <w:shd w:val="clear" w:color="auto" w:fill="E1D7AC"/>
          </w:tcPr>
          <w:p>
            <w:pPr>
              <w:jc w:val="right"/>
              <w:ind w:right="8"/>
              <w:spacing w:after="0"/>
              <w:rPr>
                <w:sz w:val="20"/>
                <w:szCs w:val="20"/>
                <w:color w:val="auto"/>
              </w:rPr>
            </w:pPr>
            <w:r>
              <w:rPr>
                <w:rFonts w:ascii="Arial" w:cs="Arial" w:eastAsia="Arial" w:hAnsi="Arial"/>
                <w:sz w:val="14"/>
                <w:szCs w:val="14"/>
                <w:b w:val="1"/>
                <w:bCs w:val="1"/>
                <w:color w:val="auto"/>
              </w:rPr>
              <w:t>Pursuant to</w:t>
            </w:r>
          </w:p>
        </w:tc>
        <w:tc>
          <w:tcPr>
            <w:tcW w:w="1640" w:type="dxa"/>
            <w:vAlign w:val="bottom"/>
            <w:shd w:val="clear" w:color="auto" w:fill="E1D7AC"/>
          </w:tcPr>
          <w:p>
            <w:pPr>
              <w:jc w:val="right"/>
              <w:ind w:right="168"/>
              <w:spacing w:after="0"/>
              <w:rPr>
                <w:sz w:val="20"/>
                <w:szCs w:val="20"/>
                <w:color w:val="auto"/>
              </w:rPr>
            </w:pPr>
            <w:r>
              <w:rPr>
                <w:rFonts w:ascii="Arial" w:cs="Arial" w:eastAsia="Arial" w:hAnsi="Arial"/>
                <w:sz w:val="14"/>
                <w:szCs w:val="14"/>
                <w:b w:val="1"/>
                <w:bCs w:val="1"/>
                <w:color w:val="auto"/>
              </w:rPr>
              <w:t>401(k) Plan</w:t>
            </w:r>
          </w:p>
        </w:tc>
        <w:tc>
          <w:tcPr>
            <w:tcW w:w="1400" w:type="dxa"/>
            <w:vAlign w:val="bottom"/>
            <w:vMerge w:val="restart"/>
            <w:shd w:val="clear" w:color="auto" w:fill="E1D7AC"/>
          </w:tcPr>
          <w:p>
            <w:pPr>
              <w:jc w:val="right"/>
              <w:ind w:right="68"/>
              <w:spacing w:after="0"/>
              <w:rPr>
                <w:sz w:val="20"/>
                <w:szCs w:val="20"/>
                <w:color w:val="auto"/>
              </w:rPr>
            </w:pPr>
            <w:r>
              <w:rPr>
                <w:rFonts w:ascii="Arial" w:cs="Arial" w:eastAsia="Arial" w:hAnsi="Arial"/>
                <w:sz w:val="14"/>
                <w:szCs w:val="14"/>
                <w:b w:val="1"/>
                <w:bCs w:val="1"/>
                <w:color w:val="auto"/>
              </w:rPr>
              <w:t>Total All Other</w:t>
            </w:r>
          </w:p>
        </w:tc>
        <w:tc>
          <w:tcPr>
            <w:tcW w:w="0" w:type="dxa"/>
            <w:vAlign w:val="bottom"/>
          </w:tcPr>
          <w:p>
            <w:pPr>
              <w:spacing w:after="0"/>
              <w:rPr>
                <w:sz w:val="1"/>
                <w:szCs w:val="1"/>
                <w:color w:val="auto"/>
              </w:rPr>
            </w:pPr>
          </w:p>
        </w:tc>
      </w:tr>
      <w:tr>
        <w:trPr>
          <w:trHeight w:val="175"/>
        </w:trPr>
        <w:tc>
          <w:tcPr>
            <w:tcW w:w="1840" w:type="dxa"/>
            <w:vAlign w:val="bottom"/>
            <w:shd w:val="clear" w:color="auto" w:fill="E1D7AC"/>
          </w:tcPr>
          <w:p>
            <w:pPr>
              <w:spacing w:after="0"/>
              <w:rPr>
                <w:sz w:val="15"/>
                <w:szCs w:val="15"/>
                <w:color w:val="auto"/>
              </w:rPr>
            </w:pPr>
          </w:p>
        </w:tc>
        <w:tc>
          <w:tcPr>
            <w:tcW w:w="1320" w:type="dxa"/>
            <w:vAlign w:val="bottom"/>
            <w:shd w:val="clear" w:color="auto" w:fill="E1D7AC"/>
          </w:tcPr>
          <w:p>
            <w:pPr>
              <w:spacing w:after="0"/>
              <w:rPr>
                <w:sz w:val="15"/>
                <w:szCs w:val="15"/>
                <w:color w:val="auto"/>
              </w:rPr>
            </w:pPr>
          </w:p>
        </w:tc>
        <w:tc>
          <w:tcPr>
            <w:tcW w:w="1480" w:type="dxa"/>
            <w:vAlign w:val="bottom"/>
            <w:vMerge w:val="continue"/>
            <w:shd w:val="clear" w:color="auto" w:fill="E1D7AC"/>
          </w:tcPr>
          <w:p>
            <w:pPr>
              <w:spacing w:after="0"/>
              <w:rPr>
                <w:sz w:val="15"/>
                <w:szCs w:val="15"/>
                <w:color w:val="auto"/>
              </w:rPr>
            </w:pPr>
          </w:p>
        </w:tc>
        <w:tc>
          <w:tcPr>
            <w:tcW w:w="1660" w:type="dxa"/>
            <w:vAlign w:val="bottom"/>
            <w:shd w:val="clear" w:color="auto" w:fill="E1D7AC"/>
          </w:tcPr>
          <w:p>
            <w:pPr>
              <w:spacing w:after="0"/>
              <w:rPr>
                <w:sz w:val="15"/>
                <w:szCs w:val="15"/>
                <w:color w:val="auto"/>
              </w:rPr>
            </w:pPr>
          </w:p>
        </w:tc>
        <w:tc>
          <w:tcPr>
            <w:tcW w:w="1260" w:type="dxa"/>
            <w:vAlign w:val="bottom"/>
            <w:shd w:val="clear" w:color="auto" w:fill="E1D7AC"/>
          </w:tcPr>
          <w:p>
            <w:pPr>
              <w:jc w:val="right"/>
              <w:ind w:right="8"/>
              <w:spacing w:after="0"/>
              <w:rPr>
                <w:sz w:val="20"/>
                <w:szCs w:val="20"/>
                <w:color w:val="auto"/>
              </w:rPr>
            </w:pPr>
            <w:r>
              <w:rPr>
                <w:rFonts w:ascii="Arial" w:cs="Arial" w:eastAsia="Arial" w:hAnsi="Arial"/>
                <w:sz w:val="14"/>
                <w:szCs w:val="14"/>
                <w:b w:val="1"/>
                <w:bCs w:val="1"/>
                <w:color w:val="auto"/>
              </w:rPr>
              <w:t>Employment</w:t>
            </w:r>
          </w:p>
        </w:tc>
        <w:tc>
          <w:tcPr>
            <w:tcW w:w="1640" w:type="dxa"/>
            <w:vAlign w:val="bottom"/>
            <w:shd w:val="clear" w:color="auto" w:fill="E1D7AC"/>
          </w:tcPr>
          <w:p>
            <w:pPr>
              <w:jc w:val="right"/>
              <w:ind w:right="168"/>
              <w:spacing w:after="0"/>
              <w:rPr>
                <w:sz w:val="20"/>
                <w:szCs w:val="20"/>
                <w:color w:val="auto"/>
              </w:rPr>
            </w:pPr>
            <w:r>
              <w:rPr>
                <w:rFonts w:ascii="Arial" w:cs="Arial" w:eastAsia="Arial" w:hAnsi="Arial"/>
                <w:sz w:val="14"/>
                <w:szCs w:val="14"/>
                <w:b w:val="1"/>
                <w:bCs w:val="1"/>
                <w:color w:val="auto"/>
              </w:rPr>
              <w:t>Employer Matching</w:t>
            </w:r>
          </w:p>
        </w:tc>
        <w:tc>
          <w:tcPr>
            <w:tcW w:w="1400" w:type="dxa"/>
            <w:vAlign w:val="bottom"/>
            <w:vMerge w:val="continue"/>
            <w:shd w:val="clear" w:color="auto" w:fill="E1D7A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E1D7AC"/>
          </w:tcPr>
          <w:p>
            <w:pPr>
              <w:spacing w:after="0"/>
              <w:rPr>
                <w:sz w:val="16"/>
                <w:szCs w:val="16"/>
                <w:color w:val="auto"/>
              </w:rPr>
            </w:pPr>
          </w:p>
        </w:tc>
        <w:tc>
          <w:tcPr>
            <w:tcW w:w="1320" w:type="dxa"/>
            <w:vAlign w:val="bottom"/>
            <w:shd w:val="clear" w:color="auto" w:fill="E1D7AC"/>
          </w:tcPr>
          <w:p>
            <w:pPr>
              <w:spacing w:after="0"/>
              <w:rPr>
                <w:sz w:val="16"/>
                <w:szCs w:val="16"/>
                <w:color w:val="auto"/>
              </w:rPr>
            </w:pPr>
          </w:p>
        </w:tc>
        <w:tc>
          <w:tcPr>
            <w:tcW w:w="148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rPr>
              <w:t>Planning Services</w:t>
            </w:r>
          </w:p>
        </w:tc>
        <w:tc>
          <w:tcPr>
            <w:tcW w:w="1660" w:type="dxa"/>
            <w:vAlign w:val="bottom"/>
            <w:shd w:val="clear" w:color="auto" w:fill="E1D7AC"/>
          </w:tcPr>
          <w:p>
            <w:pPr>
              <w:jc w:val="right"/>
              <w:ind w:right="228"/>
              <w:spacing w:after="0"/>
              <w:rPr>
                <w:sz w:val="20"/>
                <w:szCs w:val="20"/>
                <w:color w:val="auto"/>
              </w:rPr>
            </w:pPr>
            <w:r>
              <w:rPr>
                <w:rFonts w:ascii="Arial" w:cs="Arial" w:eastAsia="Arial" w:hAnsi="Arial"/>
                <w:sz w:val="14"/>
                <w:szCs w:val="14"/>
                <w:b w:val="1"/>
                <w:bCs w:val="1"/>
                <w:color w:val="auto"/>
              </w:rPr>
              <w:t>Executive Physical</w:t>
            </w:r>
          </w:p>
        </w:tc>
        <w:tc>
          <w:tcPr>
            <w:tcW w:w="1260" w:type="dxa"/>
            <w:vAlign w:val="bottom"/>
            <w:shd w:val="clear" w:color="auto" w:fill="E1D7AC"/>
          </w:tcPr>
          <w:p>
            <w:pPr>
              <w:jc w:val="right"/>
              <w:ind w:right="8"/>
              <w:spacing w:after="0"/>
              <w:rPr>
                <w:sz w:val="20"/>
                <w:szCs w:val="20"/>
                <w:color w:val="auto"/>
              </w:rPr>
            </w:pPr>
            <w:r>
              <w:rPr>
                <w:rFonts w:ascii="Arial" w:cs="Arial" w:eastAsia="Arial" w:hAnsi="Arial"/>
                <w:sz w:val="14"/>
                <w:szCs w:val="14"/>
                <w:b w:val="1"/>
                <w:bCs w:val="1"/>
                <w:color w:val="auto"/>
              </w:rPr>
              <w:t>Agreement</w:t>
            </w:r>
          </w:p>
        </w:tc>
        <w:tc>
          <w:tcPr>
            <w:tcW w:w="1640" w:type="dxa"/>
            <w:vAlign w:val="bottom"/>
            <w:shd w:val="clear" w:color="auto" w:fill="E1D7AC"/>
          </w:tcPr>
          <w:p>
            <w:pPr>
              <w:jc w:val="right"/>
              <w:ind w:right="168"/>
              <w:spacing w:after="0"/>
              <w:rPr>
                <w:sz w:val="20"/>
                <w:szCs w:val="20"/>
                <w:color w:val="auto"/>
              </w:rPr>
            </w:pPr>
            <w:r>
              <w:rPr>
                <w:rFonts w:ascii="Arial" w:cs="Arial" w:eastAsia="Arial" w:hAnsi="Arial"/>
                <w:sz w:val="14"/>
                <w:szCs w:val="14"/>
                <w:b w:val="1"/>
                <w:bCs w:val="1"/>
                <w:color w:val="auto"/>
              </w:rPr>
              <w:t>Contribution</w:t>
            </w:r>
          </w:p>
        </w:tc>
        <w:tc>
          <w:tcPr>
            <w:tcW w:w="1400" w:type="dxa"/>
            <w:vAlign w:val="bottom"/>
            <w:shd w:val="clear" w:color="auto" w:fill="E1D7AC"/>
          </w:tcPr>
          <w:p>
            <w:pPr>
              <w:jc w:val="right"/>
              <w:ind w:right="68"/>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10"/>
        </w:trPr>
        <w:tc>
          <w:tcPr>
            <w:tcW w:w="1840" w:type="dxa"/>
            <w:vAlign w:val="bottom"/>
            <w:shd w:val="clear" w:color="auto" w:fill="E1D7AC"/>
          </w:tcPr>
          <w:p>
            <w:pPr>
              <w:ind w:left="100"/>
              <w:spacing w:after="0"/>
              <w:rPr>
                <w:sz w:val="20"/>
                <w:szCs w:val="20"/>
                <w:color w:val="auto"/>
              </w:rPr>
            </w:pPr>
            <w:r>
              <w:rPr>
                <w:rFonts w:ascii="Arial" w:cs="Arial" w:eastAsia="Arial" w:hAnsi="Arial"/>
                <w:sz w:val="14"/>
                <w:szCs w:val="14"/>
                <w:b w:val="1"/>
                <w:bCs w:val="1"/>
                <w:color w:val="auto"/>
              </w:rPr>
              <w:t>Name</w:t>
            </w:r>
          </w:p>
        </w:tc>
        <w:tc>
          <w:tcPr>
            <w:tcW w:w="1320" w:type="dxa"/>
            <w:vAlign w:val="bottom"/>
            <w:shd w:val="clear" w:color="auto" w:fill="E1D7AC"/>
          </w:tcPr>
          <w:p>
            <w:pPr>
              <w:jc w:val="center"/>
              <w:ind w:left="88"/>
              <w:spacing w:after="0"/>
              <w:rPr>
                <w:sz w:val="20"/>
                <w:szCs w:val="20"/>
                <w:color w:val="auto"/>
              </w:rPr>
            </w:pPr>
            <w:r>
              <w:rPr>
                <w:rFonts w:ascii="Arial" w:cs="Arial" w:eastAsia="Arial" w:hAnsi="Arial"/>
                <w:sz w:val="14"/>
                <w:szCs w:val="14"/>
                <w:b w:val="1"/>
                <w:bCs w:val="1"/>
                <w:color w:val="auto"/>
              </w:rPr>
              <w:t>Fiscal Year</w:t>
            </w:r>
          </w:p>
        </w:tc>
        <w:tc>
          <w:tcPr>
            <w:tcW w:w="148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E1D7AC"/>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D7AC"/>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E1D7AC"/>
          </w:tcPr>
          <w:p>
            <w:pPr>
              <w:jc w:val="right"/>
              <w:ind w:right="168"/>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E1D7AC"/>
          </w:tcPr>
          <w:p>
            <w:pPr>
              <w:jc w:val="right"/>
              <w:ind w:right="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0"/>
        </w:trPr>
        <w:tc>
          <w:tcPr>
            <w:tcW w:w="1840" w:type="dxa"/>
            <w:vAlign w:val="bottom"/>
            <w:shd w:val="clear" w:color="auto" w:fill="E1D7AC"/>
          </w:tcPr>
          <w:p>
            <w:pPr>
              <w:spacing w:after="0"/>
              <w:rPr>
                <w:sz w:val="6"/>
                <w:szCs w:val="6"/>
                <w:color w:val="auto"/>
              </w:rPr>
            </w:pPr>
          </w:p>
        </w:tc>
        <w:tc>
          <w:tcPr>
            <w:tcW w:w="1320" w:type="dxa"/>
            <w:vAlign w:val="bottom"/>
            <w:shd w:val="clear" w:color="auto" w:fill="E1D7AC"/>
          </w:tcPr>
          <w:p>
            <w:pPr>
              <w:spacing w:after="0"/>
              <w:rPr>
                <w:sz w:val="6"/>
                <w:szCs w:val="6"/>
                <w:color w:val="auto"/>
              </w:rPr>
            </w:pPr>
          </w:p>
        </w:tc>
        <w:tc>
          <w:tcPr>
            <w:tcW w:w="1480" w:type="dxa"/>
            <w:vAlign w:val="bottom"/>
            <w:shd w:val="clear" w:color="auto" w:fill="E1D7AC"/>
          </w:tcPr>
          <w:p>
            <w:pPr>
              <w:spacing w:after="0"/>
              <w:rPr>
                <w:sz w:val="6"/>
                <w:szCs w:val="6"/>
                <w:color w:val="auto"/>
              </w:rPr>
            </w:pPr>
          </w:p>
        </w:tc>
        <w:tc>
          <w:tcPr>
            <w:tcW w:w="1660" w:type="dxa"/>
            <w:vAlign w:val="bottom"/>
            <w:shd w:val="clear" w:color="auto" w:fill="E1D7AC"/>
          </w:tcPr>
          <w:p>
            <w:pPr>
              <w:spacing w:after="0"/>
              <w:rPr>
                <w:sz w:val="6"/>
                <w:szCs w:val="6"/>
                <w:color w:val="auto"/>
              </w:rPr>
            </w:pPr>
          </w:p>
        </w:tc>
        <w:tc>
          <w:tcPr>
            <w:tcW w:w="1260" w:type="dxa"/>
            <w:vAlign w:val="bottom"/>
            <w:shd w:val="clear" w:color="auto" w:fill="E1D7AC"/>
          </w:tcPr>
          <w:p>
            <w:pPr>
              <w:spacing w:after="0"/>
              <w:rPr>
                <w:sz w:val="6"/>
                <w:szCs w:val="6"/>
                <w:color w:val="auto"/>
              </w:rPr>
            </w:pPr>
          </w:p>
        </w:tc>
        <w:tc>
          <w:tcPr>
            <w:tcW w:w="1640" w:type="dxa"/>
            <w:vAlign w:val="bottom"/>
            <w:shd w:val="clear" w:color="auto" w:fill="E1D7AC"/>
          </w:tcPr>
          <w:p>
            <w:pPr>
              <w:spacing w:after="0"/>
              <w:rPr>
                <w:sz w:val="6"/>
                <w:szCs w:val="6"/>
                <w:color w:val="auto"/>
              </w:rPr>
            </w:pPr>
          </w:p>
        </w:tc>
        <w:tc>
          <w:tcPr>
            <w:tcW w:w="1400" w:type="dxa"/>
            <w:vAlign w:val="bottom"/>
            <w:shd w:val="clear" w:color="auto" w:fill="E1D7AC"/>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Ken C. Hicks</w:t>
            </w:r>
          </w:p>
        </w:tc>
        <w:tc>
          <w:tcPr>
            <w:tcW w:w="1320" w:type="dxa"/>
            <w:vAlign w:val="bottom"/>
            <w:tcBorders>
              <w:bottom w:val="single" w:sz="8" w:color="DBDBDB"/>
            </w:tcBorders>
            <w:shd w:val="clear" w:color="auto" w:fill="DBDBDB"/>
          </w:tcPr>
          <w:p>
            <w:pPr>
              <w:jc w:val="center"/>
              <w:ind w:left="88"/>
              <w:spacing w:after="0"/>
              <w:rPr>
                <w:sz w:val="20"/>
                <w:szCs w:val="20"/>
                <w:color w:val="auto"/>
              </w:rPr>
            </w:pPr>
            <w:r>
              <w:rPr>
                <w:rFonts w:ascii="Arial" w:cs="Arial" w:eastAsia="Arial" w:hAnsi="Arial"/>
                <w:sz w:val="14"/>
                <w:szCs w:val="14"/>
                <w:color w:val="auto"/>
              </w:rPr>
              <w:t>2021</w:t>
            </w:r>
          </w:p>
        </w:tc>
        <w:tc>
          <w:tcPr>
            <w:tcW w:w="1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5,000</w:t>
            </w:r>
          </w:p>
        </w:tc>
        <w:tc>
          <w:tcPr>
            <w:tcW w:w="166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4"/>
                <w:szCs w:val="14"/>
                <w:color w:val="auto"/>
              </w:rPr>
              <w:t>4,277*</w:t>
            </w:r>
          </w:p>
        </w:tc>
        <w:tc>
          <w:tcPr>
            <w:tcW w:w="12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1,508,587*</w:t>
            </w:r>
          </w:p>
        </w:tc>
        <w:tc>
          <w:tcPr>
            <w:tcW w:w="16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17,400</w:t>
            </w:r>
          </w:p>
        </w:tc>
        <w:tc>
          <w:tcPr>
            <w:tcW w:w="14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1,535,264</w:t>
            </w:r>
          </w:p>
        </w:tc>
        <w:tc>
          <w:tcPr>
            <w:tcW w:w="0" w:type="dxa"/>
            <w:vAlign w:val="bottom"/>
          </w:tcPr>
          <w:p>
            <w:pPr>
              <w:spacing w:after="0"/>
              <w:rPr>
                <w:sz w:val="1"/>
                <w:szCs w:val="1"/>
                <w:color w:val="auto"/>
              </w:rPr>
            </w:pPr>
          </w:p>
        </w:tc>
      </w:tr>
      <w:tr>
        <w:trPr>
          <w:trHeight w:val="214"/>
        </w:trPr>
        <w:tc>
          <w:tcPr>
            <w:tcW w:w="1840" w:type="dxa"/>
            <w:vAlign w:val="bottom"/>
          </w:tcPr>
          <w:p>
            <w:pPr>
              <w:ind w:left="100"/>
              <w:spacing w:after="0"/>
              <w:rPr>
                <w:sz w:val="20"/>
                <w:szCs w:val="20"/>
                <w:color w:val="auto"/>
              </w:rPr>
            </w:pPr>
            <w:r>
              <w:rPr>
                <w:rFonts w:ascii="Arial" w:cs="Arial" w:eastAsia="Arial" w:hAnsi="Arial"/>
                <w:sz w:val="14"/>
                <w:szCs w:val="14"/>
                <w:b w:val="1"/>
                <w:bCs w:val="1"/>
                <w:color w:val="auto"/>
              </w:rPr>
              <w:t>Michael P. Mullican</w:t>
            </w:r>
          </w:p>
        </w:tc>
        <w:tc>
          <w:tcPr>
            <w:tcW w:w="1320" w:type="dxa"/>
            <w:vAlign w:val="bottom"/>
          </w:tcPr>
          <w:p>
            <w:pPr>
              <w:jc w:val="center"/>
              <w:ind w:left="88"/>
              <w:spacing w:after="0"/>
              <w:rPr>
                <w:sz w:val="20"/>
                <w:szCs w:val="20"/>
                <w:color w:val="auto"/>
              </w:rPr>
            </w:pPr>
            <w:r>
              <w:rPr>
                <w:rFonts w:ascii="Arial" w:cs="Arial" w:eastAsia="Arial" w:hAnsi="Arial"/>
                <w:sz w:val="14"/>
                <w:szCs w:val="14"/>
                <w:color w:val="auto"/>
              </w:rPr>
              <w:t>2021</w:t>
            </w:r>
          </w:p>
        </w:tc>
        <w:tc>
          <w:tcPr>
            <w:tcW w:w="1480" w:type="dxa"/>
            <w:vAlign w:val="bottom"/>
          </w:tcPr>
          <w:p>
            <w:pPr>
              <w:jc w:val="right"/>
              <w:spacing w:after="0"/>
              <w:rPr>
                <w:sz w:val="20"/>
                <w:szCs w:val="20"/>
                <w:color w:val="auto"/>
              </w:rPr>
            </w:pPr>
            <w:r>
              <w:rPr>
                <w:rFonts w:ascii="Arial" w:cs="Arial" w:eastAsia="Arial" w:hAnsi="Arial"/>
                <w:sz w:val="14"/>
                <w:szCs w:val="14"/>
                <w:color w:val="auto"/>
              </w:rPr>
              <w:t>5,000</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1,800</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18,171</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24,971</w:t>
            </w: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Steve P. Lawrence</w:t>
            </w:r>
          </w:p>
        </w:tc>
        <w:tc>
          <w:tcPr>
            <w:tcW w:w="1320" w:type="dxa"/>
            <w:vAlign w:val="bottom"/>
            <w:tcBorders>
              <w:bottom w:val="single" w:sz="8" w:color="DBDBDB"/>
            </w:tcBorders>
            <w:shd w:val="clear" w:color="auto" w:fill="DBDBDB"/>
          </w:tcPr>
          <w:p>
            <w:pPr>
              <w:jc w:val="center"/>
              <w:ind w:left="88"/>
              <w:spacing w:after="0"/>
              <w:rPr>
                <w:sz w:val="20"/>
                <w:szCs w:val="20"/>
                <w:color w:val="auto"/>
              </w:rPr>
            </w:pPr>
            <w:r>
              <w:rPr>
                <w:rFonts w:ascii="Arial" w:cs="Arial" w:eastAsia="Arial" w:hAnsi="Arial"/>
                <w:sz w:val="14"/>
                <w:szCs w:val="14"/>
                <w:color w:val="auto"/>
              </w:rPr>
              <w:t>2021</w:t>
            </w:r>
          </w:p>
        </w:tc>
        <w:tc>
          <w:tcPr>
            <w:tcW w:w="1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5,000</w:t>
            </w:r>
          </w:p>
        </w:tc>
        <w:tc>
          <w:tcPr>
            <w:tcW w:w="166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17,504</w:t>
            </w:r>
          </w:p>
        </w:tc>
        <w:tc>
          <w:tcPr>
            <w:tcW w:w="14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22,504</w:t>
            </w:r>
          </w:p>
        </w:tc>
        <w:tc>
          <w:tcPr>
            <w:tcW w:w="0" w:type="dxa"/>
            <w:vAlign w:val="bottom"/>
          </w:tcPr>
          <w:p>
            <w:pPr>
              <w:spacing w:after="0"/>
              <w:rPr>
                <w:sz w:val="1"/>
                <w:szCs w:val="1"/>
                <w:color w:val="auto"/>
              </w:rPr>
            </w:pPr>
          </w:p>
        </w:tc>
      </w:tr>
      <w:tr>
        <w:trPr>
          <w:trHeight w:val="214"/>
        </w:trPr>
        <w:tc>
          <w:tcPr>
            <w:tcW w:w="1840" w:type="dxa"/>
            <w:vAlign w:val="bottom"/>
          </w:tcPr>
          <w:p>
            <w:pPr>
              <w:ind w:left="100"/>
              <w:spacing w:after="0"/>
              <w:rPr>
                <w:sz w:val="20"/>
                <w:szCs w:val="20"/>
                <w:color w:val="auto"/>
              </w:rPr>
            </w:pPr>
            <w:r>
              <w:rPr>
                <w:rFonts w:ascii="Arial" w:cs="Arial" w:eastAsia="Arial" w:hAnsi="Arial"/>
                <w:sz w:val="14"/>
                <w:szCs w:val="14"/>
                <w:b w:val="1"/>
                <w:bCs w:val="1"/>
                <w:color w:val="auto"/>
              </w:rPr>
              <w:t>Sam J. Johnson</w:t>
            </w:r>
          </w:p>
        </w:tc>
        <w:tc>
          <w:tcPr>
            <w:tcW w:w="1320" w:type="dxa"/>
            <w:vAlign w:val="bottom"/>
          </w:tcPr>
          <w:p>
            <w:pPr>
              <w:jc w:val="center"/>
              <w:ind w:left="88"/>
              <w:spacing w:after="0"/>
              <w:rPr>
                <w:sz w:val="20"/>
                <w:szCs w:val="20"/>
                <w:color w:val="auto"/>
              </w:rPr>
            </w:pPr>
            <w:r>
              <w:rPr>
                <w:rFonts w:ascii="Arial" w:cs="Arial" w:eastAsia="Arial" w:hAnsi="Arial"/>
                <w:sz w:val="14"/>
                <w:szCs w:val="14"/>
                <w:color w:val="auto"/>
              </w:rPr>
              <w:t>2021</w:t>
            </w:r>
          </w:p>
        </w:tc>
        <w:tc>
          <w:tcPr>
            <w:tcW w:w="1480" w:type="dxa"/>
            <w:vAlign w:val="bottom"/>
          </w:tcPr>
          <w:p>
            <w:pPr>
              <w:jc w:val="right"/>
              <w:spacing w:after="0"/>
              <w:rPr>
                <w:sz w:val="20"/>
                <w:szCs w:val="20"/>
                <w:color w:val="auto"/>
              </w:rPr>
            </w:pPr>
            <w:r>
              <w:rPr>
                <w:rFonts w:ascii="Arial" w:cs="Arial" w:eastAsia="Arial" w:hAnsi="Arial"/>
                <w:sz w:val="14"/>
                <w:szCs w:val="14"/>
                <w:color w:val="auto"/>
              </w:rPr>
              <w:t>5,000</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1,800</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17,765</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24,565</w:t>
            </w: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84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Manish Maini</w:t>
            </w:r>
          </w:p>
        </w:tc>
        <w:tc>
          <w:tcPr>
            <w:tcW w:w="132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2021</w:t>
            </w: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5,000</w:t>
            </w:r>
          </w:p>
        </w:tc>
        <w:tc>
          <w:tcPr>
            <w:tcW w:w="166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1,800</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17,691</w:t>
            </w:r>
          </w:p>
        </w:tc>
        <w:tc>
          <w:tcPr>
            <w:tcW w:w="140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24,491</w:t>
            </w:r>
          </w:p>
        </w:tc>
        <w:tc>
          <w:tcPr>
            <w:tcW w:w="0" w:type="dxa"/>
            <w:vAlign w:val="bottom"/>
          </w:tcPr>
          <w:p>
            <w:pPr>
              <w:spacing w:after="0"/>
              <w:rPr>
                <w:sz w:val="1"/>
                <w:szCs w:val="1"/>
                <w:color w:val="auto"/>
              </w:rPr>
            </w:pPr>
          </w:p>
        </w:tc>
      </w:tr>
      <w:tr>
        <w:trPr>
          <w:trHeight w:val="29"/>
        </w:trPr>
        <w:tc>
          <w:tcPr>
            <w:tcW w:w="1840" w:type="dxa"/>
            <w:vAlign w:val="bottom"/>
            <w:shd w:val="clear" w:color="auto" w:fill="DBDBDB"/>
          </w:tcPr>
          <w:p>
            <w:pPr>
              <w:spacing w:after="0"/>
              <w:rPr>
                <w:sz w:val="2"/>
                <w:szCs w:val="2"/>
                <w:color w:val="auto"/>
              </w:rPr>
            </w:pPr>
          </w:p>
        </w:tc>
        <w:tc>
          <w:tcPr>
            <w:tcW w:w="1320" w:type="dxa"/>
            <w:vAlign w:val="bottom"/>
            <w:shd w:val="clear" w:color="auto" w:fill="DBDBDB"/>
          </w:tcPr>
          <w:p>
            <w:pPr>
              <w:spacing w:after="0"/>
              <w:rPr>
                <w:sz w:val="2"/>
                <w:szCs w:val="2"/>
                <w:color w:val="auto"/>
              </w:rPr>
            </w:pPr>
          </w:p>
        </w:tc>
        <w:tc>
          <w:tcPr>
            <w:tcW w:w="1480" w:type="dxa"/>
            <w:vAlign w:val="bottom"/>
            <w:shd w:val="clear" w:color="auto" w:fill="DBDBDB"/>
          </w:tcPr>
          <w:p>
            <w:pPr>
              <w:spacing w:after="0"/>
              <w:rPr>
                <w:sz w:val="2"/>
                <w:szCs w:val="2"/>
                <w:color w:val="auto"/>
              </w:rPr>
            </w:pPr>
          </w:p>
        </w:tc>
        <w:tc>
          <w:tcPr>
            <w:tcW w:w="166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64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
        <w:spacing w:after="0"/>
        <w:rPr>
          <w:sz w:val="20"/>
          <w:szCs w:val="20"/>
          <w:color w:val="auto"/>
        </w:rPr>
      </w:pPr>
      <w:r>
        <w:rPr>
          <w:rFonts w:ascii="Arial" w:cs="Arial" w:eastAsia="Arial" w:hAnsi="Arial"/>
          <w:sz w:val="13"/>
          <w:szCs w:val="13"/>
          <w:color w:val="auto"/>
        </w:rPr>
        <w:t>(*) “All Other Compensation” includes:</w:t>
      </w:r>
    </w:p>
    <w:p>
      <w:pPr>
        <w:spacing w:after="0" w:line="107" w:lineRule="exact"/>
        <w:rPr>
          <w:sz w:val="20"/>
          <w:szCs w:val="20"/>
          <w:color w:val="auto"/>
        </w:rPr>
      </w:pPr>
    </w:p>
    <w:p>
      <w:pPr>
        <w:ind w:left="400" w:hanging="328"/>
        <w:spacing w:after="0"/>
        <w:tabs>
          <w:tab w:leader="none" w:pos="4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$2,000 in connection with an executive physical with a tax gross-up of $2,277.</w:t>
      </w:r>
    </w:p>
    <w:p>
      <w:pPr>
        <w:spacing w:after="0" w:line="107" w:lineRule="exact"/>
        <w:rPr>
          <w:rFonts w:ascii="Arial" w:cs="Arial" w:eastAsia="Arial" w:hAnsi="Arial"/>
          <w:sz w:val="13"/>
          <w:szCs w:val="13"/>
          <w:color w:val="auto"/>
        </w:rPr>
      </w:pPr>
    </w:p>
    <w:p>
      <w:pPr>
        <w:ind w:left="400" w:right="240" w:hanging="328"/>
        <w:spacing w:after="0" w:line="264" w:lineRule="auto"/>
        <w:tabs>
          <w:tab w:leader="none" w:pos="396" w:val="left"/>
        </w:tabs>
        <w:numPr>
          <w:ilvl w:val="0"/>
          <w:numId w:val="34"/>
        </w:numPr>
        <w:rPr>
          <w:rFonts w:ascii="Arial" w:cs="Arial" w:eastAsia="Arial" w:hAnsi="Arial"/>
          <w:sz w:val="13"/>
          <w:szCs w:val="13"/>
          <w:color w:val="auto"/>
        </w:rPr>
      </w:pPr>
      <w:r>
        <w:rPr>
          <w:rFonts w:ascii="Arial" w:cs="Arial" w:eastAsia="Arial" w:hAnsi="Arial"/>
          <w:sz w:val="13"/>
          <w:szCs w:val="13"/>
          <w:color w:val="auto"/>
        </w:rPr>
        <w:t>$52,584 for monthly rent and utilities costs (including electric, gas, water, alarm, cable, housekeeping and internet but excluding meals and laundry) for a furnished rental apartment in the Katy, Texas area, which includes a $61,680 tax-gross up on these amounts per Mr. Hicks’s employment agreement;</w:t>
      </w:r>
    </w:p>
    <w:p>
      <w:pPr>
        <w:spacing w:after="0" w:line="76" w:lineRule="exact"/>
        <w:rPr>
          <w:rFonts w:ascii="Arial" w:cs="Arial" w:eastAsia="Arial" w:hAnsi="Arial"/>
          <w:sz w:val="13"/>
          <w:szCs w:val="13"/>
          <w:color w:val="auto"/>
        </w:rPr>
      </w:pPr>
    </w:p>
    <w:p>
      <w:pPr>
        <w:ind w:left="400" w:right="220" w:hanging="328"/>
        <w:spacing w:after="0" w:line="286" w:lineRule="auto"/>
        <w:tabs>
          <w:tab w:leader="none" w:pos="397" w:val="left"/>
        </w:tabs>
        <w:numPr>
          <w:ilvl w:val="0"/>
          <w:numId w:val="34"/>
        </w:numPr>
        <w:rPr>
          <w:rFonts w:ascii="Arial" w:cs="Arial" w:eastAsia="Arial" w:hAnsi="Arial"/>
          <w:sz w:val="13"/>
          <w:szCs w:val="13"/>
          <w:color w:val="auto"/>
        </w:rPr>
      </w:pPr>
      <w:r>
        <w:rPr>
          <w:rFonts w:ascii="Arial" w:cs="Arial" w:eastAsia="Arial" w:hAnsi="Arial"/>
          <w:sz w:val="13"/>
          <w:szCs w:val="13"/>
          <w:color w:val="auto"/>
        </w:rPr>
        <w:t>$20,624 for use of a Company-owned vehicle when in Katy, Texas and all maintenance and insurance costs with respect to such vehicle (calculated as described below), which includes a $17,241 tax gross-up on the cost of the Company vehicle usage; and</w:t>
      </w:r>
    </w:p>
    <w:p>
      <w:pPr>
        <w:spacing w:after="0" w:line="62" w:lineRule="exact"/>
        <w:rPr>
          <w:rFonts w:ascii="Arial" w:cs="Arial" w:eastAsia="Arial" w:hAnsi="Arial"/>
          <w:sz w:val="13"/>
          <w:szCs w:val="13"/>
          <w:color w:val="auto"/>
        </w:rPr>
      </w:pPr>
    </w:p>
    <w:p>
      <w:pPr>
        <w:ind w:left="400" w:right="160" w:hanging="328"/>
        <w:spacing w:after="0" w:line="264" w:lineRule="auto"/>
        <w:tabs>
          <w:tab w:leader="none" w:pos="381" w:val="left"/>
        </w:tabs>
        <w:numPr>
          <w:ilvl w:val="0"/>
          <w:numId w:val="34"/>
        </w:numPr>
        <w:rPr>
          <w:rFonts w:ascii="Arial" w:cs="Arial" w:eastAsia="Arial" w:hAnsi="Arial"/>
          <w:sz w:val="13"/>
          <w:szCs w:val="13"/>
          <w:color w:val="auto"/>
        </w:rPr>
      </w:pPr>
      <w:r>
        <w:rPr>
          <w:rFonts w:ascii="Arial" w:cs="Arial" w:eastAsia="Arial" w:hAnsi="Arial"/>
          <w:sz w:val="13"/>
          <w:szCs w:val="13"/>
          <w:color w:val="auto"/>
        </w:rPr>
        <w:t>$1,274,942 for expenses incurred in connection with periodic travel from work in Katy, Texas to his residence in California (including jet card payments for private air travel, cost of meals on the flights and for transportation to and from airports), which includes a $79,239 tax-gross up on the cost of flights and transportation to and from his flights to his home.</w:t>
      </w:r>
    </w:p>
    <w:p>
      <w:pPr>
        <w:spacing w:after="0" w:line="76"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We calculated the incremental cost to us for Mr. Hicks’ personal use of a Company vehicle (including commuting and business travel not considered directly and integrally related to the performance of his duties) based on the depreciation expense, cost of insurance, and operating costs, such as fuel and maintenance, related to such travel. The incremental costs of personal trips using other ground transportation arrangements, such as vehicle services, are valued at the actual cost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6115050</wp:posOffset>
            </wp:positionH>
            <wp:positionV relativeFrom="paragraph">
              <wp:posOffset>1024890</wp:posOffset>
            </wp:positionV>
            <wp:extent cx="857250"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0980"/>
          </w:cols>
          <w:pgMar w:left="58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color w:val="007EC4"/>
        </w:rPr>
        <w:t xml:space="preserve">50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Grants of Plan Based Awards in 2021</w:t>
      </w:r>
    </w:p>
    <w:p>
      <w:pPr>
        <w:spacing w:after="0" w:line="13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following table provides information with regard to each grant of plan-based awards made to a NEO under any plan during the fiscal year ended January 29, 2022. For additional information regarding non-equity incentive plan awards, please see “—2021 Executive Team Bonus Plan.” For additional information regarding equity incentive plan awards, please see “Long-Term Equity Incentive Compensation.”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960" w:type="dxa"/>
            <w:vAlign w:val="bottom"/>
            <w:shd w:val="clear" w:color="auto" w:fill="E1D7AC"/>
          </w:tcPr>
          <w:p>
            <w:pPr>
              <w:spacing w:after="0"/>
              <w:rPr>
                <w:sz w:val="24"/>
                <w:szCs w:val="24"/>
                <w:color w:val="auto"/>
              </w:rPr>
            </w:pPr>
          </w:p>
        </w:tc>
        <w:tc>
          <w:tcPr>
            <w:tcW w:w="1000" w:type="dxa"/>
            <w:vAlign w:val="bottom"/>
            <w:shd w:val="clear" w:color="auto" w:fill="E1D7AC"/>
          </w:tcPr>
          <w:p>
            <w:pPr>
              <w:spacing w:after="0"/>
              <w:rPr>
                <w:sz w:val="24"/>
                <w:szCs w:val="24"/>
                <w:color w:val="auto"/>
              </w:rPr>
            </w:pPr>
          </w:p>
        </w:tc>
        <w:tc>
          <w:tcPr>
            <w:tcW w:w="860" w:type="dxa"/>
            <w:vAlign w:val="bottom"/>
            <w:shd w:val="clear" w:color="auto" w:fill="E1D7AC"/>
          </w:tcPr>
          <w:p>
            <w:pPr>
              <w:spacing w:after="0"/>
              <w:rPr>
                <w:sz w:val="24"/>
                <w:szCs w:val="24"/>
                <w:color w:val="auto"/>
              </w:rPr>
            </w:pPr>
          </w:p>
        </w:tc>
        <w:tc>
          <w:tcPr>
            <w:tcW w:w="2660" w:type="dxa"/>
            <w:vAlign w:val="bottom"/>
            <w:gridSpan w:val="4"/>
            <w:vMerge w:val="restart"/>
            <w:shd w:val="clear" w:color="auto" w:fill="E1D7AC"/>
          </w:tcPr>
          <w:p>
            <w:pPr>
              <w:jc w:val="right"/>
              <w:ind w:right="120"/>
              <w:spacing w:after="0"/>
              <w:rPr>
                <w:sz w:val="20"/>
                <w:szCs w:val="20"/>
                <w:color w:val="auto"/>
              </w:rPr>
            </w:pPr>
            <w:r>
              <w:rPr>
                <w:rFonts w:ascii="Arial" w:cs="Arial" w:eastAsia="Arial" w:hAnsi="Arial"/>
                <w:sz w:val="13"/>
                <w:szCs w:val="13"/>
                <w:b w:val="1"/>
                <w:bCs w:val="1"/>
                <w:color w:val="auto"/>
              </w:rPr>
              <w:t>Estimated Future Payouts Under Non-</w:t>
            </w:r>
          </w:p>
        </w:tc>
        <w:tc>
          <w:tcPr>
            <w:tcW w:w="2360" w:type="dxa"/>
            <w:vAlign w:val="bottom"/>
            <w:gridSpan w:val="3"/>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rPr>
              <w:t>Estimated Future Payouts Under</w:t>
            </w:r>
          </w:p>
        </w:tc>
        <w:tc>
          <w:tcPr>
            <w:tcW w:w="800" w:type="dxa"/>
            <w:vAlign w:val="bottom"/>
            <w:shd w:val="clear" w:color="auto" w:fill="E1D7AC"/>
          </w:tcPr>
          <w:p>
            <w:pPr>
              <w:spacing w:after="0"/>
              <w:rPr>
                <w:sz w:val="24"/>
                <w:szCs w:val="24"/>
                <w:color w:val="auto"/>
              </w:rPr>
            </w:pPr>
          </w:p>
        </w:tc>
        <w:tc>
          <w:tcPr>
            <w:tcW w:w="98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All Other</w:t>
            </w:r>
          </w:p>
        </w:tc>
        <w:tc>
          <w:tcPr>
            <w:tcW w:w="840" w:type="dxa"/>
            <w:vAlign w:val="bottom"/>
            <w:shd w:val="clear" w:color="auto" w:fill="E1D7AC"/>
          </w:tcPr>
          <w:p>
            <w:pPr>
              <w:spacing w:after="0"/>
              <w:rPr>
                <w:sz w:val="24"/>
                <w:szCs w:val="24"/>
                <w:color w:val="auto"/>
              </w:rPr>
            </w:pPr>
          </w:p>
        </w:tc>
        <w:tc>
          <w:tcPr>
            <w:tcW w:w="780" w:type="dxa"/>
            <w:vAlign w:val="bottom"/>
            <w:shd w:val="clear" w:color="auto" w:fill="E1D7AC"/>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960" w:type="dxa"/>
            <w:vAlign w:val="bottom"/>
            <w:shd w:val="clear" w:color="auto" w:fill="E1D7AC"/>
          </w:tcPr>
          <w:p>
            <w:pPr>
              <w:spacing w:after="0"/>
              <w:rPr>
                <w:sz w:val="5"/>
                <w:szCs w:val="5"/>
                <w:color w:val="auto"/>
              </w:rPr>
            </w:pPr>
          </w:p>
        </w:tc>
        <w:tc>
          <w:tcPr>
            <w:tcW w:w="1000" w:type="dxa"/>
            <w:vAlign w:val="bottom"/>
            <w:shd w:val="clear" w:color="auto" w:fill="E1D7AC"/>
          </w:tcPr>
          <w:p>
            <w:pPr>
              <w:spacing w:after="0"/>
              <w:rPr>
                <w:sz w:val="5"/>
                <w:szCs w:val="5"/>
                <w:color w:val="auto"/>
              </w:rPr>
            </w:pPr>
          </w:p>
        </w:tc>
        <w:tc>
          <w:tcPr>
            <w:tcW w:w="860" w:type="dxa"/>
            <w:vAlign w:val="bottom"/>
            <w:shd w:val="clear" w:color="auto" w:fill="E1D7AC"/>
          </w:tcPr>
          <w:p>
            <w:pPr>
              <w:spacing w:after="0"/>
              <w:rPr>
                <w:sz w:val="5"/>
                <w:szCs w:val="5"/>
                <w:color w:val="auto"/>
              </w:rPr>
            </w:pPr>
          </w:p>
        </w:tc>
        <w:tc>
          <w:tcPr>
            <w:tcW w:w="2660" w:type="dxa"/>
            <w:vAlign w:val="bottom"/>
            <w:gridSpan w:val="4"/>
            <w:vMerge w:val="continue"/>
            <w:shd w:val="clear" w:color="auto" w:fill="E1D7AC"/>
          </w:tcPr>
          <w:p>
            <w:pPr>
              <w:spacing w:after="0"/>
              <w:rPr>
                <w:sz w:val="5"/>
                <w:szCs w:val="5"/>
                <w:color w:val="auto"/>
              </w:rPr>
            </w:pPr>
          </w:p>
        </w:tc>
        <w:tc>
          <w:tcPr>
            <w:tcW w:w="2360" w:type="dxa"/>
            <w:vAlign w:val="bottom"/>
            <w:gridSpan w:val="3"/>
            <w:vMerge w:val="continue"/>
            <w:shd w:val="clear" w:color="auto" w:fill="E1D7AC"/>
          </w:tcPr>
          <w:p>
            <w:pPr>
              <w:spacing w:after="0"/>
              <w:rPr>
                <w:sz w:val="5"/>
                <w:szCs w:val="5"/>
                <w:color w:val="auto"/>
              </w:rPr>
            </w:pPr>
          </w:p>
        </w:tc>
        <w:tc>
          <w:tcPr>
            <w:tcW w:w="80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rPr>
              <w:t>All Other</w:t>
            </w:r>
          </w:p>
        </w:tc>
        <w:tc>
          <w:tcPr>
            <w:tcW w:w="98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rPr>
              <w:t>Option</w:t>
            </w:r>
          </w:p>
        </w:tc>
        <w:tc>
          <w:tcPr>
            <w:tcW w:w="840" w:type="dxa"/>
            <w:vAlign w:val="bottom"/>
            <w:shd w:val="clear" w:color="auto" w:fill="E1D7AC"/>
          </w:tcPr>
          <w:p>
            <w:pPr>
              <w:spacing w:after="0"/>
              <w:rPr>
                <w:sz w:val="5"/>
                <w:szCs w:val="5"/>
                <w:color w:val="auto"/>
              </w:rPr>
            </w:pPr>
          </w:p>
        </w:tc>
        <w:tc>
          <w:tcPr>
            <w:tcW w:w="780" w:type="dxa"/>
            <w:vAlign w:val="bottom"/>
            <w:shd w:val="clear" w:color="auto" w:fill="E1D7AC"/>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960" w:type="dxa"/>
            <w:vAlign w:val="bottom"/>
            <w:shd w:val="clear" w:color="auto" w:fill="E1D7AC"/>
          </w:tcPr>
          <w:p>
            <w:pPr>
              <w:spacing w:after="0"/>
              <w:rPr>
                <w:sz w:val="10"/>
                <w:szCs w:val="10"/>
                <w:color w:val="auto"/>
              </w:rPr>
            </w:pPr>
          </w:p>
        </w:tc>
        <w:tc>
          <w:tcPr>
            <w:tcW w:w="1000" w:type="dxa"/>
            <w:vAlign w:val="bottom"/>
            <w:shd w:val="clear" w:color="auto" w:fill="E1D7AC"/>
          </w:tcPr>
          <w:p>
            <w:pPr>
              <w:spacing w:after="0"/>
              <w:rPr>
                <w:sz w:val="10"/>
                <w:szCs w:val="10"/>
                <w:color w:val="auto"/>
              </w:rPr>
            </w:pPr>
          </w:p>
        </w:tc>
        <w:tc>
          <w:tcPr>
            <w:tcW w:w="860" w:type="dxa"/>
            <w:vAlign w:val="bottom"/>
            <w:shd w:val="clear" w:color="auto" w:fill="E1D7AC"/>
          </w:tcPr>
          <w:p>
            <w:pPr>
              <w:spacing w:after="0"/>
              <w:rPr>
                <w:sz w:val="10"/>
                <w:szCs w:val="10"/>
                <w:color w:val="auto"/>
              </w:rPr>
            </w:pPr>
          </w:p>
        </w:tc>
        <w:tc>
          <w:tcPr>
            <w:tcW w:w="2660" w:type="dxa"/>
            <w:vAlign w:val="bottom"/>
            <w:gridSpan w:val="4"/>
            <w:shd w:val="clear" w:color="auto" w:fill="E1D7AC"/>
          </w:tcPr>
          <w:p>
            <w:pPr>
              <w:jc w:val="right"/>
              <w:ind w:right="120"/>
              <w:spacing w:after="0" w:line="126" w:lineRule="exact"/>
              <w:rPr>
                <w:sz w:val="20"/>
                <w:szCs w:val="20"/>
                <w:color w:val="auto"/>
              </w:rPr>
            </w:pPr>
            <w:r>
              <w:rPr>
                <w:rFonts w:ascii="Arial" w:cs="Arial" w:eastAsia="Arial" w:hAnsi="Arial"/>
                <w:sz w:val="11"/>
                <w:szCs w:val="11"/>
                <w:b w:val="1"/>
                <w:bCs w:val="1"/>
                <w:color w:val="auto"/>
              </w:rPr>
              <w:t>Equity Incentive Plan Awards</w:t>
            </w:r>
            <w:r>
              <w:rPr>
                <w:rFonts w:ascii="Arial" w:cs="Arial" w:eastAsia="Arial" w:hAnsi="Arial"/>
                <w:sz w:val="14"/>
                <w:szCs w:val="14"/>
                <w:b w:val="1"/>
                <w:bCs w:val="1"/>
                <w:color w:val="auto"/>
                <w:vertAlign w:val="superscript"/>
              </w:rPr>
              <w:t>(1)</w:t>
            </w:r>
          </w:p>
        </w:tc>
        <w:tc>
          <w:tcPr>
            <w:tcW w:w="2360" w:type="dxa"/>
            <w:vAlign w:val="bottom"/>
            <w:gridSpan w:val="3"/>
            <w:shd w:val="clear" w:color="auto" w:fill="E1D7AC"/>
          </w:tcPr>
          <w:p>
            <w:pPr>
              <w:jc w:val="right"/>
              <w:spacing w:after="0" w:line="126" w:lineRule="exact"/>
              <w:rPr>
                <w:sz w:val="20"/>
                <w:szCs w:val="20"/>
                <w:color w:val="auto"/>
              </w:rPr>
            </w:pPr>
            <w:r>
              <w:rPr>
                <w:rFonts w:ascii="Arial" w:cs="Arial" w:eastAsia="Arial" w:hAnsi="Arial"/>
                <w:sz w:val="11"/>
                <w:szCs w:val="11"/>
                <w:b w:val="1"/>
                <w:bCs w:val="1"/>
                <w:color w:val="auto"/>
              </w:rPr>
              <w:t>Equity Incentive Plan Awards</w:t>
            </w:r>
            <w:r>
              <w:rPr>
                <w:rFonts w:ascii="Arial" w:cs="Arial" w:eastAsia="Arial" w:hAnsi="Arial"/>
                <w:sz w:val="14"/>
                <w:szCs w:val="14"/>
                <w:b w:val="1"/>
                <w:bCs w:val="1"/>
                <w:color w:val="auto"/>
                <w:vertAlign w:val="superscript"/>
              </w:rPr>
              <w:t>(3)</w:t>
            </w:r>
          </w:p>
        </w:tc>
        <w:tc>
          <w:tcPr>
            <w:tcW w:w="800" w:type="dxa"/>
            <w:vAlign w:val="bottom"/>
            <w:vMerge w:val="continue"/>
            <w:shd w:val="clear" w:color="auto" w:fill="E1D7AC"/>
          </w:tcPr>
          <w:p>
            <w:pPr>
              <w:spacing w:after="0"/>
              <w:rPr>
                <w:sz w:val="10"/>
                <w:szCs w:val="10"/>
                <w:color w:val="auto"/>
              </w:rPr>
            </w:pPr>
          </w:p>
        </w:tc>
        <w:tc>
          <w:tcPr>
            <w:tcW w:w="980" w:type="dxa"/>
            <w:vAlign w:val="bottom"/>
            <w:vMerge w:val="continue"/>
            <w:shd w:val="clear" w:color="auto" w:fill="E1D7AC"/>
          </w:tcPr>
          <w:p>
            <w:pPr>
              <w:spacing w:after="0"/>
              <w:rPr>
                <w:sz w:val="10"/>
                <w:szCs w:val="10"/>
                <w:color w:val="auto"/>
              </w:rPr>
            </w:pPr>
          </w:p>
        </w:tc>
        <w:tc>
          <w:tcPr>
            <w:tcW w:w="840" w:type="dxa"/>
            <w:vAlign w:val="bottom"/>
            <w:shd w:val="clear" w:color="auto" w:fill="E1D7AC"/>
          </w:tcPr>
          <w:p>
            <w:pPr>
              <w:spacing w:after="0"/>
              <w:rPr>
                <w:sz w:val="10"/>
                <w:szCs w:val="10"/>
                <w:color w:val="auto"/>
              </w:rPr>
            </w:pPr>
          </w:p>
        </w:tc>
        <w:tc>
          <w:tcPr>
            <w:tcW w:w="780" w:type="dxa"/>
            <w:vAlign w:val="bottom"/>
            <w:shd w:val="clear" w:color="auto" w:fill="E1D7AC"/>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960" w:type="dxa"/>
            <w:vAlign w:val="bottom"/>
            <w:tcBorders>
              <w:bottom w:val="single" w:sz="8" w:color="E1D7AC"/>
            </w:tcBorders>
            <w:shd w:val="clear" w:color="auto" w:fill="E1D7AC"/>
          </w:tcPr>
          <w:p>
            <w:pPr>
              <w:spacing w:after="0"/>
              <w:rPr>
                <w:sz w:val="5"/>
                <w:szCs w:val="5"/>
                <w:color w:val="auto"/>
              </w:rPr>
            </w:pPr>
          </w:p>
        </w:tc>
        <w:tc>
          <w:tcPr>
            <w:tcW w:w="1000" w:type="dxa"/>
            <w:vAlign w:val="bottom"/>
            <w:tcBorders>
              <w:bottom w:val="single" w:sz="8" w:color="E1D7AC"/>
            </w:tcBorders>
            <w:shd w:val="clear" w:color="auto" w:fill="E1D7AC"/>
          </w:tcPr>
          <w:p>
            <w:pPr>
              <w:spacing w:after="0"/>
              <w:rPr>
                <w:sz w:val="5"/>
                <w:szCs w:val="5"/>
                <w:color w:val="auto"/>
              </w:rPr>
            </w:pPr>
          </w:p>
        </w:tc>
        <w:tc>
          <w:tcPr>
            <w:tcW w:w="860" w:type="dxa"/>
            <w:vAlign w:val="bottom"/>
            <w:tcBorders>
              <w:bottom w:val="single" w:sz="8" w:color="E1D7AC"/>
            </w:tcBorders>
            <w:shd w:val="clear" w:color="auto" w:fill="E1D7AC"/>
          </w:tcPr>
          <w:p>
            <w:pPr>
              <w:spacing w:after="0"/>
              <w:rPr>
                <w:sz w:val="5"/>
                <w:szCs w:val="5"/>
                <w:color w:val="auto"/>
              </w:rPr>
            </w:pPr>
          </w:p>
        </w:tc>
        <w:tc>
          <w:tcPr>
            <w:tcW w:w="880" w:type="dxa"/>
            <w:vAlign w:val="bottom"/>
            <w:tcBorders>
              <w:bottom w:val="single" w:sz="8" w:color="auto"/>
            </w:tcBorders>
            <w:shd w:val="clear" w:color="auto" w:fill="E1D7AC"/>
          </w:tcPr>
          <w:p>
            <w:pPr>
              <w:spacing w:after="0"/>
              <w:rPr>
                <w:sz w:val="5"/>
                <w:szCs w:val="5"/>
                <w:color w:val="auto"/>
              </w:rPr>
            </w:pPr>
          </w:p>
        </w:tc>
        <w:tc>
          <w:tcPr>
            <w:tcW w:w="940" w:type="dxa"/>
            <w:vAlign w:val="bottom"/>
            <w:tcBorders>
              <w:bottom w:val="single" w:sz="8" w:color="auto"/>
            </w:tcBorders>
            <w:shd w:val="clear" w:color="auto" w:fill="E1D7AC"/>
          </w:tcPr>
          <w:p>
            <w:pPr>
              <w:spacing w:after="0"/>
              <w:rPr>
                <w:sz w:val="5"/>
                <w:szCs w:val="5"/>
                <w:color w:val="auto"/>
              </w:rPr>
            </w:pPr>
          </w:p>
        </w:tc>
        <w:tc>
          <w:tcPr>
            <w:tcW w:w="740" w:type="dxa"/>
            <w:vAlign w:val="bottom"/>
            <w:tcBorders>
              <w:bottom w:val="single" w:sz="8" w:color="auto"/>
            </w:tcBorders>
            <w:shd w:val="clear" w:color="auto" w:fill="E1D7AC"/>
          </w:tcPr>
          <w:p>
            <w:pPr>
              <w:spacing w:after="0"/>
              <w:rPr>
                <w:sz w:val="5"/>
                <w:szCs w:val="5"/>
                <w:color w:val="auto"/>
              </w:rPr>
            </w:pPr>
          </w:p>
        </w:tc>
        <w:tc>
          <w:tcPr>
            <w:tcW w:w="100" w:type="dxa"/>
            <w:vAlign w:val="bottom"/>
            <w:tcBorders>
              <w:bottom w:val="single" w:sz="8" w:color="E1D7AC"/>
            </w:tcBorders>
            <w:shd w:val="clear" w:color="auto" w:fill="E1D7AC"/>
          </w:tcPr>
          <w:p>
            <w:pPr>
              <w:spacing w:after="0"/>
              <w:rPr>
                <w:sz w:val="5"/>
                <w:szCs w:val="5"/>
                <w:color w:val="auto"/>
              </w:rPr>
            </w:pPr>
          </w:p>
        </w:tc>
        <w:tc>
          <w:tcPr>
            <w:tcW w:w="980" w:type="dxa"/>
            <w:vAlign w:val="bottom"/>
            <w:tcBorders>
              <w:bottom w:val="single" w:sz="8" w:color="auto"/>
            </w:tcBorders>
            <w:shd w:val="clear" w:color="auto" w:fill="E1D7AC"/>
          </w:tcPr>
          <w:p>
            <w:pPr>
              <w:spacing w:after="0"/>
              <w:rPr>
                <w:sz w:val="5"/>
                <w:szCs w:val="5"/>
                <w:color w:val="auto"/>
              </w:rPr>
            </w:pPr>
          </w:p>
        </w:tc>
        <w:tc>
          <w:tcPr>
            <w:tcW w:w="640" w:type="dxa"/>
            <w:vAlign w:val="bottom"/>
            <w:tcBorders>
              <w:bottom w:val="single" w:sz="8" w:color="auto"/>
            </w:tcBorders>
            <w:shd w:val="clear" w:color="auto" w:fill="E1D7AC"/>
          </w:tcPr>
          <w:p>
            <w:pPr>
              <w:spacing w:after="0"/>
              <w:rPr>
                <w:sz w:val="5"/>
                <w:szCs w:val="5"/>
                <w:color w:val="auto"/>
              </w:rPr>
            </w:pPr>
          </w:p>
        </w:tc>
        <w:tc>
          <w:tcPr>
            <w:tcW w:w="740" w:type="dxa"/>
            <w:vAlign w:val="bottom"/>
            <w:tcBorders>
              <w:bottom w:val="single" w:sz="8" w:color="auto"/>
            </w:tcBorders>
            <w:shd w:val="clear" w:color="auto" w:fill="E1D7AC"/>
          </w:tcPr>
          <w:p>
            <w:pPr>
              <w:spacing w:after="0"/>
              <w:rPr>
                <w:sz w:val="5"/>
                <w:szCs w:val="5"/>
                <w:color w:val="auto"/>
              </w:rPr>
            </w:pPr>
          </w:p>
        </w:tc>
        <w:tc>
          <w:tcPr>
            <w:tcW w:w="800" w:type="dxa"/>
            <w:vAlign w:val="bottom"/>
            <w:tcBorders>
              <w:bottom w:val="single" w:sz="8" w:color="E1D7AC"/>
            </w:tcBorders>
            <w:vMerge w:val="restart"/>
            <w:shd w:val="clear" w:color="auto" w:fill="E1D7AC"/>
          </w:tcPr>
          <w:p>
            <w:pPr>
              <w:jc w:val="right"/>
              <w:spacing w:after="0" w:line="131" w:lineRule="exact"/>
              <w:rPr>
                <w:sz w:val="20"/>
                <w:szCs w:val="20"/>
                <w:color w:val="auto"/>
              </w:rPr>
            </w:pPr>
            <w:r>
              <w:rPr>
                <w:rFonts w:ascii="Arial" w:cs="Arial" w:eastAsia="Arial" w:hAnsi="Arial"/>
                <w:sz w:val="13"/>
                <w:szCs w:val="13"/>
                <w:b w:val="1"/>
                <w:bCs w:val="1"/>
                <w:color w:val="auto"/>
              </w:rPr>
              <w:t>Stock</w:t>
            </w:r>
          </w:p>
        </w:tc>
        <w:tc>
          <w:tcPr>
            <w:tcW w:w="980" w:type="dxa"/>
            <w:vAlign w:val="bottom"/>
            <w:tcBorders>
              <w:bottom w:val="single" w:sz="8" w:color="E1D7AC"/>
            </w:tcBorders>
            <w:vMerge w:val="restart"/>
            <w:shd w:val="clear" w:color="auto" w:fill="E1D7AC"/>
          </w:tcPr>
          <w:p>
            <w:pPr>
              <w:jc w:val="right"/>
              <w:spacing w:after="0" w:line="131" w:lineRule="exact"/>
              <w:rPr>
                <w:sz w:val="20"/>
                <w:szCs w:val="20"/>
                <w:color w:val="auto"/>
              </w:rPr>
            </w:pPr>
            <w:r>
              <w:rPr>
                <w:rFonts w:ascii="Arial" w:cs="Arial" w:eastAsia="Arial" w:hAnsi="Arial"/>
                <w:sz w:val="13"/>
                <w:szCs w:val="13"/>
                <w:b w:val="1"/>
                <w:bCs w:val="1"/>
                <w:color w:val="auto"/>
              </w:rPr>
              <w:t>Awards:</w:t>
            </w:r>
          </w:p>
        </w:tc>
        <w:tc>
          <w:tcPr>
            <w:tcW w:w="840" w:type="dxa"/>
            <w:vAlign w:val="bottom"/>
            <w:tcBorders>
              <w:bottom w:val="single" w:sz="8" w:color="E1D7AC"/>
            </w:tcBorders>
            <w:shd w:val="clear" w:color="auto" w:fill="E1D7AC"/>
          </w:tcPr>
          <w:p>
            <w:pPr>
              <w:spacing w:after="0"/>
              <w:rPr>
                <w:sz w:val="5"/>
                <w:szCs w:val="5"/>
                <w:color w:val="auto"/>
              </w:rPr>
            </w:pPr>
          </w:p>
        </w:tc>
        <w:tc>
          <w:tcPr>
            <w:tcW w:w="780" w:type="dxa"/>
            <w:vAlign w:val="bottom"/>
            <w:tcBorders>
              <w:bottom w:val="single" w:sz="8" w:color="E1D7AC"/>
            </w:tcBorders>
            <w:vMerge w:val="restart"/>
            <w:shd w:val="clear" w:color="auto" w:fill="E1D7AC"/>
          </w:tcPr>
          <w:p>
            <w:pPr>
              <w:jc w:val="right"/>
              <w:spacing w:after="0" w:line="131" w:lineRule="exact"/>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43"/>
        </w:trPr>
        <w:tc>
          <w:tcPr>
            <w:tcW w:w="960" w:type="dxa"/>
            <w:vAlign w:val="bottom"/>
            <w:shd w:val="clear" w:color="auto" w:fill="E1D7AC"/>
          </w:tcPr>
          <w:p>
            <w:pPr>
              <w:spacing w:after="0"/>
              <w:rPr>
                <w:sz w:val="3"/>
                <w:szCs w:val="3"/>
                <w:color w:val="auto"/>
              </w:rPr>
            </w:pPr>
          </w:p>
        </w:tc>
        <w:tc>
          <w:tcPr>
            <w:tcW w:w="1000" w:type="dxa"/>
            <w:vAlign w:val="bottom"/>
            <w:shd w:val="clear" w:color="auto" w:fill="E1D7AC"/>
          </w:tcPr>
          <w:p>
            <w:pPr>
              <w:spacing w:after="0"/>
              <w:rPr>
                <w:sz w:val="3"/>
                <w:szCs w:val="3"/>
                <w:color w:val="auto"/>
              </w:rPr>
            </w:pPr>
          </w:p>
        </w:tc>
        <w:tc>
          <w:tcPr>
            <w:tcW w:w="860" w:type="dxa"/>
            <w:vAlign w:val="bottom"/>
            <w:shd w:val="clear" w:color="auto" w:fill="E1D7AC"/>
          </w:tcPr>
          <w:p>
            <w:pPr>
              <w:spacing w:after="0"/>
              <w:rPr>
                <w:sz w:val="3"/>
                <w:szCs w:val="3"/>
                <w:color w:val="auto"/>
              </w:rPr>
            </w:pPr>
          </w:p>
        </w:tc>
        <w:tc>
          <w:tcPr>
            <w:tcW w:w="880" w:type="dxa"/>
            <w:vAlign w:val="bottom"/>
            <w:shd w:val="clear" w:color="auto" w:fill="E1D7AC"/>
          </w:tcPr>
          <w:p>
            <w:pPr>
              <w:spacing w:after="0"/>
              <w:rPr>
                <w:sz w:val="3"/>
                <w:szCs w:val="3"/>
                <w:color w:val="auto"/>
              </w:rPr>
            </w:pPr>
          </w:p>
        </w:tc>
        <w:tc>
          <w:tcPr>
            <w:tcW w:w="940" w:type="dxa"/>
            <w:vAlign w:val="bottom"/>
            <w:shd w:val="clear" w:color="auto" w:fill="E1D7AC"/>
          </w:tcPr>
          <w:p>
            <w:pPr>
              <w:spacing w:after="0"/>
              <w:rPr>
                <w:sz w:val="3"/>
                <w:szCs w:val="3"/>
                <w:color w:val="auto"/>
              </w:rPr>
            </w:pPr>
          </w:p>
        </w:tc>
        <w:tc>
          <w:tcPr>
            <w:tcW w:w="740" w:type="dxa"/>
            <w:vAlign w:val="bottom"/>
            <w:shd w:val="clear" w:color="auto" w:fill="E1D7AC"/>
          </w:tcPr>
          <w:p>
            <w:pPr>
              <w:spacing w:after="0"/>
              <w:rPr>
                <w:sz w:val="3"/>
                <w:szCs w:val="3"/>
                <w:color w:val="auto"/>
              </w:rPr>
            </w:pPr>
          </w:p>
        </w:tc>
        <w:tc>
          <w:tcPr>
            <w:tcW w:w="100" w:type="dxa"/>
            <w:vAlign w:val="bottom"/>
            <w:shd w:val="clear" w:color="auto" w:fill="E1D7AC"/>
          </w:tcPr>
          <w:p>
            <w:pPr>
              <w:spacing w:after="0"/>
              <w:rPr>
                <w:sz w:val="3"/>
                <w:szCs w:val="3"/>
                <w:color w:val="auto"/>
              </w:rPr>
            </w:pPr>
          </w:p>
        </w:tc>
        <w:tc>
          <w:tcPr>
            <w:tcW w:w="980" w:type="dxa"/>
            <w:vAlign w:val="bottom"/>
            <w:shd w:val="clear" w:color="auto" w:fill="E1D7AC"/>
          </w:tcPr>
          <w:p>
            <w:pPr>
              <w:spacing w:after="0"/>
              <w:rPr>
                <w:sz w:val="3"/>
                <w:szCs w:val="3"/>
                <w:color w:val="auto"/>
              </w:rPr>
            </w:pPr>
          </w:p>
        </w:tc>
        <w:tc>
          <w:tcPr>
            <w:tcW w:w="640" w:type="dxa"/>
            <w:vAlign w:val="bottom"/>
            <w:shd w:val="clear" w:color="auto" w:fill="E1D7AC"/>
          </w:tcPr>
          <w:p>
            <w:pPr>
              <w:spacing w:after="0"/>
              <w:rPr>
                <w:sz w:val="3"/>
                <w:szCs w:val="3"/>
                <w:color w:val="auto"/>
              </w:rPr>
            </w:pPr>
          </w:p>
        </w:tc>
        <w:tc>
          <w:tcPr>
            <w:tcW w:w="740" w:type="dxa"/>
            <w:vAlign w:val="bottom"/>
            <w:shd w:val="clear" w:color="auto" w:fill="E1D7AC"/>
          </w:tcPr>
          <w:p>
            <w:pPr>
              <w:spacing w:after="0"/>
              <w:rPr>
                <w:sz w:val="3"/>
                <w:szCs w:val="3"/>
                <w:color w:val="auto"/>
              </w:rPr>
            </w:pPr>
          </w:p>
        </w:tc>
        <w:tc>
          <w:tcPr>
            <w:tcW w:w="800" w:type="dxa"/>
            <w:vAlign w:val="bottom"/>
            <w:vMerge w:val="continue"/>
            <w:shd w:val="clear" w:color="auto" w:fill="E1D7AC"/>
          </w:tcPr>
          <w:p>
            <w:pPr>
              <w:spacing w:after="0"/>
              <w:rPr>
                <w:sz w:val="3"/>
                <w:szCs w:val="3"/>
                <w:color w:val="auto"/>
              </w:rPr>
            </w:pPr>
          </w:p>
        </w:tc>
        <w:tc>
          <w:tcPr>
            <w:tcW w:w="980" w:type="dxa"/>
            <w:vAlign w:val="bottom"/>
            <w:vMerge w:val="continue"/>
            <w:shd w:val="clear" w:color="auto" w:fill="E1D7AC"/>
          </w:tcPr>
          <w:p>
            <w:pPr>
              <w:spacing w:after="0"/>
              <w:rPr>
                <w:sz w:val="3"/>
                <w:szCs w:val="3"/>
                <w:color w:val="auto"/>
              </w:rPr>
            </w:pPr>
          </w:p>
        </w:tc>
        <w:tc>
          <w:tcPr>
            <w:tcW w:w="840" w:type="dxa"/>
            <w:vAlign w:val="bottom"/>
            <w:shd w:val="clear" w:color="auto" w:fill="E1D7AC"/>
          </w:tcPr>
          <w:p>
            <w:pPr>
              <w:spacing w:after="0"/>
              <w:rPr>
                <w:sz w:val="3"/>
                <w:szCs w:val="3"/>
                <w:color w:val="auto"/>
              </w:rPr>
            </w:pPr>
          </w:p>
        </w:tc>
        <w:tc>
          <w:tcPr>
            <w:tcW w:w="780" w:type="dxa"/>
            <w:vAlign w:val="bottom"/>
            <w:vMerge w:val="continue"/>
            <w:shd w:val="clear" w:color="auto" w:fill="E1D7AC"/>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E1D7AC"/>
          </w:tcPr>
          <w:p>
            <w:pPr>
              <w:spacing w:after="0"/>
              <w:rPr>
                <w:sz w:val="14"/>
                <w:szCs w:val="14"/>
                <w:color w:val="auto"/>
              </w:rPr>
            </w:pPr>
          </w:p>
        </w:tc>
        <w:tc>
          <w:tcPr>
            <w:tcW w:w="1000" w:type="dxa"/>
            <w:vAlign w:val="bottom"/>
            <w:shd w:val="clear" w:color="auto" w:fill="E1D7AC"/>
          </w:tcPr>
          <w:p>
            <w:pPr>
              <w:spacing w:after="0"/>
              <w:rPr>
                <w:sz w:val="14"/>
                <w:szCs w:val="14"/>
                <w:color w:val="auto"/>
              </w:rPr>
            </w:pPr>
          </w:p>
        </w:tc>
        <w:tc>
          <w:tcPr>
            <w:tcW w:w="860" w:type="dxa"/>
            <w:vAlign w:val="bottom"/>
            <w:shd w:val="clear" w:color="auto" w:fill="E1D7AC"/>
          </w:tcPr>
          <w:p>
            <w:pPr>
              <w:spacing w:after="0"/>
              <w:rPr>
                <w:sz w:val="14"/>
                <w:szCs w:val="14"/>
                <w:color w:val="auto"/>
              </w:rPr>
            </w:pPr>
          </w:p>
        </w:tc>
        <w:tc>
          <w:tcPr>
            <w:tcW w:w="880" w:type="dxa"/>
            <w:vAlign w:val="bottom"/>
            <w:shd w:val="clear" w:color="auto" w:fill="E1D7AC"/>
          </w:tcPr>
          <w:p>
            <w:pPr>
              <w:spacing w:after="0"/>
              <w:rPr>
                <w:sz w:val="14"/>
                <w:szCs w:val="14"/>
                <w:color w:val="auto"/>
              </w:rPr>
            </w:pPr>
          </w:p>
        </w:tc>
        <w:tc>
          <w:tcPr>
            <w:tcW w:w="940" w:type="dxa"/>
            <w:vAlign w:val="bottom"/>
            <w:shd w:val="clear" w:color="auto" w:fill="E1D7AC"/>
          </w:tcPr>
          <w:p>
            <w:pPr>
              <w:spacing w:after="0"/>
              <w:rPr>
                <w:sz w:val="14"/>
                <w:szCs w:val="14"/>
                <w:color w:val="auto"/>
              </w:rPr>
            </w:pPr>
          </w:p>
        </w:tc>
        <w:tc>
          <w:tcPr>
            <w:tcW w:w="740" w:type="dxa"/>
            <w:vAlign w:val="bottom"/>
            <w:shd w:val="clear" w:color="auto" w:fill="E1D7AC"/>
          </w:tcPr>
          <w:p>
            <w:pPr>
              <w:spacing w:after="0"/>
              <w:rPr>
                <w:sz w:val="14"/>
                <w:szCs w:val="14"/>
                <w:color w:val="auto"/>
              </w:rPr>
            </w:pPr>
          </w:p>
        </w:tc>
        <w:tc>
          <w:tcPr>
            <w:tcW w:w="100" w:type="dxa"/>
            <w:vAlign w:val="bottom"/>
            <w:shd w:val="clear" w:color="auto" w:fill="E1D7AC"/>
          </w:tcPr>
          <w:p>
            <w:pPr>
              <w:spacing w:after="0"/>
              <w:rPr>
                <w:sz w:val="14"/>
                <w:szCs w:val="14"/>
                <w:color w:val="auto"/>
              </w:rPr>
            </w:pPr>
          </w:p>
        </w:tc>
        <w:tc>
          <w:tcPr>
            <w:tcW w:w="980" w:type="dxa"/>
            <w:vAlign w:val="bottom"/>
            <w:shd w:val="clear" w:color="auto" w:fill="E1D7AC"/>
          </w:tcPr>
          <w:p>
            <w:pPr>
              <w:spacing w:after="0"/>
              <w:rPr>
                <w:sz w:val="14"/>
                <w:szCs w:val="14"/>
                <w:color w:val="auto"/>
              </w:rPr>
            </w:pPr>
          </w:p>
        </w:tc>
        <w:tc>
          <w:tcPr>
            <w:tcW w:w="640" w:type="dxa"/>
            <w:vAlign w:val="bottom"/>
            <w:shd w:val="clear" w:color="auto" w:fill="E1D7AC"/>
          </w:tcPr>
          <w:p>
            <w:pPr>
              <w:spacing w:after="0"/>
              <w:rPr>
                <w:sz w:val="14"/>
                <w:szCs w:val="14"/>
                <w:color w:val="auto"/>
              </w:rPr>
            </w:pPr>
          </w:p>
        </w:tc>
        <w:tc>
          <w:tcPr>
            <w:tcW w:w="740" w:type="dxa"/>
            <w:vAlign w:val="bottom"/>
            <w:shd w:val="clear" w:color="auto" w:fill="E1D7AC"/>
          </w:tcPr>
          <w:p>
            <w:pPr>
              <w:spacing w:after="0"/>
              <w:rPr>
                <w:sz w:val="14"/>
                <w:szCs w:val="14"/>
                <w:color w:val="auto"/>
              </w:rPr>
            </w:pPr>
          </w:p>
        </w:tc>
        <w:tc>
          <w:tcPr>
            <w:tcW w:w="8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Awards:</w:t>
            </w:r>
          </w:p>
        </w:tc>
        <w:tc>
          <w:tcPr>
            <w:tcW w:w="98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Number of</w:t>
            </w:r>
          </w:p>
        </w:tc>
        <w:tc>
          <w:tcPr>
            <w:tcW w:w="840" w:type="dxa"/>
            <w:vAlign w:val="bottom"/>
            <w:shd w:val="clear" w:color="auto" w:fill="E1D7AC"/>
          </w:tcPr>
          <w:p>
            <w:pPr>
              <w:jc w:val="right"/>
              <w:ind w:right="37"/>
              <w:spacing w:after="0"/>
              <w:rPr>
                <w:sz w:val="20"/>
                <w:szCs w:val="20"/>
                <w:color w:val="auto"/>
              </w:rPr>
            </w:pPr>
            <w:r>
              <w:rPr>
                <w:rFonts w:ascii="Arial" w:cs="Arial" w:eastAsia="Arial" w:hAnsi="Arial"/>
                <w:sz w:val="13"/>
                <w:szCs w:val="13"/>
                <w:b w:val="1"/>
                <w:bCs w:val="1"/>
                <w:color w:val="auto"/>
              </w:rPr>
              <w:t>Exercise or</w:t>
            </w:r>
          </w:p>
        </w:tc>
        <w:tc>
          <w:tcPr>
            <w:tcW w:w="78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62"/>
        </w:trPr>
        <w:tc>
          <w:tcPr>
            <w:tcW w:w="960" w:type="dxa"/>
            <w:vAlign w:val="bottom"/>
            <w:shd w:val="clear" w:color="auto" w:fill="E1D7AC"/>
          </w:tcPr>
          <w:p>
            <w:pPr>
              <w:spacing w:after="0"/>
              <w:rPr>
                <w:sz w:val="14"/>
                <w:szCs w:val="14"/>
                <w:color w:val="auto"/>
              </w:rPr>
            </w:pPr>
          </w:p>
        </w:tc>
        <w:tc>
          <w:tcPr>
            <w:tcW w:w="1000" w:type="dxa"/>
            <w:vAlign w:val="bottom"/>
            <w:shd w:val="clear" w:color="auto" w:fill="E1D7AC"/>
          </w:tcPr>
          <w:p>
            <w:pPr>
              <w:spacing w:after="0"/>
              <w:rPr>
                <w:sz w:val="14"/>
                <w:szCs w:val="14"/>
                <w:color w:val="auto"/>
              </w:rPr>
            </w:pPr>
          </w:p>
        </w:tc>
        <w:tc>
          <w:tcPr>
            <w:tcW w:w="860" w:type="dxa"/>
            <w:vAlign w:val="bottom"/>
            <w:shd w:val="clear" w:color="auto" w:fill="E1D7AC"/>
          </w:tcPr>
          <w:p>
            <w:pPr>
              <w:spacing w:after="0"/>
              <w:rPr>
                <w:sz w:val="14"/>
                <w:szCs w:val="14"/>
                <w:color w:val="auto"/>
              </w:rPr>
            </w:pPr>
          </w:p>
        </w:tc>
        <w:tc>
          <w:tcPr>
            <w:tcW w:w="880" w:type="dxa"/>
            <w:vAlign w:val="bottom"/>
            <w:shd w:val="clear" w:color="auto" w:fill="E1D7AC"/>
          </w:tcPr>
          <w:p>
            <w:pPr>
              <w:spacing w:after="0"/>
              <w:rPr>
                <w:sz w:val="14"/>
                <w:szCs w:val="14"/>
                <w:color w:val="auto"/>
              </w:rPr>
            </w:pPr>
          </w:p>
        </w:tc>
        <w:tc>
          <w:tcPr>
            <w:tcW w:w="940" w:type="dxa"/>
            <w:vAlign w:val="bottom"/>
            <w:shd w:val="clear" w:color="auto" w:fill="E1D7AC"/>
          </w:tcPr>
          <w:p>
            <w:pPr>
              <w:spacing w:after="0"/>
              <w:rPr>
                <w:sz w:val="14"/>
                <w:szCs w:val="14"/>
                <w:color w:val="auto"/>
              </w:rPr>
            </w:pPr>
          </w:p>
        </w:tc>
        <w:tc>
          <w:tcPr>
            <w:tcW w:w="740" w:type="dxa"/>
            <w:vAlign w:val="bottom"/>
            <w:shd w:val="clear" w:color="auto" w:fill="E1D7AC"/>
          </w:tcPr>
          <w:p>
            <w:pPr>
              <w:spacing w:after="0"/>
              <w:rPr>
                <w:sz w:val="14"/>
                <w:szCs w:val="14"/>
                <w:color w:val="auto"/>
              </w:rPr>
            </w:pPr>
          </w:p>
        </w:tc>
        <w:tc>
          <w:tcPr>
            <w:tcW w:w="100" w:type="dxa"/>
            <w:vAlign w:val="bottom"/>
            <w:shd w:val="clear" w:color="auto" w:fill="E1D7AC"/>
          </w:tcPr>
          <w:p>
            <w:pPr>
              <w:spacing w:after="0"/>
              <w:rPr>
                <w:sz w:val="14"/>
                <w:szCs w:val="14"/>
                <w:color w:val="auto"/>
              </w:rPr>
            </w:pPr>
          </w:p>
        </w:tc>
        <w:tc>
          <w:tcPr>
            <w:tcW w:w="980" w:type="dxa"/>
            <w:vAlign w:val="bottom"/>
            <w:shd w:val="clear" w:color="auto" w:fill="E1D7AC"/>
          </w:tcPr>
          <w:p>
            <w:pPr>
              <w:spacing w:after="0"/>
              <w:rPr>
                <w:sz w:val="14"/>
                <w:szCs w:val="14"/>
                <w:color w:val="auto"/>
              </w:rPr>
            </w:pPr>
          </w:p>
        </w:tc>
        <w:tc>
          <w:tcPr>
            <w:tcW w:w="640" w:type="dxa"/>
            <w:vAlign w:val="bottom"/>
            <w:shd w:val="clear" w:color="auto" w:fill="E1D7AC"/>
          </w:tcPr>
          <w:p>
            <w:pPr>
              <w:spacing w:after="0"/>
              <w:rPr>
                <w:sz w:val="14"/>
                <w:szCs w:val="14"/>
                <w:color w:val="auto"/>
              </w:rPr>
            </w:pPr>
          </w:p>
        </w:tc>
        <w:tc>
          <w:tcPr>
            <w:tcW w:w="740" w:type="dxa"/>
            <w:vAlign w:val="bottom"/>
            <w:shd w:val="clear" w:color="auto" w:fill="E1D7AC"/>
          </w:tcPr>
          <w:p>
            <w:pPr>
              <w:spacing w:after="0"/>
              <w:rPr>
                <w:sz w:val="14"/>
                <w:szCs w:val="14"/>
                <w:color w:val="auto"/>
              </w:rPr>
            </w:pPr>
          </w:p>
        </w:tc>
        <w:tc>
          <w:tcPr>
            <w:tcW w:w="8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Number of</w:t>
            </w:r>
          </w:p>
        </w:tc>
        <w:tc>
          <w:tcPr>
            <w:tcW w:w="98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Securities</w:t>
            </w:r>
          </w:p>
        </w:tc>
        <w:tc>
          <w:tcPr>
            <w:tcW w:w="840" w:type="dxa"/>
            <w:vAlign w:val="bottom"/>
            <w:shd w:val="clear" w:color="auto" w:fill="E1D7AC"/>
          </w:tcPr>
          <w:p>
            <w:pPr>
              <w:jc w:val="right"/>
              <w:ind w:right="37"/>
              <w:spacing w:after="0"/>
              <w:rPr>
                <w:sz w:val="20"/>
                <w:szCs w:val="20"/>
                <w:color w:val="auto"/>
              </w:rPr>
            </w:pPr>
            <w:r>
              <w:rPr>
                <w:rFonts w:ascii="Arial" w:cs="Arial" w:eastAsia="Arial" w:hAnsi="Arial"/>
                <w:sz w:val="13"/>
                <w:szCs w:val="13"/>
                <w:b w:val="1"/>
                <w:bCs w:val="1"/>
                <w:color w:val="auto"/>
              </w:rPr>
              <w:t>Base Price</w:t>
            </w:r>
          </w:p>
        </w:tc>
        <w:tc>
          <w:tcPr>
            <w:tcW w:w="78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of Stock</w:t>
            </w:r>
          </w:p>
        </w:tc>
        <w:tc>
          <w:tcPr>
            <w:tcW w:w="0" w:type="dxa"/>
            <w:vAlign w:val="bottom"/>
          </w:tcPr>
          <w:p>
            <w:pPr>
              <w:spacing w:after="0"/>
              <w:rPr>
                <w:sz w:val="1"/>
                <w:szCs w:val="1"/>
                <w:color w:val="auto"/>
              </w:rPr>
            </w:pPr>
          </w:p>
        </w:tc>
      </w:tr>
      <w:tr>
        <w:trPr>
          <w:trHeight w:val="162"/>
        </w:trPr>
        <w:tc>
          <w:tcPr>
            <w:tcW w:w="960" w:type="dxa"/>
            <w:vAlign w:val="bottom"/>
            <w:shd w:val="clear" w:color="auto" w:fill="E1D7AC"/>
          </w:tcPr>
          <w:p>
            <w:pPr>
              <w:spacing w:after="0"/>
              <w:rPr>
                <w:sz w:val="14"/>
                <w:szCs w:val="14"/>
                <w:color w:val="auto"/>
              </w:rPr>
            </w:pPr>
          </w:p>
        </w:tc>
        <w:tc>
          <w:tcPr>
            <w:tcW w:w="1000" w:type="dxa"/>
            <w:vAlign w:val="bottom"/>
            <w:shd w:val="clear" w:color="auto" w:fill="E1D7AC"/>
          </w:tcPr>
          <w:p>
            <w:pPr>
              <w:spacing w:after="0"/>
              <w:rPr>
                <w:sz w:val="14"/>
                <w:szCs w:val="14"/>
                <w:color w:val="auto"/>
              </w:rPr>
            </w:pPr>
          </w:p>
        </w:tc>
        <w:tc>
          <w:tcPr>
            <w:tcW w:w="860" w:type="dxa"/>
            <w:vAlign w:val="bottom"/>
            <w:shd w:val="clear" w:color="auto" w:fill="E1D7AC"/>
          </w:tcPr>
          <w:p>
            <w:pPr>
              <w:spacing w:after="0"/>
              <w:rPr>
                <w:sz w:val="14"/>
                <w:szCs w:val="14"/>
                <w:color w:val="auto"/>
              </w:rPr>
            </w:pPr>
          </w:p>
        </w:tc>
        <w:tc>
          <w:tcPr>
            <w:tcW w:w="880" w:type="dxa"/>
            <w:vAlign w:val="bottom"/>
            <w:shd w:val="clear" w:color="auto" w:fill="E1D7AC"/>
          </w:tcPr>
          <w:p>
            <w:pPr>
              <w:spacing w:after="0"/>
              <w:rPr>
                <w:sz w:val="14"/>
                <w:szCs w:val="14"/>
                <w:color w:val="auto"/>
              </w:rPr>
            </w:pPr>
          </w:p>
        </w:tc>
        <w:tc>
          <w:tcPr>
            <w:tcW w:w="940" w:type="dxa"/>
            <w:vAlign w:val="bottom"/>
            <w:shd w:val="clear" w:color="auto" w:fill="E1D7AC"/>
          </w:tcPr>
          <w:p>
            <w:pPr>
              <w:spacing w:after="0"/>
              <w:rPr>
                <w:sz w:val="14"/>
                <w:szCs w:val="14"/>
                <w:color w:val="auto"/>
              </w:rPr>
            </w:pPr>
          </w:p>
        </w:tc>
        <w:tc>
          <w:tcPr>
            <w:tcW w:w="740" w:type="dxa"/>
            <w:vAlign w:val="bottom"/>
            <w:shd w:val="clear" w:color="auto" w:fill="E1D7AC"/>
          </w:tcPr>
          <w:p>
            <w:pPr>
              <w:spacing w:after="0"/>
              <w:rPr>
                <w:sz w:val="14"/>
                <w:szCs w:val="14"/>
                <w:color w:val="auto"/>
              </w:rPr>
            </w:pPr>
          </w:p>
        </w:tc>
        <w:tc>
          <w:tcPr>
            <w:tcW w:w="100" w:type="dxa"/>
            <w:vAlign w:val="bottom"/>
            <w:shd w:val="clear" w:color="auto" w:fill="E1D7AC"/>
          </w:tcPr>
          <w:p>
            <w:pPr>
              <w:spacing w:after="0"/>
              <w:rPr>
                <w:sz w:val="14"/>
                <w:szCs w:val="14"/>
                <w:color w:val="auto"/>
              </w:rPr>
            </w:pPr>
          </w:p>
        </w:tc>
        <w:tc>
          <w:tcPr>
            <w:tcW w:w="980" w:type="dxa"/>
            <w:vAlign w:val="bottom"/>
            <w:shd w:val="clear" w:color="auto" w:fill="E1D7AC"/>
          </w:tcPr>
          <w:p>
            <w:pPr>
              <w:spacing w:after="0"/>
              <w:rPr>
                <w:sz w:val="14"/>
                <w:szCs w:val="14"/>
                <w:color w:val="auto"/>
              </w:rPr>
            </w:pPr>
          </w:p>
        </w:tc>
        <w:tc>
          <w:tcPr>
            <w:tcW w:w="640" w:type="dxa"/>
            <w:vAlign w:val="bottom"/>
            <w:shd w:val="clear" w:color="auto" w:fill="E1D7AC"/>
          </w:tcPr>
          <w:p>
            <w:pPr>
              <w:spacing w:after="0"/>
              <w:rPr>
                <w:sz w:val="14"/>
                <w:szCs w:val="14"/>
                <w:color w:val="auto"/>
              </w:rPr>
            </w:pPr>
          </w:p>
        </w:tc>
        <w:tc>
          <w:tcPr>
            <w:tcW w:w="740" w:type="dxa"/>
            <w:vAlign w:val="bottom"/>
            <w:shd w:val="clear" w:color="auto" w:fill="E1D7AC"/>
          </w:tcPr>
          <w:p>
            <w:pPr>
              <w:spacing w:after="0"/>
              <w:rPr>
                <w:sz w:val="14"/>
                <w:szCs w:val="14"/>
                <w:color w:val="auto"/>
              </w:rPr>
            </w:pPr>
          </w:p>
        </w:tc>
        <w:tc>
          <w:tcPr>
            <w:tcW w:w="8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Shares of</w:t>
            </w:r>
          </w:p>
        </w:tc>
        <w:tc>
          <w:tcPr>
            <w:tcW w:w="98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Underlying</w:t>
            </w:r>
          </w:p>
        </w:tc>
        <w:tc>
          <w:tcPr>
            <w:tcW w:w="840" w:type="dxa"/>
            <w:vAlign w:val="bottom"/>
            <w:shd w:val="clear" w:color="auto" w:fill="E1D7AC"/>
          </w:tcPr>
          <w:p>
            <w:pPr>
              <w:jc w:val="right"/>
              <w:ind w:right="37"/>
              <w:spacing w:after="0"/>
              <w:rPr>
                <w:sz w:val="20"/>
                <w:szCs w:val="20"/>
                <w:color w:val="auto"/>
              </w:rPr>
            </w:pPr>
            <w:r>
              <w:rPr>
                <w:rFonts w:ascii="Arial" w:cs="Arial" w:eastAsia="Arial" w:hAnsi="Arial"/>
                <w:sz w:val="13"/>
                <w:szCs w:val="13"/>
                <w:b w:val="1"/>
                <w:bCs w:val="1"/>
                <w:color w:val="auto"/>
              </w:rPr>
              <w:t>of Option</w:t>
            </w:r>
          </w:p>
        </w:tc>
        <w:tc>
          <w:tcPr>
            <w:tcW w:w="78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and Option</w:t>
            </w:r>
          </w:p>
        </w:tc>
        <w:tc>
          <w:tcPr>
            <w:tcW w:w="0" w:type="dxa"/>
            <w:vAlign w:val="bottom"/>
          </w:tcPr>
          <w:p>
            <w:pPr>
              <w:spacing w:after="0"/>
              <w:rPr>
                <w:sz w:val="1"/>
                <w:szCs w:val="1"/>
                <w:color w:val="auto"/>
              </w:rPr>
            </w:pPr>
          </w:p>
        </w:tc>
      </w:tr>
      <w:tr>
        <w:trPr>
          <w:trHeight w:val="162"/>
        </w:trPr>
        <w:tc>
          <w:tcPr>
            <w:tcW w:w="960" w:type="dxa"/>
            <w:vAlign w:val="bottom"/>
            <w:shd w:val="clear" w:color="auto" w:fill="E1D7AC"/>
          </w:tcPr>
          <w:p>
            <w:pPr>
              <w:spacing w:after="0"/>
              <w:rPr>
                <w:sz w:val="14"/>
                <w:szCs w:val="14"/>
                <w:color w:val="auto"/>
              </w:rPr>
            </w:pPr>
          </w:p>
        </w:tc>
        <w:tc>
          <w:tcPr>
            <w:tcW w:w="1000" w:type="dxa"/>
            <w:vAlign w:val="bottom"/>
            <w:shd w:val="clear" w:color="auto" w:fill="E1D7AC"/>
          </w:tcPr>
          <w:p>
            <w:pPr>
              <w:spacing w:after="0"/>
              <w:rPr>
                <w:sz w:val="14"/>
                <w:szCs w:val="14"/>
                <w:color w:val="auto"/>
              </w:rPr>
            </w:pPr>
          </w:p>
        </w:tc>
        <w:tc>
          <w:tcPr>
            <w:tcW w:w="860" w:type="dxa"/>
            <w:vAlign w:val="bottom"/>
            <w:shd w:val="clear" w:color="auto" w:fill="E1D7AC"/>
          </w:tcPr>
          <w:p>
            <w:pPr>
              <w:spacing w:after="0"/>
              <w:rPr>
                <w:sz w:val="14"/>
                <w:szCs w:val="14"/>
                <w:color w:val="auto"/>
              </w:rPr>
            </w:pPr>
          </w:p>
        </w:tc>
        <w:tc>
          <w:tcPr>
            <w:tcW w:w="88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Threshold</w:t>
            </w:r>
          </w:p>
        </w:tc>
        <w:tc>
          <w:tcPr>
            <w:tcW w:w="940" w:type="dxa"/>
            <w:vAlign w:val="bottom"/>
            <w:shd w:val="clear" w:color="auto" w:fill="E1D7AC"/>
          </w:tcPr>
          <w:p>
            <w:pPr>
              <w:jc w:val="right"/>
              <w:ind w:right="77"/>
              <w:spacing w:after="0"/>
              <w:rPr>
                <w:sz w:val="20"/>
                <w:szCs w:val="20"/>
                <w:color w:val="auto"/>
              </w:rPr>
            </w:pPr>
            <w:r>
              <w:rPr>
                <w:rFonts w:ascii="Arial" w:cs="Arial" w:eastAsia="Arial" w:hAnsi="Arial"/>
                <w:sz w:val="13"/>
                <w:szCs w:val="13"/>
                <w:b w:val="1"/>
                <w:bCs w:val="1"/>
                <w:color w:val="auto"/>
              </w:rPr>
              <w:t>Target</w:t>
            </w:r>
          </w:p>
        </w:tc>
        <w:tc>
          <w:tcPr>
            <w:tcW w:w="840" w:type="dxa"/>
            <w:vAlign w:val="bottom"/>
            <w:gridSpan w:val="2"/>
            <w:shd w:val="clear" w:color="auto" w:fill="E1D7AC"/>
          </w:tcPr>
          <w:p>
            <w:pPr>
              <w:jc w:val="right"/>
              <w:ind w:right="120"/>
              <w:spacing w:after="0"/>
              <w:rPr>
                <w:sz w:val="20"/>
                <w:szCs w:val="20"/>
                <w:color w:val="auto"/>
              </w:rPr>
            </w:pPr>
            <w:r>
              <w:rPr>
                <w:rFonts w:ascii="Arial" w:cs="Arial" w:eastAsia="Arial" w:hAnsi="Arial"/>
                <w:sz w:val="13"/>
                <w:szCs w:val="13"/>
                <w:b w:val="1"/>
                <w:bCs w:val="1"/>
                <w:color w:val="auto"/>
              </w:rPr>
              <w:t>Maximum</w:t>
            </w:r>
          </w:p>
        </w:tc>
        <w:tc>
          <w:tcPr>
            <w:tcW w:w="980" w:type="dxa"/>
            <w:vAlign w:val="bottom"/>
            <w:shd w:val="clear" w:color="auto" w:fill="E1D7AC"/>
          </w:tcPr>
          <w:p>
            <w:pPr>
              <w:jc w:val="right"/>
              <w:ind w:right="57"/>
              <w:spacing w:after="0"/>
              <w:rPr>
                <w:sz w:val="20"/>
                <w:szCs w:val="20"/>
                <w:color w:val="auto"/>
              </w:rPr>
            </w:pPr>
            <w:r>
              <w:rPr>
                <w:rFonts w:ascii="Arial" w:cs="Arial" w:eastAsia="Arial" w:hAnsi="Arial"/>
                <w:sz w:val="13"/>
                <w:szCs w:val="13"/>
                <w:b w:val="1"/>
                <w:bCs w:val="1"/>
                <w:color w:val="auto"/>
              </w:rPr>
              <w:t>Threshold</w:t>
            </w:r>
          </w:p>
        </w:tc>
        <w:tc>
          <w:tcPr>
            <w:tcW w:w="640" w:type="dxa"/>
            <w:vAlign w:val="bottom"/>
            <w:shd w:val="clear" w:color="auto" w:fill="E1D7AC"/>
          </w:tcPr>
          <w:p>
            <w:pPr>
              <w:jc w:val="right"/>
              <w:ind w:right="77"/>
              <w:spacing w:after="0"/>
              <w:rPr>
                <w:sz w:val="20"/>
                <w:szCs w:val="20"/>
                <w:color w:val="auto"/>
              </w:rPr>
            </w:pPr>
            <w:r>
              <w:rPr>
                <w:rFonts w:ascii="Arial" w:cs="Arial" w:eastAsia="Arial" w:hAnsi="Arial"/>
                <w:sz w:val="13"/>
                <w:szCs w:val="13"/>
                <w:b w:val="1"/>
                <w:bCs w:val="1"/>
                <w:color w:val="auto"/>
              </w:rPr>
              <w:t>Target</w:t>
            </w:r>
          </w:p>
        </w:tc>
        <w:tc>
          <w:tcPr>
            <w:tcW w:w="74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Maximum</w:t>
            </w:r>
          </w:p>
        </w:tc>
        <w:tc>
          <w:tcPr>
            <w:tcW w:w="8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Stock</w:t>
            </w:r>
          </w:p>
        </w:tc>
        <w:tc>
          <w:tcPr>
            <w:tcW w:w="98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Options</w:t>
            </w:r>
          </w:p>
        </w:tc>
        <w:tc>
          <w:tcPr>
            <w:tcW w:w="840" w:type="dxa"/>
            <w:vAlign w:val="bottom"/>
            <w:shd w:val="clear" w:color="auto" w:fill="E1D7AC"/>
          </w:tcPr>
          <w:p>
            <w:pPr>
              <w:jc w:val="right"/>
              <w:ind w:right="37"/>
              <w:spacing w:after="0"/>
              <w:rPr>
                <w:sz w:val="20"/>
                <w:szCs w:val="20"/>
                <w:color w:val="auto"/>
              </w:rPr>
            </w:pPr>
            <w:r>
              <w:rPr>
                <w:rFonts w:ascii="Arial" w:cs="Arial" w:eastAsia="Arial" w:hAnsi="Arial"/>
                <w:sz w:val="13"/>
                <w:szCs w:val="13"/>
                <w:b w:val="1"/>
                <w:bCs w:val="1"/>
                <w:color w:val="auto"/>
              </w:rPr>
              <w:t>Awards</w:t>
            </w:r>
          </w:p>
        </w:tc>
        <w:tc>
          <w:tcPr>
            <w:tcW w:w="78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241"/>
        </w:trPr>
        <w:tc>
          <w:tcPr>
            <w:tcW w:w="96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E1D7AC"/>
            </w:tcBorders>
            <w:shd w:val="clear" w:color="auto" w:fill="E1D7AC"/>
          </w:tcPr>
          <w:p>
            <w:pPr>
              <w:jc w:val="center"/>
              <w:spacing w:after="0"/>
              <w:rPr>
                <w:sz w:val="20"/>
                <w:szCs w:val="20"/>
                <w:color w:val="auto"/>
              </w:rPr>
            </w:pPr>
            <w:r>
              <w:rPr>
                <w:rFonts w:ascii="Arial" w:cs="Arial" w:eastAsia="Arial" w:hAnsi="Arial"/>
                <w:sz w:val="13"/>
                <w:szCs w:val="13"/>
                <w:b w:val="1"/>
                <w:bCs w:val="1"/>
                <w:color w:val="auto"/>
                <w:w w:val="92"/>
              </w:rPr>
              <w:t>Award Type</w:t>
            </w:r>
            <w:r>
              <w:rPr>
                <w:rFonts w:ascii="Arial" w:cs="Arial" w:eastAsia="Arial" w:hAnsi="Arial"/>
                <w:sz w:val="16"/>
                <w:szCs w:val="16"/>
                <w:b w:val="1"/>
                <w:bCs w:val="1"/>
                <w:color w:val="auto"/>
                <w:w w:val="92"/>
                <w:vertAlign w:val="superscript"/>
              </w:rPr>
              <w:t>(2)</w:t>
            </w:r>
          </w:p>
        </w:tc>
        <w:tc>
          <w:tcPr>
            <w:tcW w:w="860" w:type="dxa"/>
            <w:vAlign w:val="bottom"/>
            <w:tcBorders>
              <w:bottom w:val="single" w:sz="8" w:color="E1D7AC"/>
            </w:tcBorders>
            <w:shd w:val="clear" w:color="auto" w:fill="E1D7AC"/>
          </w:tcPr>
          <w:p>
            <w:pPr>
              <w:ind w:left="120"/>
              <w:spacing w:after="0"/>
              <w:rPr>
                <w:sz w:val="20"/>
                <w:szCs w:val="20"/>
                <w:color w:val="auto"/>
              </w:rPr>
            </w:pPr>
            <w:r>
              <w:rPr>
                <w:rFonts w:ascii="Arial" w:cs="Arial" w:eastAsia="Arial" w:hAnsi="Arial"/>
                <w:sz w:val="13"/>
                <w:szCs w:val="13"/>
                <w:b w:val="1"/>
                <w:bCs w:val="1"/>
                <w:color w:val="auto"/>
              </w:rPr>
              <w:t>Grant Date</w:t>
            </w:r>
          </w:p>
        </w:tc>
        <w:tc>
          <w:tcPr>
            <w:tcW w:w="88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E1D7AC"/>
            </w:tcBorders>
            <w:shd w:val="clear" w:color="auto" w:fill="E1D7AC"/>
          </w:tcPr>
          <w:p>
            <w:pPr>
              <w:jc w:val="right"/>
              <w:ind w:right="77"/>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E1D7AC"/>
            </w:tcBorders>
            <w:shd w:val="clear" w:color="auto" w:fill="E1D7AC"/>
          </w:tcPr>
          <w:p>
            <w:pPr>
              <w:spacing w:after="0"/>
              <w:rPr>
                <w:sz w:val="20"/>
                <w:szCs w:val="20"/>
                <w:color w:val="auto"/>
              </w:rPr>
            </w:pPr>
          </w:p>
        </w:tc>
        <w:tc>
          <w:tcPr>
            <w:tcW w:w="980" w:type="dxa"/>
            <w:vAlign w:val="bottom"/>
            <w:tcBorders>
              <w:bottom w:val="single" w:sz="8" w:color="E1D7AC"/>
            </w:tcBorders>
            <w:shd w:val="clear" w:color="auto" w:fill="E1D7AC"/>
          </w:tcPr>
          <w:p>
            <w:pPr>
              <w:jc w:val="right"/>
              <w:ind w:right="57"/>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E1D7AC"/>
            </w:tcBorders>
            <w:shd w:val="clear" w:color="auto" w:fill="E1D7AC"/>
          </w:tcPr>
          <w:p>
            <w:pPr>
              <w:jc w:val="right"/>
              <w:ind w:right="77"/>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E1D7AC"/>
            </w:tcBorders>
            <w:shd w:val="clear" w:color="auto" w:fill="E1D7AC"/>
          </w:tcPr>
          <w:p>
            <w:pPr>
              <w:jc w:val="right"/>
              <w:ind w:right="37"/>
              <w:spacing w:after="0"/>
              <w:rPr>
                <w:sz w:val="20"/>
                <w:szCs w:val="20"/>
                <w:color w:val="auto"/>
              </w:rPr>
            </w:pPr>
            <w:r>
              <w:rPr>
                <w:rFonts w:ascii="Arial" w:cs="Arial" w:eastAsia="Arial" w:hAnsi="Arial"/>
                <w:sz w:val="13"/>
                <w:szCs w:val="13"/>
                <w:b w:val="1"/>
                <w:bCs w:val="1"/>
                <w:color w:val="auto"/>
              </w:rPr>
              <w:t>($/share)</w:t>
            </w:r>
          </w:p>
        </w:tc>
        <w:tc>
          <w:tcPr>
            <w:tcW w:w="78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(4)</w:t>
            </w:r>
          </w:p>
        </w:tc>
        <w:tc>
          <w:tcPr>
            <w:tcW w:w="0" w:type="dxa"/>
            <w:vAlign w:val="bottom"/>
          </w:tcPr>
          <w:p>
            <w:pPr>
              <w:spacing w:after="0"/>
              <w:rPr>
                <w:sz w:val="1"/>
                <w:szCs w:val="1"/>
                <w:color w:val="auto"/>
              </w:rPr>
            </w:pPr>
          </w:p>
        </w:tc>
      </w:tr>
      <w:tr>
        <w:trPr>
          <w:trHeight w:val="297"/>
        </w:trPr>
        <w:tc>
          <w:tcPr>
            <w:tcW w:w="960" w:type="dxa"/>
            <w:vAlign w:val="bottom"/>
            <w:shd w:val="clear" w:color="auto" w:fill="DBDBDB"/>
          </w:tcPr>
          <w:p>
            <w:pPr>
              <w:spacing w:after="0"/>
              <w:rPr>
                <w:sz w:val="24"/>
                <w:szCs w:val="24"/>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8"/>
              </w:rPr>
              <w:t>Annual Bonus</w:t>
            </w:r>
          </w:p>
        </w:tc>
        <w:tc>
          <w:tcPr>
            <w:tcW w:w="86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962,500</w:t>
            </w:r>
          </w:p>
        </w:tc>
        <w:tc>
          <w:tcPr>
            <w:tcW w:w="94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1,925,000</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3,850,000</w:t>
            </w:r>
          </w:p>
        </w:tc>
        <w:tc>
          <w:tcPr>
            <w:tcW w:w="100" w:type="dxa"/>
            <w:vAlign w:val="bottom"/>
            <w:shd w:val="clear" w:color="auto" w:fill="DBDBDB"/>
          </w:tcPr>
          <w:p>
            <w:pPr>
              <w:spacing w:after="0"/>
              <w:rPr>
                <w:sz w:val="24"/>
                <w:szCs w:val="24"/>
                <w:color w:val="auto"/>
              </w:rPr>
            </w:pPr>
          </w:p>
        </w:tc>
        <w:tc>
          <w:tcPr>
            <w:tcW w:w="98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960" w:type="dxa"/>
            <w:vAlign w:val="bottom"/>
            <w:tcBorders>
              <w:bottom w:val="single" w:sz="8" w:color="DBDBDB"/>
            </w:tcBorders>
            <w:shd w:val="clear" w:color="auto" w:fill="DBDBDB"/>
          </w:tcPr>
          <w:p>
            <w:pPr>
              <w:spacing w:after="0"/>
              <w:rPr>
                <w:sz w:val="11"/>
                <w:szCs w:val="11"/>
                <w:color w:val="auto"/>
              </w:rPr>
            </w:pPr>
          </w:p>
        </w:tc>
        <w:tc>
          <w:tcPr>
            <w:tcW w:w="1000" w:type="dxa"/>
            <w:vAlign w:val="bottom"/>
            <w:tcBorders>
              <w:bottom w:val="single" w:sz="8" w:color="ADB1C7"/>
            </w:tcBorders>
            <w:shd w:val="clear" w:color="auto" w:fill="DBDBDB"/>
          </w:tcPr>
          <w:p>
            <w:pPr>
              <w:spacing w:after="0"/>
              <w:rPr>
                <w:sz w:val="11"/>
                <w:szCs w:val="11"/>
                <w:color w:val="auto"/>
              </w:rPr>
            </w:pPr>
          </w:p>
        </w:tc>
        <w:tc>
          <w:tcPr>
            <w:tcW w:w="860" w:type="dxa"/>
            <w:vAlign w:val="bottom"/>
            <w:tcBorders>
              <w:bottom w:val="single" w:sz="8" w:color="ADB1C7"/>
            </w:tcBorders>
            <w:shd w:val="clear" w:color="auto" w:fill="DBDBDB"/>
          </w:tcPr>
          <w:p>
            <w:pPr>
              <w:spacing w:after="0"/>
              <w:rPr>
                <w:sz w:val="11"/>
                <w:szCs w:val="11"/>
                <w:color w:val="auto"/>
              </w:rPr>
            </w:pPr>
          </w:p>
        </w:tc>
        <w:tc>
          <w:tcPr>
            <w:tcW w:w="880" w:type="dxa"/>
            <w:vAlign w:val="bottom"/>
            <w:tcBorders>
              <w:bottom w:val="single" w:sz="8" w:color="ADB1C7"/>
            </w:tcBorders>
            <w:shd w:val="clear" w:color="auto" w:fill="DBDBDB"/>
          </w:tcPr>
          <w:p>
            <w:pPr>
              <w:spacing w:after="0"/>
              <w:rPr>
                <w:sz w:val="11"/>
                <w:szCs w:val="11"/>
                <w:color w:val="auto"/>
              </w:rPr>
            </w:pPr>
          </w:p>
        </w:tc>
        <w:tc>
          <w:tcPr>
            <w:tcW w:w="940" w:type="dxa"/>
            <w:vAlign w:val="bottom"/>
            <w:tcBorders>
              <w:bottom w:val="single" w:sz="8" w:color="ADB1C7"/>
            </w:tcBorders>
            <w:shd w:val="clear" w:color="auto" w:fill="DBDBDB"/>
          </w:tcPr>
          <w:p>
            <w:pPr>
              <w:spacing w:after="0"/>
              <w:rPr>
                <w:sz w:val="11"/>
                <w:szCs w:val="11"/>
                <w:color w:val="auto"/>
              </w:rPr>
            </w:pPr>
          </w:p>
        </w:tc>
        <w:tc>
          <w:tcPr>
            <w:tcW w:w="740" w:type="dxa"/>
            <w:vAlign w:val="bottom"/>
            <w:tcBorders>
              <w:bottom w:val="single" w:sz="8" w:color="ADB1C7"/>
            </w:tcBorders>
            <w:shd w:val="clear" w:color="auto" w:fill="DBDBDB"/>
          </w:tcPr>
          <w:p>
            <w:pPr>
              <w:spacing w:after="0"/>
              <w:rPr>
                <w:sz w:val="11"/>
                <w:szCs w:val="11"/>
                <w:color w:val="auto"/>
              </w:rPr>
            </w:pPr>
          </w:p>
        </w:tc>
        <w:tc>
          <w:tcPr>
            <w:tcW w:w="100" w:type="dxa"/>
            <w:vAlign w:val="bottom"/>
            <w:tcBorders>
              <w:bottom w:val="single" w:sz="8" w:color="ADB1C7"/>
            </w:tcBorders>
            <w:shd w:val="clear" w:color="auto" w:fill="DBDBDB"/>
          </w:tcPr>
          <w:p>
            <w:pPr>
              <w:spacing w:after="0"/>
              <w:rPr>
                <w:sz w:val="11"/>
                <w:szCs w:val="11"/>
                <w:color w:val="auto"/>
              </w:rPr>
            </w:pPr>
          </w:p>
        </w:tc>
        <w:tc>
          <w:tcPr>
            <w:tcW w:w="980" w:type="dxa"/>
            <w:vAlign w:val="bottom"/>
            <w:tcBorders>
              <w:bottom w:val="single" w:sz="8" w:color="ADB1C7"/>
            </w:tcBorders>
            <w:shd w:val="clear" w:color="auto" w:fill="DBDBDB"/>
          </w:tcPr>
          <w:p>
            <w:pPr>
              <w:spacing w:after="0"/>
              <w:rPr>
                <w:sz w:val="11"/>
                <w:szCs w:val="11"/>
                <w:color w:val="auto"/>
              </w:rPr>
            </w:pPr>
          </w:p>
        </w:tc>
        <w:tc>
          <w:tcPr>
            <w:tcW w:w="640" w:type="dxa"/>
            <w:vAlign w:val="bottom"/>
            <w:tcBorders>
              <w:bottom w:val="single" w:sz="8" w:color="ADB1C7"/>
            </w:tcBorders>
            <w:shd w:val="clear" w:color="auto" w:fill="DBDBDB"/>
          </w:tcPr>
          <w:p>
            <w:pPr>
              <w:spacing w:after="0"/>
              <w:rPr>
                <w:sz w:val="11"/>
                <w:szCs w:val="11"/>
                <w:color w:val="auto"/>
              </w:rPr>
            </w:pPr>
          </w:p>
        </w:tc>
        <w:tc>
          <w:tcPr>
            <w:tcW w:w="740" w:type="dxa"/>
            <w:vAlign w:val="bottom"/>
            <w:tcBorders>
              <w:bottom w:val="single" w:sz="8" w:color="ADB1C7"/>
            </w:tcBorders>
            <w:shd w:val="clear" w:color="auto" w:fill="DBDBDB"/>
          </w:tcPr>
          <w:p>
            <w:pPr>
              <w:spacing w:after="0"/>
              <w:rPr>
                <w:sz w:val="11"/>
                <w:szCs w:val="11"/>
                <w:color w:val="auto"/>
              </w:rPr>
            </w:pPr>
          </w:p>
        </w:tc>
        <w:tc>
          <w:tcPr>
            <w:tcW w:w="800" w:type="dxa"/>
            <w:vAlign w:val="bottom"/>
            <w:tcBorders>
              <w:bottom w:val="single" w:sz="8" w:color="ADB1C7"/>
            </w:tcBorders>
            <w:shd w:val="clear" w:color="auto" w:fill="DBDBDB"/>
          </w:tcPr>
          <w:p>
            <w:pPr>
              <w:spacing w:after="0"/>
              <w:rPr>
                <w:sz w:val="11"/>
                <w:szCs w:val="11"/>
                <w:color w:val="auto"/>
              </w:rPr>
            </w:pPr>
          </w:p>
        </w:tc>
        <w:tc>
          <w:tcPr>
            <w:tcW w:w="980" w:type="dxa"/>
            <w:vAlign w:val="bottom"/>
            <w:tcBorders>
              <w:bottom w:val="single" w:sz="8" w:color="ADB1C7"/>
            </w:tcBorders>
            <w:shd w:val="clear" w:color="auto" w:fill="DBDBDB"/>
          </w:tcPr>
          <w:p>
            <w:pPr>
              <w:spacing w:after="0"/>
              <w:rPr>
                <w:sz w:val="11"/>
                <w:szCs w:val="11"/>
                <w:color w:val="auto"/>
              </w:rPr>
            </w:pPr>
          </w:p>
        </w:tc>
        <w:tc>
          <w:tcPr>
            <w:tcW w:w="840" w:type="dxa"/>
            <w:vAlign w:val="bottom"/>
            <w:tcBorders>
              <w:bottom w:val="single" w:sz="8" w:color="ADB1C7"/>
            </w:tcBorders>
            <w:shd w:val="clear" w:color="auto" w:fill="DBDBDB"/>
          </w:tcPr>
          <w:p>
            <w:pPr>
              <w:spacing w:after="0"/>
              <w:rPr>
                <w:sz w:val="11"/>
                <w:szCs w:val="11"/>
                <w:color w:val="auto"/>
              </w:rPr>
            </w:pPr>
          </w:p>
        </w:tc>
        <w:tc>
          <w:tcPr>
            <w:tcW w:w="780" w:type="dxa"/>
            <w:vAlign w:val="bottom"/>
            <w:tcBorders>
              <w:bottom w:val="single" w:sz="8" w:color="ADB1C7"/>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96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Ken C. Hicks</w:t>
            </w: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6"/>
              </w:rPr>
              <w:t>Performance</w:t>
            </w:r>
          </w:p>
        </w:tc>
        <w:tc>
          <w:tcPr>
            <w:tcW w:w="860" w:type="dxa"/>
            <w:vAlign w:val="bottom"/>
            <w:vMerge w:val="restart"/>
            <w:shd w:val="clear" w:color="auto" w:fill="DBDBDB"/>
          </w:tcPr>
          <w:p>
            <w:pPr>
              <w:jc w:val="center"/>
              <w:spacing w:after="0"/>
              <w:rPr>
                <w:sz w:val="20"/>
                <w:szCs w:val="20"/>
                <w:color w:val="auto"/>
              </w:rPr>
            </w:pPr>
            <w:r>
              <w:rPr>
                <w:rFonts w:ascii="Arial" w:cs="Arial" w:eastAsia="Arial" w:hAnsi="Arial"/>
                <w:sz w:val="13"/>
                <w:szCs w:val="13"/>
                <w:color w:val="auto"/>
                <w:w w:val="96"/>
              </w:rPr>
              <w:t>3/31/2021</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DBDBDB"/>
          </w:tcPr>
          <w:p>
            <w:pPr>
              <w:jc w:val="right"/>
              <w:ind w:right="57"/>
              <w:spacing w:after="0"/>
              <w:rPr>
                <w:sz w:val="20"/>
                <w:szCs w:val="20"/>
                <w:color w:val="auto"/>
              </w:rPr>
            </w:pPr>
            <w:r>
              <w:rPr>
                <w:rFonts w:ascii="Arial" w:cs="Arial" w:eastAsia="Arial" w:hAnsi="Arial"/>
                <w:sz w:val="13"/>
                <w:szCs w:val="13"/>
                <w:color w:val="auto"/>
              </w:rPr>
              <w:t>30,567</w:t>
            </w:r>
          </w:p>
        </w:tc>
        <w:tc>
          <w:tcPr>
            <w:tcW w:w="640" w:type="dxa"/>
            <w:vAlign w:val="bottom"/>
            <w:vMerge w:val="restart"/>
            <w:shd w:val="clear" w:color="auto" w:fill="DBDBDB"/>
          </w:tcPr>
          <w:p>
            <w:pPr>
              <w:jc w:val="right"/>
              <w:ind w:right="77"/>
              <w:spacing w:after="0"/>
              <w:rPr>
                <w:sz w:val="20"/>
                <w:szCs w:val="20"/>
                <w:color w:val="auto"/>
              </w:rPr>
            </w:pPr>
            <w:r>
              <w:rPr>
                <w:rFonts w:ascii="Arial" w:cs="Arial" w:eastAsia="Arial" w:hAnsi="Arial"/>
                <w:sz w:val="13"/>
                <w:szCs w:val="13"/>
                <w:color w:val="auto"/>
              </w:rPr>
              <w:t>61,133</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1,649,980</w:t>
            </w:r>
          </w:p>
        </w:tc>
        <w:tc>
          <w:tcPr>
            <w:tcW w:w="0" w:type="dxa"/>
            <w:vAlign w:val="bottom"/>
          </w:tcPr>
          <w:p>
            <w:pPr>
              <w:spacing w:after="0"/>
              <w:rPr>
                <w:sz w:val="1"/>
                <w:szCs w:val="1"/>
                <w:color w:val="auto"/>
              </w:rPr>
            </w:pPr>
          </w:p>
        </w:tc>
      </w:tr>
      <w:tr>
        <w:trPr>
          <w:trHeight w:val="85"/>
        </w:trPr>
        <w:tc>
          <w:tcPr>
            <w:tcW w:w="960" w:type="dxa"/>
            <w:vAlign w:val="bottom"/>
            <w:shd w:val="clear" w:color="auto" w:fill="DBDBDB"/>
          </w:tcPr>
          <w:p>
            <w:pPr>
              <w:spacing w:after="0"/>
              <w:rPr>
                <w:sz w:val="7"/>
                <w:szCs w:val="7"/>
                <w:color w:val="auto"/>
              </w:rPr>
            </w:pPr>
          </w:p>
        </w:tc>
        <w:tc>
          <w:tcPr>
            <w:tcW w:w="1000" w:type="dxa"/>
            <w:vAlign w:val="bottom"/>
            <w:vMerge w:val="restart"/>
            <w:shd w:val="clear" w:color="auto" w:fill="DBDBDB"/>
          </w:tcPr>
          <w:p>
            <w:pPr>
              <w:jc w:val="center"/>
              <w:spacing w:after="0"/>
              <w:rPr>
                <w:sz w:val="20"/>
                <w:szCs w:val="20"/>
                <w:color w:val="auto"/>
              </w:rPr>
            </w:pPr>
            <w:r>
              <w:rPr>
                <w:rFonts w:ascii="Arial" w:cs="Arial" w:eastAsia="Arial" w:hAnsi="Arial"/>
                <w:sz w:val="13"/>
                <w:szCs w:val="13"/>
                <w:color w:val="auto"/>
                <w:w w:val="94"/>
              </w:rPr>
              <w:t>RSUs</w:t>
            </w:r>
          </w:p>
        </w:tc>
        <w:tc>
          <w:tcPr>
            <w:tcW w:w="860" w:type="dxa"/>
            <w:vAlign w:val="bottom"/>
            <w:vMerge w:val="continue"/>
            <w:shd w:val="clear" w:color="auto" w:fill="DBDBDB"/>
          </w:tcPr>
          <w:p>
            <w:pPr>
              <w:spacing w:after="0"/>
              <w:rPr>
                <w:sz w:val="7"/>
                <w:szCs w:val="7"/>
                <w:color w:val="auto"/>
              </w:rPr>
            </w:pPr>
          </w:p>
        </w:tc>
        <w:tc>
          <w:tcPr>
            <w:tcW w:w="880" w:type="dxa"/>
            <w:vAlign w:val="bottom"/>
            <w:vMerge w:val="continue"/>
            <w:shd w:val="clear" w:color="auto" w:fill="DBDBDB"/>
          </w:tcPr>
          <w:p>
            <w:pPr>
              <w:spacing w:after="0"/>
              <w:rPr>
                <w:sz w:val="7"/>
                <w:szCs w:val="7"/>
                <w:color w:val="auto"/>
              </w:rPr>
            </w:pPr>
          </w:p>
        </w:tc>
        <w:tc>
          <w:tcPr>
            <w:tcW w:w="940" w:type="dxa"/>
            <w:vAlign w:val="bottom"/>
            <w:vMerge w:val="continue"/>
            <w:shd w:val="clear" w:color="auto" w:fill="DBDBDB"/>
          </w:tcPr>
          <w:p>
            <w:pPr>
              <w:spacing w:after="0"/>
              <w:rPr>
                <w:sz w:val="7"/>
                <w:szCs w:val="7"/>
                <w:color w:val="auto"/>
              </w:rPr>
            </w:pPr>
          </w:p>
        </w:tc>
        <w:tc>
          <w:tcPr>
            <w:tcW w:w="840" w:type="dxa"/>
            <w:vAlign w:val="bottom"/>
            <w:gridSpan w:val="2"/>
            <w:vMerge w:val="continue"/>
            <w:shd w:val="clear" w:color="auto" w:fill="DBDBDB"/>
          </w:tcPr>
          <w:p>
            <w:pPr>
              <w:spacing w:after="0"/>
              <w:rPr>
                <w:sz w:val="7"/>
                <w:szCs w:val="7"/>
                <w:color w:val="auto"/>
              </w:rPr>
            </w:pPr>
          </w:p>
        </w:tc>
        <w:tc>
          <w:tcPr>
            <w:tcW w:w="980" w:type="dxa"/>
            <w:vAlign w:val="bottom"/>
            <w:vMerge w:val="continue"/>
            <w:shd w:val="clear" w:color="auto" w:fill="DBDBDB"/>
          </w:tcPr>
          <w:p>
            <w:pPr>
              <w:spacing w:after="0"/>
              <w:rPr>
                <w:sz w:val="7"/>
                <w:szCs w:val="7"/>
                <w:color w:val="auto"/>
              </w:rPr>
            </w:pPr>
          </w:p>
        </w:tc>
        <w:tc>
          <w:tcPr>
            <w:tcW w:w="640" w:type="dxa"/>
            <w:vAlign w:val="bottom"/>
            <w:vMerge w:val="continue"/>
            <w:shd w:val="clear" w:color="auto" w:fill="DBDBDB"/>
          </w:tcPr>
          <w:p>
            <w:pPr>
              <w:spacing w:after="0"/>
              <w:rPr>
                <w:sz w:val="7"/>
                <w:szCs w:val="7"/>
                <w:color w:val="auto"/>
              </w:rPr>
            </w:pPr>
          </w:p>
        </w:tc>
        <w:tc>
          <w:tcPr>
            <w:tcW w:w="740" w:type="dxa"/>
            <w:vAlign w:val="bottom"/>
            <w:vMerge w:val="continue"/>
            <w:shd w:val="clear" w:color="auto" w:fill="DBDBDB"/>
          </w:tcPr>
          <w:p>
            <w:pPr>
              <w:spacing w:after="0"/>
              <w:rPr>
                <w:sz w:val="7"/>
                <w:szCs w:val="7"/>
                <w:color w:val="auto"/>
              </w:rPr>
            </w:pPr>
          </w:p>
        </w:tc>
        <w:tc>
          <w:tcPr>
            <w:tcW w:w="800" w:type="dxa"/>
            <w:vAlign w:val="bottom"/>
            <w:vMerge w:val="continue"/>
            <w:shd w:val="clear" w:color="auto" w:fill="DBDBDB"/>
          </w:tcPr>
          <w:p>
            <w:pPr>
              <w:spacing w:after="0"/>
              <w:rPr>
                <w:sz w:val="7"/>
                <w:szCs w:val="7"/>
                <w:color w:val="auto"/>
              </w:rPr>
            </w:pPr>
          </w:p>
        </w:tc>
        <w:tc>
          <w:tcPr>
            <w:tcW w:w="980" w:type="dxa"/>
            <w:vAlign w:val="bottom"/>
            <w:vMerge w:val="continue"/>
            <w:shd w:val="clear" w:color="auto" w:fill="DBDBDB"/>
          </w:tcPr>
          <w:p>
            <w:pPr>
              <w:spacing w:after="0"/>
              <w:rPr>
                <w:sz w:val="7"/>
                <w:szCs w:val="7"/>
                <w:color w:val="auto"/>
              </w:rPr>
            </w:pPr>
          </w:p>
        </w:tc>
        <w:tc>
          <w:tcPr>
            <w:tcW w:w="840" w:type="dxa"/>
            <w:vAlign w:val="bottom"/>
            <w:vMerge w:val="continue"/>
            <w:shd w:val="clear" w:color="auto" w:fill="DBDBDB"/>
          </w:tcPr>
          <w:p>
            <w:pPr>
              <w:spacing w:after="0"/>
              <w:rPr>
                <w:sz w:val="7"/>
                <w:szCs w:val="7"/>
                <w:color w:val="auto"/>
              </w:rPr>
            </w:pPr>
          </w:p>
        </w:tc>
        <w:tc>
          <w:tcPr>
            <w:tcW w:w="78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60" w:type="dxa"/>
            <w:vAlign w:val="bottom"/>
            <w:tcBorders>
              <w:bottom w:val="single" w:sz="8" w:color="DBDBDB"/>
            </w:tcBorders>
            <w:shd w:val="clear" w:color="auto" w:fill="DBDBDB"/>
          </w:tcPr>
          <w:p>
            <w:pPr>
              <w:spacing w:after="0"/>
              <w:rPr>
                <w:sz w:val="11"/>
                <w:szCs w:val="11"/>
                <w:color w:val="auto"/>
              </w:rPr>
            </w:pPr>
          </w:p>
        </w:tc>
        <w:tc>
          <w:tcPr>
            <w:tcW w:w="1000" w:type="dxa"/>
            <w:vAlign w:val="bottom"/>
            <w:tcBorders>
              <w:bottom w:val="single" w:sz="8" w:color="DBDBDB"/>
            </w:tcBorders>
            <w:vMerge w:val="continue"/>
            <w:shd w:val="clear" w:color="auto" w:fill="DBDBDB"/>
          </w:tcPr>
          <w:p>
            <w:pPr>
              <w:spacing w:after="0"/>
              <w:rPr>
                <w:sz w:val="11"/>
                <w:szCs w:val="11"/>
                <w:color w:val="auto"/>
              </w:rPr>
            </w:pPr>
          </w:p>
        </w:tc>
        <w:tc>
          <w:tcPr>
            <w:tcW w:w="860" w:type="dxa"/>
            <w:vAlign w:val="bottom"/>
            <w:tcBorders>
              <w:bottom w:val="single" w:sz="8" w:color="DBDBDB"/>
            </w:tcBorders>
            <w:shd w:val="clear" w:color="auto" w:fill="DBDBDB"/>
          </w:tcPr>
          <w:p>
            <w:pPr>
              <w:spacing w:after="0"/>
              <w:rPr>
                <w:sz w:val="11"/>
                <w:szCs w:val="11"/>
                <w:color w:val="auto"/>
              </w:rPr>
            </w:pPr>
          </w:p>
        </w:tc>
        <w:tc>
          <w:tcPr>
            <w:tcW w:w="880" w:type="dxa"/>
            <w:vAlign w:val="bottom"/>
            <w:tcBorders>
              <w:bottom w:val="single" w:sz="8" w:color="DBDBDB"/>
            </w:tcBorders>
            <w:shd w:val="clear" w:color="auto" w:fill="DBDBDB"/>
          </w:tcPr>
          <w:p>
            <w:pPr>
              <w:spacing w:after="0"/>
              <w:rPr>
                <w:sz w:val="11"/>
                <w:szCs w:val="11"/>
                <w:color w:val="auto"/>
              </w:rPr>
            </w:pPr>
          </w:p>
        </w:tc>
        <w:tc>
          <w:tcPr>
            <w:tcW w:w="940" w:type="dxa"/>
            <w:vAlign w:val="bottom"/>
            <w:tcBorders>
              <w:bottom w:val="single" w:sz="8" w:color="DBDBDB"/>
            </w:tcBorders>
            <w:shd w:val="clear" w:color="auto" w:fill="DBDBDB"/>
          </w:tcPr>
          <w:p>
            <w:pPr>
              <w:spacing w:after="0"/>
              <w:rPr>
                <w:sz w:val="11"/>
                <w:szCs w:val="11"/>
                <w:color w:val="auto"/>
              </w:rPr>
            </w:pPr>
          </w:p>
        </w:tc>
        <w:tc>
          <w:tcPr>
            <w:tcW w:w="740" w:type="dxa"/>
            <w:vAlign w:val="bottom"/>
            <w:tcBorders>
              <w:bottom w:val="single" w:sz="8" w:color="DBDBDB"/>
            </w:tcBorders>
            <w:shd w:val="clear" w:color="auto" w:fill="DBDBDB"/>
          </w:tcPr>
          <w:p>
            <w:pPr>
              <w:spacing w:after="0"/>
              <w:rPr>
                <w:sz w:val="11"/>
                <w:szCs w:val="11"/>
                <w:color w:val="auto"/>
              </w:rPr>
            </w:pPr>
          </w:p>
        </w:tc>
        <w:tc>
          <w:tcPr>
            <w:tcW w:w="100" w:type="dxa"/>
            <w:vAlign w:val="bottom"/>
            <w:tcBorders>
              <w:bottom w:val="single" w:sz="8" w:color="DBDBDB"/>
            </w:tcBorders>
            <w:shd w:val="clear" w:color="auto" w:fill="DBDBDB"/>
          </w:tcPr>
          <w:p>
            <w:pPr>
              <w:spacing w:after="0"/>
              <w:rPr>
                <w:sz w:val="11"/>
                <w:szCs w:val="11"/>
                <w:color w:val="auto"/>
              </w:rPr>
            </w:pPr>
          </w:p>
        </w:tc>
        <w:tc>
          <w:tcPr>
            <w:tcW w:w="980" w:type="dxa"/>
            <w:vAlign w:val="bottom"/>
            <w:tcBorders>
              <w:bottom w:val="single" w:sz="8" w:color="DBDBDB"/>
            </w:tcBorders>
            <w:shd w:val="clear" w:color="auto" w:fill="DBDBDB"/>
          </w:tcPr>
          <w:p>
            <w:pPr>
              <w:spacing w:after="0"/>
              <w:rPr>
                <w:sz w:val="11"/>
                <w:szCs w:val="11"/>
                <w:color w:val="auto"/>
              </w:rPr>
            </w:pPr>
          </w:p>
        </w:tc>
        <w:tc>
          <w:tcPr>
            <w:tcW w:w="640" w:type="dxa"/>
            <w:vAlign w:val="bottom"/>
            <w:tcBorders>
              <w:bottom w:val="single" w:sz="8" w:color="DBDBDB"/>
            </w:tcBorders>
            <w:shd w:val="clear" w:color="auto" w:fill="DBDBDB"/>
          </w:tcPr>
          <w:p>
            <w:pPr>
              <w:spacing w:after="0"/>
              <w:rPr>
                <w:sz w:val="11"/>
                <w:szCs w:val="11"/>
                <w:color w:val="auto"/>
              </w:rPr>
            </w:pPr>
          </w:p>
        </w:tc>
        <w:tc>
          <w:tcPr>
            <w:tcW w:w="740" w:type="dxa"/>
            <w:vAlign w:val="bottom"/>
            <w:tcBorders>
              <w:bottom w:val="single" w:sz="8" w:color="DBDBDB"/>
            </w:tcBorders>
            <w:shd w:val="clear" w:color="auto" w:fill="DBDBDB"/>
          </w:tcPr>
          <w:p>
            <w:pPr>
              <w:spacing w:after="0"/>
              <w:rPr>
                <w:sz w:val="11"/>
                <w:szCs w:val="11"/>
                <w:color w:val="auto"/>
              </w:rPr>
            </w:pPr>
          </w:p>
        </w:tc>
        <w:tc>
          <w:tcPr>
            <w:tcW w:w="800" w:type="dxa"/>
            <w:vAlign w:val="bottom"/>
            <w:tcBorders>
              <w:bottom w:val="single" w:sz="8" w:color="DBDBDB"/>
            </w:tcBorders>
            <w:shd w:val="clear" w:color="auto" w:fill="DBDBDB"/>
          </w:tcPr>
          <w:p>
            <w:pPr>
              <w:spacing w:after="0"/>
              <w:rPr>
                <w:sz w:val="11"/>
                <w:szCs w:val="11"/>
                <w:color w:val="auto"/>
              </w:rPr>
            </w:pPr>
          </w:p>
        </w:tc>
        <w:tc>
          <w:tcPr>
            <w:tcW w:w="980" w:type="dxa"/>
            <w:vAlign w:val="bottom"/>
            <w:tcBorders>
              <w:bottom w:val="single" w:sz="8" w:color="DBDBDB"/>
            </w:tcBorders>
            <w:shd w:val="clear" w:color="auto" w:fill="DBDBDB"/>
          </w:tcPr>
          <w:p>
            <w:pPr>
              <w:spacing w:after="0"/>
              <w:rPr>
                <w:sz w:val="11"/>
                <w:szCs w:val="11"/>
                <w:color w:val="auto"/>
              </w:rPr>
            </w:pPr>
          </w:p>
        </w:tc>
        <w:tc>
          <w:tcPr>
            <w:tcW w:w="840" w:type="dxa"/>
            <w:vAlign w:val="bottom"/>
            <w:tcBorders>
              <w:bottom w:val="single" w:sz="8" w:color="DBDBDB"/>
            </w:tcBorders>
            <w:shd w:val="clear" w:color="auto" w:fill="DBDBDB"/>
          </w:tcPr>
          <w:p>
            <w:pPr>
              <w:spacing w:after="0"/>
              <w:rPr>
                <w:sz w:val="11"/>
                <w:szCs w:val="11"/>
                <w:color w:val="auto"/>
              </w:rPr>
            </w:pPr>
          </w:p>
        </w:tc>
        <w:tc>
          <w:tcPr>
            <w:tcW w:w="780" w:type="dxa"/>
            <w:vAlign w:val="bottom"/>
            <w:tcBorders>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960" w:type="dxa"/>
            <w:vAlign w:val="bottom"/>
            <w:tcBorders>
              <w:top w:val="single" w:sz="8" w:color="DBDBDB"/>
            </w:tcBorders>
            <w:shd w:val="clear" w:color="auto" w:fill="DBDBDB"/>
          </w:tcPr>
          <w:p>
            <w:pPr>
              <w:spacing w:after="0"/>
              <w:rPr>
                <w:sz w:val="19"/>
                <w:szCs w:val="19"/>
                <w:color w:val="auto"/>
              </w:rPr>
            </w:pPr>
          </w:p>
        </w:tc>
        <w:tc>
          <w:tcPr>
            <w:tcW w:w="1000" w:type="dxa"/>
            <w:vAlign w:val="bottom"/>
            <w:tcBorders>
              <w:top w:val="single" w:sz="8" w:color="ADB1C7"/>
            </w:tcBorders>
            <w:shd w:val="clear" w:color="auto" w:fill="DBDBDB"/>
          </w:tcPr>
          <w:p>
            <w:pPr>
              <w:jc w:val="center"/>
              <w:spacing w:after="0"/>
              <w:rPr>
                <w:sz w:val="20"/>
                <w:szCs w:val="20"/>
                <w:color w:val="auto"/>
              </w:rPr>
            </w:pPr>
            <w:r>
              <w:rPr>
                <w:rFonts w:ascii="Arial" w:cs="Arial" w:eastAsia="Arial" w:hAnsi="Arial"/>
                <w:sz w:val="13"/>
                <w:szCs w:val="13"/>
                <w:color w:val="auto"/>
                <w:w w:val="98"/>
              </w:rPr>
              <w:t>Options</w:t>
            </w:r>
          </w:p>
        </w:tc>
        <w:tc>
          <w:tcPr>
            <w:tcW w:w="860" w:type="dxa"/>
            <w:vAlign w:val="bottom"/>
            <w:tcBorders>
              <w:top w:val="single" w:sz="8" w:color="ADB1C7"/>
            </w:tcBorders>
            <w:shd w:val="clear" w:color="auto" w:fill="DBDBDB"/>
          </w:tcPr>
          <w:p>
            <w:pPr>
              <w:jc w:val="center"/>
              <w:spacing w:after="0"/>
              <w:rPr>
                <w:sz w:val="20"/>
                <w:szCs w:val="20"/>
                <w:color w:val="auto"/>
              </w:rPr>
            </w:pPr>
            <w:r>
              <w:rPr>
                <w:rFonts w:ascii="Arial" w:cs="Arial" w:eastAsia="Arial" w:hAnsi="Arial"/>
                <w:sz w:val="13"/>
                <w:szCs w:val="13"/>
                <w:color w:val="auto"/>
                <w:w w:val="96"/>
              </w:rPr>
              <w:t>3/31/2021</w:t>
            </w:r>
          </w:p>
        </w:tc>
        <w:tc>
          <w:tcPr>
            <w:tcW w:w="880" w:type="dxa"/>
            <w:vAlign w:val="bottom"/>
            <w:tcBorders>
              <w:top w:val="single" w:sz="8" w:color="ADB1C7"/>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DB1C7"/>
            </w:tcBorders>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DB1C7"/>
            </w:tcBorders>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DB1C7"/>
            </w:tcBorders>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DB1C7"/>
            </w:tcBorders>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DB1C7"/>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DB1C7"/>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DB1C7"/>
            </w:tcBorders>
            <w:shd w:val="clear" w:color="auto" w:fill="DBDBDB"/>
          </w:tcPr>
          <w:p>
            <w:pPr>
              <w:jc w:val="right"/>
              <w:spacing w:after="0"/>
              <w:rPr>
                <w:sz w:val="20"/>
                <w:szCs w:val="20"/>
                <w:color w:val="auto"/>
              </w:rPr>
            </w:pPr>
            <w:r>
              <w:rPr>
                <w:rFonts w:ascii="Arial" w:cs="Arial" w:eastAsia="Arial" w:hAnsi="Arial"/>
                <w:sz w:val="13"/>
                <w:szCs w:val="13"/>
                <w:color w:val="auto"/>
              </w:rPr>
              <w:t>287,472</w:t>
            </w:r>
          </w:p>
        </w:tc>
        <w:tc>
          <w:tcPr>
            <w:tcW w:w="840" w:type="dxa"/>
            <w:vAlign w:val="bottom"/>
            <w:tcBorders>
              <w:top w:val="single" w:sz="8" w:color="ADB1C7"/>
            </w:tcBorders>
            <w:shd w:val="clear" w:color="auto" w:fill="DBDBDB"/>
          </w:tcPr>
          <w:p>
            <w:pPr>
              <w:jc w:val="right"/>
              <w:ind w:right="37"/>
              <w:spacing w:after="0"/>
              <w:rPr>
                <w:sz w:val="20"/>
                <w:szCs w:val="20"/>
                <w:color w:val="auto"/>
              </w:rPr>
            </w:pPr>
            <w:r>
              <w:rPr>
                <w:rFonts w:ascii="Arial" w:cs="Arial" w:eastAsia="Arial" w:hAnsi="Arial"/>
                <w:sz w:val="13"/>
                <w:szCs w:val="13"/>
                <w:color w:val="auto"/>
              </w:rPr>
              <w:t>26.99</w:t>
            </w:r>
          </w:p>
        </w:tc>
        <w:tc>
          <w:tcPr>
            <w:tcW w:w="780" w:type="dxa"/>
            <w:vAlign w:val="bottom"/>
            <w:tcBorders>
              <w:top w:val="single" w:sz="8" w:color="ADB1C7"/>
            </w:tcBorders>
            <w:shd w:val="clear" w:color="auto" w:fill="DBDBDB"/>
          </w:tcPr>
          <w:p>
            <w:pPr>
              <w:jc w:val="right"/>
              <w:spacing w:after="0"/>
              <w:rPr>
                <w:sz w:val="20"/>
                <w:szCs w:val="20"/>
                <w:color w:val="auto"/>
              </w:rPr>
            </w:pPr>
            <w:r>
              <w:rPr>
                <w:rFonts w:ascii="Arial" w:cs="Arial" w:eastAsia="Arial" w:hAnsi="Arial"/>
                <w:sz w:val="13"/>
                <w:szCs w:val="13"/>
                <w:color w:val="auto"/>
              </w:rPr>
              <w:t>3,349,049</w:t>
            </w:r>
          </w:p>
        </w:tc>
        <w:tc>
          <w:tcPr>
            <w:tcW w:w="0" w:type="dxa"/>
            <w:vAlign w:val="bottom"/>
          </w:tcPr>
          <w:p>
            <w:pPr>
              <w:spacing w:after="0"/>
              <w:rPr>
                <w:sz w:val="1"/>
                <w:szCs w:val="1"/>
                <w:color w:val="auto"/>
              </w:rPr>
            </w:pPr>
          </w:p>
        </w:tc>
      </w:tr>
      <w:tr>
        <w:trPr>
          <w:trHeight w:val="82"/>
        </w:trPr>
        <w:tc>
          <w:tcPr>
            <w:tcW w:w="96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860" w:type="dxa"/>
            <w:vAlign w:val="bottom"/>
            <w:shd w:val="clear" w:color="auto" w:fill="DBDBDB"/>
          </w:tcPr>
          <w:p>
            <w:pPr>
              <w:spacing w:after="0"/>
              <w:rPr>
                <w:sz w:val="7"/>
                <w:szCs w:val="7"/>
                <w:color w:val="auto"/>
              </w:rPr>
            </w:pPr>
          </w:p>
        </w:tc>
        <w:tc>
          <w:tcPr>
            <w:tcW w:w="88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74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640" w:type="dxa"/>
            <w:vAlign w:val="bottom"/>
            <w:shd w:val="clear" w:color="auto" w:fill="DBDBDB"/>
          </w:tcPr>
          <w:p>
            <w:pPr>
              <w:spacing w:after="0"/>
              <w:rPr>
                <w:sz w:val="7"/>
                <w:szCs w:val="7"/>
                <w:color w:val="auto"/>
              </w:rPr>
            </w:pPr>
          </w:p>
        </w:tc>
        <w:tc>
          <w:tcPr>
            <w:tcW w:w="740" w:type="dxa"/>
            <w:vAlign w:val="bottom"/>
            <w:shd w:val="clear" w:color="auto" w:fill="DBDBDB"/>
          </w:tcPr>
          <w:p>
            <w:pPr>
              <w:spacing w:after="0"/>
              <w:rPr>
                <w:sz w:val="7"/>
                <w:szCs w:val="7"/>
                <w:color w:val="auto"/>
              </w:rPr>
            </w:pPr>
          </w:p>
        </w:tc>
        <w:tc>
          <w:tcPr>
            <w:tcW w:w="80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840" w:type="dxa"/>
            <w:vAlign w:val="bottom"/>
            <w:shd w:val="clear" w:color="auto" w:fill="DBDBDB"/>
          </w:tcPr>
          <w:p>
            <w:pPr>
              <w:spacing w:after="0"/>
              <w:rPr>
                <w:sz w:val="7"/>
                <w:szCs w:val="7"/>
                <w:color w:val="auto"/>
              </w:rPr>
            </w:pPr>
          </w:p>
        </w:tc>
        <w:tc>
          <w:tcPr>
            <w:tcW w:w="78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9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8"/>
              </w:rPr>
              <w:t>Annual Bonus</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405,000</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810,000</w:t>
            </w:r>
          </w:p>
        </w:tc>
        <w:tc>
          <w:tcPr>
            <w:tcW w:w="740" w:type="dxa"/>
            <w:vAlign w:val="bottom"/>
          </w:tcPr>
          <w:p>
            <w:pPr>
              <w:jc w:val="right"/>
              <w:spacing w:after="0"/>
              <w:rPr>
                <w:sz w:val="20"/>
                <w:szCs w:val="20"/>
                <w:color w:val="auto"/>
              </w:rPr>
            </w:pPr>
            <w:r>
              <w:rPr>
                <w:rFonts w:ascii="Arial" w:cs="Arial" w:eastAsia="Arial" w:hAnsi="Arial"/>
                <w:sz w:val="13"/>
                <w:szCs w:val="13"/>
                <w:color w:val="auto"/>
              </w:rPr>
              <w:t>1,620,000</w:t>
            </w:r>
          </w:p>
        </w:tc>
        <w:tc>
          <w:tcPr>
            <w:tcW w:w="100" w:type="dxa"/>
            <w:vAlign w:val="bottom"/>
          </w:tcPr>
          <w:p>
            <w:pPr>
              <w:spacing w:after="0"/>
              <w:rPr>
                <w:sz w:val="24"/>
                <w:szCs w:val="2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000" w:type="dxa"/>
            <w:vAlign w:val="bottom"/>
            <w:tcBorders>
              <w:bottom w:val="single" w:sz="8" w:color="ADB1C7"/>
            </w:tcBorders>
          </w:tcPr>
          <w:p>
            <w:pPr>
              <w:spacing w:after="0"/>
              <w:rPr>
                <w:sz w:val="11"/>
                <w:szCs w:val="11"/>
                <w:color w:val="auto"/>
              </w:rPr>
            </w:pPr>
          </w:p>
        </w:tc>
        <w:tc>
          <w:tcPr>
            <w:tcW w:w="860" w:type="dxa"/>
            <w:vAlign w:val="bottom"/>
            <w:tcBorders>
              <w:bottom w:val="single" w:sz="8" w:color="ADB1C7"/>
            </w:tcBorders>
          </w:tcPr>
          <w:p>
            <w:pPr>
              <w:spacing w:after="0"/>
              <w:rPr>
                <w:sz w:val="11"/>
                <w:szCs w:val="11"/>
                <w:color w:val="auto"/>
              </w:rPr>
            </w:pPr>
          </w:p>
        </w:tc>
        <w:tc>
          <w:tcPr>
            <w:tcW w:w="880" w:type="dxa"/>
            <w:vAlign w:val="bottom"/>
            <w:tcBorders>
              <w:bottom w:val="single" w:sz="8" w:color="ADB1C7"/>
            </w:tcBorders>
          </w:tcPr>
          <w:p>
            <w:pPr>
              <w:spacing w:after="0"/>
              <w:rPr>
                <w:sz w:val="11"/>
                <w:szCs w:val="11"/>
                <w:color w:val="auto"/>
              </w:rPr>
            </w:pPr>
          </w:p>
        </w:tc>
        <w:tc>
          <w:tcPr>
            <w:tcW w:w="940" w:type="dxa"/>
            <w:vAlign w:val="bottom"/>
            <w:tcBorders>
              <w:bottom w:val="single" w:sz="8" w:color="ADB1C7"/>
            </w:tcBorders>
          </w:tcPr>
          <w:p>
            <w:pPr>
              <w:spacing w:after="0"/>
              <w:rPr>
                <w:sz w:val="11"/>
                <w:szCs w:val="11"/>
                <w:color w:val="auto"/>
              </w:rPr>
            </w:pPr>
          </w:p>
        </w:tc>
        <w:tc>
          <w:tcPr>
            <w:tcW w:w="740" w:type="dxa"/>
            <w:vAlign w:val="bottom"/>
            <w:tcBorders>
              <w:bottom w:val="single" w:sz="8" w:color="ADB1C7"/>
            </w:tcBorders>
          </w:tcPr>
          <w:p>
            <w:pPr>
              <w:spacing w:after="0"/>
              <w:rPr>
                <w:sz w:val="11"/>
                <w:szCs w:val="11"/>
                <w:color w:val="auto"/>
              </w:rPr>
            </w:pPr>
          </w:p>
        </w:tc>
        <w:tc>
          <w:tcPr>
            <w:tcW w:w="100" w:type="dxa"/>
            <w:vAlign w:val="bottom"/>
            <w:tcBorders>
              <w:bottom w:val="single" w:sz="8" w:color="ADB1C7"/>
            </w:tcBorders>
          </w:tcPr>
          <w:p>
            <w:pPr>
              <w:spacing w:after="0"/>
              <w:rPr>
                <w:sz w:val="11"/>
                <w:szCs w:val="11"/>
                <w:color w:val="auto"/>
              </w:rPr>
            </w:pPr>
          </w:p>
        </w:tc>
        <w:tc>
          <w:tcPr>
            <w:tcW w:w="980" w:type="dxa"/>
            <w:vAlign w:val="bottom"/>
            <w:tcBorders>
              <w:bottom w:val="single" w:sz="8" w:color="ADB1C7"/>
            </w:tcBorders>
          </w:tcPr>
          <w:p>
            <w:pPr>
              <w:spacing w:after="0"/>
              <w:rPr>
                <w:sz w:val="11"/>
                <w:szCs w:val="11"/>
                <w:color w:val="auto"/>
              </w:rPr>
            </w:pPr>
          </w:p>
        </w:tc>
        <w:tc>
          <w:tcPr>
            <w:tcW w:w="640" w:type="dxa"/>
            <w:vAlign w:val="bottom"/>
            <w:tcBorders>
              <w:bottom w:val="single" w:sz="8" w:color="ADB1C7"/>
            </w:tcBorders>
          </w:tcPr>
          <w:p>
            <w:pPr>
              <w:spacing w:after="0"/>
              <w:rPr>
                <w:sz w:val="11"/>
                <w:szCs w:val="11"/>
                <w:color w:val="auto"/>
              </w:rPr>
            </w:pPr>
          </w:p>
        </w:tc>
        <w:tc>
          <w:tcPr>
            <w:tcW w:w="740" w:type="dxa"/>
            <w:vAlign w:val="bottom"/>
            <w:tcBorders>
              <w:bottom w:val="single" w:sz="8" w:color="ADB1C7"/>
            </w:tcBorders>
          </w:tcPr>
          <w:p>
            <w:pPr>
              <w:spacing w:after="0"/>
              <w:rPr>
                <w:sz w:val="11"/>
                <w:szCs w:val="11"/>
                <w:color w:val="auto"/>
              </w:rPr>
            </w:pPr>
          </w:p>
        </w:tc>
        <w:tc>
          <w:tcPr>
            <w:tcW w:w="800" w:type="dxa"/>
            <w:vAlign w:val="bottom"/>
            <w:tcBorders>
              <w:bottom w:val="single" w:sz="8" w:color="ADB1C7"/>
            </w:tcBorders>
          </w:tcPr>
          <w:p>
            <w:pPr>
              <w:spacing w:after="0"/>
              <w:rPr>
                <w:sz w:val="11"/>
                <w:szCs w:val="11"/>
                <w:color w:val="auto"/>
              </w:rPr>
            </w:pPr>
          </w:p>
        </w:tc>
        <w:tc>
          <w:tcPr>
            <w:tcW w:w="980" w:type="dxa"/>
            <w:vAlign w:val="bottom"/>
            <w:tcBorders>
              <w:bottom w:val="single" w:sz="8" w:color="ADB1C7"/>
            </w:tcBorders>
          </w:tcPr>
          <w:p>
            <w:pPr>
              <w:spacing w:after="0"/>
              <w:rPr>
                <w:sz w:val="11"/>
                <w:szCs w:val="11"/>
                <w:color w:val="auto"/>
              </w:rPr>
            </w:pPr>
          </w:p>
        </w:tc>
        <w:tc>
          <w:tcPr>
            <w:tcW w:w="840" w:type="dxa"/>
            <w:vAlign w:val="bottom"/>
            <w:tcBorders>
              <w:bottom w:val="single" w:sz="8" w:color="ADB1C7"/>
            </w:tcBorders>
          </w:tcPr>
          <w:p>
            <w:pPr>
              <w:spacing w:after="0"/>
              <w:rPr>
                <w:sz w:val="11"/>
                <w:szCs w:val="11"/>
                <w:color w:val="auto"/>
              </w:rPr>
            </w:pPr>
          </w:p>
        </w:tc>
        <w:tc>
          <w:tcPr>
            <w:tcW w:w="780" w:type="dxa"/>
            <w:vAlign w:val="bottom"/>
            <w:tcBorders>
              <w:bottom w:val="single" w:sz="8" w:color="ADB1C7"/>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96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Michael P.</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Performance</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6"/>
              </w:rPr>
              <w:t>3/31/2021</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7"/>
              <w:spacing w:after="0"/>
              <w:rPr>
                <w:sz w:val="20"/>
                <w:szCs w:val="20"/>
                <w:color w:val="auto"/>
              </w:rPr>
            </w:pPr>
            <w:r>
              <w:rPr>
                <w:rFonts w:ascii="Arial" w:cs="Arial" w:eastAsia="Arial" w:hAnsi="Arial"/>
                <w:sz w:val="13"/>
                <w:szCs w:val="13"/>
                <w:color w:val="auto"/>
              </w:rPr>
              <w:t>6,113</w:t>
            </w: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color w:val="auto"/>
              </w:rPr>
              <w:t>12,226</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329,980</w:t>
            </w:r>
          </w:p>
        </w:tc>
        <w:tc>
          <w:tcPr>
            <w:tcW w:w="0" w:type="dxa"/>
            <w:vAlign w:val="bottom"/>
          </w:tcPr>
          <w:p>
            <w:pPr>
              <w:spacing w:after="0"/>
              <w:rPr>
                <w:sz w:val="1"/>
                <w:szCs w:val="1"/>
                <w:color w:val="auto"/>
              </w:rPr>
            </w:pPr>
          </w:p>
        </w:tc>
      </w:tr>
      <w:tr>
        <w:trPr>
          <w:trHeight w:val="108"/>
        </w:trPr>
        <w:tc>
          <w:tcPr>
            <w:tcW w:w="960" w:type="dxa"/>
            <w:vAlign w:val="bottom"/>
            <w:vMerge w:val="continue"/>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4"/>
              </w:rPr>
              <w:t>RSUs</w:t>
            </w:r>
          </w:p>
        </w:tc>
        <w:tc>
          <w:tcPr>
            <w:tcW w:w="8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960" w:type="dxa"/>
            <w:vAlign w:val="bottom"/>
            <w:vMerge w:val="restart"/>
          </w:tcPr>
          <w:p>
            <w:pPr>
              <w:ind w:left="100"/>
              <w:spacing w:after="0" w:line="106" w:lineRule="exact"/>
              <w:rPr>
                <w:sz w:val="20"/>
                <w:szCs w:val="20"/>
                <w:color w:val="auto"/>
              </w:rPr>
            </w:pPr>
            <w:r>
              <w:rPr>
                <w:rFonts w:ascii="Arial" w:cs="Arial" w:eastAsia="Arial" w:hAnsi="Arial"/>
                <w:sz w:val="12"/>
                <w:szCs w:val="12"/>
                <w:b w:val="1"/>
                <w:bCs w:val="1"/>
                <w:color w:val="auto"/>
              </w:rPr>
              <w:t>Mullican</w:t>
            </w:r>
          </w:p>
        </w:tc>
        <w:tc>
          <w:tcPr>
            <w:tcW w:w="10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960" w:type="dxa"/>
            <w:vAlign w:val="bottom"/>
            <w:vMerge w:val="continue"/>
          </w:tcPr>
          <w:p>
            <w:pPr>
              <w:spacing w:after="0"/>
              <w:rPr>
                <w:sz w:val="4"/>
                <w:szCs w:val="4"/>
                <w:color w:val="auto"/>
              </w:rPr>
            </w:pPr>
          </w:p>
        </w:tc>
        <w:tc>
          <w:tcPr>
            <w:tcW w:w="1000" w:type="dxa"/>
            <w:vAlign w:val="bottom"/>
            <w:tcBorders>
              <w:bottom w:val="single" w:sz="8" w:color="ADB1C7"/>
            </w:tcBorders>
          </w:tcPr>
          <w:p>
            <w:pPr>
              <w:spacing w:after="0"/>
              <w:rPr>
                <w:sz w:val="4"/>
                <w:szCs w:val="4"/>
                <w:color w:val="auto"/>
              </w:rPr>
            </w:pPr>
          </w:p>
        </w:tc>
        <w:tc>
          <w:tcPr>
            <w:tcW w:w="860" w:type="dxa"/>
            <w:vAlign w:val="bottom"/>
            <w:tcBorders>
              <w:bottom w:val="single" w:sz="8" w:color="ADB1C7"/>
            </w:tcBorders>
          </w:tcPr>
          <w:p>
            <w:pPr>
              <w:spacing w:after="0"/>
              <w:rPr>
                <w:sz w:val="4"/>
                <w:szCs w:val="4"/>
                <w:color w:val="auto"/>
              </w:rPr>
            </w:pPr>
          </w:p>
        </w:tc>
        <w:tc>
          <w:tcPr>
            <w:tcW w:w="880" w:type="dxa"/>
            <w:vAlign w:val="bottom"/>
            <w:tcBorders>
              <w:bottom w:val="single" w:sz="8" w:color="ADB1C7"/>
            </w:tcBorders>
          </w:tcPr>
          <w:p>
            <w:pPr>
              <w:spacing w:after="0"/>
              <w:rPr>
                <w:sz w:val="4"/>
                <w:szCs w:val="4"/>
                <w:color w:val="auto"/>
              </w:rPr>
            </w:pPr>
          </w:p>
        </w:tc>
        <w:tc>
          <w:tcPr>
            <w:tcW w:w="940" w:type="dxa"/>
            <w:vAlign w:val="bottom"/>
            <w:tcBorders>
              <w:bottom w:val="single" w:sz="8" w:color="ADB1C7"/>
            </w:tcBorders>
          </w:tcPr>
          <w:p>
            <w:pPr>
              <w:spacing w:after="0"/>
              <w:rPr>
                <w:sz w:val="4"/>
                <w:szCs w:val="4"/>
                <w:color w:val="auto"/>
              </w:rPr>
            </w:pPr>
          </w:p>
        </w:tc>
        <w:tc>
          <w:tcPr>
            <w:tcW w:w="740" w:type="dxa"/>
            <w:vAlign w:val="bottom"/>
            <w:tcBorders>
              <w:bottom w:val="single" w:sz="8" w:color="ADB1C7"/>
            </w:tcBorders>
          </w:tcPr>
          <w:p>
            <w:pPr>
              <w:spacing w:after="0"/>
              <w:rPr>
                <w:sz w:val="4"/>
                <w:szCs w:val="4"/>
                <w:color w:val="auto"/>
              </w:rPr>
            </w:pPr>
          </w:p>
        </w:tc>
        <w:tc>
          <w:tcPr>
            <w:tcW w:w="100" w:type="dxa"/>
            <w:vAlign w:val="bottom"/>
            <w:tcBorders>
              <w:bottom w:val="single" w:sz="8" w:color="ADB1C7"/>
            </w:tcBorders>
          </w:tcPr>
          <w:p>
            <w:pPr>
              <w:spacing w:after="0"/>
              <w:rPr>
                <w:sz w:val="4"/>
                <w:szCs w:val="4"/>
                <w:color w:val="auto"/>
              </w:rPr>
            </w:pPr>
          </w:p>
        </w:tc>
        <w:tc>
          <w:tcPr>
            <w:tcW w:w="980" w:type="dxa"/>
            <w:vAlign w:val="bottom"/>
            <w:tcBorders>
              <w:bottom w:val="single" w:sz="8" w:color="ADB1C7"/>
            </w:tcBorders>
          </w:tcPr>
          <w:p>
            <w:pPr>
              <w:spacing w:after="0"/>
              <w:rPr>
                <w:sz w:val="4"/>
                <w:szCs w:val="4"/>
                <w:color w:val="auto"/>
              </w:rPr>
            </w:pPr>
          </w:p>
        </w:tc>
        <w:tc>
          <w:tcPr>
            <w:tcW w:w="640" w:type="dxa"/>
            <w:vAlign w:val="bottom"/>
            <w:tcBorders>
              <w:bottom w:val="single" w:sz="8" w:color="ADB1C7"/>
            </w:tcBorders>
          </w:tcPr>
          <w:p>
            <w:pPr>
              <w:spacing w:after="0"/>
              <w:rPr>
                <w:sz w:val="4"/>
                <w:szCs w:val="4"/>
                <w:color w:val="auto"/>
              </w:rPr>
            </w:pPr>
          </w:p>
        </w:tc>
        <w:tc>
          <w:tcPr>
            <w:tcW w:w="740" w:type="dxa"/>
            <w:vAlign w:val="bottom"/>
            <w:tcBorders>
              <w:bottom w:val="single" w:sz="8" w:color="ADB1C7"/>
            </w:tcBorders>
          </w:tcPr>
          <w:p>
            <w:pPr>
              <w:spacing w:after="0"/>
              <w:rPr>
                <w:sz w:val="4"/>
                <w:szCs w:val="4"/>
                <w:color w:val="auto"/>
              </w:rPr>
            </w:pPr>
          </w:p>
        </w:tc>
        <w:tc>
          <w:tcPr>
            <w:tcW w:w="800" w:type="dxa"/>
            <w:vAlign w:val="bottom"/>
            <w:tcBorders>
              <w:bottom w:val="single" w:sz="8" w:color="ADB1C7"/>
            </w:tcBorders>
          </w:tcPr>
          <w:p>
            <w:pPr>
              <w:spacing w:after="0"/>
              <w:rPr>
                <w:sz w:val="4"/>
                <w:szCs w:val="4"/>
                <w:color w:val="auto"/>
              </w:rPr>
            </w:pPr>
          </w:p>
        </w:tc>
        <w:tc>
          <w:tcPr>
            <w:tcW w:w="980" w:type="dxa"/>
            <w:vAlign w:val="bottom"/>
            <w:tcBorders>
              <w:bottom w:val="single" w:sz="8" w:color="ADB1C7"/>
            </w:tcBorders>
          </w:tcPr>
          <w:p>
            <w:pPr>
              <w:spacing w:after="0"/>
              <w:rPr>
                <w:sz w:val="4"/>
                <w:szCs w:val="4"/>
                <w:color w:val="auto"/>
              </w:rPr>
            </w:pPr>
          </w:p>
        </w:tc>
        <w:tc>
          <w:tcPr>
            <w:tcW w:w="840" w:type="dxa"/>
            <w:vAlign w:val="bottom"/>
            <w:tcBorders>
              <w:bottom w:val="single" w:sz="8" w:color="ADB1C7"/>
            </w:tcBorders>
          </w:tcPr>
          <w:p>
            <w:pPr>
              <w:spacing w:after="0"/>
              <w:rPr>
                <w:sz w:val="4"/>
                <w:szCs w:val="4"/>
                <w:color w:val="auto"/>
              </w:rPr>
            </w:pPr>
          </w:p>
        </w:tc>
        <w:tc>
          <w:tcPr>
            <w:tcW w:w="780" w:type="dxa"/>
            <w:vAlign w:val="bottom"/>
            <w:tcBorders>
              <w:bottom w:val="single" w:sz="8" w:color="ADB1C7"/>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8"/>
              </w:rPr>
              <w:t>Options</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3/31/2021</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56,843</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26.99</w:t>
            </w:r>
          </w:p>
        </w:tc>
        <w:tc>
          <w:tcPr>
            <w:tcW w:w="780" w:type="dxa"/>
            <w:vAlign w:val="bottom"/>
          </w:tcPr>
          <w:p>
            <w:pPr>
              <w:jc w:val="right"/>
              <w:spacing w:after="0"/>
              <w:rPr>
                <w:sz w:val="20"/>
                <w:szCs w:val="20"/>
                <w:color w:val="auto"/>
              </w:rPr>
            </w:pPr>
            <w:r>
              <w:rPr>
                <w:rFonts w:ascii="Arial" w:cs="Arial" w:eastAsia="Arial" w:hAnsi="Arial"/>
                <w:sz w:val="13"/>
                <w:szCs w:val="13"/>
                <w:color w:val="auto"/>
              </w:rPr>
              <w:t>669,997</w:t>
            </w:r>
          </w:p>
        </w:tc>
        <w:tc>
          <w:tcPr>
            <w:tcW w:w="0" w:type="dxa"/>
            <w:vAlign w:val="bottom"/>
          </w:tcPr>
          <w:p>
            <w:pPr>
              <w:spacing w:after="0"/>
              <w:rPr>
                <w:sz w:val="1"/>
                <w:szCs w:val="1"/>
                <w:color w:val="auto"/>
              </w:rPr>
            </w:pPr>
          </w:p>
        </w:tc>
      </w:tr>
      <w:tr>
        <w:trPr>
          <w:trHeight w:val="82"/>
        </w:trPr>
        <w:tc>
          <w:tcPr>
            <w:tcW w:w="960" w:type="dxa"/>
            <w:vAlign w:val="bottom"/>
          </w:tcPr>
          <w:p>
            <w:pPr>
              <w:spacing w:after="0"/>
              <w:rPr>
                <w:sz w:val="7"/>
                <w:szCs w:val="7"/>
                <w:color w:val="auto"/>
              </w:rPr>
            </w:pPr>
          </w:p>
        </w:tc>
        <w:tc>
          <w:tcPr>
            <w:tcW w:w="1000" w:type="dxa"/>
            <w:vAlign w:val="bottom"/>
            <w:tcBorders>
              <w:bottom w:val="single" w:sz="8" w:color="ADB1C7"/>
            </w:tcBorders>
          </w:tcPr>
          <w:p>
            <w:pPr>
              <w:spacing w:after="0"/>
              <w:rPr>
                <w:sz w:val="7"/>
                <w:szCs w:val="7"/>
                <w:color w:val="auto"/>
              </w:rPr>
            </w:pPr>
          </w:p>
        </w:tc>
        <w:tc>
          <w:tcPr>
            <w:tcW w:w="860" w:type="dxa"/>
            <w:vAlign w:val="bottom"/>
            <w:tcBorders>
              <w:bottom w:val="single" w:sz="8" w:color="ADB1C7"/>
            </w:tcBorders>
          </w:tcPr>
          <w:p>
            <w:pPr>
              <w:spacing w:after="0"/>
              <w:rPr>
                <w:sz w:val="7"/>
                <w:szCs w:val="7"/>
                <w:color w:val="auto"/>
              </w:rPr>
            </w:pPr>
          </w:p>
        </w:tc>
        <w:tc>
          <w:tcPr>
            <w:tcW w:w="880" w:type="dxa"/>
            <w:vAlign w:val="bottom"/>
            <w:tcBorders>
              <w:bottom w:val="single" w:sz="8" w:color="ADB1C7"/>
            </w:tcBorders>
          </w:tcPr>
          <w:p>
            <w:pPr>
              <w:spacing w:after="0"/>
              <w:rPr>
                <w:sz w:val="7"/>
                <w:szCs w:val="7"/>
                <w:color w:val="auto"/>
              </w:rPr>
            </w:pPr>
          </w:p>
        </w:tc>
        <w:tc>
          <w:tcPr>
            <w:tcW w:w="940" w:type="dxa"/>
            <w:vAlign w:val="bottom"/>
            <w:tcBorders>
              <w:bottom w:val="single" w:sz="8" w:color="ADB1C7"/>
            </w:tcBorders>
          </w:tcPr>
          <w:p>
            <w:pPr>
              <w:spacing w:after="0"/>
              <w:rPr>
                <w:sz w:val="7"/>
                <w:szCs w:val="7"/>
                <w:color w:val="auto"/>
              </w:rPr>
            </w:pPr>
          </w:p>
        </w:tc>
        <w:tc>
          <w:tcPr>
            <w:tcW w:w="740" w:type="dxa"/>
            <w:vAlign w:val="bottom"/>
            <w:tcBorders>
              <w:bottom w:val="single" w:sz="8" w:color="ADB1C7"/>
            </w:tcBorders>
          </w:tcPr>
          <w:p>
            <w:pPr>
              <w:spacing w:after="0"/>
              <w:rPr>
                <w:sz w:val="7"/>
                <w:szCs w:val="7"/>
                <w:color w:val="auto"/>
              </w:rPr>
            </w:pPr>
          </w:p>
        </w:tc>
        <w:tc>
          <w:tcPr>
            <w:tcW w:w="100" w:type="dxa"/>
            <w:vAlign w:val="bottom"/>
            <w:tcBorders>
              <w:bottom w:val="single" w:sz="8" w:color="ADB1C7"/>
            </w:tcBorders>
          </w:tcPr>
          <w:p>
            <w:pPr>
              <w:spacing w:after="0"/>
              <w:rPr>
                <w:sz w:val="7"/>
                <w:szCs w:val="7"/>
                <w:color w:val="auto"/>
              </w:rPr>
            </w:pPr>
          </w:p>
        </w:tc>
        <w:tc>
          <w:tcPr>
            <w:tcW w:w="980" w:type="dxa"/>
            <w:vAlign w:val="bottom"/>
            <w:tcBorders>
              <w:bottom w:val="single" w:sz="8" w:color="ADB1C7"/>
            </w:tcBorders>
          </w:tcPr>
          <w:p>
            <w:pPr>
              <w:spacing w:after="0"/>
              <w:rPr>
                <w:sz w:val="7"/>
                <w:szCs w:val="7"/>
                <w:color w:val="auto"/>
              </w:rPr>
            </w:pPr>
          </w:p>
        </w:tc>
        <w:tc>
          <w:tcPr>
            <w:tcW w:w="640" w:type="dxa"/>
            <w:vAlign w:val="bottom"/>
            <w:tcBorders>
              <w:bottom w:val="single" w:sz="8" w:color="ADB1C7"/>
            </w:tcBorders>
          </w:tcPr>
          <w:p>
            <w:pPr>
              <w:spacing w:after="0"/>
              <w:rPr>
                <w:sz w:val="7"/>
                <w:szCs w:val="7"/>
                <w:color w:val="auto"/>
              </w:rPr>
            </w:pPr>
          </w:p>
        </w:tc>
        <w:tc>
          <w:tcPr>
            <w:tcW w:w="740" w:type="dxa"/>
            <w:vAlign w:val="bottom"/>
            <w:tcBorders>
              <w:bottom w:val="single" w:sz="8" w:color="ADB1C7"/>
            </w:tcBorders>
          </w:tcPr>
          <w:p>
            <w:pPr>
              <w:spacing w:after="0"/>
              <w:rPr>
                <w:sz w:val="7"/>
                <w:szCs w:val="7"/>
                <w:color w:val="auto"/>
              </w:rPr>
            </w:pPr>
          </w:p>
        </w:tc>
        <w:tc>
          <w:tcPr>
            <w:tcW w:w="800" w:type="dxa"/>
            <w:vAlign w:val="bottom"/>
            <w:tcBorders>
              <w:bottom w:val="single" w:sz="8" w:color="ADB1C7"/>
            </w:tcBorders>
          </w:tcPr>
          <w:p>
            <w:pPr>
              <w:spacing w:after="0"/>
              <w:rPr>
                <w:sz w:val="7"/>
                <w:szCs w:val="7"/>
                <w:color w:val="auto"/>
              </w:rPr>
            </w:pPr>
          </w:p>
        </w:tc>
        <w:tc>
          <w:tcPr>
            <w:tcW w:w="980" w:type="dxa"/>
            <w:vAlign w:val="bottom"/>
            <w:tcBorders>
              <w:bottom w:val="single" w:sz="8" w:color="ADB1C7"/>
            </w:tcBorders>
          </w:tcPr>
          <w:p>
            <w:pPr>
              <w:spacing w:after="0"/>
              <w:rPr>
                <w:sz w:val="7"/>
                <w:szCs w:val="7"/>
                <w:color w:val="auto"/>
              </w:rPr>
            </w:pPr>
          </w:p>
        </w:tc>
        <w:tc>
          <w:tcPr>
            <w:tcW w:w="840" w:type="dxa"/>
            <w:vAlign w:val="bottom"/>
            <w:tcBorders>
              <w:bottom w:val="single" w:sz="8" w:color="ADB1C7"/>
            </w:tcBorders>
          </w:tcPr>
          <w:p>
            <w:pPr>
              <w:spacing w:after="0"/>
              <w:rPr>
                <w:sz w:val="7"/>
                <w:szCs w:val="7"/>
                <w:color w:val="auto"/>
              </w:rPr>
            </w:pPr>
          </w:p>
        </w:tc>
        <w:tc>
          <w:tcPr>
            <w:tcW w:w="780" w:type="dxa"/>
            <w:vAlign w:val="bottom"/>
            <w:tcBorders>
              <w:bottom w:val="single" w:sz="8" w:color="ADB1C7"/>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Time RSUs</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9/10/2021</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21,862</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999,968</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960" w:type="dxa"/>
            <w:vAlign w:val="bottom"/>
            <w:shd w:val="clear" w:color="auto" w:fill="DBDBDB"/>
          </w:tcPr>
          <w:p>
            <w:pPr>
              <w:spacing w:after="0"/>
              <w:rPr>
                <w:sz w:val="24"/>
                <w:szCs w:val="24"/>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8"/>
              </w:rPr>
              <w:t>Annual Bonus</w:t>
            </w:r>
          </w:p>
        </w:tc>
        <w:tc>
          <w:tcPr>
            <w:tcW w:w="86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451,200</w:t>
            </w:r>
          </w:p>
        </w:tc>
        <w:tc>
          <w:tcPr>
            <w:tcW w:w="94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902,400</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1,804,800</w:t>
            </w:r>
          </w:p>
        </w:tc>
        <w:tc>
          <w:tcPr>
            <w:tcW w:w="100" w:type="dxa"/>
            <w:vAlign w:val="bottom"/>
            <w:shd w:val="clear" w:color="auto" w:fill="DBDBDB"/>
          </w:tcPr>
          <w:p>
            <w:pPr>
              <w:spacing w:after="0"/>
              <w:rPr>
                <w:sz w:val="24"/>
                <w:szCs w:val="24"/>
                <w:color w:val="auto"/>
              </w:rPr>
            </w:pPr>
          </w:p>
        </w:tc>
        <w:tc>
          <w:tcPr>
            <w:tcW w:w="98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960" w:type="dxa"/>
            <w:vAlign w:val="bottom"/>
            <w:tcBorders>
              <w:bottom w:val="single" w:sz="8" w:color="DBDBDB"/>
            </w:tcBorders>
            <w:shd w:val="clear" w:color="auto" w:fill="DBDBDB"/>
          </w:tcPr>
          <w:p>
            <w:pPr>
              <w:spacing w:after="0"/>
              <w:rPr>
                <w:sz w:val="11"/>
                <w:szCs w:val="11"/>
                <w:color w:val="auto"/>
              </w:rPr>
            </w:pPr>
          </w:p>
        </w:tc>
        <w:tc>
          <w:tcPr>
            <w:tcW w:w="1000" w:type="dxa"/>
            <w:vAlign w:val="bottom"/>
            <w:tcBorders>
              <w:bottom w:val="single" w:sz="8" w:color="ADB1C7"/>
            </w:tcBorders>
            <w:shd w:val="clear" w:color="auto" w:fill="DBDBDB"/>
          </w:tcPr>
          <w:p>
            <w:pPr>
              <w:spacing w:after="0"/>
              <w:rPr>
                <w:sz w:val="11"/>
                <w:szCs w:val="11"/>
                <w:color w:val="auto"/>
              </w:rPr>
            </w:pPr>
          </w:p>
        </w:tc>
        <w:tc>
          <w:tcPr>
            <w:tcW w:w="860" w:type="dxa"/>
            <w:vAlign w:val="bottom"/>
            <w:tcBorders>
              <w:bottom w:val="single" w:sz="8" w:color="ADB1C7"/>
            </w:tcBorders>
            <w:shd w:val="clear" w:color="auto" w:fill="DBDBDB"/>
          </w:tcPr>
          <w:p>
            <w:pPr>
              <w:spacing w:after="0"/>
              <w:rPr>
                <w:sz w:val="11"/>
                <w:szCs w:val="11"/>
                <w:color w:val="auto"/>
              </w:rPr>
            </w:pPr>
          </w:p>
        </w:tc>
        <w:tc>
          <w:tcPr>
            <w:tcW w:w="880" w:type="dxa"/>
            <w:vAlign w:val="bottom"/>
            <w:tcBorders>
              <w:bottom w:val="single" w:sz="8" w:color="ADB1C7"/>
            </w:tcBorders>
            <w:shd w:val="clear" w:color="auto" w:fill="DBDBDB"/>
          </w:tcPr>
          <w:p>
            <w:pPr>
              <w:spacing w:after="0"/>
              <w:rPr>
                <w:sz w:val="11"/>
                <w:szCs w:val="11"/>
                <w:color w:val="auto"/>
              </w:rPr>
            </w:pPr>
          </w:p>
        </w:tc>
        <w:tc>
          <w:tcPr>
            <w:tcW w:w="940" w:type="dxa"/>
            <w:vAlign w:val="bottom"/>
            <w:tcBorders>
              <w:bottom w:val="single" w:sz="8" w:color="ADB1C7"/>
            </w:tcBorders>
            <w:shd w:val="clear" w:color="auto" w:fill="DBDBDB"/>
          </w:tcPr>
          <w:p>
            <w:pPr>
              <w:spacing w:after="0"/>
              <w:rPr>
                <w:sz w:val="11"/>
                <w:szCs w:val="11"/>
                <w:color w:val="auto"/>
              </w:rPr>
            </w:pPr>
          </w:p>
        </w:tc>
        <w:tc>
          <w:tcPr>
            <w:tcW w:w="740" w:type="dxa"/>
            <w:vAlign w:val="bottom"/>
            <w:tcBorders>
              <w:bottom w:val="single" w:sz="8" w:color="ADB1C7"/>
            </w:tcBorders>
            <w:shd w:val="clear" w:color="auto" w:fill="DBDBDB"/>
          </w:tcPr>
          <w:p>
            <w:pPr>
              <w:spacing w:after="0"/>
              <w:rPr>
                <w:sz w:val="11"/>
                <w:szCs w:val="11"/>
                <w:color w:val="auto"/>
              </w:rPr>
            </w:pPr>
          </w:p>
        </w:tc>
        <w:tc>
          <w:tcPr>
            <w:tcW w:w="100" w:type="dxa"/>
            <w:vAlign w:val="bottom"/>
            <w:tcBorders>
              <w:bottom w:val="single" w:sz="8" w:color="ADB1C7"/>
            </w:tcBorders>
            <w:shd w:val="clear" w:color="auto" w:fill="DBDBDB"/>
          </w:tcPr>
          <w:p>
            <w:pPr>
              <w:spacing w:after="0"/>
              <w:rPr>
                <w:sz w:val="11"/>
                <w:szCs w:val="11"/>
                <w:color w:val="auto"/>
              </w:rPr>
            </w:pPr>
          </w:p>
        </w:tc>
        <w:tc>
          <w:tcPr>
            <w:tcW w:w="980" w:type="dxa"/>
            <w:vAlign w:val="bottom"/>
            <w:tcBorders>
              <w:bottom w:val="single" w:sz="8" w:color="ADB1C7"/>
            </w:tcBorders>
            <w:shd w:val="clear" w:color="auto" w:fill="DBDBDB"/>
          </w:tcPr>
          <w:p>
            <w:pPr>
              <w:spacing w:after="0"/>
              <w:rPr>
                <w:sz w:val="11"/>
                <w:szCs w:val="11"/>
                <w:color w:val="auto"/>
              </w:rPr>
            </w:pPr>
          </w:p>
        </w:tc>
        <w:tc>
          <w:tcPr>
            <w:tcW w:w="640" w:type="dxa"/>
            <w:vAlign w:val="bottom"/>
            <w:tcBorders>
              <w:bottom w:val="single" w:sz="8" w:color="ADB1C7"/>
            </w:tcBorders>
            <w:shd w:val="clear" w:color="auto" w:fill="DBDBDB"/>
          </w:tcPr>
          <w:p>
            <w:pPr>
              <w:spacing w:after="0"/>
              <w:rPr>
                <w:sz w:val="11"/>
                <w:szCs w:val="11"/>
                <w:color w:val="auto"/>
              </w:rPr>
            </w:pPr>
          </w:p>
        </w:tc>
        <w:tc>
          <w:tcPr>
            <w:tcW w:w="740" w:type="dxa"/>
            <w:vAlign w:val="bottom"/>
            <w:tcBorders>
              <w:bottom w:val="single" w:sz="8" w:color="ADB1C7"/>
            </w:tcBorders>
            <w:shd w:val="clear" w:color="auto" w:fill="DBDBDB"/>
          </w:tcPr>
          <w:p>
            <w:pPr>
              <w:spacing w:after="0"/>
              <w:rPr>
                <w:sz w:val="11"/>
                <w:szCs w:val="11"/>
                <w:color w:val="auto"/>
              </w:rPr>
            </w:pPr>
          </w:p>
        </w:tc>
        <w:tc>
          <w:tcPr>
            <w:tcW w:w="800" w:type="dxa"/>
            <w:vAlign w:val="bottom"/>
            <w:tcBorders>
              <w:bottom w:val="single" w:sz="8" w:color="ADB1C7"/>
            </w:tcBorders>
            <w:shd w:val="clear" w:color="auto" w:fill="DBDBDB"/>
          </w:tcPr>
          <w:p>
            <w:pPr>
              <w:spacing w:after="0"/>
              <w:rPr>
                <w:sz w:val="11"/>
                <w:szCs w:val="11"/>
                <w:color w:val="auto"/>
              </w:rPr>
            </w:pPr>
          </w:p>
        </w:tc>
        <w:tc>
          <w:tcPr>
            <w:tcW w:w="980" w:type="dxa"/>
            <w:vAlign w:val="bottom"/>
            <w:tcBorders>
              <w:bottom w:val="single" w:sz="8" w:color="ADB1C7"/>
            </w:tcBorders>
            <w:shd w:val="clear" w:color="auto" w:fill="DBDBDB"/>
          </w:tcPr>
          <w:p>
            <w:pPr>
              <w:spacing w:after="0"/>
              <w:rPr>
                <w:sz w:val="11"/>
                <w:szCs w:val="11"/>
                <w:color w:val="auto"/>
              </w:rPr>
            </w:pPr>
          </w:p>
        </w:tc>
        <w:tc>
          <w:tcPr>
            <w:tcW w:w="840" w:type="dxa"/>
            <w:vAlign w:val="bottom"/>
            <w:tcBorders>
              <w:bottom w:val="single" w:sz="8" w:color="ADB1C7"/>
            </w:tcBorders>
            <w:shd w:val="clear" w:color="auto" w:fill="DBDBDB"/>
          </w:tcPr>
          <w:p>
            <w:pPr>
              <w:spacing w:after="0"/>
              <w:rPr>
                <w:sz w:val="11"/>
                <w:szCs w:val="11"/>
                <w:color w:val="auto"/>
              </w:rPr>
            </w:pPr>
          </w:p>
        </w:tc>
        <w:tc>
          <w:tcPr>
            <w:tcW w:w="780" w:type="dxa"/>
            <w:vAlign w:val="bottom"/>
            <w:tcBorders>
              <w:bottom w:val="single" w:sz="8" w:color="ADB1C7"/>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960" w:type="dxa"/>
            <w:vAlign w:val="bottom"/>
            <w:shd w:val="clear" w:color="auto" w:fill="DBDBDB"/>
          </w:tcPr>
          <w:p>
            <w:pPr>
              <w:spacing w:after="0"/>
              <w:rPr>
                <w:sz w:val="16"/>
                <w:szCs w:val="16"/>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6"/>
              </w:rPr>
              <w:t>Performance</w:t>
            </w:r>
          </w:p>
        </w:tc>
        <w:tc>
          <w:tcPr>
            <w:tcW w:w="860" w:type="dxa"/>
            <w:vAlign w:val="bottom"/>
            <w:vMerge w:val="restart"/>
            <w:shd w:val="clear" w:color="auto" w:fill="DBDBDB"/>
          </w:tcPr>
          <w:p>
            <w:pPr>
              <w:jc w:val="center"/>
              <w:spacing w:after="0"/>
              <w:rPr>
                <w:sz w:val="20"/>
                <w:szCs w:val="20"/>
                <w:color w:val="auto"/>
              </w:rPr>
            </w:pPr>
            <w:r>
              <w:rPr>
                <w:rFonts w:ascii="Arial" w:cs="Arial" w:eastAsia="Arial" w:hAnsi="Arial"/>
                <w:sz w:val="13"/>
                <w:szCs w:val="13"/>
                <w:color w:val="auto"/>
                <w:w w:val="96"/>
              </w:rPr>
              <w:t>3/31/2021</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DBDBDB"/>
          </w:tcPr>
          <w:p>
            <w:pPr>
              <w:jc w:val="right"/>
              <w:ind w:right="57"/>
              <w:spacing w:after="0"/>
              <w:rPr>
                <w:sz w:val="20"/>
                <w:szCs w:val="20"/>
                <w:color w:val="auto"/>
              </w:rPr>
            </w:pPr>
            <w:r>
              <w:rPr>
                <w:rFonts w:ascii="Arial" w:cs="Arial" w:eastAsia="Arial" w:hAnsi="Arial"/>
                <w:sz w:val="13"/>
                <w:szCs w:val="13"/>
                <w:color w:val="auto"/>
              </w:rPr>
              <w:t>6,113</w:t>
            </w:r>
          </w:p>
        </w:tc>
        <w:tc>
          <w:tcPr>
            <w:tcW w:w="640" w:type="dxa"/>
            <w:vAlign w:val="bottom"/>
            <w:vMerge w:val="restart"/>
            <w:shd w:val="clear" w:color="auto" w:fill="DBDBDB"/>
          </w:tcPr>
          <w:p>
            <w:pPr>
              <w:jc w:val="right"/>
              <w:ind w:right="77"/>
              <w:spacing w:after="0"/>
              <w:rPr>
                <w:sz w:val="20"/>
                <w:szCs w:val="20"/>
                <w:color w:val="auto"/>
              </w:rPr>
            </w:pPr>
            <w:r>
              <w:rPr>
                <w:rFonts w:ascii="Arial" w:cs="Arial" w:eastAsia="Arial" w:hAnsi="Arial"/>
                <w:sz w:val="13"/>
                <w:szCs w:val="13"/>
                <w:color w:val="auto"/>
              </w:rPr>
              <w:t>12,226</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329,980</w:t>
            </w:r>
          </w:p>
        </w:tc>
        <w:tc>
          <w:tcPr>
            <w:tcW w:w="0" w:type="dxa"/>
            <w:vAlign w:val="bottom"/>
          </w:tcPr>
          <w:p>
            <w:pPr>
              <w:spacing w:after="0"/>
              <w:rPr>
                <w:sz w:val="1"/>
                <w:szCs w:val="1"/>
                <w:color w:val="auto"/>
              </w:rPr>
            </w:pPr>
          </w:p>
        </w:tc>
      </w:tr>
      <w:tr>
        <w:trPr>
          <w:trHeight w:val="85"/>
        </w:trPr>
        <w:tc>
          <w:tcPr>
            <w:tcW w:w="960" w:type="dxa"/>
            <w:vAlign w:val="bottom"/>
            <w:vMerge w:val="restart"/>
            <w:shd w:val="clear" w:color="auto" w:fill="DBDBDB"/>
          </w:tcPr>
          <w:p>
            <w:pPr>
              <w:ind w:left="100"/>
              <w:spacing w:after="0"/>
              <w:rPr>
                <w:sz w:val="20"/>
                <w:szCs w:val="20"/>
                <w:color w:val="auto"/>
              </w:rPr>
            </w:pPr>
            <w:r>
              <w:rPr>
                <w:rFonts w:ascii="Arial" w:cs="Arial" w:eastAsia="Arial" w:hAnsi="Arial"/>
                <w:sz w:val="13"/>
                <w:szCs w:val="13"/>
                <w:b w:val="1"/>
                <w:bCs w:val="1"/>
                <w:color w:val="auto"/>
              </w:rPr>
              <w:t>Steve P.</w:t>
            </w:r>
          </w:p>
        </w:tc>
        <w:tc>
          <w:tcPr>
            <w:tcW w:w="1000" w:type="dxa"/>
            <w:vAlign w:val="bottom"/>
            <w:vMerge w:val="restart"/>
            <w:shd w:val="clear" w:color="auto" w:fill="DBDBDB"/>
          </w:tcPr>
          <w:p>
            <w:pPr>
              <w:jc w:val="center"/>
              <w:spacing w:after="0"/>
              <w:rPr>
                <w:sz w:val="20"/>
                <w:szCs w:val="20"/>
                <w:color w:val="auto"/>
              </w:rPr>
            </w:pPr>
            <w:r>
              <w:rPr>
                <w:rFonts w:ascii="Arial" w:cs="Arial" w:eastAsia="Arial" w:hAnsi="Arial"/>
                <w:sz w:val="13"/>
                <w:szCs w:val="13"/>
                <w:color w:val="auto"/>
                <w:w w:val="94"/>
              </w:rPr>
              <w:t>RSUs</w:t>
            </w:r>
          </w:p>
        </w:tc>
        <w:tc>
          <w:tcPr>
            <w:tcW w:w="860" w:type="dxa"/>
            <w:vAlign w:val="bottom"/>
            <w:vMerge w:val="continue"/>
            <w:shd w:val="clear" w:color="auto" w:fill="DBDBDB"/>
          </w:tcPr>
          <w:p>
            <w:pPr>
              <w:spacing w:after="0"/>
              <w:rPr>
                <w:sz w:val="7"/>
                <w:szCs w:val="7"/>
                <w:color w:val="auto"/>
              </w:rPr>
            </w:pPr>
          </w:p>
        </w:tc>
        <w:tc>
          <w:tcPr>
            <w:tcW w:w="880" w:type="dxa"/>
            <w:vAlign w:val="bottom"/>
            <w:vMerge w:val="continue"/>
            <w:shd w:val="clear" w:color="auto" w:fill="DBDBDB"/>
          </w:tcPr>
          <w:p>
            <w:pPr>
              <w:spacing w:after="0"/>
              <w:rPr>
                <w:sz w:val="7"/>
                <w:szCs w:val="7"/>
                <w:color w:val="auto"/>
              </w:rPr>
            </w:pPr>
          </w:p>
        </w:tc>
        <w:tc>
          <w:tcPr>
            <w:tcW w:w="940" w:type="dxa"/>
            <w:vAlign w:val="bottom"/>
            <w:vMerge w:val="continue"/>
            <w:shd w:val="clear" w:color="auto" w:fill="DBDBDB"/>
          </w:tcPr>
          <w:p>
            <w:pPr>
              <w:spacing w:after="0"/>
              <w:rPr>
                <w:sz w:val="7"/>
                <w:szCs w:val="7"/>
                <w:color w:val="auto"/>
              </w:rPr>
            </w:pPr>
          </w:p>
        </w:tc>
        <w:tc>
          <w:tcPr>
            <w:tcW w:w="840" w:type="dxa"/>
            <w:vAlign w:val="bottom"/>
            <w:gridSpan w:val="2"/>
            <w:vMerge w:val="continue"/>
            <w:shd w:val="clear" w:color="auto" w:fill="DBDBDB"/>
          </w:tcPr>
          <w:p>
            <w:pPr>
              <w:spacing w:after="0"/>
              <w:rPr>
                <w:sz w:val="7"/>
                <w:szCs w:val="7"/>
                <w:color w:val="auto"/>
              </w:rPr>
            </w:pPr>
          </w:p>
        </w:tc>
        <w:tc>
          <w:tcPr>
            <w:tcW w:w="980" w:type="dxa"/>
            <w:vAlign w:val="bottom"/>
            <w:vMerge w:val="continue"/>
            <w:shd w:val="clear" w:color="auto" w:fill="DBDBDB"/>
          </w:tcPr>
          <w:p>
            <w:pPr>
              <w:spacing w:after="0"/>
              <w:rPr>
                <w:sz w:val="7"/>
                <w:szCs w:val="7"/>
                <w:color w:val="auto"/>
              </w:rPr>
            </w:pPr>
          </w:p>
        </w:tc>
        <w:tc>
          <w:tcPr>
            <w:tcW w:w="640" w:type="dxa"/>
            <w:vAlign w:val="bottom"/>
            <w:vMerge w:val="continue"/>
            <w:shd w:val="clear" w:color="auto" w:fill="DBDBDB"/>
          </w:tcPr>
          <w:p>
            <w:pPr>
              <w:spacing w:after="0"/>
              <w:rPr>
                <w:sz w:val="7"/>
                <w:szCs w:val="7"/>
                <w:color w:val="auto"/>
              </w:rPr>
            </w:pPr>
          </w:p>
        </w:tc>
        <w:tc>
          <w:tcPr>
            <w:tcW w:w="740" w:type="dxa"/>
            <w:vAlign w:val="bottom"/>
            <w:vMerge w:val="continue"/>
            <w:shd w:val="clear" w:color="auto" w:fill="DBDBDB"/>
          </w:tcPr>
          <w:p>
            <w:pPr>
              <w:spacing w:after="0"/>
              <w:rPr>
                <w:sz w:val="7"/>
                <w:szCs w:val="7"/>
                <w:color w:val="auto"/>
              </w:rPr>
            </w:pPr>
          </w:p>
        </w:tc>
        <w:tc>
          <w:tcPr>
            <w:tcW w:w="800" w:type="dxa"/>
            <w:vAlign w:val="bottom"/>
            <w:vMerge w:val="continue"/>
            <w:shd w:val="clear" w:color="auto" w:fill="DBDBDB"/>
          </w:tcPr>
          <w:p>
            <w:pPr>
              <w:spacing w:after="0"/>
              <w:rPr>
                <w:sz w:val="7"/>
                <w:szCs w:val="7"/>
                <w:color w:val="auto"/>
              </w:rPr>
            </w:pPr>
          </w:p>
        </w:tc>
        <w:tc>
          <w:tcPr>
            <w:tcW w:w="980" w:type="dxa"/>
            <w:vAlign w:val="bottom"/>
            <w:vMerge w:val="continue"/>
            <w:shd w:val="clear" w:color="auto" w:fill="DBDBDB"/>
          </w:tcPr>
          <w:p>
            <w:pPr>
              <w:spacing w:after="0"/>
              <w:rPr>
                <w:sz w:val="7"/>
                <w:szCs w:val="7"/>
                <w:color w:val="auto"/>
              </w:rPr>
            </w:pPr>
          </w:p>
        </w:tc>
        <w:tc>
          <w:tcPr>
            <w:tcW w:w="840" w:type="dxa"/>
            <w:vAlign w:val="bottom"/>
            <w:vMerge w:val="continue"/>
            <w:shd w:val="clear" w:color="auto" w:fill="DBDBDB"/>
          </w:tcPr>
          <w:p>
            <w:pPr>
              <w:spacing w:after="0"/>
              <w:rPr>
                <w:sz w:val="7"/>
                <w:szCs w:val="7"/>
                <w:color w:val="auto"/>
              </w:rPr>
            </w:pPr>
          </w:p>
        </w:tc>
        <w:tc>
          <w:tcPr>
            <w:tcW w:w="78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60" w:type="dxa"/>
            <w:vAlign w:val="bottom"/>
            <w:tcBorders>
              <w:bottom w:val="single" w:sz="8" w:color="DBDBDB"/>
            </w:tcBorders>
            <w:vMerge w:val="continue"/>
            <w:shd w:val="clear" w:color="auto" w:fill="DBDBDB"/>
          </w:tcPr>
          <w:p>
            <w:pPr>
              <w:spacing w:after="0"/>
              <w:rPr>
                <w:sz w:val="11"/>
                <w:szCs w:val="11"/>
                <w:color w:val="auto"/>
              </w:rPr>
            </w:pPr>
          </w:p>
        </w:tc>
        <w:tc>
          <w:tcPr>
            <w:tcW w:w="1000" w:type="dxa"/>
            <w:vAlign w:val="bottom"/>
            <w:tcBorders>
              <w:bottom w:val="single" w:sz="8" w:color="DBDBDB"/>
            </w:tcBorders>
            <w:vMerge w:val="continue"/>
            <w:shd w:val="clear" w:color="auto" w:fill="DBDBDB"/>
          </w:tcPr>
          <w:p>
            <w:pPr>
              <w:spacing w:after="0"/>
              <w:rPr>
                <w:sz w:val="11"/>
                <w:szCs w:val="11"/>
                <w:color w:val="auto"/>
              </w:rPr>
            </w:pPr>
          </w:p>
        </w:tc>
        <w:tc>
          <w:tcPr>
            <w:tcW w:w="860" w:type="dxa"/>
            <w:vAlign w:val="bottom"/>
            <w:tcBorders>
              <w:bottom w:val="single" w:sz="8" w:color="DBDBDB"/>
            </w:tcBorders>
            <w:shd w:val="clear" w:color="auto" w:fill="DBDBDB"/>
          </w:tcPr>
          <w:p>
            <w:pPr>
              <w:spacing w:after="0"/>
              <w:rPr>
                <w:sz w:val="11"/>
                <w:szCs w:val="11"/>
                <w:color w:val="auto"/>
              </w:rPr>
            </w:pPr>
          </w:p>
        </w:tc>
        <w:tc>
          <w:tcPr>
            <w:tcW w:w="880" w:type="dxa"/>
            <w:vAlign w:val="bottom"/>
            <w:tcBorders>
              <w:bottom w:val="single" w:sz="8" w:color="DBDBDB"/>
            </w:tcBorders>
            <w:shd w:val="clear" w:color="auto" w:fill="DBDBDB"/>
          </w:tcPr>
          <w:p>
            <w:pPr>
              <w:spacing w:after="0"/>
              <w:rPr>
                <w:sz w:val="11"/>
                <w:szCs w:val="11"/>
                <w:color w:val="auto"/>
              </w:rPr>
            </w:pPr>
          </w:p>
        </w:tc>
        <w:tc>
          <w:tcPr>
            <w:tcW w:w="940" w:type="dxa"/>
            <w:vAlign w:val="bottom"/>
            <w:tcBorders>
              <w:bottom w:val="single" w:sz="8" w:color="DBDBDB"/>
            </w:tcBorders>
            <w:shd w:val="clear" w:color="auto" w:fill="DBDBDB"/>
          </w:tcPr>
          <w:p>
            <w:pPr>
              <w:spacing w:after="0"/>
              <w:rPr>
                <w:sz w:val="11"/>
                <w:szCs w:val="11"/>
                <w:color w:val="auto"/>
              </w:rPr>
            </w:pPr>
          </w:p>
        </w:tc>
        <w:tc>
          <w:tcPr>
            <w:tcW w:w="740" w:type="dxa"/>
            <w:vAlign w:val="bottom"/>
            <w:tcBorders>
              <w:bottom w:val="single" w:sz="8" w:color="DBDBDB"/>
            </w:tcBorders>
            <w:shd w:val="clear" w:color="auto" w:fill="DBDBDB"/>
          </w:tcPr>
          <w:p>
            <w:pPr>
              <w:spacing w:after="0"/>
              <w:rPr>
                <w:sz w:val="11"/>
                <w:szCs w:val="11"/>
                <w:color w:val="auto"/>
              </w:rPr>
            </w:pPr>
          </w:p>
        </w:tc>
        <w:tc>
          <w:tcPr>
            <w:tcW w:w="100" w:type="dxa"/>
            <w:vAlign w:val="bottom"/>
            <w:tcBorders>
              <w:bottom w:val="single" w:sz="8" w:color="DBDBDB"/>
            </w:tcBorders>
            <w:shd w:val="clear" w:color="auto" w:fill="DBDBDB"/>
          </w:tcPr>
          <w:p>
            <w:pPr>
              <w:spacing w:after="0"/>
              <w:rPr>
                <w:sz w:val="11"/>
                <w:szCs w:val="11"/>
                <w:color w:val="auto"/>
              </w:rPr>
            </w:pPr>
          </w:p>
        </w:tc>
        <w:tc>
          <w:tcPr>
            <w:tcW w:w="980" w:type="dxa"/>
            <w:vAlign w:val="bottom"/>
            <w:tcBorders>
              <w:bottom w:val="single" w:sz="8" w:color="DBDBDB"/>
            </w:tcBorders>
            <w:shd w:val="clear" w:color="auto" w:fill="DBDBDB"/>
          </w:tcPr>
          <w:p>
            <w:pPr>
              <w:spacing w:after="0"/>
              <w:rPr>
                <w:sz w:val="11"/>
                <w:szCs w:val="11"/>
                <w:color w:val="auto"/>
              </w:rPr>
            </w:pPr>
          </w:p>
        </w:tc>
        <w:tc>
          <w:tcPr>
            <w:tcW w:w="640" w:type="dxa"/>
            <w:vAlign w:val="bottom"/>
            <w:tcBorders>
              <w:bottom w:val="single" w:sz="8" w:color="DBDBDB"/>
            </w:tcBorders>
            <w:shd w:val="clear" w:color="auto" w:fill="DBDBDB"/>
          </w:tcPr>
          <w:p>
            <w:pPr>
              <w:spacing w:after="0"/>
              <w:rPr>
                <w:sz w:val="11"/>
                <w:szCs w:val="11"/>
                <w:color w:val="auto"/>
              </w:rPr>
            </w:pPr>
          </w:p>
        </w:tc>
        <w:tc>
          <w:tcPr>
            <w:tcW w:w="740" w:type="dxa"/>
            <w:vAlign w:val="bottom"/>
            <w:tcBorders>
              <w:bottom w:val="single" w:sz="8" w:color="DBDBDB"/>
            </w:tcBorders>
            <w:shd w:val="clear" w:color="auto" w:fill="DBDBDB"/>
          </w:tcPr>
          <w:p>
            <w:pPr>
              <w:spacing w:after="0"/>
              <w:rPr>
                <w:sz w:val="11"/>
                <w:szCs w:val="11"/>
                <w:color w:val="auto"/>
              </w:rPr>
            </w:pPr>
          </w:p>
        </w:tc>
        <w:tc>
          <w:tcPr>
            <w:tcW w:w="800" w:type="dxa"/>
            <w:vAlign w:val="bottom"/>
            <w:tcBorders>
              <w:bottom w:val="single" w:sz="8" w:color="DBDBDB"/>
            </w:tcBorders>
            <w:shd w:val="clear" w:color="auto" w:fill="DBDBDB"/>
          </w:tcPr>
          <w:p>
            <w:pPr>
              <w:spacing w:after="0"/>
              <w:rPr>
                <w:sz w:val="11"/>
                <w:szCs w:val="11"/>
                <w:color w:val="auto"/>
              </w:rPr>
            </w:pPr>
          </w:p>
        </w:tc>
        <w:tc>
          <w:tcPr>
            <w:tcW w:w="980" w:type="dxa"/>
            <w:vAlign w:val="bottom"/>
            <w:tcBorders>
              <w:bottom w:val="single" w:sz="8" w:color="DBDBDB"/>
            </w:tcBorders>
            <w:shd w:val="clear" w:color="auto" w:fill="DBDBDB"/>
          </w:tcPr>
          <w:p>
            <w:pPr>
              <w:spacing w:after="0"/>
              <w:rPr>
                <w:sz w:val="11"/>
                <w:szCs w:val="11"/>
                <w:color w:val="auto"/>
              </w:rPr>
            </w:pPr>
          </w:p>
        </w:tc>
        <w:tc>
          <w:tcPr>
            <w:tcW w:w="840" w:type="dxa"/>
            <w:vAlign w:val="bottom"/>
            <w:tcBorders>
              <w:bottom w:val="single" w:sz="8" w:color="DBDBDB"/>
            </w:tcBorders>
            <w:shd w:val="clear" w:color="auto" w:fill="DBDBDB"/>
          </w:tcPr>
          <w:p>
            <w:pPr>
              <w:spacing w:after="0"/>
              <w:rPr>
                <w:sz w:val="11"/>
                <w:szCs w:val="11"/>
                <w:color w:val="auto"/>
              </w:rPr>
            </w:pPr>
          </w:p>
        </w:tc>
        <w:tc>
          <w:tcPr>
            <w:tcW w:w="780" w:type="dxa"/>
            <w:vAlign w:val="bottom"/>
            <w:tcBorders>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960" w:type="dxa"/>
            <w:vAlign w:val="bottom"/>
            <w:tcBorders>
              <w:top w:val="single" w:sz="8" w:color="DBDBDB"/>
            </w:tcBorders>
            <w:shd w:val="clear" w:color="auto" w:fill="DBDBDB"/>
          </w:tcPr>
          <w:p>
            <w:pPr>
              <w:ind w:left="100"/>
              <w:spacing w:after="0" w:line="94" w:lineRule="exact"/>
              <w:rPr>
                <w:sz w:val="20"/>
                <w:szCs w:val="20"/>
                <w:color w:val="auto"/>
              </w:rPr>
            </w:pPr>
            <w:r>
              <w:rPr>
                <w:rFonts w:ascii="Arial" w:cs="Arial" w:eastAsia="Arial" w:hAnsi="Arial"/>
                <w:sz w:val="10"/>
                <w:szCs w:val="10"/>
                <w:b w:val="1"/>
                <w:bCs w:val="1"/>
                <w:color w:val="auto"/>
              </w:rPr>
              <w:t>Lawrence</w:t>
            </w:r>
          </w:p>
        </w:tc>
        <w:tc>
          <w:tcPr>
            <w:tcW w:w="1000" w:type="dxa"/>
            <w:vAlign w:val="bottom"/>
            <w:tcBorders>
              <w:top w:val="single" w:sz="8" w:color="ADB1C7"/>
            </w:tcBorders>
            <w:vMerge w:val="restart"/>
            <w:shd w:val="clear" w:color="auto" w:fill="DBDBDB"/>
          </w:tcPr>
          <w:p>
            <w:pPr>
              <w:jc w:val="center"/>
              <w:spacing w:after="0"/>
              <w:rPr>
                <w:sz w:val="20"/>
                <w:szCs w:val="20"/>
                <w:color w:val="auto"/>
              </w:rPr>
            </w:pPr>
            <w:r>
              <w:rPr>
                <w:rFonts w:ascii="Arial" w:cs="Arial" w:eastAsia="Arial" w:hAnsi="Arial"/>
                <w:sz w:val="13"/>
                <w:szCs w:val="13"/>
                <w:color w:val="auto"/>
                <w:w w:val="98"/>
              </w:rPr>
              <w:t>Options</w:t>
            </w:r>
          </w:p>
        </w:tc>
        <w:tc>
          <w:tcPr>
            <w:tcW w:w="860" w:type="dxa"/>
            <w:vAlign w:val="bottom"/>
            <w:tcBorders>
              <w:top w:val="single" w:sz="8" w:color="ADB1C7"/>
            </w:tcBorders>
            <w:vMerge w:val="restart"/>
            <w:shd w:val="clear" w:color="auto" w:fill="DBDBDB"/>
          </w:tcPr>
          <w:p>
            <w:pPr>
              <w:jc w:val="center"/>
              <w:spacing w:after="0"/>
              <w:rPr>
                <w:sz w:val="20"/>
                <w:szCs w:val="20"/>
                <w:color w:val="auto"/>
              </w:rPr>
            </w:pPr>
            <w:r>
              <w:rPr>
                <w:rFonts w:ascii="Arial" w:cs="Arial" w:eastAsia="Arial" w:hAnsi="Arial"/>
                <w:sz w:val="13"/>
                <w:szCs w:val="13"/>
                <w:color w:val="auto"/>
                <w:w w:val="96"/>
              </w:rPr>
              <w:t>3/31/2021</w:t>
            </w:r>
          </w:p>
        </w:tc>
        <w:tc>
          <w:tcPr>
            <w:tcW w:w="880" w:type="dxa"/>
            <w:vAlign w:val="bottom"/>
            <w:tcBorders>
              <w:top w:val="single" w:sz="8" w:color="ADB1C7"/>
            </w:tcBorders>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DB1C7"/>
            </w:tcBorders>
            <w:vMerge w:val="restart"/>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DB1C7"/>
            </w:tcBorders>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DB1C7"/>
            </w:tcBorders>
            <w:vMerge w:val="restart"/>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DB1C7"/>
            </w:tcBorders>
            <w:vMerge w:val="restart"/>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DB1C7"/>
            </w:tcBorders>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DB1C7"/>
            </w:tcBorders>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DB1C7"/>
            </w:tcBorders>
            <w:vMerge w:val="restart"/>
            <w:shd w:val="clear" w:color="auto" w:fill="DBDBDB"/>
          </w:tcPr>
          <w:p>
            <w:pPr>
              <w:jc w:val="right"/>
              <w:spacing w:after="0"/>
              <w:rPr>
                <w:sz w:val="20"/>
                <w:szCs w:val="20"/>
                <w:color w:val="auto"/>
              </w:rPr>
            </w:pPr>
            <w:r>
              <w:rPr>
                <w:rFonts w:ascii="Arial" w:cs="Arial" w:eastAsia="Arial" w:hAnsi="Arial"/>
                <w:sz w:val="13"/>
                <w:szCs w:val="13"/>
                <w:color w:val="auto"/>
              </w:rPr>
              <w:t>56,843</w:t>
            </w:r>
          </w:p>
        </w:tc>
        <w:tc>
          <w:tcPr>
            <w:tcW w:w="840" w:type="dxa"/>
            <w:vAlign w:val="bottom"/>
            <w:tcBorders>
              <w:top w:val="single" w:sz="8" w:color="ADB1C7"/>
            </w:tcBorders>
            <w:vMerge w:val="restart"/>
            <w:shd w:val="clear" w:color="auto" w:fill="DBDBDB"/>
          </w:tcPr>
          <w:p>
            <w:pPr>
              <w:jc w:val="right"/>
              <w:ind w:right="37"/>
              <w:spacing w:after="0"/>
              <w:rPr>
                <w:sz w:val="20"/>
                <w:szCs w:val="20"/>
                <w:color w:val="auto"/>
              </w:rPr>
            </w:pPr>
            <w:r>
              <w:rPr>
                <w:rFonts w:ascii="Arial" w:cs="Arial" w:eastAsia="Arial" w:hAnsi="Arial"/>
                <w:sz w:val="13"/>
                <w:szCs w:val="13"/>
                <w:color w:val="auto"/>
              </w:rPr>
              <w:t>26.99</w:t>
            </w:r>
          </w:p>
        </w:tc>
        <w:tc>
          <w:tcPr>
            <w:tcW w:w="780" w:type="dxa"/>
            <w:vAlign w:val="bottom"/>
            <w:tcBorders>
              <w:top w:val="single" w:sz="8" w:color="ADB1C7"/>
            </w:tcBorders>
            <w:vMerge w:val="restart"/>
            <w:shd w:val="clear" w:color="auto" w:fill="DBDBDB"/>
          </w:tcPr>
          <w:p>
            <w:pPr>
              <w:jc w:val="right"/>
              <w:spacing w:after="0"/>
              <w:rPr>
                <w:sz w:val="20"/>
                <w:szCs w:val="20"/>
                <w:color w:val="auto"/>
              </w:rPr>
            </w:pPr>
            <w:r>
              <w:rPr>
                <w:rFonts w:ascii="Arial" w:cs="Arial" w:eastAsia="Arial" w:hAnsi="Arial"/>
                <w:sz w:val="13"/>
                <w:szCs w:val="13"/>
                <w:color w:val="auto"/>
              </w:rPr>
              <w:t>669,997</w:t>
            </w:r>
          </w:p>
        </w:tc>
        <w:tc>
          <w:tcPr>
            <w:tcW w:w="0" w:type="dxa"/>
            <w:vAlign w:val="bottom"/>
          </w:tcPr>
          <w:p>
            <w:pPr>
              <w:spacing w:after="0"/>
              <w:rPr>
                <w:sz w:val="1"/>
                <w:szCs w:val="1"/>
                <w:color w:val="auto"/>
              </w:rPr>
            </w:pPr>
          </w:p>
        </w:tc>
      </w:tr>
      <w:tr>
        <w:trPr>
          <w:trHeight w:val="183"/>
        </w:trPr>
        <w:tc>
          <w:tcPr>
            <w:tcW w:w="960" w:type="dxa"/>
            <w:vAlign w:val="bottom"/>
            <w:shd w:val="clear" w:color="auto" w:fill="DBDBDB"/>
          </w:tcPr>
          <w:p>
            <w:pPr>
              <w:spacing w:after="0"/>
              <w:rPr>
                <w:sz w:val="15"/>
                <w:szCs w:val="15"/>
                <w:color w:val="auto"/>
              </w:rPr>
            </w:pPr>
          </w:p>
        </w:tc>
        <w:tc>
          <w:tcPr>
            <w:tcW w:w="1000" w:type="dxa"/>
            <w:vAlign w:val="bottom"/>
            <w:vMerge w:val="continue"/>
            <w:shd w:val="clear" w:color="auto" w:fill="DBDBDB"/>
          </w:tcPr>
          <w:p>
            <w:pPr>
              <w:spacing w:after="0"/>
              <w:rPr>
                <w:sz w:val="15"/>
                <w:szCs w:val="15"/>
                <w:color w:val="auto"/>
              </w:rPr>
            </w:pPr>
          </w:p>
        </w:tc>
        <w:tc>
          <w:tcPr>
            <w:tcW w:w="860" w:type="dxa"/>
            <w:vAlign w:val="bottom"/>
            <w:vMerge w:val="continue"/>
            <w:shd w:val="clear" w:color="auto" w:fill="DBDBDB"/>
          </w:tcPr>
          <w:p>
            <w:pPr>
              <w:spacing w:after="0"/>
              <w:rPr>
                <w:sz w:val="15"/>
                <w:szCs w:val="15"/>
                <w:color w:val="auto"/>
              </w:rPr>
            </w:pPr>
          </w:p>
        </w:tc>
        <w:tc>
          <w:tcPr>
            <w:tcW w:w="880" w:type="dxa"/>
            <w:vAlign w:val="bottom"/>
            <w:vMerge w:val="continue"/>
            <w:shd w:val="clear" w:color="auto" w:fill="DBDBDB"/>
          </w:tcPr>
          <w:p>
            <w:pPr>
              <w:spacing w:after="0"/>
              <w:rPr>
                <w:sz w:val="15"/>
                <w:szCs w:val="15"/>
                <w:color w:val="auto"/>
              </w:rPr>
            </w:pPr>
          </w:p>
        </w:tc>
        <w:tc>
          <w:tcPr>
            <w:tcW w:w="940" w:type="dxa"/>
            <w:vAlign w:val="bottom"/>
            <w:vMerge w:val="continue"/>
            <w:shd w:val="clear" w:color="auto" w:fill="DBDBDB"/>
          </w:tcPr>
          <w:p>
            <w:pPr>
              <w:spacing w:after="0"/>
              <w:rPr>
                <w:sz w:val="15"/>
                <w:szCs w:val="15"/>
                <w:color w:val="auto"/>
              </w:rPr>
            </w:pPr>
          </w:p>
        </w:tc>
        <w:tc>
          <w:tcPr>
            <w:tcW w:w="840" w:type="dxa"/>
            <w:vAlign w:val="bottom"/>
            <w:gridSpan w:val="2"/>
            <w:vMerge w:val="continue"/>
            <w:shd w:val="clear" w:color="auto" w:fill="DBDBDB"/>
          </w:tcPr>
          <w:p>
            <w:pPr>
              <w:spacing w:after="0"/>
              <w:rPr>
                <w:sz w:val="15"/>
                <w:szCs w:val="15"/>
                <w:color w:val="auto"/>
              </w:rPr>
            </w:pPr>
          </w:p>
        </w:tc>
        <w:tc>
          <w:tcPr>
            <w:tcW w:w="980" w:type="dxa"/>
            <w:vAlign w:val="bottom"/>
            <w:vMerge w:val="continue"/>
            <w:shd w:val="clear" w:color="auto" w:fill="DBDBDB"/>
          </w:tcPr>
          <w:p>
            <w:pPr>
              <w:spacing w:after="0"/>
              <w:rPr>
                <w:sz w:val="15"/>
                <w:szCs w:val="15"/>
                <w:color w:val="auto"/>
              </w:rPr>
            </w:pPr>
          </w:p>
        </w:tc>
        <w:tc>
          <w:tcPr>
            <w:tcW w:w="640" w:type="dxa"/>
            <w:vAlign w:val="bottom"/>
            <w:vMerge w:val="continue"/>
            <w:shd w:val="clear" w:color="auto" w:fill="DBDBDB"/>
          </w:tcPr>
          <w:p>
            <w:pPr>
              <w:spacing w:after="0"/>
              <w:rPr>
                <w:sz w:val="15"/>
                <w:szCs w:val="15"/>
                <w:color w:val="auto"/>
              </w:rPr>
            </w:pPr>
          </w:p>
        </w:tc>
        <w:tc>
          <w:tcPr>
            <w:tcW w:w="740" w:type="dxa"/>
            <w:vAlign w:val="bottom"/>
            <w:vMerge w:val="continue"/>
            <w:shd w:val="clear" w:color="auto" w:fill="DBDBDB"/>
          </w:tcPr>
          <w:p>
            <w:pPr>
              <w:spacing w:after="0"/>
              <w:rPr>
                <w:sz w:val="15"/>
                <w:szCs w:val="15"/>
                <w:color w:val="auto"/>
              </w:rPr>
            </w:pPr>
          </w:p>
        </w:tc>
        <w:tc>
          <w:tcPr>
            <w:tcW w:w="800" w:type="dxa"/>
            <w:vAlign w:val="bottom"/>
            <w:vMerge w:val="continue"/>
            <w:shd w:val="clear" w:color="auto" w:fill="DBDBDB"/>
          </w:tcPr>
          <w:p>
            <w:pPr>
              <w:spacing w:after="0"/>
              <w:rPr>
                <w:sz w:val="15"/>
                <w:szCs w:val="15"/>
                <w:color w:val="auto"/>
              </w:rPr>
            </w:pPr>
          </w:p>
        </w:tc>
        <w:tc>
          <w:tcPr>
            <w:tcW w:w="980" w:type="dxa"/>
            <w:vAlign w:val="bottom"/>
            <w:vMerge w:val="continue"/>
            <w:shd w:val="clear" w:color="auto" w:fill="DBDBDB"/>
          </w:tcPr>
          <w:p>
            <w:pPr>
              <w:spacing w:after="0"/>
              <w:rPr>
                <w:sz w:val="15"/>
                <w:szCs w:val="15"/>
                <w:color w:val="auto"/>
              </w:rPr>
            </w:pPr>
          </w:p>
        </w:tc>
        <w:tc>
          <w:tcPr>
            <w:tcW w:w="840" w:type="dxa"/>
            <w:vAlign w:val="bottom"/>
            <w:vMerge w:val="continue"/>
            <w:shd w:val="clear" w:color="auto" w:fill="DBDBDB"/>
          </w:tcPr>
          <w:p>
            <w:pPr>
              <w:spacing w:after="0"/>
              <w:rPr>
                <w:sz w:val="15"/>
                <w:szCs w:val="15"/>
                <w:color w:val="auto"/>
              </w:rPr>
            </w:pPr>
          </w:p>
        </w:tc>
        <w:tc>
          <w:tcPr>
            <w:tcW w:w="78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960" w:type="dxa"/>
            <w:vAlign w:val="bottom"/>
            <w:tcBorders>
              <w:bottom w:val="single" w:sz="8" w:color="DBDBDB"/>
            </w:tcBorders>
            <w:shd w:val="clear" w:color="auto" w:fill="DBDBDB"/>
          </w:tcPr>
          <w:p>
            <w:pPr>
              <w:spacing w:after="0"/>
              <w:rPr>
                <w:sz w:val="11"/>
                <w:szCs w:val="11"/>
                <w:color w:val="auto"/>
              </w:rPr>
            </w:pPr>
          </w:p>
        </w:tc>
        <w:tc>
          <w:tcPr>
            <w:tcW w:w="1000" w:type="dxa"/>
            <w:vAlign w:val="bottom"/>
            <w:tcBorders>
              <w:bottom w:val="single" w:sz="8" w:color="ADB1C7"/>
            </w:tcBorders>
            <w:shd w:val="clear" w:color="auto" w:fill="DBDBDB"/>
          </w:tcPr>
          <w:p>
            <w:pPr>
              <w:spacing w:after="0"/>
              <w:rPr>
                <w:sz w:val="11"/>
                <w:szCs w:val="11"/>
                <w:color w:val="auto"/>
              </w:rPr>
            </w:pPr>
          </w:p>
        </w:tc>
        <w:tc>
          <w:tcPr>
            <w:tcW w:w="860" w:type="dxa"/>
            <w:vAlign w:val="bottom"/>
            <w:tcBorders>
              <w:bottom w:val="single" w:sz="8" w:color="ADB1C7"/>
            </w:tcBorders>
            <w:shd w:val="clear" w:color="auto" w:fill="DBDBDB"/>
          </w:tcPr>
          <w:p>
            <w:pPr>
              <w:spacing w:after="0"/>
              <w:rPr>
                <w:sz w:val="11"/>
                <w:szCs w:val="11"/>
                <w:color w:val="auto"/>
              </w:rPr>
            </w:pPr>
          </w:p>
        </w:tc>
        <w:tc>
          <w:tcPr>
            <w:tcW w:w="880" w:type="dxa"/>
            <w:vAlign w:val="bottom"/>
            <w:tcBorders>
              <w:bottom w:val="single" w:sz="8" w:color="ADB1C7"/>
            </w:tcBorders>
            <w:shd w:val="clear" w:color="auto" w:fill="DBDBDB"/>
          </w:tcPr>
          <w:p>
            <w:pPr>
              <w:spacing w:after="0"/>
              <w:rPr>
                <w:sz w:val="11"/>
                <w:szCs w:val="11"/>
                <w:color w:val="auto"/>
              </w:rPr>
            </w:pPr>
          </w:p>
        </w:tc>
        <w:tc>
          <w:tcPr>
            <w:tcW w:w="940" w:type="dxa"/>
            <w:vAlign w:val="bottom"/>
            <w:tcBorders>
              <w:bottom w:val="single" w:sz="8" w:color="ADB1C7"/>
            </w:tcBorders>
            <w:shd w:val="clear" w:color="auto" w:fill="DBDBDB"/>
          </w:tcPr>
          <w:p>
            <w:pPr>
              <w:spacing w:after="0"/>
              <w:rPr>
                <w:sz w:val="11"/>
                <w:szCs w:val="11"/>
                <w:color w:val="auto"/>
              </w:rPr>
            </w:pPr>
          </w:p>
        </w:tc>
        <w:tc>
          <w:tcPr>
            <w:tcW w:w="740" w:type="dxa"/>
            <w:vAlign w:val="bottom"/>
            <w:tcBorders>
              <w:bottom w:val="single" w:sz="8" w:color="ADB1C7"/>
            </w:tcBorders>
            <w:shd w:val="clear" w:color="auto" w:fill="DBDBDB"/>
          </w:tcPr>
          <w:p>
            <w:pPr>
              <w:spacing w:after="0"/>
              <w:rPr>
                <w:sz w:val="11"/>
                <w:szCs w:val="11"/>
                <w:color w:val="auto"/>
              </w:rPr>
            </w:pPr>
          </w:p>
        </w:tc>
        <w:tc>
          <w:tcPr>
            <w:tcW w:w="100" w:type="dxa"/>
            <w:vAlign w:val="bottom"/>
            <w:tcBorders>
              <w:bottom w:val="single" w:sz="8" w:color="ADB1C7"/>
            </w:tcBorders>
            <w:shd w:val="clear" w:color="auto" w:fill="DBDBDB"/>
          </w:tcPr>
          <w:p>
            <w:pPr>
              <w:spacing w:after="0"/>
              <w:rPr>
                <w:sz w:val="11"/>
                <w:szCs w:val="11"/>
                <w:color w:val="auto"/>
              </w:rPr>
            </w:pPr>
          </w:p>
        </w:tc>
        <w:tc>
          <w:tcPr>
            <w:tcW w:w="980" w:type="dxa"/>
            <w:vAlign w:val="bottom"/>
            <w:tcBorders>
              <w:bottom w:val="single" w:sz="8" w:color="ADB1C7"/>
            </w:tcBorders>
            <w:shd w:val="clear" w:color="auto" w:fill="DBDBDB"/>
          </w:tcPr>
          <w:p>
            <w:pPr>
              <w:spacing w:after="0"/>
              <w:rPr>
                <w:sz w:val="11"/>
                <w:szCs w:val="11"/>
                <w:color w:val="auto"/>
              </w:rPr>
            </w:pPr>
          </w:p>
        </w:tc>
        <w:tc>
          <w:tcPr>
            <w:tcW w:w="640" w:type="dxa"/>
            <w:vAlign w:val="bottom"/>
            <w:tcBorders>
              <w:bottom w:val="single" w:sz="8" w:color="ADB1C7"/>
            </w:tcBorders>
            <w:shd w:val="clear" w:color="auto" w:fill="DBDBDB"/>
          </w:tcPr>
          <w:p>
            <w:pPr>
              <w:spacing w:after="0"/>
              <w:rPr>
                <w:sz w:val="11"/>
                <w:szCs w:val="11"/>
                <w:color w:val="auto"/>
              </w:rPr>
            </w:pPr>
          </w:p>
        </w:tc>
        <w:tc>
          <w:tcPr>
            <w:tcW w:w="740" w:type="dxa"/>
            <w:vAlign w:val="bottom"/>
            <w:tcBorders>
              <w:bottom w:val="single" w:sz="8" w:color="ADB1C7"/>
            </w:tcBorders>
            <w:shd w:val="clear" w:color="auto" w:fill="DBDBDB"/>
          </w:tcPr>
          <w:p>
            <w:pPr>
              <w:spacing w:after="0"/>
              <w:rPr>
                <w:sz w:val="11"/>
                <w:szCs w:val="11"/>
                <w:color w:val="auto"/>
              </w:rPr>
            </w:pPr>
          </w:p>
        </w:tc>
        <w:tc>
          <w:tcPr>
            <w:tcW w:w="800" w:type="dxa"/>
            <w:vAlign w:val="bottom"/>
            <w:tcBorders>
              <w:bottom w:val="single" w:sz="8" w:color="ADB1C7"/>
            </w:tcBorders>
            <w:shd w:val="clear" w:color="auto" w:fill="DBDBDB"/>
          </w:tcPr>
          <w:p>
            <w:pPr>
              <w:spacing w:after="0"/>
              <w:rPr>
                <w:sz w:val="11"/>
                <w:szCs w:val="11"/>
                <w:color w:val="auto"/>
              </w:rPr>
            </w:pPr>
          </w:p>
        </w:tc>
        <w:tc>
          <w:tcPr>
            <w:tcW w:w="980" w:type="dxa"/>
            <w:vAlign w:val="bottom"/>
            <w:tcBorders>
              <w:bottom w:val="single" w:sz="8" w:color="ADB1C7"/>
            </w:tcBorders>
            <w:shd w:val="clear" w:color="auto" w:fill="DBDBDB"/>
          </w:tcPr>
          <w:p>
            <w:pPr>
              <w:spacing w:after="0"/>
              <w:rPr>
                <w:sz w:val="11"/>
                <w:szCs w:val="11"/>
                <w:color w:val="auto"/>
              </w:rPr>
            </w:pPr>
          </w:p>
        </w:tc>
        <w:tc>
          <w:tcPr>
            <w:tcW w:w="840" w:type="dxa"/>
            <w:vAlign w:val="bottom"/>
            <w:tcBorders>
              <w:bottom w:val="single" w:sz="8" w:color="ADB1C7"/>
            </w:tcBorders>
            <w:shd w:val="clear" w:color="auto" w:fill="DBDBDB"/>
          </w:tcPr>
          <w:p>
            <w:pPr>
              <w:spacing w:after="0"/>
              <w:rPr>
                <w:sz w:val="11"/>
                <w:szCs w:val="11"/>
                <w:color w:val="auto"/>
              </w:rPr>
            </w:pPr>
          </w:p>
        </w:tc>
        <w:tc>
          <w:tcPr>
            <w:tcW w:w="780" w:type="dxa"/>
            <w:vAlign w:val="bottom"/>
            <w:tcBorders>
              <w:bottom w:val="single" w:sz="8" w:color="ADB1C7"/>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960" w:type="dxa"/>
            <w:vAlign w:val="bottom"/>
            <w:shd w:val="clear" w:color="auto" w:fill="DBDBDB"/>
          </w:tcPr>
          <w:p>
            <w:pPr>
              <w:spacing w:after="0"/>
              <w:rPr>
                <w:sz w:val="19"/>
                <w:szCs w:val="19"/>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6"/>
              </w:rPr>
              <w:t>Time RSUs</w:t>
            </w:r>
          </w:p>
        </w:tc>
        <w:tc>
          <w:tcPr>
            <w:tcW w:w="86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6"/>
              </w:rPr>
              <w:t>9/10/2021</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21,862</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999,968</w:t>
            </w:r>
          </w:p>
        </w:tc>
        <w:tc>
          <w:tcPr>
            <w:tcW w:w="0" w:type="dxa"/>
            <w:vAlign w:val="bottom"/>
          </w:tcPr>
          <w:p>
            <w:pPr>
              <w:spacing w:after="0"/>
              <w:rPr>
                <w:sz w:val="1"/>
                <w:szCs w:val="1"/>
                <w:color w:val="auto"/>
              </w:rPr>
            </w:pPr>
          </w:p>
        </w:tc>
      </w:tr>
      <w:tr>
        <w:trPr>
          <w:trHeight w:val="82"/>
        </w:trPr>
        <w:tc>
          <w:tcPr>
            <w:tcW w:w="96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860" w:type="dxa"/>
            <w:vAlign w:val="bottom"/>
            <w:shd w:val="clear" w:color="auto" w:fill="DBDBDB"/>
          </w:tcPr>
          <w:p>
            <w:pPr>
              <w:spacing w:after="0"/>
              <w:rPr>
                <w:sz w:val="7"/>
                <w:szCs w:val="7"/>
                <w:color w:val="auto"/>
              </w:rPr>
            </w:pPr>
          </w:p>
        </w:tc>
        <w:tc>
          <w:tcPr>
            <w:tcW w:w="88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74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640" w:type="dxa"/>
            <w:vAlign w:val="bottom"/>
            <w:shd w:val="clear" w:color="auto" w:fill="DBDBDB"/>
          </w:tcPr>
          <w:p>
            <w:pPr>
              <w:spacing w:after="0"/>
              <w:rPr>
                <w:sz w:val="7"/>
                <w:szCs w:val="7"/>
                <w:color w:val="auto"/>
              </w:rPr>
            </w:pPr>
          </w:p>
        </w:tc>
        <w:tc>
          <w:tcPr>
            <w:tcW w:w="740" w:type="dxa"/>
            <w:vAlign w:val="bottom"/>
            <w:shd w:val="clear" w:color="auto" w:fill="DBDBDB"/>
          </w:tcPr>
          <w:p>
            <w:pPr>
              <w:spacing w:after="0"/>
              <w:rPr>
                <w:sz w:val="7"/>
                <w:szCs w:val="7"/>
                <w:color w:val="auto"/>
              </w:rPr>
            </w:pPr>
          </w:p>
        </w:tc>
        <w:tc>
          <w:tcPr>
            <w:tcW w:w="80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840" w:type="dxa"/>
            <w:vAlign w:val="bottom"/>
            <w:shd w:val="clear" w:color="auto" w:fill="DBDBDB"/>
          </w:tcPr>
          <w:p>
            <w:pPr>
              <w:spacing w:after="0"/>
              <w:rPr>
                <w:sz w:val="7"/>
                <w:szCs w:val="7"/>
                <w:color w:val="auto"/>
              </w:rPr>
            </w:pPr>
          </w:p>
        </w:tc>
        <w:tc>
          <w:tcPr>
            <w:tcW w:w="78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9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8"/>
              </w:rPr>
              <w:t>Annual Bonus</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346,500</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693,000</w:t>
            </w:r>
          </w:p>
        </w:tc>
        <w:tc>
          <w:tcPr>
            <w:tcW w:w="740" w:type="dxa"/>
            <w:vAlign w:val="bottom"/>
          </w:tcPr>
          <w:p>
            <w:pPr>
              <w:jc w:val="right"/>
              <w:spacing w:after="0"/>
              <w:rPr>
                <w:sz w:val="20"/>
                <w:szCs w:val="20"/>
                <w:color w:val="auto"/>
              </w:rPr>
            </w:pPr>
            <w:r>
              <w:rPr>
                <w:rFonts w:ascii="Arial" w:cs="Arial" w:eastAsia="Arial" w:hAnsi="Arial"/>
                <w:sz w:val="13"/>
                <w:szCs w:val="13"/>
                <w:color w:val="auto"/>
              </w:rPr>
              <w:t>1,386,000</w:t>
            </w:r>
          </w:p>
        </w:tc>
        <w:tc>
          <w:tcPr>
            <w:tcW w:w="100" w:type="dxa"/>
            <w:vAlign w:val="bottom"/>
          </w:tcPr>
          <w:p>
            <w:pPr>
              <w:spacing w:after="0"/>
              <w:rPr>
                <w:sz w:val="24"/>
                <w:szCs w:val="2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000" w:type="dxa"/>
            <w:vAlign w:val="bottom"/>
            <w:tcBorders>
              <w:bottom w:val="single" w:sz="8" w:color="ADB1C7"/>
            </w:tcBorders>
          </w:tcPr>
          <w:p>
            <w:pPr>
              <w:spacing w:after="0"/>
              <w:rPr>
                <w:sz w:val="11"/>
                <w:szCs w:val="11"/>
                <w:color w:val="auto"/>
              </w:rPr>
            </w:pPr>
          </w:p>
        </w:tc>
        <w:tc>
          <w:tcPr>
            <w:tcW w:w="860" w:type="dxa"/>
            <w:vAlign w:val="bottom"/>
            <w:tcBorders>
              <w:bottom w:val="single" w:sz="8" w:color="ADB1C7"/>
            </w:tcBorders>
          </w:tcPr>
          <w:p>
            <w:pPr>
              <w:spacing w:after="0"/>
              <w:rPr>
                <w:sz w:val="11"/>
                <w:szCs w:val="11"/>
                <w:color w:val="auto"/>
              </w:rPr>
            </w:pPr>
          </w:p>
        </w:tc>
        <w:tc>
          <w:tcPr>
            <w:tcW w:w="880" w:type="dxa"/>
            <w:vAlign w:val="bottom"/>
            <w:tcBorders>
              <w:bottom w:val="single" w:sz="8" w:color="ADB1C7"/>
            </w:tcBorders>
          </w:tcPr>
          <w:p>
            <w:pPr>
              <w:spacing w:after="0"/>
              <w:rPr>
                <w:sz w:val="11"/>
                <w:szCs w:val="11"/>
                <w:color w:val="auto"/>
              </w:rPr>
            </w:pPr>
          </w:p>
        </w:tc>
        <w:tc>
          <w:tcPr>
            <w:tcW w:w="940" w:type="dxa"/>
            <w:vAlign w:val="bottom"/>
            <w:tcBorders>
              <w:bottom w:val="single" w:sz="8" w:color="ADB1C7"/>
            </w:tcBorders>
          </w:tcPr>
          <w:p>
            <w:pPr>
              <w:spacing w:after="0"/>
              <w:rPr>
                <w:sz w:val="11"/>
                <w:szCs w:val="11"/>
                <w:color w:val="auto"/>
              </w:rPr>
            </w:pPr>
          </w:p>
        </w:tc>
        <w:tc>
          <w:tcPr>
            <w:tcW w:w="740" w:type="dxa"/>
            <w:vAlign w:val="bottom"/>
            <w:tcBorders>
              <w:bottom w:val="single" w:sz="8" w:color="ADB1C7"/>
            </w:tcBorders>
          </w:tcPr>
          <w:p>
            <w:pPr>
              <w:spacing w:after="0"/>
              <w:rPr>
                <w:sz w:val="11"/>
                <w:szCs w:val="11"/>
                <w:color w:val="auto"/>
              </w:rPr>
            </w:pPr>
          </w:p>
        </w:tc>
        <w:tc>
          <w:tcPr>
            <w:tcW w:w="100" w:type="dxa"/>
            <w:vAlign w:val="bottom"/>
            <w:tcBorders>
              <w:bottom w:val="single" w:sz="8" w:color="ADB1C7"/>
            </w:tcBorders>
          </w:tcPr>
          <w:p>
            <w:pPr>
              <w:spacing w:after="0"/>
              <w:rPr>
                <w:sz w:val="11"/>
                <w:szCs w:val="11"/>
                <w:color w:val="auto"/>
              </w:rPr>
            </w:pPr>
          </w:p>
        </w:tc>
        <w:tc>
          <w:tcPr>
            <w:tcW w:w="980" w:type="dxa"/>
            <w:vAlign w:val="bottom"/>
            <w:tcBorders>
              <w:bottom w:val="single" w:sz="8" w:color="ADB1C7"/>
            </w:tcBorders>
          </w:tcPr>
          <w:p>
            <w:pPr>
              <w:spacing w:after="0"/>
              <w:rPr>
                <w:sz w:val="11"/>
                <w:szCs w:val="11"/>
                <w:color w:val="auto"/>
              </w:rPr>
            </w:pPr>
          </w:p>
        </w:tc>
        <w:tc>
          <w:tcPr>
            <w:tcW w:w="640" w:type="dxa"/>
            <w:vAlign w:val="bottom"/>
            <w:tcBorders>
              <w:bottom w:val="single" w:sz="8" w:color="ADB1C7"/>
            </w:tcBorders>
          </w:tcPr>
          <w:p>
            <w:pPr>
              <w:spacing w:after="0"/>
              <w:rPr>
                <w:sz w:val="11"/>
                <w:szCs w:val="11"/>
                <w:color w:val="auto"/>
              </w:rPr>
            </w:pPr>
          </w:p>
        </w:tc>
        <w:tc>
          <w:tcPr>
            <w:tcW w:w="740" w:type="dxa"/>
            <w:vAlign w:val="bottom"/>
            <w:tcBorders>
              <w:bottom w:val="single" w:sz="8" w:color="ADB1C7"/>
            </w:tcBorders>
          </w:tcPr>
          <w:p>
            <w:pPr>
              <w:spacing w:after="0"/>
              <w:rPr>
                <w:sz w:val="11"/>
                <w:szCs w:val="11"/>
                <w:color w:val="auto"/>
              </w:rPr>
            </w:pPr>
          </w:p>
        </w:tc>
        <w:tc>
          <w:tcPr>
            <w:tcW w:w="800" w:type="dxa"/>
            <w:vAlign w:val="bottom"/>
            <w:tcBorders>
              <w:bottom w:val="single" w:sz="8" w:color="ADB1C7"/>
            </w:tcBorders>
          </w:tcPr>
          <w:p>
            <w:pPr>
              <w:spacing w:after="0"/>
              <w:rPr>
                <w:sz w:val="11"/>
                <w:szCs w:val="11"/>
                <w:color w:val="auto"/>
              </w:rPr>
            </w:pPr>
          </w:p>
        </w:tc>
        <w:tc>
          <w:tcPr>
            <w:tcW w:w="980" w:type="dxa"/>
            <w:vAlign w:val="bottom"/>
            <w:tcBorders>
              <w:bottom w:val="single" w:sz="8" w:color="ADB1C7"/>
            </w:tcBorders>
          </w:tcPr>
          <w:p>
            <w:pPr>
              <w:spacing w:after="0"/>
              <w:rPr>
                <w:sz w:val="11"/>
                <w:szCs w:val="11"/>
                <w:color w:val="auto"/>
              </w:rPr>
            </w:pPr>
          </w:p>
        </w:tc>
        <w:tc>
          <w:tcPr>
            <w:tcW w:w="840" w:type="dxa"/>
            <w:vAlign w:val="bottom"/>
            <w:tcBorders>
              <w:bottom w:val="single" w:sz="8" w:color="ADB1C7"/>
            </w:tcBorders>
          </w:tcPr>
          <w:p>
            <w:pPr>
              <w:spacing w:after="0"/>
              <w:rPr>
                <w:sz w:val="11"/>
                <w:szCs w:val="11"/>
                <w:color w:val="auto"/>
              </w:rPr>
            </w:pPr>
          </w:p>
        </w:tc>
        <w:tc>
          <w:tcPr>
            <w:tcW w:w="780" w:type="dxa"/>
            <w:vAlign w:val="bottom"/>
            <w:tcBorders>
              <w:bottom w:val="single" w:sz="8" w:color="ADB1C7"/>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Performance</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6"/>
              </w:rPr>
              <w:t>3/31/2021</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7"/>
              <w:spacing w:after="0"/>
              <w:rPr>
                <w:sz w:val="20"/>
                <w:szCs w:val="20"/>
                <w:color w:val="auto"/>
              </w:rPr>
            </w:pPr>
            <w:r>
              <w:rPr>
                <w:rFonts w:ascii="Arial" w:cs="Arial" w:eastAsia="Arial" w:hAnsi="Arial"/>
                <w:sz w:val="13"/>
                <w:szCs w:val="13"/>
                <w:color w:val="auto"/>
              </w:rPr>
              <w:t>5,502</w:t>
            </w: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color w:val="auto"/>
              </w:rPr>
              <w:t>11,004</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296,998</w:t>
            </w:r>
          </w:p>
        </w:tc>
        <w:tc>
          <w:tcPr>
            <w:tcW w:w="0" w:type="dxa"/>
            <w:vAlign w:val="bottom"/>
          </w:tcPr>
          <w:p>
            <w:pPr>
              <w:spacing w:after="0"/>
              <w:rPr>
                <w:sz w:val="1"/>
                <w:szCs w:val="1"/>
                <w:color w:val="auto"/>
              </w:rPr>
            </w:pPr>
          </w:p>
        </w:tc>
      </w:tr>
      <w:tr>
        <w:trPr>
          <w:trHeight w:val="85"/>
        </w:trPr>
        <w:tc>
          <w:tcPr>
            <w:tcW w:w="96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Sam J.</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4"/>
              </w:rPr>
              <w:t>RSUs</w:t>
            </w:r>
          </w:p>
        </w:tc>
        <w:tc>
          <w:tcPr>
            <w:tcW w:w="8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9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96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Johnson</w:t>
            </w:r>
          </w:p>
        </w:tc>
        <w:tc>
          <w:tcPr>
            <w:tcW w:w="1000" w:type="dxa"/>
            <w:vAlign w:val="bottom"/>
            <w:tcBorders>
              <w:bottom w:val="single" w:sz="8" w:color="ADB1C7"/>
            </w:tcBorders>
          </w:tcPr>
          <w:p>
            <w:pPr>
              <w:spacing w:after="0"/>
              <w:rPr>
                <w:sz w:val="5"/>
                <w:szCs w:val="5"/>
                <w:color w:val="auto"/>
              </w:rPr>
            </w:pPr>
          </w:p>
        </w:tc>
        <w:tc>
          <w:tcPr>
            <w:tcW w:w="860" w:type="dxa"/>
            <w:vAlign w:val="bottom"/>
            <w:tcBorders>
              <w:bottom w:val="single" w:sz="8" w:color="ADB1C7"/>
            </w:tcBorders>
          </w:tcPr>
          <w:p>
            <w:pPr>
              <w:spacing w:after="0"/>
              <w:rPr>
                <w:sz w:val="5"/>
                <w:szCs w:val="5"/>
                <w:color w:val="auto"/>
              </w:rPr>
            </w:pPr>
          </w:p>
        </w:tc>
        <w:tc>
          <w:tcPr>
            <w:tcW w:w="880" w:type="dxa"/>
            <w:vAlign w:val="bottom"/>
            <w:tcBorders>
              <w:bottom w:val="single" w:sz="8" w:color="ADB1C7"/>
            </w:tcBorders>
          </w:tcPr>
          <w:p>
            <w:pPr>
              <w:spacing w:after="0"/>
              <w:rPr>
                <w:sz w:val="5"/>
                <w:szCs w:val="5"/>
                <w:color w:val="auto"/>
              </w:rPr>
            </w:pPr>
          </w:p>
        </w:tc>
        <w:tc>
          <w:tcPr>
            <w:tcW w:w="940" w:type="dxa"/>
            <w:vAlign w:val="bottom"/>
            <w:tcBorders>
              <w:bottom w:val="single" w:sz="8" w:color="ADB1C7"/>
            </w:tcBorders>
          </w:tcPr>
          <w:p>
            <w:pPr>
              <w:spacing w:after="0"/>
              <w:rPr>
                <w:sz w:val="5"/>
                <w:szCs w:val="5"/>
                <w:color w:val="auto"/>
              </w:rPr>
            </w:pPr>
          </w:p>
        </w:tc>
        <w:tc>
          <w:tcPr>
            <w:tcW w:w="740" w:type="dxa"/>
            <w:vAlign w:val="bottom"/>
            <w:tcBorders>
              <w:bottom w:val="single" w:sz="8" w:color="ADB1C7"/>
            </w:tcBorders>
          </w:tcPr>
          <w:p>
            <w:pPr>
              <w:spacing w:after="0"/>
              <w:rPr>
                <w:sz w:val="5"/>
                <w:szCs w:val="5"/>
                <w:color w:val="auto"/>
              </w:rPr>
            </w:pPr>
          </w:p>
        </w:tc>
        <w:tc>
          <w:tcPr>
            <w:tcW w:w="100" w:type="dxa"/>
            <w:vAlign w:val="bottom"/>
            <w:tcBorders>
              <w:bottom w:val="single" w:sz="8" w:color="ADB1C7"/>
            </w:tcBorders>
          </w:tcPr>
          <w:p>
            <w:pPr>
              <w:spacing w:after="0"/>
              <w:rPr>
                <w:sz w:val="5"/>
                <w:szCs w:val="5"/>
                <w:color w:val="auto"/>
              </w:rPr>
            </w:pPr>
          </w:p>
        </w:tc>
        <w:tc>
          <w:tcPr>
            <w:tcW w:w="980" w:type="dxa"/>
            <w:vAlign w:val="bottom"/>
            <w:tcBorders>
              <w:bottom w:val="single" w:sz="8" w:color="ADB1C7"/>
            </w:tcBorders>
          </w:tcPr>
          <w:p>
            <w:pPr>
              <w:spacing w:after="0"/>
              <w:rPr>
                <w:sz w:val="5"/>
                <w:szCs w:val="5"/>
                <w:color w:val="auto"/>
              </w:rPr>
            </w:pPr>
          </w:p>
        </w:tc>
        <w:tc>
          <w:tcPr>
            <w:tcW w:w="640" w:type="dxa"/>
            <w:vAlign w:val="bottom"/>
            <w:tcBorders>
              <w:bottom w:val="single" w:sz="8" w:color="ADB1C7"/>
            </w:tcBorders>
          </w:tcPr>
          <w:p>
            <w:pPr>
              <w:spacing w:after="0"/>
              <w:rPr>
                <w:sz w:val="5"/>
                <w:szCs w:val="5"/>
                <w:color w:val="auto"/>
              </w:rPr>
            </w:pPr>
          </w:p>
        </w:tc>
        <w:tc>
          <w:tcPr>
            <w:tcW w:w="740" w:type="dxa"/>
            <w:vAlign w:val="bottom"/>
            <w:tcBorders>
              <w:bottom w:val="single" w:sz="8" w:color="ADB1C7"/>
            </w:tcBorders>
          </w:tcPr>
          <w:p>
            <w:pPr>
              <w:spacing w:after="0"/>
              <w:rPr>
                <w:sz w:val="5"/>
                <w:szCs w:val="5"/>
                <w:color w:val="auto"/>
              </w:rPr>
            </w:pPr>
          </w:p>
        </w:tc>
        <w:tc>
          <w:tcPr>
            <w:tcW w:w="800" w:type="dxa"/>
            <w:vAlign w:val="bottom"/>
            <w:tcBorders>
              <w:bottom w:val="single" w:sz="8" w:color="ADB1C7"/>
            </w:tcBorders>
          </w:tcPr>
          <w:p>
            <w:pPr>
              <w:spacing w:after="0"/>
              <w:rPr>
                <w:sz w:val="5"/>
                <w:szCs w:val="5"/>
                <w:color w:val="auto"/>
              </w:rPr>
            </w:pPr>
          </w:p>
        </w:tc>
        <w:tc>
          <w:tcPr>
            <w:tcW w:w="980" w:type="dxa"/>
            <w:vAlign w:val="bottom"/>
            <w:tcBorders>
              <w:bottom w:val="single" w:sz="8" w:color="ADB1C7"/>
            </w:tcBorders>
          </w:tcPr>
          <w:p>
            <w:pPr>
              <w:spacing w:after="0"/>
              <w:rPr>
                <w:sz w:val="5"/>
                <w:szCs w:val="5"/>
                <w:color w:val="auto"/>
              </w:rPr>
            </w:pPr>
          </w:p>
        </w:tc>
        <w:tc>
          <w:tcPr>
            <w:tcW w:w="840" w:type="dxa"/>
            <w:vAlign w:val="bottom"/>
            <w:tcBorders>
              <w:bottom w:val="single" w:sz="8" w:color="ADB1C7"/>
            </w:tcBorders>
          </w:tcPr>
          <w:p>
            <w:pPr>
              <w:spacing w:after="0"/>
              <w:rPr>
                <w:sz w:val="5"/>
                <w:szCs w:val="5"/>
                <w:color w:val="auto"/>
              </w:rPr>
            </w:pPr>
          </w:p>
        </w:tc>
        <w:tc>
          <w:tcPr>
            <w:tcW w:w="780" w:type="dxa"/>
            <w:vAlign w:val="bottom"/>
            <w:tcBorders>
              <w:bottom w:val="single" w:sz="8" w:color="ADB1C7"/>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960" w:type="dxa"/>
            <w:vAlign w:val="bottom"/>
            <w:vMerge w:val="continue"/>
          </w:tcPr>
          <w:p>
            <w:pPr>
              <w:spacing w:after="0"/>
              <w:rPr>
                <w:sz w:val="8"/>
                <w:szCs w:val="8"/>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8"/>
              </w:rPr>
              <w:t>Options</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6"/>
              </w:rPr>
              <w:t>3/31/2021</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51,158</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26.99</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602,989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000" w:type="dxa"/>
            <w:vAlign w:val="bottom"/>
            <w:tcBorders>
              <w:bottom w:val="single" w:sz="8" w:color="ADB1C7"/>
            </w:tcBorders>
          </w:tcPr>
          <w:p>
            <w:pPr>
              <w:spacing w:after="0"/>
              <w:rPr>
                <w:sz w:val="11"/>
                <w:szCs w:val="11"/>
                <w:color w:val="auto"/>
              </w:rPr>
            </w:pPr>
          </w:p>
        </w:tc>
        <w:tc>
          <w:tcPr>
            <w:tcW w:w="860" w:type="dxa"/>
            <w:vAlign w:val="bottom"/>
            <w:tcBorders>
              <w:bottom w:val="single" w:sz="8" w:color="ADB1C7"/>
            </w:tcBorders>
          </w:tcPr>
          <w:p>
            <w:pPr>
              <w:spacing w:after="0"/>
              <w:rPr>
                <w:sz w:val="11"/>
                <w:szCs w:val="11"/>
                <w:color w:val="auto"/>
              </w:rPr>
            </w:pPr>
          </w:p>
        </w:tc>
        <w:tc>
          <w:tcPr>
            <w:tcW w:w="880" w:type="dxa"/>
            <w:vAlign w:val="bottom"/>
            <w:tcBorders>
              <w:bottom w:val="single" w:sz="8" w:color="ADB1C7"/>
            </w:tcBorders>
          </w:tcPr>
          <w:p>
            <w:pPr>
              <w:spacing w:after="0"/>
              <w:rPr>
                <w:sz w:val="11"/>
                <w:szCs w:val="11"/>
                <w:color w:val="auto"/>
              </w:rPr>
            </w:pPr>
          </w:p>
        </w:tc>
        <w:tc>
          <w:tcPr>
            <w:tcW w:w="940" w:type="dxa"/>
            <w:vAlign w:val="bottom"/>
            <w:tcBorders>
              <w:bottom w:val="single" w:sz="8" w:color="ADB1C7"/>
            </w:tcBorders>
          </w:tcPr>
          <w:p>
            <w:pPr>
              <w:spacing w:after="0"/>
              <w:rPr>
                <w:sz w:val="11"/>
                <w:szCs w:val="11"/>
                <w:color w:val="auto"/>
              </w:rPr>
            </w:pPr>
          </w:p>
        </w:tc>
        <w:tc>
          <w:tcPr>
            <w:tcW w:w="740" w:type="dxa"/>
            <w:vAlign w:val="bottom"/>
            <w:tcBorders>
              <w:bottom w:val="single" w:sz="8" w:color="ADB1C7"/>
            </w:tcBorders>
          </w:tcPr>
          <w:p>
            <w:pPr>
              <w:spacing w:after="0"/>
              <w:rPr>
                <w:sz w:val="11"/>
                <w:szCs w:val="11"/>
                <w:color w:val="auto"/>
              </w:rPr>
            </w:pPr>
          </w:p>
        </w:tc>
        <w:tc>
          <w:tcPr>
            <w:tcW w:w="100" w:type="dxa"/>
            <w:vAlign w:val="bottom"/>
            <w:tcBorders>
              <w:bottom w:val="single" w:sz="8" w:color="ADB1C7"/>
            </w:tcBorders>
          </w:tcPr>
          <w:p>
            <w:pPr>
              <w:spacing w:after="0"/>
              <w:rPr>
                <w:sz w:val="11"/>
                <w:szCs w:val="11"/>
                <w:color w:val="auto"/>
              </w:rPr>
            </w:pPr>
          </w:p>
        </w:tc>
        <w:tc>
          <w:tcPr>
            <w:tcW w:w="980" w:type="dxa"/>
            <w:vAlign w:val="bottom"/>
            <w:tcBorders>
              <w:bottom w:val="single" w:sz="8" w:color="ADB1C7"/>
            </w:tcBorders>
          </w:tcPr>
          <w:p>
            <w:pPr>
              <w:spacing w:after="0"/>
              <w:rPr>
                <w:sz w:val="11"/>
                <w:szCs w:val="11"/>
                <w:color w:val="auto"/>
              </w:rPr>
            </w:pPr>
          </w:p>
        </w:tc>
        <w:tc>
          <w:tcPr>
            <w:tcW w:w="640" w:type="dxa"/>
            <w:vAlign w:val="bottom"/>
            <w:tcBorders>
              <w:bottom w:val="single" w:sz="8" w:color="ADB1C7"/>
            </w:tcBorders>
          </w:tcPr>
          <w:p>
            <w:pPr>
              <w:spacing w:after="0"/>
              <w:rPr>
                <w:sz w:val="11"/>
                <w:szCs w:val="11"/>
                <w:color w:val="auto"/>
              </w:rPr>
            </w:pPr>
          </w:p>
        </w:tc>
        <w:tc>
          <w:tcPr>
            <w:tcW w:w="740" w:type="dxa"/>
            <w:vAlign w:val="bottom"/>
            <w:tcBorders>
              <w:bottom w:val="single" w:sz="8" w:color="ADB1C7"/>
            </w:tcBorders>
          </w:tcPr>
          <w:p>
            <w:pPr>
              <w:spacing w:after="0"/>
              <w:rPr>
                <w:sz w:val="11"/>
                <w:szCs w:val="11"/>
                <w:color w:val="auto"/>
              </w:rPr>
            </w:pPr>
          </w:p>
        </w:tc>
        <w:tc>
          <w:tcPr>
            <w:tcW w:w="800" w:type="dxa"/>
            <w:vAlign w:val="bottom"/>
            <w:tcBorders>
              <w:bottom w:val="single" w:sz="8" w:color="ADB1C7"/>
            </w:tcBorders>
          </w:tcPr>
          <w:p>
            <w:pPr>
              <w:spacing w:after="0"/>
              <w:rPr>
                <w:sz w:val="11"/>
                <w:szCs w:val="11"/>
                <w:color w:val="auto"/>
              </w:rPr>
            </w:pPr>
          </w:p>
        </w:tc>
        <w:tc>
          <w:tcPr>
            <w:tcW w:w="980" w:type="dxa"/>
            <w:vAlign w:val="bottom"/>
            <w:tcBorders>
              <w:bottom w:val="single" w:sz="8" w:color="ADB1C7"/>
            </w:tcBorders>
          </w:tcPr>
          <w:p>
            <w:pPr>
              <w:spacing w:after="0"/>
              <w:rPr>
                <w:sz w:val="11"/>
                <w:szCs w:val="11"/>
                <w:color w:val="auto"/>
              </w:rPr>
            </w:pPr>
          </w:p>
        </w:tc>
        <w:tc>
          <w:tcPr>
            <w:tcW w:w="840" w:type="dxa"/>
            <w:vAlign w:val="bottom"/>
            <w:tcBorders>
              <w:bottom w:val="single" w:sz="8" w:color="ADB1C7"/>
            </w:tcBorders>
          </w:tcPr>
          <w:p>
            <w:pPr>
              <w:spacing w:after="0"/>
              <w:rPr>
                <w:sz w:val="11"/>
                <w:szCs w:val="11"/>
                <w:color w:val="auto"/>
              </w:rPr>
            </w:pPr>
          </w:p>
        </w:tc>
        <w:tc>
          <w:tcPr>
            <w:tcW w:w="780" w:type="dxa"/>
            <w:vAlign w:val="bottom"/>
            <w:tcBorders>
              <w:bottom w:val="single" w:sz="8" w:color="ADB1C7"/>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Time RSUs</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9/10/2021</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21,862</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999,968</w:t>
            </w:r>
          </w:p>
        </w:tc>
        <w:tc>
          <w:tcPr>
            <w:tcW w:w="0" w:type="dxa"/>
            <w:vAlign w:val="bottom"/>
          </w:tcPr>
          <w:p>
            <w:pPr>
              <w:spacing w:after="0"/>
              <w:rPr>
                <w:sz w:val="1"/>
                <w:szCs w:val="1"/>
                <w:color w:val="auto"/>
              </w:rPr>
            </w:pPr>
          </w:p>
        </w:tc>
      </w:tr>
      <w:tr>
        <w:trPr>
          <w:trHeight w:val="82"/>
        </w:trPr>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960" w:type="dxa"/>
            <w:vAlign w:val="bottom"/>
            <w:shd w:val="clear" w:color="auto" w:fill="DBDBDB"/>
          </w:tcPr>
          <w:p>
            <w:pPr>
              <w:spacing w:after="0"/>
              <w:rPr>
                <w:sz w:val="24"/>
                <w:szCs w:val="24"/>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8"/>
              </w:rPr>
              <w:t>Annual Bonus</w:t>
            </w:r>
          </w:p>
        </w:tc>
        <w:tc>
          <w:tcPr>
            <w:tcW w:w="86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206,250</w:t>
            </w:r>
          </w:p>
        </w:tc>
        <w:tc>
          <w:tcPr>
            <w:tcW w:w="94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412,500</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825,000</w:t>
            </w:r>
          </w:p>
        </w:tc>
        <w:tc>
          <w:tcPr>
            <w:tcW w:w="100" w:type="dxa"/>
            <w:vAlign w:val="bottom"/>
            <w:shd w:val="clear" w:color="auto" w:fill="DBDBDB"/>
          </w:tcPr>
          <w:p>
            <w:pPr>
              <w:spacing w:after="0"/>
              <w:rPr>
                <w:sz w:val="24"/>
                <w:szCs w:val="24"/>
                <w:color w:val="auto"/>
              </w:rPr>
            </w:pPr>
          </w:p>
        </w:tc>
        <w:tc>
          <w:tcPr>
            <w:tcW w:w="98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960" w:type="dxa"/>
            <w:vAlign w:val="bottom"/>
            <w:tcBorders>
              <w:bottom w:val="single" w:sz="8" w:color="DBDBDB"/>
            </w:tcBorders>
            <w:shd w:val="clear" w:color="auto" w:fill="DBDBDB"/>
          </w:tcPr>
          <w:p>
            <w:pPr>
              <w:spacing w:after="0"/>
              <w:rPr>
                <w:sz w:val="11"/>
                <w:szCs w:val="11"/>
                <w:color w:val="auto"/>
              </w:rPr>
            </w:pPr>
          </w:p>
        </w:tc>
        <w:tc>
          <w:tcPr>
            <w:tcW w:w="1000" w:type="dxa"/>
            <w:vAlign w:val="bottom"/>
            <w:tcBorders>
              <w:bottom w:val="single" w:sz="8" w:color="ADB1C7"/>
            </w:tcBorders>
            <w:shd w:val="clear" w:color="auto" w:fill="DBDBDB"/>
          </w:tcPr>
          <w:p>
            <w:pPr>
              <w:spacing w:after="0"/>
              <w:rPr>
                <w:sz w:val="11"/>
                <w:szCs w:val="11"/>
                <w:color w:val="auto"/>
              </w:rPr>
            </w:pPr>
          </w:p>
        </w:tc>
        <w:tc>
          <w:tcPr>
            <w:tcW w:w="860" w:type="dxa"/>
            <w:vAlign w:val="bottom"/>
            <w:tcBorders>
              <w:bottom w:val="single" w:sz="8" w:color="ADB1C7"/>
            </w:tcBorders>
            <w:shd w:val="clear" w:color="auto" w:fill="DBDBDB"/>
          </w:tcPr>
          <w:p>
            <w:pPr>
              <w:spacing w:after="0"/>
              <w:rPr>
                <w:sz w:val="11"/>
                <w:szCs w:val="11"/>
                <w:color w:val="auto"/>
              </w:rPr>
            </w:pPr>
          </w:p>
        </w:tc>
        <w:tc>
          <w:tcPr>
            <w:tcW w:w="880" w:type="dxa"/>
            <w:vAlign w:val="bottom"/>
            <w:tcBorders>
              <w:bottom w:val="single" w:sz="8" w:color="ADB1C7"/>
            </w:tcBorders>
            <w:shd w:val="clear" w:color="auto" w:fill="DBDBDB"/>
          </w:tcPr>
          <w:p>
            <w:pPr>
              <w:spacing w:after="0"/>
              <w:rPr>
                <w:sz w:val="11"/>
                <w:szCs w:val="11"/>
                <w:color w:val="auto"/>
              </w:rPr>
            </w:pPr>
          </w:p>
        </w:tc>
        <w:tc>
          <w:tcPr>
            <w:tcW w:w="940" w:type="dxa"/>
            <w:vAlign w:val="bottom"/>
            <w:tcBorders>
              <w:bottom w:val="single" w:sz="8" w:color="ADB1C7"/>
            </w:tcBorders>
            <w:shd w:val="clear" w:color="auto" w:fill="DBDBDB"/>
          </w:tcPr>
          <w:p>
            <w:pPr>
              <w:spacing w:after="0"/>
              <w:rPr>
                <w:sz w:val="11"/>
                <w:szCs w:val="11"/>
                <w:color w:val="auto"/>
              </w:rPr>
            </w:pPr>
          </w:p>
        </w:tc>
        <w:tc>
          <w:tcPr>
            <w:tcW w:w="740" w:type="dxa"/>
            <w:vAlign w:val="bottom"/>
            <w:tcBorders>
              <w:bottom w:val="single" w:sz="8" w:color="ADB1C7"/>
            </w:tcBorders>
            <w:shd w:val="clear" w:color="auto" w:fill="DBDBDB"/>
          </w:tcPr>
          <w:p>
            <w:pPr>
              <w:spacing w:after="0"/>
              <w:rPr>
                <w:sz w:val="11"/>
                <w:szCs w:val="11"/>
                <w:color w:val="auto"/>
              </w:rPr>
            </w:pPr>
          </w:p>
        </w:tc>
        <w:tc>
          <w:tcPr>
            <w:tcW w:w="100" w:type="dxa"/>
            <w:vAlign w:val="bottom"/>
            <w:tcBorders>
              <w:bottom w:val="single" w:sz="8" w:color="ADB1C7"/>
            </w:tcBorders>
            <w:shd w:val="clear" w:color="auto" w:fill="DBDBDB"/>
          </w:tcPr>
          <w:p>
            <w:pPr>
              <w:spacing w:after="0"/>
              <w:rPr>
                <w:sz w:val="11"/>
                <w:szCs w:val="11"/>
                <w:color w:val="auto"/>
              </w:rPr>
            </w:pPr>
          </w:p>
        </w:tc>
        <w:tc>
          <w:tcPr>
            <w:tcW w:w="980" w:type="dxa"/>
            <w:vAlign w:val="bottom"/>
            <w:tcBorders>
              <w:bottom w:val="single" w:sz="8" w:color="ADB1C7"/>
            </w:tcBorders>
            <w:shd w:val="clear" w:color="auto" w:fill="DBDBDB"/>
          </w:tcPr>
          <w:p>
            <w:pPr>
              <w:spacing w:after="0"/>
              <w:rPr>
                <w:sz w:val="11"/>
                <w:szCs w:val="11"/>
                <w:color w:val="auto"/>
              </w:rPr>
            </w:pPr>
          </w:p>
        </w:tc>
        <w:tc>
          <w:tcPr>
            <w:tcW w:w="640" w:type="dxa"/>
            <w:vAlign w:val="bottom"/>
            <w:tcBorders>
              <w:bottom w:val="single" w:sz="8" w:color="ADB1C7"/>
            </w:tcBorders>
            <w:shd w:val="clear" w:color="auto" w:fill="DBDBDB"/>
          </w:tcPr>
          <w:p>
            <w:pPr>
              <w:spacing w:after="0"/>
              <w:rPr>
                <w:sz w:val="11"/>
                <w:szCs w:val="11"/>
                <w:color w:val="auto"/>
              </w:rPr>
            </w:pPr>
          </w:p>
        </w:tc>
        <w:tc>
          <w:tcPr>
            <w:tcW w:w="740" w:type="dxa"/>
            <w:vAlign w:val="bottom"/>
            <w:tcBorders>
              <w:bottom w:val="single" w:sz="8" w:color="ADB1C7"/>
            </w:tcBorders>
            <w:shd w:val="clear" w:color="auto" w:fill="DBDBDB"/>
          </w:tcPr>
          <w:p>
            <w:pPr>
              <w:spacing w:after="0"/>
              <w:rPr>
                <w:sz w:val="11"/>
                <w:szCs w:val="11"/>
                <w:color w:val="auto"/>
              </w:rPr>
            </w:pPr>
          </w:p>
        </w:tc>
        <w:tc>
          <w:tcPr>
            <w:tcW w:w="800" w:type="dxa"/>
            <w:vAlign w:val="bottom"/>
            <w:tcBorders>
              <w:bottom w:val="single" w:sz="8" w:color="ADB1C7"/>
            </w:tcBorders>
            <w:shd w:val="clear" w:color="auto" w:fill="DBDBDB"/>
          </w:tcPr>
          <w:p>
            <w:pPr>
              <w:spacing w:after="0"/>
              <w:rPr>
                <w:sz w:val="11"/>
                <w:szCs w:val="11"/>
                <w:color w:val="auto"/>
              </w:rPr>
            </w:pPr>
          </w:p>
        </w:tc>
        <w:tc>
          <w:tcPr>
            <w:tcW w:w="980" w:type="dxa"/>
            <w:vAlign w:val="bottom"/>
            <w:tcBorders>
              <w:bottom w:val="single" w:sz="8" w:color="ADB1C7"/>
            </w:tcBorders>
            <w:shd w:val="clear" w:color="auto" w:fill="DBDBDB"/>
          </w:tcPr>
          <w:p>
            <w:pPr>
              <w:spacing w:after="0"/>
              <w:rPr>
                <w:sz w:val="11"/>
                <w:szCs w:val="11"/>
                <w:color w:val="auto"/>
              </w:rPr>
            </w:pPr>
          </w:p>
        </w:tc>
        <w:tc>
          <w:tcPr>
            <w:tcW w:w="840" w:type="dxa"/>
            <w:vAlign w:val="bottom"/>
            <w:tcBorders>
              <w:bottom w:val="single" w:sz="8" w:color="ADB1C7"/>
            </w:tcBorders>
            <w:shd w:val="clear" w:color="auto" w:fill="DBDBDB"/>
          </w:tcPr>
          <w:p>
            <w:pPr>
              <w:spacing w:after="0"/>
              <w:rPr>
                <w:sz w:val="11"/>
                <w:szCs w:val="11"/>
                <w:color w:val="auto"/>
              </w:rPr>
            </w:pPr>
          </w:p>
        </w:tc>
        <w:tc>
          <w:tcPr>
            <w:tcW w:w="780" w:type="dxa"/>
            <w:vAlign w:val="bottom"/>
            <w:tcBorders>
              <w:bottom w:val="single" w:sz="8" w:color="ADB1C7"/>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960" w:type="dxa"/>
            <w:vAlign w:val="bottom"/>
            <w:shd w:val="clear" w:color="auto" w:fill="DBDBDB"/>
          </w:tcPr>
          <w:p>
            <w:pPr>
              <w:spacing w:after="0"/>
              <w:rPr>
                <w:sz w:val="16"/>
                <w:szCs w:val="16"/>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6"/>
              </w:rPr>
              <w:t>Performance</w:t>
            </w:r>
          </w:p>
        </w:tc>
        <w:tc>
          <w:tcPr>
            <w:tcW w:w="860" w:type="dxa"/>
            <w:vAlign w:val="bottom"/>
            <w:vMerge w:val="restart"/>
            <w:shd w:val="clear" w:color="auto" w:fill="DBDBDB"/>
          </w:tcPr>
          <w:p>
            <w:pPr>
              <w:jc w:val="center"/>
              <w:spacing w:after="0"/>
              <w:rPr>
                <w:sz w:val="20"/>
                <w:szCs w:val="20"/>
                <w:color w:val="auto"/>
              </w:rPr>
            </w:pPr>
            <w:r>
              <w:rPr>
                <w:rFonts w:ascii="Arial" w:cs="Arial" w:eastAsia="Arial" w:hAnsi="Arial"/>
                <w:sz w:val="13"/>
                <w:szCs w:val="13"/>
                <w:color w:val="auto"/>
                <w:w w:val="96"/>
              </w:rPr>
              <w:t>3/31/2021</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DBDBDB"/>
          </w:tcPr>
          <w:p>
            <w:pPr>
              <w:jc w:val="right"/>
              <w:ind w:right="57"/>
              <w:spacing w:after="0"/>
              <w:rPr>
                <w:sz w:val="20"/>
                <w:szCs w:val="20"/>
                <w:color w:val="auto"/>
              </w:rPr>
            </w:pPr>
            <w:r>
              <w:rPr>
                <w:rFonts w:ascii="Arial" w:cs="Arial" w:eastAsia="Arial" w:hAnsi="Arial"/>
                <w:sz w:val="13"/>
                <w:szCs w:val="13"/>
                <w:color w:val="auto"/>
              </w:rPr>
              <w:t>3,668</w:t>
            </w:r>
          </w:p>
        </w:tc>
        <w:tc>
          <w:tcPr>
            <w:tcW w:w="640" w:type="dxa"/>
            <w:vAlign w:val="bottom"/>
            <w:vMerge w:val="restart"/>
            <w:shd w:val="clear" w:color="auto" w:fill="DBDBDB"/>
          </w:tcPr>
          <w:p>
            <w:pPr>
              <w:jc w:val="right"/>
              <w:ind w:right="77"/>
              <w:spacing w:after="0"/>
              <w:rPr>
                <w:sz w:val="20"/>
                <w:szCs w:val="20"/>
                <w:color w:val="auto"/>
              </w:rPr>
            </w:pPr>
            <w:r>
              <w:rPr>
                <w:rFonts w:ascii="Arial" w:cs="Arial" w:eastAsia="Arial" w:hAnsi="Arial"/>
                <w:sz w:val="13"/>
                <w:szCs w:val="13"/>
                <w:color w:val="auto"/>
              </w:rPr>
              <w:t>7,336</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197,999</w:t>
            </w:r>
          </w:p>
        </w:tc>
        <w:tc>
          <w:tcPr>
            <w:tcW w:w="0" w:type="dxa"/>
            <w:vAlign w:val="bottom"/>
          </w:tcPr>
          <w:p>
            <w:pPr>
              <w:spacing w:after="0"/>
              <w:rPr>
                <w:sz w:val="1"/>
                <w:szCs w:val="1"/>
                <w:color w:val="auto"/>
              </w:rPr>
            </w:pPr>
          </w:p>
        </w:tc>
      </w:tr>
      <w:tr>
        <w:trPr>
          <w:trHeight w:val="85"/>
        </w:trPr>
        <w:tc>
          <w:tcPr>
            <w:tcW w:w="960" w:type="dxa"/>
            <w:vAlign w:val="bottom"/>
            <w:vMerge w:val="restart"/>
            <w:shd w:val="clear" w:color="auto" w:fill="DBDBDB"/>
          </w:tcPr>
          <w:p>
            <w:pPr>
              <w:ind w:left="100"/>
              <w:spacing w:after="0"/>
              <w:rPr>
                <w:sz w:val="20"/>
                <w:szCs w:val="20"/>
                <w:color w:val="auto"/>
              </w:rPr>
            </w:pPr>
            <w:r>
              <w:rPr>
                <w:rFonts w:ascii="Arial" w:cs="Arial" w:eastAsia="Arial" w:hAnsi="Arial"/>
                <w:sz w:val="13"/>
                <w:szCs w:val="13"/>
                <w:b w:val="1"/>
                <w:bCs w:val="1"/>
                <w:color w:val="auto"/>
              </w:rPr>
              <w:t>Manish Maini</w:t>
            </w:r>
          </w:p>
        </w:tc>
        <w:tc>
          <w:tcPr>
            <w:tcW w:w="1000" w:type="dxa"/>
            <w:vAlign w:val="bottom"/>
            <w:vMerge w:val="restart"/>
            <w:shd w:val="clear" w:color="auto" w:fill="DBDBDB"/>
          </w:tcPr>
          <w:p>
            <w:pPr>
              <w:jc w:val="center"/>
              <w:spacing w:after="0"/>
              <w:rPr>
                <w:sz w:val="20"/>
                <w:szCs w:val="20"/>
                <w:color w:val="auto"/>
              </w:rPr>
            </w:pPr>
            <w:r>
              <w:rPr>
                <w:rFonts w:ascii="Arial" w:cs="Arial" w:eastAsia="Arial" w:hAnsi="Arial"/>
                <w:sz w:val="13"/>
                <w:szCs w:val="13"/>
                <w:color w:val="auto"/>
                <w:w w:val="94"/>
              </w:rPr>
              <w:t>RSUs</w:t>
            </w:r>
          </w:p>
        </w:tc>
        <w:tc>
          <w:tcPr>
            <w:tcW w:w="860" w:type="dxa"/>
            <w:vAlign w:val="bottom"/>
            <w:vMerge w:val="continue"/>
            <w:shd w:val="clear" w:color="auto" w:fill="DBDBDB"/>
          </w:tcPr>
          <w:p>
            <w:pPr>
              <w:spacing w:after="0"/>
              <w:rPr>
                <w:sz w:val="7"/>
                <w:szCs w:val="7"/>
                <w:color w:val="auto"/>
              </w:rPr>
            </w:pPr>
          </w:p>
        </w:tc>
        <w:tc>
          <w:tcPr>
            <w:tcW w:w="880" w:type="dxa"/>
            <w:vAlign w:val="bottom"/>
            <w:vMerge w:val="continue"/>
            <w:shd w:val="clear" w:color="auto" w:fill="DBDBDB"/>
          </w:tcPr>
          <w:p>
            <w:pPr>
              <w:spacing w:after="0"/>
              <w:rPr>
                <w:sz w:val="7"/>
                <w:szCs w:val="7"/>
                <w:color w:val="auto"/>
              </w:rPr>
            </w:pPr>
          </w:p>
        </w:tc>
        <w:tc>
          <w:tcPr>
            <w:tcW w:w="940" w:type="dxa"/>
            <w:vAlign w:val="bottom"/>
            <w:vMerge w:val="continue"/>
            <w:shd w:val="clear" w:color="auto" w:fill="DBDBDB"/>
          </w:tcPr>
          <w:p>
            <w:pPr>
              <w:spacing w:after="0"/>
              <w:rPr>
                <w:sz w:val="7"/>
                <w:szCs w:val="7"/>
                <w:color w:val="auto"/>
              </w:rPr>
            </w:pPr>
          </w:p>
        </w:tc>
        <w:tc>
          <w:tcPr>
            <w:tcW w:w="840" w:type="dxa"/>
            <w:vAlign w:val="bottom"/>
            <w:gridSpan w:val="2"/>
            <w:vMerge w:val="continue"/>
            <w:shd w:val="clear" w:color="auto" w:fill="DBDBDB"/>
          </w:tcPr>
          <w:p>
            <w:pPr>
              <w:spacing w:after="0"/>
              <w:rPr>
                <w:sz w:val="7"/>
                <w:szCs w:val="7"/>
                <w:color w:val="auto"/>
              </w:rPr>
            </w:pPr>
          </w:p>
        </w:tc>
        <w:tc>
          <w:tcPr>
            <w:tcW w:w="980" w:type="dxa"/>
            <w:vAlign w:val="bottom"/>
            <w:vMerge w:val="continue"/>
            <w:shd w:val="clear" w:color="auto" w:fill="DBDBDB"/>
          </w:tcPr>
          <w:p>
            <w:pPr>
              <w:spacing w:after="0"/>
              <w:rPr>
                <w:sz w:val="7"/>
                <w:szCs w:val="7"/>
                <w:color w:val="auto"/>
              </w:rPr>
            </w:pPr>
          </w:p>
        </w:tc>
        <w:tc>
          <w:tcPr>
            <w:tcW w:w="640" w:type="dxa"/>
            <w:vAlign w:val="bottom"/>
            <w:vMerge w:val="continue"/>
            <w:shd w:val="clear" w:color="auto" w:fill="DBDBDB"/>
          </w:tcPr>
          <w:p>
            <w:pPr>
              <w:spacing w:after="0"/>
              <w:rPr>
                <w:sz w:val="7"/>
                <w:szCs w:val="7"/>
                <w:color w:val="auto"/>
              </w:rPr>
            </w:pPr>
          </w:p>
        </w:tc>
        <w:tc>
          <w:tcPr>
            <w:tcW w:w="740" w:type="dxa"/>
            <w:vAlign w:val="bottom"/>
            <w:vMerge w:val="continue"/>
            <w:shd w:val="clear" w:color="auto" w:fill="DBDBDB"/>
          </w:tcPr>
          <w:p>
            <w:pPr>
              <w:spacing w:after="0"/>
              <w:rPr>
                <w:sz w:val="7"/>
                <w:szCs w:val="7"/>
                <w:color w:val="auto"/>
              </w:rPr>
            </w:pPr>
          </w:p>
        </w:tc>
        <w:tc>
          <w:tcPr>
            <w:tcW w:w="800" w:type="dxa"/>
            <w:vAlign w:val="bottom"/>
            <w:vMerge w:val="continue"/>
            <w:shd w:val="clear" w:color="auto" w:fill="DBDBDB"/>
          </w:tcPr>
          <w:p>
            <w:pPr>
              <w:spacing w:after="0"/>
              <w:rPr>
                <w:sz w:val="7"/>
                <w:szCs w:val="7"/>
                <w:color w:val="auto"/>
              </w:rPr>
            </w:pPr>
          </w:p>
        </w:tc>
        <w:tc>
          <w:tcPr>
            <w:tcW w:w="980" w:type="dxa"/>
            <w:vAlign w:val="bottom"/>
            <w:vMerge w:val="continue"/>
            <w:shd w:val="clear" w:color="auto" w:fill="DBDBDB"/>
          </w:tcPr>
          <w:p>
            <w:pPr>
              <w:spacing w:after="0"/>
              <w:rPr>
                <w:sz w:val="7"/>
                <w:szCs w:val="7"/>
                <w:color w:val="auto"/>
              </w:rPr>
            </w:pPr>
          </w:p>
        </w:tc>
        <w:tc>
          <w:tcPr>
            <w:tcW w:w="840" w:type="dxa"/>
            <w:vAlign w:val="bottom"/>
            <w:vMerge w:val="continue"/>
            <w:shd w:val="clear" w:color="auto" w:fill="DBDBDB"/>
          </w:tcPr>
          <w:p>
            <w:pPr>
              <w:spacing w:after="0"/>
              <w:rPr>
                <w:sz w:val="7"/>
                <w:szCs w:val="7"/>
                <w:color w:val="auto"/>
              </w:rPr>
            </w:pPr>
          </w:p>
        </w:tc>
        <w:tc>
          <w:tcPr>
            <w:tcW w:w="78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60" w:type="dxa"/>
            <w:vAlign w:val="bottom"/>
            <w:tcBorders>
              <w:bottom w:val="single" w:sz="8" w:color="DBDBDB"/>
            </w:tcBorders>
            <w:vMerge w:val="continue"/>
            <w:shd w:val="clear" w:color="auto" w:fill="DBDBDB"/>
          </w:tcPr>
          <w:p>
            <w:pPr>
              <w:spacing w:after="0"/>
              <w:rPr>
                <w:sz w:val="11"/>
                <w:szCs w:val="11"/>
                <w:color w:val="auto"/>
              </w:rPr>
            </w:pPr>
          </w:p>
        </w:tc>
        <w:tc>
          <w:tcPr>
            <w:tcW w:w="1000" w:type="dxa"/>
            <w:vAlign w:val="bottom"/>
            <w:tcBorders>
              <w:bottom w:val="single" w:sz="8" w:color="DBDBDB"/>
            </w:tcBorders>
            <w:vMerge w:val="continue"/>
            <w:shd w:val="clear" w:color="auto" w:fill="DBDBDB"/>
          </w:tcPr>
          <w:p>
            <w:pPr>
              <w:spacing w:after="0"/>
              <w:rPr>
                <w:sz w:val="11"/>
                <w:szCs w:val="11"/>
                <w:color w:val="auto"/>
              </w:rPr>
            </w:pPr>
          </w:p>
        </w:tc>
        <w:tc>
          <w:tcPr>
            <w:tcW w:w="860" w:type="dxa"/>
            <w:vAlign w:val="bottom"/>
            <w:tcBorders>
              <w:bottom w:val="single" w:sz="8" w:color="DBDBDB"/>
            </w:tcBorders>
            <w:shd w:val="clear" w:color="auto" w:fill="DBDBDB"/>
          </w:tcPr>
          <w:p>
            <w:pPr>
              <w:spacing w:after="0"/>
              <w:rPr>
                <w:sz w:val="11"/>
                <w:szCs w:val="11"/>
                <w:color w:val="auto"/>
              </w:rPr>
            </w:pPr>
          </w:p>
        </w:tc>
        <w:tc>
          <w:tcPr>
            <w:tcW w:w="880" w:type="dxa"/>
            <w:vAlign w:val="bottom"/>
            <w:tcBorders>
              <w:bottom w:val="single" w:sz="8" w:color="DBDBDB"/>
            </w:tcBorders>
            <w:shd w:val="clear" w:color="auto" w:fill="DBDBDB"/>
          </w:tcPr>
          <w:p>
            <w:pPr>
              <w:spacing w:after="0"/>
              <w:rPr>
                <w:sz w:val="11"/>
                <w:szCs w:val="11"/>
                <w:color w:val="auto"/>
              </w:rPr>
            </w:pPr>
          </w:p>
        </w:tc>
        <w:tc>
          <w:tcPr>
            <w:tcW w:w="940" w:type="dxa"/>
            <w:vAlign w:val="bottom"/>
            <w:tcBorders>
              <w:bottom w:val="single" w:sz="8" w:color="DBDBDB"/>
            </w:tcBorders>
            <w:shd w:val="clear" w:color="auto" w:fill="DBDBDB"/>
          </w:tcPr>
          <w:p>
            <w:pPr>
              <w:spacing w:after="0"/>
              <w:rPr>
                <w:sz w:val="11"/>
                <w:szCs w:val="11"/>
                <w:color w:val="auto"/>
              </w:rPr>
            </w:pPr>
          </w:p>
        </w:tc>
        <w:tc>
          <w:tcPr>
            <w:tcW w:w="740" w:type="dxa"/>
            <w:vAlign w:val="bottom"/>
            <w:tcBorders>
              <w:bottom w:val="single" w:sz="8" w:color="DBDBDB"/>
            </w:tcBorders>
            <w:shd w:val="clear" w:color="auto" w:fill="DBDBDB"/>
          </w:tcPr>
          <w:p>
            <w:pPr>
              <w:spacing w:after="0"/>
              <w:rPr>
                <w:sz w:val="11"/>
                <w:szCs w:val="11"/>
                <w:color w:val="auto"/>
              </w:rPr>
            </w:pPr>
          </w:p>
        </w:tc>
        <w:tc>
          <w:tcPr>
            <w:tcW w:w="100" w:type="dxa"/>
            <w:vAlign w:val="bottom"/>
            <w:tcBorders>
              <w:bottom w:val="single" w:sz="8" w:color="DBDBDB"/>
            </w:tcBorders>
            <w:shd w:val="clear" w:color="auto" w:fill="DBDBDB"/>
          </w:tcPr>
          <w:p>
            <w:pPr>
              <w:spacing w:after="0"/>
              <w:rPr>
                <w:sz w:val="11"/>
                <w:szCs w:val="11"/>
                <w:color w:val="auto"/>
              </w:rPr>
            </w:pPr>
          </w:p>
        </w:tc>
        <w:tc>
          <w:tcPr>
            <w:tcW w:w="980" w:type="dxa"/>
            <w:vAlign w:val="bottom"/>
            <w:tcBorders>
              <w:bottom w:val="single" w:sz="8" w:color="DBDBDB"/>
            </w:tcBorders>
            <w:shd w:val="clear" w:color="auto" w:fill="DBDBDB"/>
          </w:tcPr>
          <w:p>
            <w:pPr>
              <w:spacing w:after="0"/>
              <w:rPr>
                <w:sz w:val="11"/>
                <w:szCs w:val="11"/>
                <w:color w:val="auto"/>
              </w:rPr>
            </w:pPr>
          </w:p>
        </w:tc>
        <w:tc>
          <w:tcPr>
            <w:tcW w:w="640" w:type="dxa"/>
            <w:vAlign w:val="bottom"/>
            <w:tcBorders>
              <w:bottom w:val="single" w:sz="8" w:color="DBDBDB"/>
            </w:tcBorders>
            <w:shd w:val="clear" w:color="auto" w:fill="DBDBDB"/>
          </w:tcPr>
          <w:p>
            <w:pPr>
              <w:spacing w:after="0"/>
              <w:rPr>
                <w:sz w:val="11"/>
                <w:szCs w:val="11"/>
                <w:color w:val="auto"/>
              </w:rPr>
            </w:pPr>
          </w:p>
        </w:tc>
        <w:tc>
          <w:tcPr>
            <w:tcW w:w="740" w:type="dxa"/>
            <w:vAlign w:val="bottom"/>
            <w:tcBorders>
              <w:bottom w:val="single" w:sz="8" w:color="DBDBDB"/>
            </w:tcBorders>
            <w:shd w:val="clear" w:color="auto" w:fill="DBDBDB"/>
          </w:tcPr>
          <w:p>
            <w:pPr>
              <w:spacing w:after="0"/>
              <w:rPr>
                <w:sz w:val="11"/>
                <w:szCs w:val="11"/>
                <w:color w:val="auto"/>
              </w:rPr>
            </w:pPr>
          </w:p>
        </w:tc>
        <w:tc>
          <w:tcPr>
            <w:tcW w:w="800" w:type="dxa"/>
            <w:vAlign w:val="bottom"/>
            <w:tcBorders>
              <w:bottom w:val="single" w:sz="8" w:color="DBDBDB"/>
            </w:tcBorders>
            <w:shd w:val="clear" w:color="auto" w:fill="DBDBDB"/>
          </w:tcPr>
          <w:p>
            <w:pPr>
              <w:spacing w:after="0"/>
              <w:rPr>
                <w:sz w:val="11"/>
                <w:szCs w:val="11"/>
                <w:color w:val="auto"/>
              </w:rPr>
            </w:pPr>
          </w:p>
        </w:tc>
        <w:tc>
          <w:tcPr>
            <w:tcW w:w="980" w:type="dxa"/>
            <w:vAlign w:val="bottom"/>
            <w:tcBorders>
              <w:bottom w:val="single" w:sz="8" w:color="DBDBDB"/>
            </w:tcBorders>
            <w:shd w:val="clear" w:color="auto" w:fill="DBDBDB"/>
          </w:tcPr>
          <w:p>
            <w:pPr>
              <w:spacing w:after="0"/>
              <w:rPr>
                <w:sz w:val="11"/>
                <w:szCs w:val="11"/>
                <w:color w:val="auto"/>
              </w:rPr>
            </w:pPr>
          </w:p>
        </w:tc>
        <w:tc>
          <w:tcPr>
            <w:tcW w:w="840" w:type="dxa"/>
            <w:vAlign w:val="bottom"/>
            <w:tcBorders>
              <w:bottom w:val="single" w:sz="8" w:color="DBDBDB"/>
            </w:tcBorders>
            <w:shd w:val="clear" w:color="auto" w:fill="DBDBDB"/>
          </w:tcPr>
          <w:p>
            <w:pPr>
              <w:spacing w:after="0"/>
              <w:rPr>
                <w:sz w:val="11"/>
                <w:szCs w:val="11"/>
                <w:color w:val="auto"/>
              </w:rPr>
            </w:pPr>
          </w:p>
        </w:tc>
        <w:tc>
          <w:tcPr>
            <w:tcW w:w="780" w:type="dxa"/>
            <w:vAlign w:val="bottom"/>
            <w:tcBorders>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960" w:type="dxa"/>
            <w:vAlign w:val="bottom"/>
            <w:tcBorders>
              <w:top w:val="single" w:sz="8" w:color="DBDBDB"/>
            </w:tcBorders>
            <w:shd w:val="clear" w:color="auto" w:fill="DBDBDB"/>
          </w:tcPr>
          <w:p>
            <w:pPr>
              <w:spacing w:after="0"/>
              <w:rPr>
                <w:sz w:val="24"/>
                <w:szCs w:val="24"/>
                <w:color w:val="auto"/>
              </w:rPr>
            </w:pPr>
          </w:p>
        </w:tc>
        <w:tc>
          <w:tcPr>
            <w:tcW w:w="1000" w:type="dxa"/>
            <w:vAlign w:val="bottom"/>
            <w:tcBorders>
              <w:top w:val="single" w:sz="8" w:color="ADB1C7"/>
            </w:tcBorders>
            <w:shd w:val="clear" w:color="auto" w:fill="DBDBDB"/>
          </w:tcPr>
          <w:p>
            <w:pPr>
              <w:jc w:val="center"/>
              <w:spacing w:after="0"/>
              <w:rPr>
                <w:sz w:val="20"/>
                <w:szCs w:val="20"/>
                <w:color w:val="auto"/>
              </w:rPr>
            </w:pPr>
            <w:r>
              <w:rPr>
                <w:rFonts w:ascii="Arial" w:cs="Arial" w:eastAsia="Arial" w:hAnsi="Arial"/>
                <w:sz w:val="13"/>
                <w:szCs w:val="13"/>
                <w:color w:val="auto"/>
                <w:w w:val="98"/>
              </w:rPr>
              <w:t>Options</w:t>
            </w:r>
          </w:p>
        </w:tc>
        <w:tc>
          <w:tcPr>
            <w:tcW w:w="860" w:type="dxa"/>
            <w:vAlign w:val="bottom"/>
            <w:tcBorders>
              <w:top w:val="single" w:sz="8" w:color="ADB1C7"/>
            </w:tcBorders>
            <w:shd w:val="clear" w:color="auto" w:fill="DBDBDB"/>
          </w:tcPr>
          <w:p>
            <w:pPr>
              <w:jc w:val="center"/>
              <w:spacing w:after="0"/>
              <w:rPr>
                <w:sz w:val="20"/>
                <w:szCs w:val="20"/>
                <w:color w:val="auto"/>
              </w:rPr>
            </w:pPr>
            <w:r>
              <w:rPr>
                <w:rFonts w:ascii="Arial" w:cs="Arial" w:eastAsia="Arial" w:hAnsi="Arial"/>
                <w:sz w:val="13"/>
                <w:szCs w:val="13"/>
                <w:color w:val="auto"/>
                <w:w w:val="96"/>
              </w:rPr>
              <w:t>3/31/2021</w:t>
            </w:r>
          </w:p>
        </w:tc>
        <w:tc>
          <w:tcPr>
            <w:tcW w:w="880" w:type="dxa"/>
            <w:vAlign w:val="bottom"/>
            <w:tcBorders>
              <w:top w:val="single" w:sz="8" w:color="ADB1C7"/>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DB1C7"/>
            </w:tcBorders>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DB1C7"/>
            </w:tcBorders>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DB1C7"/>
            </w:tcBorders>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DB1C7"/>
            </w:tcBorders>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DB1C7"/>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DB1C7"/>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DB1C7"/>
            </w:tcBorders>
            <w:shd w:val="clear" w:color="auto" w:fill="DBDBDB"/>
          </w:tcPr>
          <w:p>
            <w:pPr>
              <w:jc w:val="right"/>
              <w:spacing w:after="0"/>
              <w:rPr>
                <w:sz w:val="20"/>
                <w:szCs w:val="20"/>
                <w:color w:val="auto"/>
              </w:rPr>
            </w:pPr>
            <w:r>
              <w:rPr>
                <w:rFonts w:ascii="Arial" w:cs="Arial" w:eastAsia="Arial" w:hAnsi="Arial"/>
                <w:sz w:val="13"/>
                <w:szCs w:val="13"/>
                <w:color w:val="auto"/>
              </w:rPr>
              <w:t>34,105</w:t>
            </w:r>
          </w:p>
        </w:tc>
        <w:tc>
          <w:tcPr>
            <w:tcW w:w="840" w:type="dxa"/>
            <w:vAlign w:val="bottom"/>
            <w:tcBorders>
              <w:top w:val="single" w:sz="8" w:color="ADB1C7"/>
            </w:tcBorders>
            <w:shd w:val="clear" w:color="auto" w:fill="DBDBDB"/>
          </w:tcPr>
          <w:p>
            <w:pPr>
              <w:jc w:val="right"/>
              <w:ind w:right="37"/>
              <w:spacing w:after="0"/>
              <w:rPr>
                <w:sz w:val="20"/>
                <w:szCs w:val="20"/>
                <w:color w:val="auto"/>
              </w:rPr>
            </w:pPr>
            <w:r>
              <w:rPr>
                <w:rFonts w:ascii="Arial" w:cs="Arial" w:eastAsia="Arial" w:hAnsi="Arial"/>
                <w:sz w:val="13"/>
                <w:szCs w:val="13"/>
                <w:color w:val="auto"/>
              </w:rPr>
              <w:t>26.99</w:t>
            </w:r>
          </w:p>
        </w:tc>
        <w:tc>
          <w:tcPr>
            <w:tcW w:w="780" w:type="dxa"/>
            <w:vAlign w:val="bottom"/>
            <w:tcBorders>
              <w:top w:val="single" w:sz="8" w:color="ADB1C7"/>
            </w:tcBorders>
            <w:shd w:val="clear" w:color="auto" w:fill="DBDBDB"/>
          </w:tcPr>
          <w:p>
            <w:pPr>
              <w:jc w:val="right"/>
              <w:spacing w:after="0"/>
              <w:rPr>
                <w:sz w:val="20"/>
                <w:szCs w:val="20"/>
                <w:color w:val="auto"/>
              </w:rPr>
            </w:pPr>
            <w:r>
              <w:rPr>
                <w:rFonts w:ascii="Arial" w:cs="Arial" w:eastAsia="Arial" w:hAnsi="Arial"/>
                <w:sz w:val="13"/>
                <w:szCs w:val="13"/>
                <w:color w:val="auto"/>
              </w:rPr>
              <w:t>401,989</w:t>
            </w:r>
          </w:p>
        </w:tc>
        <w:tc>
          <w:tcPr>
            <w:tcW w:w="0" w:type="dxa"/>
            <w:vAlign w:val="bottom"/>
          </w:tcPr>
          <w:p>
            <w:pPr>
              <w:spacing w:after="0"/>
              <w:rPr>
                <w:sz w:val="1"/>
                <w:szCs w:val="1"/>
                <w:color w:val="auto"/>
              </w:rPr>
            </w:pPr>
          </w:p>
        </w:tc>
      </w:tr>
      <w:tr>
        <w:trPr>
          <w:trHeight w:val="135"/>
        </w:trPr>
        <w:tc>
          <w:tcPr>
            <w:tcW w:w="960" w:type="dxa"/>
            <w:vAlign w:val="bottom"/>
            <w:tcBorders>
              <w:bottom w:val="single" w:sz="8" w:color="DBDBDB"/>
            </w:tcBorders>
            <w:shd w:val="clear" w:color="auto" w:fill="DBDBDB"/>
          </w:tcPr>
          <w:p>
            <w:pPr>
              <w:spacing w:after="0"/>
              <w:rPr>
                <w:sz w:val="11"/>
                <w:szCs w:val="11"/>
                <w:color w:val="auto"/>
              </w:rPr>
            </w:pPr>
          </w:p>
        </w:tc>
        <w:tc>
          <w:tcPr>
            <w:tcW w:w="1000" w:type="dxa"/>
            <w:vAlign w:val="bottom"/>
            <w:tcBorders>
              <w:bottom w:val="single" w:sz="8" w:color="ADB1C7"/>
            </w:tcBorders>
            <w:shd w:val="clear" w:color="auto" w:fill="DBDBDB"/>
          </w:tcPr>
          <w:p>
            <w:pPr>
              <w:spacing w:after="0"/>
              <w:rPr>
                <w:sz w:val="11"/>
                <w:szCs w:val="11"/>
                <w:color w:val="auto"/>
              </w:rPr>
            </w:pPr>
          </w:p>
        </w:tc>
        <w:tc>
          <w:tcPr>
            <w:tcW w:w="860" w:type="dxa"/>
            <w:vAlign w:val="bottom"/>
            <w:tcBorders>
              <w:bottom w:val="single" w:sz="8" w:color="ADB1C7"/>
            </w:tcBorders>
            <w:shd w:val="clear" w:color="auto" w:fill="DBDBDB"/>
          </w:tcPr>
          <w:p>
            <w:pPr>
              <w:spacing w:after="0"/>
              <w:rPr>
                <w:sz w:val="11"/>
                <w:szCs w:val="11"/>
                <w:color w:val="auto"/>
              </w:rPr>
            </w:pPr>
          </w:p>
        </w:tc>
        <w:tc>
          <w:tcPr>
            <w:tcW w:w="880" w:type="dxa"/>
            <w:vAlign w:val="bottom"/>
            <w:tcBorders>
              <w:bottom w:val="single" w:sz="8" w:color="ADB1C7"/>
            </w:tcBorders>
            <w:shd w:val="clear" w:color="auto" w:fill="DBDBDB"/>
          </w:tcPr>
          <w:p>
            <w:pPr>
              <w:spacing w:after="0"/>
              <w:rPr>
                <w:sz w:val="11"/>
                <w:szCs w:val="11"/>
                <w:color w:val="auto"/>
              </w:rPr>
            </w:pPr>
          </w:p>
        </w:tc>
        <w:tc>
          <w:tcPr>
            <w:tcW w:w="940" w:type="dxa"/>
            <w:vAlign w:val="bottom"/>
            <w:tcBorders>
              <w:bottom w:val="single" w:sz="8" w:color="ADB1C7"/>
            </w:tcBorders>
            <w:shd w:val="clear" w:color="auto" w:fill="DBDBDB"/>
          </w:tcPr>
          <w:p>
            <w:pPr>
              <w:spacing w:after="0"/>
              <w:rPr>
                <w:sz w:val="11"/>
                <w:szCs w:val="11"/>
                <w:color w:val="auto"/>
              </w:rPr>
            </w:pPr>
          </w:p>
        </w:tc>
        <w:tc>
          <w:tcPr>
            <w:tcW w:w="740" w:type="dxa"/>
            <w:vAlign w:val="bottom"/>
            <w:tcBorders>
              <w:bottom w:val="single" w:sz="8" w:color="ADB1C7"/>
            </w:tcBorders>
            <w:shd w:val="clear" w:color="auto" w:fill="DBDBDB"/>
          </w:tcPr>
          <w:p>
            <w:pPr>
              <w:spacing w:after="0"/>
              <w:rPr>
                <w:sz w:val="11"/>
                <w:szCs w:val="11"/>
                <w:color w:val="auto"/>
              </w:rPr>
            </w:pPr>
          </w:p>
        </w:tc>
        <w:tc>
          <w:tcPr>
            <w:tcW w:w="100" w:type="dxa"/>
            <w:vAlign w:val="bottom"/>
            <w:tcBorders>
              <w:bottom w:val="single" w:sz="8" w:color="ADB1C7"/>
            </w:tcBorders>
            <w:shd w:val="clear" w:color="auto" w:fill="DBDBDB"/>
          </w:tcPr>
          <w:p>
            <w:pPr>
              <w:spacing w:after="0"/>
              <w:rPr>
                <w:sz w:val="11"/>
                <w:szCs w:val="11"/>
                <w:color w:val="auto"/>
              </w:rPr>
            </w:pPr>
          </w:p>
        </w:tc>
        <w:tc>
          <w:tcPr>
            <w:tcW w:w="980" w:type="dxa"/>
            <w:vAlign w:val="bottom"/>
            <w:tcBorders>
              <w:bottom w:val="single" w:sz="8" w:color="ADB1C7"/>
            </w:tcBorders>
            <w:shd w:val="clear" w:color="auto" w:fill="DBDBDB"/>
          </w:tcPr>
          <w:p>
            <w:pPr>
              <w:spacing w:after="0"/>
              <w:rPr>
                <w:sz w:val="11"/>
                <w:szCs w:val="11"/>
                <w:color w:val="auto"/>
              </w:rPr>
            </w:pPr>
          </w:p>
        </w:tc>
        <w:tc>
          <w:tcPr>
            <w:tcW w:w="640" w:type="dxa"/>
            <w:vAlign w:val="bottom"/>
            <w:tcBorders>
              <w:bottom w:val="single" w:sz="8" w:color="ADB1C7"/>
            </w:tcBorders>
            <w:shd w:val="clear" w:color="auto" w:fill="DBDBDB"/>
          </w:tcPr>
          <w:p>
            <w:pPr>
              <w:spacing w:after="0"/>
              <w:rPr>
                <w:sz w:val="11"/>
                <w:szCs w:val="11"/>
                <w:color w:val="auto"/>
              </w:rPr>
            </w:pPr>
          </w:p>
        </w:tc>
        <w:tc>
          <w:tcPr>
            <w:tcW w:w="740" w:type="dxa"/>
            <w:vAlign w:val="bottom"/>
            <w:tcBorders>
              <w:bottom w:val="single" w:sz="8" w:color="ADB1C7"/>
            </w:tcBorders>
            <w:shd w:val="clear" w:color="auto" w:fill="DBDBDB"/>
          </w:tcPr>
          <w:p>
            <w:pPr>
              <w:spacing w:after="0"/>
              <w:rPr>
                <w:sz w:val="11"/>
                <w:szCs w:val="11"/>
                <w:color w:val="auto"/>
              </w:rPr>
            </w:pPr>
          </w:p>
        </w:tc>
        <w:tc>
          <w:tcPr>
            <w:tcW w:w="800" w:type="dxa"/>
            <w:vAlign w:val="bottom"/>
            <w:tcBorders>
              <w:bottom w:val="single" w:sz="8" w:color="ADB1C7"/>
            </w:tcBorders>
            <w:shd w:val="clear" w:color="auto" w:fill="DBDBDB"/>
          </w:tcPr>
          <w:p>
            <w:pPr>
              <w:spacing w:after="0"/>
              <w:rPr>
                <w:sz w:val="11"/>
                <w:szCs w:val="11"/>
                <w:color w:val="auto"/>
              </w:rPr>
            </w:pPr>
          </w:p>
        </w:tc>
        <w:tc>
          <w:tcPr>
            <w:tcW w:w="980" w:type="dxa"/>
            <w:vAlign w:val="bottom"/>
            <w:tcBorders>
              <w:bottom w:val="single" w:sz="8" w:color="ADB1C7"/>
            </w:tcBorders>
            <w:shd w:val="clear" w:color="auto" w:fill="DBDBDB"/>
          </w:tcPr>
          <w:p>
            <w:pPr>
              <w:spacing w:after="0"/>
              <w:rPr>
                <w:sz w:val="11"/>
                <w:szCs w:val="11"/>
                <w:color w:val="auto"/>
              </w:rPr>
            </w:pPr>
          </w:p>
        </w:tc>
        <w:tc>
          <w:tcPr>
            <w:tcW w:w="840" w:type="dxa"/>
            <w:vAlign w:val="bottom"/>
            <w:tcBorders>
              <w:bottom w:val="single" w:sz="8" w:color="ADB1C7"/>
            </w:tcBorders>
            <w:shd w:val="clear" w:color="auto" w:fill="DBDBDB"/>
          </w:tcPr>
          <w:p>
            <w:pPr>
              <w:spacing w:after="0"/>
              <w:rPr>
                <w:sz w:val="11"/>
                <w:szCs w:val="11"/>
                <w:color w:val="auto"/>
              </w:rPr>
            </w:pPr>
          </w:p>
        </w:tc>
        <w:tc>
          <w:tcPr>
            <w:tcW w:w="780" w:type="dxa"/>
            <w:vAlign w:val="bottom"/>
            <w:tcBorders>
              <w:bottom w:val="single" w:sz="8" w:color="ADB1C7"/>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960" w:type="dxa"/>
            <w:vAlign w:val="bottom"/>
            <w:shd w:val="clear" w:color="auto" w:fill="DBDBDB"/>
          </w:tcPr>
          <w:p>
            <w:pPr>
              <w:spacing w:after="0"/>
              <w:rPr>
                <w:sz w:val="19"/>
                <w:szCs w:val="19"/>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6"/>
              </w:rPr>
              <w:t>Time RSUs</w:t>
            </w:r>
          </w:p>
        </w:tc>
        <w:tc>
          <w:tcPr>
            <w:tcW w:w="86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6"/>
              </w:rPr>
              <w:t>9/10/2021</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16,397</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749,999</w:t>
            </w:r>
          </w:p>
        </w:tc>
        <w:tc>
          <w:tcPr>
            <w:tcW w:w="0" w:type="dxa"/>
            <w:vAlign w:val="bottom"/>
          </w:tcPr>
          <w:p>
            <w:pPr>
              <w:spacing w:after="0"/>
              <w:rPr>
                <w:sz w:val="1"/>
                <w:szCs w:val="1"/>
                <w:color w:val="auto"/>
              </w:rPr>
            </w:pPr>
          </w:p>
        </w:tc>
      </w:tr>
      <w:tr>
        <w:trPr>
          <w:trHeight w:val="81"/>
        </w:trPr>
        <w:tc>
          <w:tcPr>
            <w:tcW w:w="96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860" w:type="dxa"/>
            <w:vAlign w:val="bottom"/>
            <w:shd w:val="clear" w:color="auto" w:fill="DBDBDB"/>
          </w:tcPr>
          <w:p>
            <w:pPr>
              <w:spacing w:after="0"/>
              <w:rPr>
                <w:sz w:val="7"/>
                <w:szCs w:val="7"/>
                <w:color w:val="auto"/>
              </w:rPr>
            </w:pPr>
          </w:p>
        </w:tc>
        <w:tc>
          <w:tcPr>
            <w:tcW w:w="880" w:type="dxa"/>
            <w:vAlign w:val="bottom"/>
            <w:shd w:val="clear" w:color="auto" w:fill="DBDBDB"/>
          </w:tcPr>
          <w:p>
            <w:pPr>
              <w:spacing w:after="0"/>
              <w:rPr>
                <w:sz w:val="7"/>
                <w:szCs w:val="7"/>
                <w:color w:val="auto"/>
              </w:rPr>
            </w:pPr>
          </w:p>
        </w:tc>
        <w:tc>
          <w:tcPr>
            <w:tcW w:w="940" w:type="dxa"/>
            <w:vAlign w:val="bottom"/>
            <w:shd w:val="clear" w:color="auto" w:fill="DBDBDB"/>
          </w:tcPr>
          <w:p>
            <w:pPr>
              <w:spacing w:after="0"/>
              <w:rPr>
                <w:sz w:val="7"/>
                <w:szCs w:val="7"/>
                <w:color w:val="auto"/>
              </w:rPr>
            </w:pPr>
          </w:p>
        </w:tc>
        <w:tc>
          <w:tcPr>
            <w:tcW w:w="74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640" w:type="dxa"/>
            <w:vAlign w:val="bottom"/>
            <w:shd w:val="clear" w:color="auto" w:fill="DBDBDB"/>
          </w:tcPr>
          <w:p>
            <w:pPr>
              <w:spacing w:after="0"/>
              <w:rPr>
                <w:sz w:val="7"/>
                <w:szCs w:val="7"/>
                <w:color w:val="auto"/>
              </w:rPr>
            </w:pPr>
          </w:p>
        </w:tc>
        <w:tc>
          <w:tcPr>
            <w:tcW w:w="740" w:type="dxa"/>
            <w:vAlign w:val="bottom"/>
            <w:shd w:val="clear" w:color="auto" w:fill="DBDBDB"/>
          </w:tcPr>
          <w:p>
            <w:pPr>
              <w:spacing w:after="0"/>
              <w:rPr>
                <w:sz w:val="7"/>
                <w:szCs w:val="7"/>
                <w:color w:val="auto"/>
              </w:rPr>
            </w:pPr>
          </w:p>
        </w:tc>
        <w:tc>
          <w:tcPr>
            <w:tcW w:w="80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840" w:type="dxa"/>
            <w:vAlign w:val="bottom"/>
            <w:shd w:val="clear" w:color="auto" w:fill="DBDBDB"/>
          </w:tcPr>
          <w:p>
            <w:pPr>
              <w:spacing w:after="0"/>
              <w:rPr>
                <w:sz w:val="7"/>
                <w:szCs w:val="7"/>
                <w:color w:val="auto"/>
              </w:rPr>
            </w:pPr>
          </w:p>
        </w:tc>
        <w:tc>
          <w:tcPr>
            <w:tcW w:w="78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857250</wp:posOffset>
            </wp:positionV>
            <wp:extent cx="857250"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hanging="332"/>
        <w:spacing w:after="0" w:line="282" w:lineRule="auto"/>
        <w:tabs>
          <w:tab w:leader="none" w:pos="337" w:val="left"/>
        </w:tabs>
        <w:numPr>
          <w:ilvl w:val="0"/>
          <w:numId w:val="35"/>
        </w:numPr>
        <w:rPr>
          <w:rFonts w:ascii="Arial" w:cs="Arial" w:eastAsia="Arial" w:hAnsi="Arial"/>
          <w:sz w:val="12"/>
          <w:szCs w:val="12"/>
          <w:color w:val="auto"/>
        </w:rPr>
      </w:pPr>
      <w:r>
        <w:rPr>
          <w:rFonts w:ascii="Arial" w:cs="Arial" w:eastAsia="Arial" w:hAnsi="Arial"/>
          <w:sz w:val="12"/>
          <w:szCs w:val="12"/>
          <w:color w:val="auto"/>
        </w:rPr>
        <w:t>Amounts in the “Estimated Future Payouts Under Non-Equity Incentive Plan Awards” column relate to amounts payable to each NEO with respect to 2021 under our Bonus Plan at threshold, target and maximum levels of performance, in each case calculated by multiplying each NEO’s weighted average base salary for 2021 as approved by the Committee by the applicable percentage at which the bonus would pay out based on the combined weighted achievement of the Company and individual performance metrics at each such level. The actual amounts paid to our NEOs are set forth in the “Summary Compensation Table” above and the calculation of the actual amounts paid is discussed more fully in “—2021 Executive Team Bonus Plan” above.</w:t>
      </w:r>
    </w:p>
    <w:p>
      <w:pPr>
        <w:spacing w:after="0" w:line="66" w:lineRule="exact"/>
        <w:rPr>
          <w:rFonts w:ascii="Arial" w:cs="Arial" w:eastAsia="Arial" w:hAnsi="Arial"/>
          <w:sz w:val="12"/>
          <w:szCs w:val="12"/>
          <w:color w:val="auto"/>
        </w:rPr>
      </w:pPr>
    </w:p>
    <w:p>
      <w:pPr>
        <w:ind w:left="320" w:hanging="312"/>
        <w:spacing w:after="0"/>
        <w:tabs>
          <w:tab w:leader="none" w:pos="3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vesting schedule applicable to each Option, Time RSU and Performance RSU award is set forth in the “—Outstanding Equity Awards at 2021 Fiscal Year End Table” table.</w:t>
      </w:r>
    </w:p>
    <w:p>
      <w:pPr>
        <w:spacing w:after="0" w:line="107" w:lineRule="exact"/>
        <w:rPr>
          <w:rFonts w:ascii="Arial" w:cs="Arial" w:eastAsia="Arial" w:hAnsi="Arial"/>
          <w:sz w:val="13"/>
          <w:szCs w:val="13"/>
          <w:color w:val="auto"/>
        </w:rPr>
      </w:pPr>
    </w:p>
    <w:p>
      <w:pPr>
        <w:ind w:left="320" w:hanging="312"/>
        <w:spacing w:after="0"/>
        <w:tabs>
          <w:tab w:leader="none" w:pos="3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target level of achievement is the highest level of achievement possible under the equity incentive plan awards listed in this table.</w:t>
      </w:r>
    </w:p>
    <w:p>
      <w:pPr>
        <w:spacing w:after="0" w:line="107" w:lineRule="exact"/>
        <w:rPr>
          <w:rFonts w:ascii="Arial" w:cs="Arial" w:eastAsia="Arial" w:hAnsi="Arial"/>
          <w:sz w:val="13"/>
          <w:szCs w:val="13"/>
          <w:color w:val="auto"/>
        </w:rPr>
      </w:pPr>
    </w:p>
    <w:p>
      <w:pPr>
        <w:ind w:left="340" w:right="80" w:hanging="332"/>
        <w:spacing w:after="0" w:line="250" w:lineRule="auto"/>
        <w:tabs>
          <w:tab w:leader="none" w:pos="337"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grant date fair value of the Options and RSUs granted to each of the NEOs in 2021 pursuant to an award agreement under the 2020 Equity Plan, computed in accordance with FASB Accounting Standards Codification Topic 718. The valuation assumptions used in determining such amounts are described in Note 9, Equity and Share-Based Compensation to our audited consolidated financial statements incorporated by reference in this Proxy Statement. The grant date fair value of the performance-based RSUs, is based upon the probable outcome of the performance conditions at the date of grant and assumes the “target” level of performance is achieved, which is the highest level of performance condition achievable for the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948690</wp:posOffset>
            </wp:positionV>
            <wp:extent cx="857250"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color w:val="007EC4"/>
        </w:rPr>
        <w:t xml:space="preserve">52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Outstanding Equity Awards at 2021 Fiscal Year End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with regard to each outstanding equity award held by the NEOs on January 29,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0" w:type="dxa"/>
            <w:vAlign w:val="bottom"/>
            <w:tcBorders>
              <w:bottom w:val="single" w:sz="8" w:color="E1D7AC"/>
            </w:tcBorders>
            <w:shd w:val="clear" w:color="auto" w:fill="E1D7AC"/>
          </w:tcPr>
          <w:p>
            <w:pPr>
              <w:spacing w:after="0"/>
              <w:rPr>
                <w:sz w:val="18"/>
                <w:szCs w:val="18"/>
                <w:color w:val="auto"/>
              </w:rPr>
            </w:pPr>
          </w:p>
        </w:tc>
        <w:tc>
          <w:tcPr>
            <w:tcW w:w="880" w:type="dxa"/>
            <w:vAlign w:val="bottom"/>
            <w:tcBorders>
              <w:bottom w:val="single" w:sz="8" w:color="E1D7AC"/>
            </w:tcBorders>
            <w:shd w:val="clear" w:color="auto" w:fill="E1D7AC"/>
          </w:tcPr>
          <w:p>
            <w:pPr>
              <w:spacing w:after="0"/>
              <w:rPr>
                <w:sz w:val="18"/>
                <w:szCs w:val="18"/>
                <w:color w:val="auto"/>
              </w:rPr>
            </w:pPr>
          </w:p>
        </w:tc>
        <w:tc>
          <w:tcPr>
            <w:tcW w:w="1000" w:type="dxa"/>
            <w:vAlign w:val="bottom"/>
            <w:tcBorders>
              <w:bottom w:val="single" w:sz="8" w:color="E1D7AC"/>
            </w:tcBorders>
            <w:shd w:val="clear" w:color="auto" w:fill="E1D7AC"/>
          </w:tcPr>
          <w:p>
            <w:pPr>
              <w:spacing w:after="0"/>
              <w:rPr>
                <w:sz w:val="18"/>
                <w:szCs w:val="18"/>
                <w:color w:val="auto"/>
              </w:rPr>
            </w:pPr>
          </w:p>
        </w:tc>
        <w:tc>
          <w:tcPr>
            <w:tcW w:w="1060" w:type="dxa"/>
            <w:vAlign w:val="bottom"/>
            <w:tcBorders>
              <w:bottom w:val="single" w:sz="8" w:color="E1D7AC"/>
            </w:tcBorders>
            <w:shd w:val="clear" w:color="auto" w:fill="E1D7AC"/>
          </w:tcPr>
          <w:p>
            <w:pPr>
              <w:spacing w:after="0"/>
              <w:rPr>
                <w:sz w:val="18"/>
                <w:szCs w:val="18"/>
                <w:color w:val="auto"/>
              </w:rPr>
            </w:pPr>
          </w:p>
        </w:tc>
        <w:tc>
          <w:tcPr>
            <w:tcW w:w="1020" w:type="dxa"/>
            <w:vAlign w:val="bottom"/>
            <w:tcBorders>
              <w:bottom w:val="single" w:sz="8" w:color="E1D7AC"/>
            </w:tcBorders>
            <w:shd w:val="clear" w:color="auto" w:fill="E1D7AC"/>
          </w:tcPr>
          <w:p>
            <w:pPr>
              <w:spacing w:after="0"/>
              <w:rPr>
                <w:sz w:val="18"/>
                <w:szCs w:val="18"/>
                <w:color w:val="auto"/>
              </w:rPr>
            </w:pPr>
          </w:p>
        </w:tc>
        <w:tc>
          <w:tcPr>
            <w:tcW w:w="880" w:type="dxa"/>
            <w:vAlign w:val="bottom"/>
            <w:tcBorders>
              <w:bottom w:val="single" w:sz="8" w:color="E1D7AC"/>
            </w:tcBorders>
            <w:gridSpan w:val="2"/>
            <w:shd w:val="clear" w:color="auto" w:fill="E1D7AC"/>
          </w:tcPr>
          <w:p>
            <w:pPr>
              <w:spacing w:after="0"/>
              <w:rPr>
                <w:sz w:val="20"/>
                <w:szCs w:val="20"/>
                <w:color w:val="auto"/>
              </w:rPr>
            </w:pPr>
            <w:r>
              <w:rPr>
                <w:rFonts w:ascii="Arial" w:cs="Arial" w:eastAsia="Arial" w:hAnsi="Arial"/>
                <w:sz w:val="13"/>
                <w:szCs w:val="13"/>
                <w:b w:val="1"/>
                <w:bCs w:val="1"/>
                <w:color w:val="auto"/>
                <w:w w:val="92"/>
                <w:shd w:val="clear" w:color="auto" w:fill="E1D7AC"/>
              </w:rPr>
              <w:t>Option Awards</w:t>
            </w:r>
          </w:p>
        </w:tc>
        <w:tc>
          <w:tcPr>
            <w:tcW w:w="340" w:type="dxa"/>
            <w:vAlign w:val="bottom"/>
            <w:tcBorders>
              <w:bottom w:val="single" w:sz="8" w:color="E1D7AC"/>
            </w:tcBorders>
            <w:shd w:val="clear" w:color="auto" w:fill="E1D7AC"/>
          </w:tcPr>
          <w:p>
            <w:pPr>
              <w:spacing w:after="0"/>
              <w:rPr>
                <w:sz w:val="18"/>
                <w:szCs w:val="18"/>
                <w:color w:val="auto"/>
              </w:rPr>
            </w:pPr>
          </w:p>
        </w:tc>
        <w:tc>
          <w:tcPr>
            <w:tcW w:w="800" w:type="dxa"/>
            <w:vAlign w:val="bottom"/>
            <w:tcBorders>
              <w:bottom w:val="single" w:sz="8" w:color="E1D7AC"/>
            </w:tcBorders>
            <w:shd w:val="clear" w:color="auto" w:fill="E1D7AC"/>
          </w:tcPr>
          <w:p>
            <w:pPr>
              <w:spacing w:after="0"/>
              <w:rPr>
                <w:sz w:val="18"/>
                <w:szCs w:val="18"/>
                <w:color w:val="auto"/>
              </w:rPr>
            </w:pPr>
          </w:p>
        </w:tc>
        <w:tc>
          <w:tcPr>
            <w:tcW w:w="940" w:type="dxa"/>
            <w:vAlign w:val="bottom"/>
            <w:tcBorders>
              <w:bottom w:val="single" w:sz="8" w:color="E1D7AC"/>
            </w:tcBorders>
            <w:shd w:val="clear" w:color="auto" w:fill="E1D7AC"/>
          </w:tcPr>
          <w:p>
            <w:pPr>
              <w:spacing w:after="0"/>
              <w:rPr>
                <w:sz w:val="18"/>
                <w:szCs w:val="18"/>
                <w:color w:val="auto"/>
              </w:rPr>
            </w:pPr>
          </w:p>
        </w:tc>
        <w:tc>
          <w:tcPr>
            <w:tcW w:w="100" w:type="dxa"/>
            <w:vAlign w:val="bottom"/>
            <w:tcBorders>
              <w:bottom w:val="single" w:sz="8" w:color="E1D7AC"/>
            </w:tcBorders>
            <w:shd w:val="clear" w:color="auto" w:fill="E1D7AC"/>
          </w:tcPr>
          <w:p>
            <w:pPr>
              <w:spacing w:after="0"/>
              <w:rPr>
                <w:sz w:val="18"/>
                <w:szCs w:val="18"/>
                <w:color w:val="auto"/>
              </w:rPr>
            </w:pPr>
          </w:p>
        </w:tc>
        <w:tc>
          <w:tcPr>
            <w:tcW w:w="1000" w:type="dxa"/>
            <w:vAlign w:val="bottom"/>
            <w:tcBorders>
              <w:bottom w:val="single" w:sz="8" w:color="E1D7AC"/>
            </w:tcBorders>
            <w:shd w:val="clear" w:color="auto" w:fill="E1D7AC"/>
          </w:tcPr>
          <w:p>
            <w:pPr>
              <w:spacing w:after="0"/>
              <w:rPr>
                <w:sz w:val="18"/>
                <w:szCs w:val="18"/>
                <w:color w:val="auto"/>
              </w:rPr>
            </w:pPr>
          </w:p>
        </w:tc>
        <w:tc>
          <w:tcPr>
            <w:tcW w:w="600" w:type="dxa"/>
            <w:vAlign w:val="bottom"/>
            <w:tcBorders>
              <w:bottom w:val="single" w:sz="8" w:color="E1D7AC"/>
            </w:tcBorders>
            <w:shd w:val="clear" w:color="auto" w:fill="E1D7AC"/>
          </w:tcPr>
          <w:p>
            <w:pPr>
              <w:spacing w:after="0"/>
              <w:rPr>
                <w:sz w:val="18"/>
                <w:szCs w:val="18"/>
                <w:color w:val="auto"/>
              </w:rPr>
            </w:pPr>
          </w:p>
        </w:tc>
        <w:tc>
          <w:tcPr>
            <w:tcW w:w="840" w:type="dxa"/>
            <w:vAlign w:val="bottom"/>
            <w:tcBorders>
              <w:bottom w:val="single" w:sz="8" w:color="E1D7AC"/>
            </w:tcBorders>
            <w:gridSpan w:val="2"/>
            <w:shd w:val="clear" w:color="auto" w:fill="E1D7AC"/>
          </w:tcPr>
          <w:p>
            <w:pPr>
              <w:spacing w:after="0"/>
              <w:rPr>
                <w:sz w:val="20"/>
                <w:szCs w:val="20"/>
                <w:color w:val="auto"/>
              </w:rPr>
            </w:pPr>
            <w:r>
              <w:rPr>
                <w:rFonts w:ascii="Arial" w:cs="Arial" w:eastAsia="Arial" w:hAnsi="Arial"/>
                <w:sz w:val="13"/>
                <w:szCs w:val="13"/>
                <w:b w:val="1"/>
                <w:bCs w:val="1"/>
                <w:color w:val="auto"/>
                <w:w w:val="95"/>
                <w:shd w:val="clear" w:color="auto" w:fill="E1D7AC"/>
              </w:rPr>
              <w:t>Stock Awards</w:t>
            </w:r>
          </w:p>
        </w:tc>
        <w:tc>
          <w:tcPr>
            <w:tcW w:w="500" w:type="dxa"/>
            <w:vAlign w:val="bottom"/>
            <w:tcBorders>
              <w:bottom w:val="single" w:sz="8" w:color="E1D7AC"/>
            </w:tcBorders>
            <w:shd w:val="clear" w:color="auto" w:fill="E1D7AC"/>
          </w:tcPr>
          <w:p>
            <w:pPr>
              <w:spacing w:after="0"/>
              <w:rPr>
                <w:sz w:val="18"/>
                <w:szCs w:val="18"/>
                <w:color w:val="auto"/>
              </w:rPr>
            </w:pPr>
          </w:p>
        </w:tc>
        <w:tc>
          <w:tcPr>
            <w:tcW w:w="1080" w:type="dxa"/>
            <w:vAlign w:val="bottom"/>
            <w:tcBorders>
              <w:bottom w:val="single" w:sz="8" w:color="E1D7AC"/>
            </w:tcBorders>
            <w:shd w:val="clear" w:color="auto" w:fill="E1D7AC"/>
          </w:tcPr>
          <w:p>
            <w:pPr>
              <w:spacing w:after="0"/>
              <w:rPr>
                <w:sz w:val="18"/>
                <w:szCs w:val="18"/>
                <w:color w:val="auto"/>
              </w:rPr>
            </w:pPr>
          </w:p>
        </w:tc>
        <w:tc>
          <w:tcPr>
            <w:tcW w:w="100" w:type="dxa"/>
            <w:vAlign w:val="bottom"/>
            <w:tcBorders>
              <w:bottom w:val="single" w:sz="8" w:color="E1D7AC"/>
            </w:tcBorders>
            <w:shd w:val="clear" w:color="auto" w:fill="E1D7A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00" w:type="dxa"/>
            <w:vAlign w:val="bottom"/>
            <w:tcBorders>
              <w:top w:val="single" w:sz="8" w:color="E1D7AC"/>
            </w:tcBorders>
            <w:shd w:val="clear" w:color="auto" w:fill="E1D7AC"/>
          </w:tcPr>
          <w:p>
            <w:pPr>
              <w:spacing w:after="0"/>
              <w:rPr>
                <w:sz w:val="15"/>
                <w:szCs w:val="15"/>
                <w:color w:val="auto"/>
              </w:rPr>
            </w:pPr>
          </w:p>
        </w:tc>
        <w:tc>
          <w:tcPr>
            <w:tcW w:w="880" w:type="dxa"/>
            <w:vAlign w:val="bottom"/>
            <w:tcBorders>
              <w:top w:val="single" w:sz="8" w:color="E1D7AC"/>
            </w:tcBorders>
            <w:shd w:val="clear" w:color="auto" w:fill="E1D7AC"/>
          </w:tcPr>
          <w:p>
            <w:pPr>
              <w:spacing w:after="0"/>
              <w:rPr>
                <w:sz w:val="15"/>
                <w:szCs w:val="15"/>
                <w:color w:val="auto"/>
              </w:rPr>
            </w:pPr>
          </w:p>
        </w:tc>
        <w:tc>
          <w:tcPr>
            <w:tcW w:w="1000" w:type="dxa"/>
            <w:vAlign w:val="bottom"/>
            <w:tcBorders>
              <w:top w:val="single" w:sz="8" w:color="E1D7AC"/>
            </w:tcBorders>
            <w:shd w:val="clear" w:color="auto" w:fill="E1D7AC"/>
          </w:tcPr>
          <w:p>
            <w:pPr>
              <w:spacing w:after="0"/>
              <w:rPr>
                <w:sz w:val="15"/>
                <w:szCs w:val="15"/>
                <w:color w:val="auto"/>
              </w:rPr>
            </w:pPr>
          </w:p>
        </w:tc>
        <w:tc>
          <w:tcPr>
            <w:tcW w:w="1060" w:type="dxa"/>
            <w:vAlign w:val="bottom"/>
            <w:tcBorders>
              <w:top w:val="single" w:sz="8" w:color="auto"/>
            </w:tcBorders>
            <w:shd w:val="clear" w:color="auto" w:fill="E1D7AC"/>
          </w:tcPr>
          <w:p>
            <w:pPr>
              <w:spacing w:after="0"/>
              <w:rPr>
                <w:sz w:val="15"/>
                <w:szCs w:val="15"/>
                <w:color w:val="auto"/>
              </w:rPr>
            </w:pPr>
          </w:p>
        </w:tc>
        <w:tc>
          <w:tcPr>
            <w:tcW w:w="1020" w:type="dxa"/>
            <w:vAlign w:val="bottom"/>
            <w:tcBorders>
              <w:top w:val="single" w:sz="8" w:color="auto"/>
            </w:tcBorders>
            <w:shd w:val="clear" w:color="auto" w:fill="E1D7AC"/>
          </w:tcPr>
          <w:p>
            <w:pPr>
              <w:spacing w:after="0"/>
              <w:rPr>
                <w:sz w:val="15"/>
                <w:szCs w:val="15"/>
                <w:color w:val="auto"/>
              </w:rPr>
            </w:pPr>
          </w:p>
        </w:tc>
        <w:tc>
          <w:tcPr>
            <w:tcW w:w="160" w:type="dxa"/>
            <w:vAlign w:val="bottom"/>
            <w:tcBorders>
              <w:top w:val="single" w:sz="8" w:color="auto"/>
            </w:tcBorders>
            <w:shd w:val="clear" w:color="auto" w:fill="E1D7AC"/>
          </w:tcPr>
          <w:p>
            <w:pPr>
              <w:spacing w:after="0"/>
              <w:rPr>
                <w:sz w:val="15"/>
                <w:szCs w:val="15"/>
                <w:color w:val="auto"/>
              </w:rPr>
            </w:pPr>
          </w:p>
        </w:tc>
        <w:tc>
          <w:tcPr>
            <w:tcW w:w="720" w:type="dxa"/>
            <w:vAlign w:val="bottom"/>
            <w:tcBorders>
              <w:top w:val="single" w:sz="8" w:color="auto"/>
            </w:tcBorders>
            <w:shd w:val="clear" w:color="auto" w:fill="E1D7AC"/>
          </w:tcPr>
          <w:p>
            <w:pPr>
              <w:spacing w:after="0"/>
              <w:rPr>
                <w:sz w:val="15"/>
                <w:szCs w:val="15"/>
                <w:color w:val="auto"/>
              </w:rPr>
            </w:pPr>
          </w:p>
        </w:tc>
        <w:tc>
          <w:tcPr>
            <w:tcW w:w="340" w:type="dxa"/>
            <w:vAlign w:val="bottom"/>
            <w:tcBorders>
              <w:top w:val="single" w:sz="8" w:color="auto"/>
            </w:tcBorders>
            <w:shd w:val="clear" w:color="auto" w:fill="E1D7AC"/>
          </w:tcPr>
          <w:p>
            <w:pPr>
              <w:spacing w:after="0"/>
              <w:rPr>
                <w:sz w:val="15"/>
                <w:szCs w:val="15"/>
                <w:color w:val="auto"/>
              </w:rPr>
            </w:pPr>
          </w:p>
        </w:tc>
        <w:tc>
          <w:tcPr>
            <w:tcW w:w="800" w:type="dxa"/>
            <w:vAlign w:val="bottom"/>
            <w:tcBorders>
              <w:top w:val="single" w:sz="8" w:color="auto"/>
            </w:tcBorders>
            <w:shd w:val="clear" w:color="auto" w:fill="E1D7AC"/>
          </w:tcPr>
          <w:p>
            <w:pPr>
              <w:spacing w:after="0"/>
              <w:rPr>
                <w:sz w:val="15"/>
                <w:szCs w:val="15"/>
                <w:color w:val="auto"/>
              </w:rPr>
            </w:pPr>
          </w:p>
        </w:tc>
        <w:tc>
          <w:tcPr>
            <w:tcW w:w="940" w:type="dxa"/>
            <w:vAlign w:val="bottom"/>
            <w:tcBorders>
              <w:top w:val="single" w:sz="8" w:color="auto"/>
            </w:tcBorders>
            <w:shd w:val="clear" w:color="auto" w:fill="E1D7AC"/>
          </w:tcPr>
          <w:p>
            <w:pPr>
              <w:spacing w:after="0"/>
              <w:rPr>
                <w:sz w:val="15"/>
                <w:szCs w:val="15"/>
                <w:color w:val="auto"/>
              </w:rPr>
            </w:pPr>
          </w:p>
        </w:tc>
        <w:tc>
          <w:tcPr>
            <w:tcW w:w="100" w:type="dxa"/>
            <w:vAlign w:val="bottom"/>
            <w:tcBorders>
              <w:top w:val="single" w:sz="8" w:color="E1D7AC"/>
            </w:tcBorders>
            <w:shd w:val="clear" w:color="auto" w:fill="E1D7AC"/>
          </w:tcPr>
          <w:p>
            <w:pPr>
              <w:spacing w:after="0"/>
              <w:rPr>
                <w:sz w:val="15"/>
                <w:szCs w:val="15"/>
                <w:color w:val="auto"/>
              </w:rPr>
            </w:pPr>
          </w:p>
        </w:tc>
        <w:tc>
          <w:tcPr>
            <w:tcW w:w="1000" w:type="dxa"/>
            <w:vAlign w:val="bottom"/>
            <w:tcBorders>
              <w:top w:val="single" w:sz="8" w:color="auto"/>
            </w:tcBorders>
            <w:shd w:val="clear" w:color="auto" w:fill="E1D7AC"/>
          </w:tcPr>
          <w:p>
            <w:pPr>
              <w:spacing w:after="0"/>
              <w:rPr>
                <w:sz w:val="15"/>
                <w:szCs w:val="15"/>
                <w:color w:val="auto"/>
              </w:rPr>
            </w:pPr>
          </w:p>
        </w:tc>
        <w:tc>
          <w:tcPr>
            <w:tcW w:w="600" w:type="dxa"/>
            <w:vAlign w:val="bottom"/>
            <w:tcBorders>
              <w:top w:val="single" w:sz="8" w:color="auto"/>
            </w:tcBorders>
            <w:shd w:val="clear" w:color="auto" w:fill="E1D7AC"/>
          </w:tcPr>
          <w:p>
            <w:pPr>
              <w:spacing w:after="0"/>
              <w:rPr>
                <w:sz w:val="15"/>
                <w:szCs w:val="15"/>
                <w:color w:val="auto"/>
              </w:rPr>
            </w:pPr>
          </w:p>
        </w:tc>
        <w:tc>
          <w:tcPr>
            <w:tcW w:w="360" w:type="dxa"/>
            <w:vAlign w:val="bottom"/>
            <w:tcBorders>
              <w:top w:val="single" w:sz="8" w:color="auto"/>
            </w:tcBorders>
            <w:shd w:val="clear" w:color="auto" w:fill="E1D7AC"/>
          </w:tcPr>
          <w:p>
            <w:pPr>
              <w:spacing w:after="0"/>
              <w:rPr>
                <w:sz w:val="15"/>
                <w:szCs w:val="15"/>
                <w:color w:val="auto"/>
              </w:rPr>
            </w:pPr>
          </w:p>
        </w:tc>
        <w:tc>
          <w:tcPr>
            <w:tcW w:w="480" w:type="dxa"/>
            <w:vAlign w:val="bottom"/>
            <w:tcBorders>
              <w:top w:val="single" w:sz="8" w:color="auto"/>
            </w:tcBorders>
            <w:shd w:val="clear" w:color="auto" w:fill="E1D7AC"/>
          </w:tcPr>
          <w:p>
            <w:pPr>
              <w:spacing w:after="0"/>
              <w:rPr>
                <w:sz w:val="15"/>
                <w:szCs w:val="15"/>
                <w:color w:val="auto"/>
              </w:rPr>
            </w:pPr>
          </w:p>
        </w:tc>
        <w:tc>
          <w:tcPr>
            <w:tcW w:w="50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Equity</w:t>
            </w:r>
          </w:p>
        </w:tc>
        <w:tc>
          <w:tcPr>
            <w:tcW w:w="1080" w:type="dxa"/>
            <w:vAlign w:val="bottom"/>
            <w:tcBorders>
              <w:top w:val="single" w:sz="8" w:color="auto"/>
            </w:tcBorders>
            <w:shd w:val="clear" w:color="auto" w:fill="E1D7AC"/>
          </w:tcPr>
          <w:p>
            <w:pPr>
              <w:spacing w:after="0"/>
              <w:rPr>
                <w:sz w:val="15"/>
                <w:szCs w:val="15"/>
                <w:color w:val="auto"/>
              </w:rPr>
            </w:pPr>
          </w:p>
        </w:tc>
        <w:tc>
          <w:tcPr>
            <w:tcW w:w="100" w:type="dxa"/>
            <w:vAlign w:val="bottom"/>
            <w:tcBorders>
              <w:top w:val="single" w:sz="8" w:color="E1D7AC"/>
            </w:tcBorders>
            <w:shd w:val="clear" w:color="auto" w:fill="E1D7A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E1D7AC"/>
          </w:tcPr>
          <w:p>
            <w:pPr>
              <w:spacing w:after="0"/>
              <w:rPr>
                <w:sz w:val="14"/>
                <w:szCs w:val="14"/>
                <w:color w:val="auto"/>
              </w:rPr>
            </w:pPr>
          </w:p>
        </w:tc>
        <w:tc>
          <w:tcPr>
            <w:tcW w:w="880" w:type="dxa"/>
            <w:vAlign w:val="bottom"/>
            <w:shd w:val="clear" w:color="auto" w:fill="E1D7AC"/>
          </w:tcPr>
          <w:p>
            <w:pPr>
              <w:spacing w:after="0"/>
              <w:rPr>
                <w:sz w:val="14"/>
                <w:szCs w:val="14"/>
                <w:color w:val="auto"/>
              </w:rPr>
            </w:pPr>
          </w:p>
        </w:tc>
        <w:tc>
          <w:tcPr>
            <w:tcW w:w="1000" w:type="dxa"/>
            <w:vAlign w:val="bottom"/>
            <w:shd w:val="clear" w:color="auto" w:fill="E1D7AC"/>
          </w:tcPr>
          <w:p>
            <w:pPr>
              <w:spacing w:after="0"/>
              <w:rPr>
                <w:sz w:val="14"/>
                <w:szCs w:val="14"/>
                <w:color w:val="auto"/>
              </w:rPr>
            </w:pPr>
          </w:p>
        </w:tc>
        <w:tc>
          <w:tcPr>
            <w:tcW w:w="1060" w:type="dxa"/>
            <w:vAlign w:val="bottom"/>
            <w:shd w:val="clear" w:color="auto" w:fill="E1D7AC"/>
          </w:tcPr>
          <w:p>
            <w:pPr>
              <w:spacing w:after="0"/>
              <w:rPr>
                <w:sz w:val="14"/>
                <w:szCs w:val="14"/>
                <w:color w:val="auto"/>
              </w:rPr>
            </w:pPr>
          </w:p>
        </w:tc>
        <w:tc>
          <w:tcPr>
            <w:tcW w:w="1020" w:type="dxa"/>
            <w:vAlign w:val="bottom"/>
            <w:shd w:val="clear" w:color="auto" w:fill="E1D7AC"/>
          </w:tcPr>
          <w:p>
            <w:pPr>
              <w:spacing w:after="0"/>
              <w:rPr>
                <w:sz w:val="14"/>
                <w:szCs w:val="14"/>
                <w:color w:val="auto"/>
              </w:rPr>
            </w:pPr>
          </w:p>
        </w:tc>
        <w:tc>
          <w:tcPr>
            <w:tcW w:w="160" w:type="dxa"/>
            <w:vAlign w:val="bottom"/>
            <w:shd w:val="clear" w:color="auto" w:fill="E1D7AC"/>
          </w:tcPr>
          <w:p>
            <w:pPr>
              <w:spacing w:after="0"/>
              <w:rPr>
                <w:sz w:val="14"/>
                <w:szCs w:val="14"/>
                <w:color w:val="auto"/>
              </w:rPr>
            </w:pP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Equity Incentive</w:t>
            </w:r>
          </w:p>
        </w:tc>
        <w:tc>
          <w:tcPr>
            <w:tcW w:w="800" w:type="dxa"/>
            <w:vAlign w:val="bottom"/>
            <w:shd w:val="clear" w:color="auto" w:fill="E1D7AC"/>
          </w:tcPr>
          <w:p>
            <w:pPr>
              <w:spacing w:after="0"/>
              <w:rPr>
                <w:sz w:val="14"/>
                <w:szCs w:val="14"/>
                <w:color w:val="auto"/>
              </w:rPr>
            </w:pPr>
          </w:p>
        </w:tc>
        <w:tc>
          <w:tcPr>
            <w:tcW w:w="940" w:type="dxa"/>
            <w:vAlign w:val="bottom"/>
            <w:shd w:val="clear" w:color="auto" w:fill="E1D7AC"/>
          </w:tcPr>
          <w:p>
            <w:pPr>
              <w:spacing w:after="0"/>
              <w:rPr>
                <w:sz w:val="14"/>
                <w:szCs w:val="14"/>
                <w:color w:val="auto"/>
              </w:rPr>
            </w:pPr>
          </w:p>
        </w:tc>
        <w:tc>
          <w:tcPr>
            <w:tcW w:w="100" w:type="dxa"/>
            <w:vAlign w:val="bottom"/>
            <w:shd w:val="clear" w:color="auto" w:fill="E1D7AC"/>
          </w:tcPr>
          <w:p>
            <w:pPr>
              <w:spacing w:after="0"/>
              <w:rPr>
                <w:sz w:val="14"/>
                <w:szCs w:val="14"/>
                <w:color w:val="auto"/>
              </w:rPr>
            </w:pPr>
          </w:p>
        </w:tc>
        <w:tc>
          <w:tcPr>
            <w:tcW w:w="1000" w:type="dxa"/>
            <w:vAlign w:val="bottom"/>
            <w:shd w:val="clear" w:color="auto" w:fill="E1D7AC"/>
          </w:tcPr>
          <w:p>
            <w:pPr>
              <w:spacing w:after="0"/>
              <w:rPr>
                <w:sz w:val="14"/>
                <w:szCs w:val="14"/>
                <w:color w:val="auto"/>
              </w:rPr>
            </w:pPr>
          </w:p>
        </w:tc>
        <w:tc>
          <w:tcPr>
            <w:tcW w:w="600" w:type="dxa"/>
            <w:vAlign w:val="bottom"/>
            <w:shd w:val="clear" w:color="auto" w:fill="E1D7AC"/>
          </w:tcPr>
          <w:p>
            <w:pPr>
              <w:spacing w:after="0"/>
              <w:rPr>
                <w:sz w:val="14"/>
                <w:szCs w:val="14"/>
                <w:color w:val="auto"/>
              </w:rPr>
            </w:pPr>
          </w:p>
        </w:tc>
        <w:tc>
          <w:tcPr>
            <w:tcW w:w="360" w:type="dxa"/>
            <w:vAlign w:val="bottom"/>
            <w:shd w:val="clear" w:color="auto" w:fill="E1D7AC"/>
          </w:tcPr>
          <w:p>
            <w:pPr>
              <w:spacing w:after="0"/>
              <w:rPr>
                <w:sz w:val="14"/>
                <w:szCs w:val="14"/>
                <w:color w:val="auto"/>
              </w:rPr>
            </w:pPr>
          </w:p>
        </w:tc>
        <w:tc>
          <w:tcPr>
            <w:tcW w:w="98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Incentive Plan</w:t>
            </w:r>
          </w:p>
        </w:tc>
        <w:tc>
          <w:tcPr>
            <w:tcW w:w="1180" w:type="dxa"/>
            <w:vAlign w:val="bottom"/>
            <w:gridSpan w:val="2"/>
            <w:shd w:val="clear" w:color="auto" w:fill="E1D7AC"/>
          </w:tcPr>
          <w:p>
            <w:pPr>
              <w:jc w:val="right"/>
              <w:ind w:right="120"/>
              <w:spacing w:after="0"/>
              <w:rPr>
                <w:sz w:val="20"/>
                <w:szCs w:val="20"/>
                <w:color w:val="auto"/>
              </w:rPr>
            </w:pPr>
            <w:r>
              <w:rPr>
                <w:rFonts w:ascii="Arial" w:cs="Arial" w:eastAsia="Arial" w:hAnsi="Arial"/>
                <w:sz w:val="13"/>
                <w:szCs w:val="13"/>
                <w:b w:val="1"/>
                <w:bCs w:val="1"/>
                <w:color w:val="auto"/>
              </w:rPr>
              <w:t>Equity Incentive</w:t>
            </w:r>
          </w:p>
        </w:tc>
        <w:tc>
          <w:tcPr>
            <w:tcW w:w="0" w:type="dxa"/>
            <w:vAlign w:val="bottom"/>
          </w:tcPr>
          <w:p>
            <w:pPr>
              <w:spacing w:after="0"/>
              <w:rPr>
                <w:sz w:val="1"/>
                <w:szCs w:val="1"/>
                <w:color w:val="auto"/>
              </w:rPr>
            </w:pPr>
          </w:p>
        </w:tc>
      </w:tr>
      <w:tr>
        <w:trPr>
          <w:trHeight w:val="162"/>
        </w:trPr>
        <w:tc>
          <w:tcPr>
            <w:tcW w:w="100" w:type="dxa"/>
            <w:vAlign w:val="bottom"/>
            <w:shd w:val="clear" w:color="auto" w:fill="E1D7AC"/>
          </w:tcPr>
          <w:p>
            <w:pPr>
              <w:spacing w:after="0"/>
              <w:rPr>
                <w:sz w:val="14"/>
                <w:szCs w:val="14"/>
                <w:color w:val="auto"/>
              </w:rPr>
            </w:pPr>
          </w:p>
        </w:tc>
        <w:tc>
          <w:tcPr>
            <w:tcW w:w="880" w:type="dxa"/>
            <w:vAlign w:val="bottom"/>
            <w:shd w:val="clear" w:color="auto" w:fill="E1D7AC"/>
          </w:tcPr>
          <w:p>
            <w:pPr>
              <w:spacing w:after="0"/>
              <w:rPr>
                <w:sz w:val="14"/>
                <w:szCs w:val="14"/>
                <w:color w:val="auto"/>
              </w:rPr>
            </w:pPr>
          </w:p>
        </w:tc>
        <w:tc>
          <w:tcPr>
            <w:tcW w:w="1000" w:type="dxa"/>
            <w:vAlign w:val="bottom"/>
            <w:shd w:val="clear" w:color="auto" w:fill="E1D7AC"/>
          </w:tcPr>
          <w:p>
            <w:pPr>
              <w:spacing w:after="0"/>
              <w:rPr>
                <w:sz w:val="14"/>
                <w:szCs w:val="14"/>
                <w:color w:val="auto"/>
              </w:rPr>
            </w:pPr>
          </w:p>
        </w:tc>
        <w:tc>
          <w:tcPr>
            <w:tcW w:w="1060" w:type="dxa"/>
            <w:vAlign w:val="bottom"/>
            <w:shd w:val="clear" w:color="auto" w:fill="E1D7AC"/>
          </w:tcPr>
          <w:p>
            <w:pPr>
              <w:spacing w:after="0"/>
              <w:rPr>
                <w:sz w:val="14"/>
                <w:szCs w:val="14"/>
                <w:color w:val="auto"/>
              </w:rPr>
            </w:pPr>
          </w:p>
        </w:tc>
        <w:tc>
          <w:tcPr>
            <w:tcW w:w="1020" w:type="dxa"/>
            <w:vAlign w:val="bottom"/>
            <w:shd w:val="clear" w:color="auto" w:fill="E1D7AC"/>
          </w:tcPr>
          <w:p>
            <w:pPr>
              <w:spacing w:after="0"/>
              <w:rPr>
                <w:sz w:val="14"/>
                <w:szCs w:val="14"/>
                <w:color w:val="auto"/>
              </w:rPr>
            </w:pPr>
          </w:p>
        </w:tc>
        <w:tc>
          <w:tcPr>
            <w:tcW w:w="160" w:type="dxa"/>
            <w:vAlign w:val="bottom"/>
            <w:shd w:val="clear" w:color="auto" w:fill="E1D7AC"/>
          </w:tcPr>
          <w:p>
            <w:pPr>
              <w:spacing w:after="0"/>
              <w:rPr>
                <w:sz w:val="14"/>
                <w:szCs w:val="14"/>
                <w:color w:val="auto"/>
              </w:rPr>
            </w:pP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Plan Awards:</w:t>
            </w:r>
          </w:p>
        </w:tc>
        <w:tc>
          <w:tcPr>
            <w:tcW w:w="800" w:type="dxa"/>
            <w:vAlign w:val="bottom"/>
            <w:shd w:val="clear" w:color="auto" w:fill="E1D7AC"/>
          </w:tcPr>
          <w:p>
            <w:pPr>
              <w:spacing w:after="0"/>
              <w:rPr>
                <w:sz w:val="14"/>
                <w:szCs w:val="14"/>
                <w:color w:val="auto"/>
              </w:rPr>
            </w:pPr>
          </w:p>
        </w:tc>
        <w:tc>
          <w:tcPr>
            <w:tcW w:w="940" w:type="dxa"/>
            <w:vAlign w:val="bottom"/>
            <w:shd w:val="clear" w:color="auto" w:fill="E1D7AC"/>
          </w:tcPr>
          <w:p>
            <w:pPr>
              <w:spacing w:after="0"/>
              <w:rPr>
                <w:sz w:val="14"/>
                <w:szCs w:val="14"/>
                <w:color w:val="auto"/>
              </w:rPr>
            </w:pPr>
          </w:p>
        </w:tc>
        <w:tc>
          <w:tcPr>
            <w:tcW w:w="100" w:type="dxa"/>
            <w:vAlign w:val="bottom"/>
            <w:shd w:val="clear" w:color="auto" w:fill="E1D7AC"/>
          </w:tcPr>
          <w:p>
            <w:pPr>
              <w:spacing w:after="0"/>
              <w:rPr>
                <w:sz w:val="14"/>
                <w:szCs w:val="14"/>
                <w:color w:val="auto"/>
              </w:rPr>
            </w:pPr>
          </w:p>
        </w:tc>
        <w:tc>
          <w:tcPr>
            <w:tcW w:w="1000" w:type="dxa"/>
            <w:vAlign w:val="bottom"/>
            <w:shd w:val="clear" w:color="auto" w:fill="E1D7AC"/>
          </w:tcPr>
          <w:p>
            <w:pPr>
              <w:spacing w:after="0"/>
              <w:rPr>
                <w:sz w:val="14"/>
                <w:szCs w:val="14"/>
                <w:color w:val="auto"/>
              </w:rPr>
            </w:pPr>
          </w:p>
        </w:tc>
        <w:tc>
          <w:tcPr>
            <w:tcW w:w="600" w:type="dxa"/>
            <w:vAlign w:val="bottom"/>
            <w:shd w:val="clear" w:color="auto" w:fill="E1D7AC"/>
          </w:tcPr>
          <w:p>
            <w:pPr>
              <w:spacing w:after="0"/>
              <w:rPr>
                <w:sz w:val="14"/>
                <w:szCs w:val="14"/>
                <w:color w:val="auto"/>
              </w:rPr>
            </w:pPr>
          </w:p>
        </w:tc>
        <w:tc>
          <w:tcPr>
            <w:tcW w:w="360" w:type="dxa"/>
            <w:vAlign w:val="bottom"/>
            <w:shd w:val="clear" w:color="auto" w:fill="E1D7AC"/>
          </w:tcPr>
          <w:p>
            <w:pPr>
              <w:spacing w:after="0"/>
              <w:rPr>
                <w:sz w:val="14"/>
                <w:szCs w:val="14"/>
                <w:color w:val="auto"/>
              </w:rPr>
            </w:pPr>
          </w:p>
        </w:tc>
        <w:tc>
          <w:tcPr>
            <w:tcW w:w="98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Awards:</w:t>
            </w:r>
          </w:p>
        </w:tc>
        <w:tc>
          <w:tcPr>
            <w:tcW w:w="1180" w:type="dxa"/>
            <w:vAlign w:val="bottom"/>
            <w:gridSpan w:val="2"/>
            <w:shd w:val="clear" w:color="auto" w:fill="E1D7AC"/>
          </w:tcPr>
          <w:p>
            <w:pPr>
              <w:jc w:val="right"/>
              <w:ind w:right="120"/>
              <w:spacing w:after="0"/>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62"/>
        </w:trPr>
        <w:tc>
          <w:tcPr>
            <w:tcW w:w="100" w:type="dxa"/>
            <w:vAlign w:val="bottom"/>
            <w:shd w:val="clear" w:color="auto" w:fill="E1D7AC"/>
          </w:tcPr>
          <w:p>
            <w:pPr>
              <w:spacing w:after="0"/>
              <w:rPr>
                <w:sz w:val="14"/>
                <w:szCs w:val="14"/>
                <w:color w:val="auto"/>
              </w:rPr>
            </w:pPr>
          </w:p>
        </w:tc>
        <w:tc>
          <w:tcPr>
            <w:tcW w:w="880" w:type="dxa"/>
            <w:vAlign w:val="bottom"/>
            <w:shd w:val="clear" w:color="auto" w:fill="E1D7AC"/>
          </w:tcPr>
          <w:p>
            <w:pPr>
              <w:spacing w:after="0"/>
              <w:rPr>
                <w:sz w:val="14"/>
                <w:szCs w:val="14"/>
                <w:color w:val="auto"/>
              </w:rPr>
            </w:pPr>
          </w:p>
        </w:tc>
        <w:tc>
          <w:tcPr>
            <w:tcW w:w="1000" w:type="dxa"/>
            <w:vAlign w:val="bottom"/>
            <w:shd w:val="clear" w:color="auto" w:fill="E1D7AC"/>
          </w:tcPr>
          <w:p>
            <w:pPr>
              <w:spacing w:after="0"/>
              <w:rPr>
                <w:sz w:val="14"/>
                <w:szCs w:val="14"/>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Number of</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Number of</w:t>
            </w: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Number of</w:t>
            </w:r>
          </w:p>
        </w:tc>
        <w:tc>
          <w:tcPr>
            <w:tcW w:w="800" w:type="dxa"/>
            <w:vAlign w:val="bottom"/>
            <w:shd w:val="clear" w:color="auto" w:fill="E1D7AC"/>
          </w:tcPr>
          <w:p>
            <w:pPr>
              <w:spacing w:after="0"/>
              <w:rPr>
                <w:sz w:val="14"/>
                <w:szCs w:val="14"/>
                <w:color w:val="auto"/>
              </w:rPr>
            </w:pPr>
          </w:p>
        </w:tc>
        <w:tc>
          <w:tcPr>
            <w:tcW w:w="940" w:type="dxa"/>
            <w:vAlign w:val="bottom"/>
            <w:shd w:val="clear" w:color="auto" w:fill="E1D7AC"/>
          </w:tcPr>
          <w:p>
            <w:pPr>
              <w:spacing w:after="0"/>
              <w:rPr>
                <w:sz w:val="14"/>
                <w:szCs w:val="14"/>
                <w:color w:val="auto"/>
              </w:rPr>
            </w:pPr>
          </w:p>
        </w:tc>
        <w:tc>
          <w:tcPr>
            <w:tcW w:w="100" w:type="dxa"/>
            <w:vAlign w:val="bottom"/>
            <w:shd w:val="clear" w:color="auto" w:fill="E1D7AC"/>
          </w:tcPr>
          <w:p>
            <w:pPr>
              <w:spacing w:after="0"/>
              <w:rPr>
                <w:sz w:val="14"/>
                <w:szCs w:val="14"/>
                <w:color w:val="auto"/>
              </w:rPr>
            </w:pPr>
          </w:p>
        </w:tc>
        <w:tc>
          <w:tcPr>
            <w:tcW w:w="1000" w:type="dxa"/>
            <w:vAlign w:val="bottom"/>
            <w:shd w:val="clear" w:color="auto" w:fill="E1D7AC"/>
          </w:tcPr>
          <w:p>
            <w:pPr>
              <w:spacing w:after="0"/>
              <w:rPr>
                <w:sz w:val="14"/>
                <w:szCs w:val="14"/>
                <w:color w:val="auto"/>
              </w:rPr>
            </w:pPr>
          </w:p>
        </w:tc>
        <w:tc>
          <w:tcPr>
            <w:tcW w:w="600" w:type="dxa"/>
            <w:vAlign w:val="bottom"/>
            <w:shd w:val="clear" w:color="auto" w:fill="E1D7AC"/>
          </w:tcPr>
          <w:p>
            <w:pPr>
              <w:spacing w:after="0"/>
              <w:rPr>
                <w:sz w:val="14"/>
                <w:szCs w:val="14"/>
                <w:color w:val="auto"/>
              </w:rPr>
            </w:pPr>
          </w:p>
        </w:tc>
        <w:tc>
          <w:tcPr>
            <w:tcW w:w="360" w:type="dxa"/>
            <w:vAlign w:val="bottom"/>
            <w:shd w:val="clear" w:color="auto" w:fill="E1D7AC"/>
          </w:tcPr>
          <w:p>
            <w:pPr>
              <w:spacing w:after="0"/>
              <w:rPr>
                <w:sz w:val="14"/>
                <w:szCs w:val="14"/>
                <w:color w:val="auto"/>
              </w:rPr>
            </w:pPr>
          </w:p>
        </w:tc>
        <w:tc>
          <w:tcPr>
            <w:tcW w:w="98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Number of</w:t>
            </w:r>
          </w:p>
        </w:tc>
        <w:tc>
          <w:tcPr>
            <w:tcW w:w="1180" w:type="dxa"/>
            <w:vAlign w:val="bottom"/>
            <w:gridSpan w:val="2"/>
            <w:shd w:val="clear" w:color="auto" w:fill="E1D7AC"/>
          </w:tcPr>
          <w:p>
            <w:pPr>
              <w:jc w:val="right"/>
              <w:ind w:right="120"/>
              <w:spacing w:after="0"/>
              <w:rPr>
                <w:sz w:val="20"/>
                <w:szCs w:val="20"/>
                <w:color w:val="auto"/>
              </w:rPr>
            </w:pPr>
            <w:r>
              <w:rPr>
                <w:rFonts w:ascii="Arial" w:cs="Arial" w:eastAsia="Arial" w:hAnsi="Arial"/>
                <w:sz w:val="13"/>
                <w:szCs w:val="13"/>
                <w:b w:val="1"/>
                <w:bCs w:val="1"/>
                <w:color w:val="auto"/>
                <w:w w:val="98"/>
              </w:rPr>
              <w:t>Market or Payout</w:t>
            </w:r>
          </w:p>
        </w:tc>
        <w:tc>
          <w:tcPr>
            <w:tcW w:w="0" w:type="dxa"/>
            <w:vAlign w:val="bottom"/>
          </w:tcPr>
          <w:p>
            <w:pPr>
              <w:spacing w:after="0"/>
              <w:rPr>
                <w:sz w:val="1"/>
                <w:szCs w:val="1"/>
                <w:color w:val="auto"/>
              </w:rPr>
            </w:pPr>
          </w:p>
        </w:tc>
      </w:tr>
      <w:tr>
        <w:trPr>
          <w:trHeight w:val="162"/>
        </w:trPr>
        <w:tc>
          <w:tcPr>
            <w:tcW w:w="100" w:type="dxa"/>
            <w:vAlign w:val="bottom"/>
            <w:shd w:val="clear" w:color="auto" w:fill="E1D7AC"/>
          </w:tcPr>
          <w:p>
            <w:pPr>
              <w:spacing w:after="0"/>
              <w:rPr>
                <w:sz w:val="14"/>
                <w:szCs w:val="14"/>
                <w:color w:val="auto"/>
              </w:rPr>
            </w:pPr>
          </w:p>
        </w:tc>
        <w:tc>
          <w:tcPr>
            <w:tcW w:w="880" w:type="dxa"/>
            <w:vAlign w:val="bottom"/>
            <w:shd w:val="clear" w:color="auto" w:fill="E1D7AC"/>
          </w:tcPr>
          <w:p>
            <w:pPr>
              <w:spacing w:after="0"/>
              <w:rPr>
                <w:sz w:val="14"/>
                <w:szCs w:val="14"/>
                <w:color w:val="auto"/>
              </w:rPr>
            </w:pPr>
          </w:p>
        </w:tc>
        <w:tc>
          <w:tcPr>
            <w:tcW w:w="1000" w:type="dxa"/>
            <w:vAlign w:val="bottom"/>
            <w:shd w:val="clear" w:color="auto" w:fill="E1D7AC"/>
          </w:tcPr>
          <w:p>
            <w:pPr>
              <w:spacing w:after="0"/>
              <w:rPr>
                <w:sz w:val="14"/>
                <w:szCs w:val="14"/>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Securities</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Securities</w:t>
            </w: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Securities</w:t>
            </w:r>
          </w:p>
        </w:tc>
        <w:tc>
          <w:tcPr>
            <w:tcW w:w="800" w:type="dxa"/>
            <w:vAlign w:val="bottom"/>
            <w:shd w:val="clear" w:color="auto" w:fill="E1D7AC"/>
          </w:tcPr>
          <w:p>
            <w:pPr>
              <w:spacing w:after="0"/>
              <w:rPr>
                <w:sz w:val="14"/>
                <w:szCs w:val="14"/>
                <w:color w:val="auto"/>
              </w:rPr>
            </w:pPr>
          </w:p>
        </w:tc>
        <w:tc>
          <w:tcPr>
            <w:tcW w:w="940" w:type="dxa"/>
            <w:vAlign w:val="bottom"/>
            <w:shd w:val="clear" w:color="auto" w:fill="E1D7AC"/>
          </w:tcPr>
          <w:p>
            <w:pPr>
              <w:spacing w:after="0"/>
              <w:rPr>
                <w:sz w:val="14"/>
                <w:szCs w:val="14"/>
                <w:color w:val="auto"/>
              </w:rPr>
            </w:pPr>
          </w:p>
        </w:tc>
        <w:tc>
          <w:tcPr>
            <w:tcW w:w="100" w:type="dxa"/>
            <w:vAlign w:val="bottom"/>
            <w:shd w:val="clear" w:color="auto" w:fill="E1D7AC"/>
          </w:tcPr>
          <w:p>
            <w:pPr>
              <w:spacing w:after="0"/>
              <w:rPr>
                <w:sz w:val="14"/>
                <w:szCs w:val="14"/>
                <w:color w:val="auto"/>
              </w:rPr>
            </w:pPr>
          </w:p>
        </w:tc>
        <w:tc>
          <w:tcPr>
            <w:tcW w:w="1000" w:type="dxa"/>
            <w:vAlign w:val="bottom"/>
            <w:shd w:val="clear" w:color="auto" w:fill="E1D7AC"/>
          </w:tcPr>
          <w:p>
            <w:pPr>
              <w:jc w:val="right"/>
              <w:ind w:right="17"/>
              <w:spacing w:after="0"/>
              <w:rPr>
                <w:sz w:val="20"/>
                <w:szCs w:val="20"/>
                <w:color w:val="auto"/>
              </w:rPr>
            </w:pPr>
            <w:r>
              <w:rPr>
                <w:rFonts w:ascii="Arial" w:cs="Arial" w:eastAsia="Arial" w:hAnsi="Arial"/>
                <w:sz w:val="13"/>
                <w:szCs w:val="13"/>
                <w:b w:val="1"/>
                <w:bCs w:val="1"/>
                <w:color w:val="auto"/>
              </w:rPr>
              <w:t>Number</w:t>
            </w:r>
          </w:p>
        </w:tc>
        <w:tc>
          <w:tcPr>
            <w:tcW w:w="960" w:type="dxa"/>
            <w:vAlign w:val="bottom"/>
            <w:gridSpan w:val="2"/>
            <w:shd w:val="clear" w:color="auto" w:fill="E1D7AC"/>
          </w:tcPr>
          <w:p>
            <w:pPr>
              <w:jc w:val="right"/>
              <w:ind w:right="57"/>
              <w:spacing w:after="0"/>
              <w:rPr>
                <w:sz w:val="20"/>
                <w:szCs w:val="20"/>
                <w:color w:val="auto"/>
              </w:rPr>
            </w:pPr>
            <w:r>
              <w:rPr>
                <w:rFonts w:ascii="Arial" w:cs="Arial" w:eastAsia="Arial" w:hAnsi="Arial"/>
                <w:sz w:val="13"/>
                <w:szCs w:val="13"/>
                <w:b w:val="1"/>
                <w:bCs w:val="1"/>
                <w:color w:val="auto"/>
              </w:rPr>
              <w:t>Market Value</w:t>
            </w:r>
          </w:p>
        </w:tc>
        <w:tc>
          <w:tcPr>
            <w:tcW w:w="98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Unearned</w:t>
            </w:r>
          </w:p>
        </w:tc>
        <w:tc>
          <w:tcPr>
            <w:tcW w:w="1180" w:type="dxa"/>
            <w:vAlign w:val="bottom"/>
            <w:gridSpan w:val="2"/>
            <w:shd w:val="clear" w:color="auto" w:fill="E1D7AC"/>
          </w:tcPr>
          <w:p>
            <w:pPr>
              <w:jc w:val="right"/>
              <w:ind w:right="120"/>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62"/>
        </w:trPr>
        <w:tc>
          <w:tcPr>
            <w:tcW w:w="100" w:type="dxa"/>
            <w:vAlign w:val="bottom"/>
            <w:shd w:val="clear" w:color="auto" w:fill="E1D7AC"/>
          </w:tcPr>
          <w:p>
            <w:pPr>
              <w:spacing w:after="0"/>
              <w:rPr>
                <w:sz w:val="14"/>
                <w:szCs w:val="14"/>
                <w:color w:val="auto"/>
              </w:rPr>
            </w:pPr>
          </w:p>
        </w:tc>
        <w:tc>
          <w:tcPr>
            <w:tcW w:w="880" w:type="dxa"/>
            <w:vAlign w:val="bottom"/>
            <w:shd w:val="clear" w:color="auto" w:fill="E1D7AC"/>
          </w:tcPr>
          <w:p>
            <w:pPr>
              <w:spacing w:after="0"/>
              <w:rPr>
                <w:sz w:val="14"/>
                <w:szCs w:val="14"/>
                <w:color w:val="auto"/>
              </w:rPr>
            </w:pPr>
          </w:p>
        </w:tc>
        <w:tc>
          <w:tcPr>
            <w:tcW w:w="1000" w:type="dxa"/>
            <w:vAlign w:val="bottom"/>
            <w:shd w:val="clear" w:color="auto" w:fill="E1D7AC"/>
          </w:tcPr>
          <w:p>
            <w:pPr>
              <w:spacing w:after="0"/>
              <w:rPr>
                <w:sz w:val="14"/>
                <w:szCs w:val="14"/>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Underlying</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Underlying</w:t>
            </w: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Underlying</w:t>
            </w:r>
          </w:p>
        </w:tc>
        <w:tc>
          <w:tcPr>
            <w:tcW w:w="800" w:type="dxa"/>
            <w:vAlign w:val="bottom"/>
            <w:shd w:val="clear" w:color="auto" w:fill="E1D7AC"/>
          </w:tcPr>
          <w:p>
            <w:pPr>
              <w:spacing w:after="0"/>
              <w:rPr>
                <w:sz w:val="14"/>
                <w:szCs w:val="14"/>
                <w:color w:val="auto"/>
              </w:rPr>
            </w:pPr>
          </w:p>
        </w:tc>
        <w:tc>
          <w:tcPr>
            <w:tcW w:w="940" w:type="dxa"/>
            <w:vAlign w:val="bottom"/>
            <w:shd w:val="clear" w:color="auto" w:fill="E1D7AC"/>
          </w:tcPr>
          <w:p>
            <w:pPr>
              <w:spacing w:after="0"/>
              <w:rPr>
                <w:sz w:val="14"/>
                <w:szCs w:val="14"/>
                <w:color w:val="auto"/>
              </w:rPr>
            </w:pPr>
          </w:p>
        </w:tc>
        <w:tc>
          <w:tcPr>
            <w:tcW w:w="100" w:type="dxa"/>
            <w:vAlign w:val="bottom"/>
            <w:shd w:val="clear" w:color="auto" w:fill="E1D7AC"/>
          </w:tcPr>
          <w:p>
            <w:pPr>
              <w:spacing w:after="0"/>
              <w:rPr>
                <w:sz w:val="14"/>
                <w:szCs w:val="14"/>
                <w:color w:val="auto"/>
              </w:rPr>
            </w:pPr>
          </w:p>
        </w:tc>
        <w:tc>
          <w:tcPr>
            <w:tcW w:w="1000" w:type="dxa"/>
            <w:vAlign w:val="bottom"/>
            <w:shd w:val="clear" w:color="auto" w:fill="E1D7AC"/>
          </w:tcPr>
          <w:p>
            <w:pPr>
              <w:jc w:val="right"/>
              <w:ind w:right="17"/>
              <w:spacing w:after="0"/>
              <w:rPr>
                <w:sz w:val="20"/>
                <w:szCs w:val="20"/>
                <w:color w:val="auto"/>
              </w:rPr>
            </w:pPr>
            <w:r>
              <w:rPr>
                <w:rFonts w:ascii="Arial" w:cs="Arial" w:eastAsia="Arial" w:hAnsi="Arial"/>
                <w:sz w:val="13"/>
                <w:szCs w:val="13"/>
                <w:b w:val="1"/>
                <w:bCs w:val="1"/>
                <w:color w:val="auto"/>
              </w:rPr>
              <w:t>of Shares of</w:t>
            </w:r>
          </w:p>
        </w:tc>
        <w:tc>
          <w:tcPr>
            <w:tcW w:w="960" w:type="dxa"/>
            <w:vAlign w:val="bottom"/>
            <w:gridSpan w:val="2"/>
            <w:shd w:val="clear" w:color="auto" w:fill="E1D7AC"/>
          </w:tcPr>
          <w:p>
            <w:pPr>
              <w:jc w:val="right"/>
              <w:ind w:right="57"/>
              <w:spacing w:after="0"/>
              <w:rPr>
                <w:sz w:val="20"/>
                <w:szCs w:val="20"/>
                <w:color w:val="auto"/>
              </w:rPr>
            </w:pPr>
            <w:r>
              <w:rPr>
                <w:rFonts w:ascii="Arial" w:cs="Arial" w:eastAsia="Arial" w:hAnsi="Arial"/>
                <w:sz w:val="13"/>
                <w:szCs w:val="13"/>
                <w:b w:val="1"/>
                <w:bCs w:val="1"/>
                <w:color w:val="auto"/>
              </w:rPr>
              <w:t>of Shares of</w:t>
            </w:r>
          </w:p>
        </w:tc>
        <w:tc>
          <w:tcPr>
            <w:tcW w:w="2160" w:type="dxa"/>
            <w:vAlign w:val="bottom"/>
            <w:gridSpan w:val="4"/>
            <w:shd w:val="clear" w:color="auto" w:fill="E1D7AC"/>
          </w:tcPr>
          <w:p>
            <w:pPr>
              <w:jc w:val="right"/>
              <w:ind w:right="120"/>
              <w:spacing w:after="0"/>
              <w:rPr>
                <w:sz w:val="20"/>
                <w:szCs w:val="20"/>
                <w:color w:val="auto"/>
              </w:rPr>
            </w:pPr>
            <w:r>
              <w:rPr>
                <w:rFonts w:ascii="Arial" w:cs="Arial" w:eastAsia="Arial" w:hAnsi="Arial"/>
                <w:sz w:val="13"/>
                <w:szCs w:val="13"/>
                <w:b w:val="1"/>
                <w:bCs w:val="1"/>
                <w:color w:val="auto"/>
              </w:rPr>
              <w:t>Shares, or Unearned Shares,</w:t>
            </w:r>
          </w:p>
        </w:tc>
        <w:tc>
          <w:tcPr>
            <w:tcW w:w="0" w:type="dxa"/>
            <w:vAlign w:val="bottom"/>
          </w:tcPr>
          <w:p>
            <w:pPr>
              <w:spacing w:after="0"/>
              <w:rPr>
                <w:sz w:val="1"/>
                <w:szCs w:val="1"/>
                <w:color w:val="auto"/>
              </w:rPr>
            </w:pPr>
          </w:p>
        </w:tc>
      </w:tr>
      <w:tr>
        <w:trPr>
          <w:trHeight w:val="162"/>
        </w:trPr>
        <w:tc>
          <w:tcPr>
            <w:tcW w:w="100" w:type="dxa"/>
            <w:vAlign w:val="bottom"/>
            <w:shd w:val="clear" w:color="auto" w:fill="E1D7AC"/>
          </w:tcPr>
          <w:p>
            <w:pPr>
              <w:spacing w:after="0"/>
              <w:rPr>
                <w:sz w:val="14"/>
                <w:szCs w:val="14"/>
                <w:color w:val="auto"/>
              </w:rPr>
            </w:pPr>
          </w:p>
        </w:tc>
        <w:tc>
          <w:tcPr>
            <w:tcW w:w="880" w:type="dxa"/>
            <w:vAlign w:val="bottom"/>
            <w:shd w:val="clear" w:color="auto" w:fill="E1D7AC"/>
          </w:tcPr>
          <w:p>
            <w:pPr>
              <w:spacing w:after="0"/>
              <w:rPr>
                <w:sz w:val="14"/>
                <w:szCs w:val="14"/>
                <w:color w:val="auto"/>
              </w:rPr>
            </w:pPr>
          </w:p>
        </w:tc>
        <w:tc>
          <w:tcPr>
            <w:tcW w:w="1000" w:type="dxa"/>
            <w:vAlign w:val="bottom"/>
            <w:shd w:val="clear" w:color="auto" w:fill="E1D7AC"/>
          </w:tcPr>
          <w:p>
            <w:pPr>
              <w:spacing w:after="0"/>
              <w:rPr>
                <w:sz w:val="14"/>
                <w:szCs w:val="14"/>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Unexercised</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Unexercised</w:t>
            </w: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Unexercised</w:t>
            </w:r>
          </w:p>
        </w:tc>
        <w:tc>
          <w:tcPr>
            <w:tcW w:w="8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Option</w:t>
            </w:r>
          </w:p>
        </w:tc>
        <w:tc>
          <w:tcPr>
            <w:tcW w:w="940" w:type="dxa"/>
            <w:vAlign w:val="bottom"/>
            <w:shd w:val="clear" w:color="auto" w:fill="E1D7AC"/>
          </w:tcPr>
          <w:p>
            <w:pPr>
              <w:spacing w:after="0"/>
              <w:rPr>
                <w:sz w:val="14"/>
                <w:szCs w:val="14"/>
                <w:color w:val="auto"/>
              </w:rPr>
            </w:pPr>
          </w:p>
        </w:tc>
        <w:tc>
          <w:tcPr>
            <w:tcW w:w="100" w:type="dxa"/>
            <w:vAlign w:val="bottom"/>
            <w:shd w:val="clear" w:color="auto" w:fill="E1D7AC"/>
          </w:tcPr>
          <w:p>
            <w:pPr>
              <w:spacing w:after="0"/>
              <w:rPr>
                <w:sz w:val="14"/>
                <w:szCs w:val="14"/>
                <w:color w:val="auto"/>
              </w:rPr>
            </w:pPr>
          </w:p>
        </w:tc>
        <w:tc>
          <w:tcPr>
            <w:tcW w:w="1000" w:type="dxa"/>
            <w:vAlign w:val="bottom"/>
            <w:shd w:val="clear" w:color="auto" w:fill="E1D7AC"/>
          </w:tcPr>
          <w:p>
            <w:pPr>
              <w:jc w:val="right"/>
              <w:ind w:right="17"/>
              <w:spacing w:after="0"/>
              <w:rPr>
                <w:sz w:val="20"/>
                <w:szCs w:val="20"/>
                <w:color w:val="auto"/>
              </w:rPr>
            </w:pPr>
            <w:r>
              <w:rPr>
                <w:rFonts w:ascii="Arial" w:cs="Arial" w:eastAsia="Arial" w:hAnsi="Arial"/>
                <w:sz w:val="13"/>
                <w:szCs w:val="13"/>
                <w:b w:val="1"/>
                <w:bCs w:val="1"/>
                <w:color w:val="auto"/>
              </w:rPr>
              <w:t>Stock that</w:t>
            </w:r>
          </w:p>
        </w:tc>
        <w:tc>
          <w:tcPr>
            <w:tcW w:w="960" w:type="dxa"/>
            <w:vAlign w:val="bottom"/>
            <w:gridSpan w:val="2"/>
            <w:shd w:val="clear" w:color="auto" w:fill="E1D7AC"/>
          </w:tcPr>
          <w:p>
            <w:pPr>
              <w:jc w:val="right"/>
              <w:ind w:right="57"/>
              <w:spacing w:after="0"/>
              <w:rPr>
                <w:sz w:val="20"/>
                <w:szCs w:val="20"/>
                <w:color w:val="auto"/>
              </w:rPr>
            </w:pPr>
            <w:r>
              <w:rPr>
                <w:rFonts w:ascii="Arial" w:cs="Arial" w:eastAsia="Arial" w:hAnsi="Arial"/>
                <w:sz w:val="13"/>
                <w:szCs w:val="13"/>
                <w:b w:val="1"/>
                <w:bCs w:val="1"/>
                <w:color w:val="auto"/>
              </w:rPr>
              <w:t>Stock That</w:t>
            </w:r>
          </w:p>
        </w:tc>
        <w:tc>
          <w:tcPr>
            <w:tcW w:w="98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Other Rights</w:t>
            </w:r>
          </w:p>
        </w:tc>
        <w:tc>
          <w:tcPr>
            <w:tcW w:w="1180" w:type="dxa"/>
            <w:vAlign w:val="bottom"/>
            <w:gridSpan w:val="2"/>
            <w:shd w:val="clear" w:color="auto" w:fill="E1D7AC"/>
          </w:tcPr>
          <w:p>
            <w:pPr>
              <w:jc w:val="right"/>
              <w:ind w:right="120"/>
              <w:spacing w:after="0"/>
              <w:rPr>
                <w:sz w:val="20"/>
                <w:szCs w:val="20"/>
                <w:color w:val="auto"/>
              </w:rPr>
            </w:pPr>
            <w:r>
              <w:rPr>
                <w:rFonts w:ascii="Arial" w:cs="Arial" w:eastAsia="Arial" w:hAnsi="Arial"/>
                <w:sz w:val="13"/>
                <w:szCs w:val="13"/>
                <w:b w:val="1"/>
                <w:bCs w:val="1"/>
                <w:color w:val="auto"/>
              </w:rPr>
              <w:t>or Other Rights</w:t>
            </w:r>
          </w:p>
        </w:tc>
        <w:tc>
          <w:tcPr>
            <w:tcW w:w="0" w:type="dxa"/>
            <w:vAlign w:val="bottom"/>
          </w:tcPr>
          <w:p>
            <w:pPr>
              <w:spacing w:after="0"/>
              <w:rPr>
                <w:sz w:val="1"/>
                <w:szCs w:val="1"/>
                <w:color w:val="auto"/>
              </w:rPr>
            </w:pPr>
          </w:p>
        </w:tc>
      </w:tr>
      <w:tr>
        <w:trPr>
          <w:trHeight w:val="162"/>
        </w:trPr>
        <w:tc>
          <w:tcPr>
            <w:tcW w:w="100" w:type="dxa"/>
            <w:vAlign w:val="bottom"/>
            <w:shd w:val="clear" w:color="auto" w:fill="E1D7AC"/>
          </w:tcPr>
          <w:p>
            <w:pPr>
              <w:spacing w:after="0"/>
              <w:rPr>
                <w:sz w:val="14"/>
                <w:szCs w:val="14"/>
                <w:color w:val="auto"/>
              </w:rPr>
            </w:pPr>
          </w:p>
        </w:tc>
        <w:tc>
          <w:tcPr>
            <w:tcW w:w="880" w:type="dxa"/>
            <w:vAlign w:val="bottom"/>
            <w:shd w:val="clear" w:color="auto" w:fill="E1D7AC"/>
          </w:tcPr>
          <w:p>
            <w:pPr>
              <w:spacing w:after="0"/>
              <w:rPr>
                <w:sz w:val="14"/>
                <w:szCs w:val="14"/>
                <w:color w:val="auto"/>
              </w:rPr>
            </w:pPr>
          </w:p>
        </w:tc>
        <w:tc>
          <w:tcPr>
            <w:tcW w:w="1000" w:type="dxa"/>
            <w:vAlign w:val="bottom"/>
            <w:shd w:val="clear" w:color="auto" w:fill="E1D7AC"/>
          </w:tcPr>
          <w:p>
            <w:pPr>
              <w:spacing w:after="0"/>
              <w:rPr>
                <w:sz w:val="14"/>
                <w:szCs w:val="14"/>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Options</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Options</w:t>
            </w: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Unearned</w:t>
            </w:r>
          </w:p>
        </w:tc>
        <w:tc>
          <w:tcPr>
            <w:tcW w:w="8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Exercise</w:t>
            </w:r>
          </w:p>
        </w:tc>
        <w:tc>
          <w:tcPr>
            <w:tcW w:w="1040" w:type="dxa"/>
            <w:vAlign w:val="bottom"/>
            <w:gridSpan w:val="2"/>
            <w:shd w:val="clear" w:color="auto" w:fill="E1D7AC"/>
          </w:tcPr>
          <w:p>
            <w:pPr>
              <w:jc w:val="right"/>
              <w:ind w:right="100"/>
              <w:spacing w:after="0"/>
              <w:rPr>
                <w:sz w:val="20"/>
                <w:szCs w:val="20"/>
                <w:color w:val="auto"/>
              </w:rPr>
            </w:pPr>
            <w:r>
              <w:rPr>
                <w:rFonts w:ascii="Arial" w:cs="Arial" w:eastAsia="Arial" w:hAnsi="Arial"/>
                <w:sz w:val="13"/>
                <w:szCs w:val="13"/>
                <w:b w:val="1"/>
                <w:bCs w:val="1"/>
                <w:color w:val="auto"/>
              </w:rPr>
              <w:t>Option</w:t>
            </w:r>
          </w:p>
        </w:tc>
        <w:tc>
          <w:tcPr>
            <w:tcW w:w="1000" w:type="dxa"/>
            <w:vAlign w:val="bottom"/>
            <w:shd w:val="clear" w:color="auto" w:fill="E1D7AC"/>
          </w:tcPr>
          <w:p>
            <w:pPr>
              <w:jc w:val="right"/>
              <w:ind w:right="17"/>
              <w:spacing w:after="0"/>
              <w:rPr>
                <w:sz w:val="20"/>
                <w:szCs w:val="20"/>
                <w:color w:val="auto"/>
              </w:rPr>
            </w:pPr>
            <w:r>
              <w:rPr>
                <w:rFonts w:ascii="Arial" w:cs="Arial" w:eastAsia="Arial" w:hAnsi="Arial"/>
                <w:sz w:val="13"/>
                <w:szCs w:val="13"/>
                <w:b w:val="1"/>
                <w:bCs w:val="1"/>
                <w:color w:val="auto"/>
              </w:rPr>
              <w:t>Have Not</w:t>
            </w:r>
          </w:p>
        </w:tc>
        <w:tc>
          <w:tcPr>
            <w:tcW w:w="960" w:type="dxa"/>
            <w:vAlign w:val="bottom"/>
            <w:gridSpan w:val="2"/>
            <w:shd w:val="clear" w:color="auto" w:fill="E1D7AC"/>
          </w:tcPr>
          <w:p>
            <w:pPr>
              <w:jc w:val="right"/>
              <w:ind w:right="57"/>
              <w:spacing w:after="0"/>
              <w:rPr>
                <w:sz w:val="20"/>
                <w:szCs w:val="20"/>
                <w:color w:val="auto"/>
              </w:rPr>
            </w:pPr>
            <w:r>
              <w:rPr>
                <w:rFonts w:ascii="Arial" w:cs="Arial" w:eastAsia="Arial" w:hAnsi="Arial"/>
                <w:sz w:val="13"/>
                <w:szCs w:val="13"/>
                <w:b w:val="1"/>
                <w:bCs w:val="1"/>
                <w:color w:val="auto"/>
              </w:rPr>
              <w:t>Have Not</w:t>
            </w:r>
          </w:p>
        </w:tc>
        <w:tc>
          <w:tcPr>
            <w:tcW w:w="98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That Have</w:t>
            </w:r>
          </w:p>
        </w:tc>
        <w:tc>
          <w:tcPr>
            <w:tcW w:w="1180" w:type="dxa"/>
            <w:vAlign w:val="bottom"/>
            <w:gridSpan w:val="2"/>
            <w:shd w:val="clear" w:color="auto" w:fill="E1D7AC"/>
          </w:tcPr>
          <w:p>
            <w:pPr>
              <w:jc w:val="right"/>
              <w:ind w:right="120"/>
              <w:spacing w:after="0"/>
              <w:rPr>
                <w:sz w:val="20"/>
                <w:szCs w:val="20"/>
                <w:color w:val="auto"/>
              </w:rPr>
            </w:pPr>
            <w:r>
              <w:rPr>
                <w:rFonts w:ascii="Arial" w:cs="Arial" w:eastAsia="Arial" w:hAnsi="Arial"/>
                <w:sz w:val="13"/>
                <w:szCs w:val="13"/>
                <w:b w:val="1"/>
                <w:bCs w:val="1"/>
                <w:color w:val="auto"/>
              </w:rPr>
              <w:t>That Have</w:t>
            </w:r>
          </w:p>
        </w:tc>
        <w:tc>
          <w:tcPr>
            <w:tcW w:w="0" w:type="dxa"/>
            <w:vAlign w:val="bottom"/>
          </w:tcPr>
          <w:p>
            <w:pPr>
              <w:spacing w:after="0"/>
              <w:rPr>
                <w:sz w:val="1"/>
                <w:szCs w:val="1"/>
                <w:color w:val="auto"/>
              </w:rPr>
            </w:pPr>
          </w:p>
        </w:tc>
      </w:tr>
      <w:tr>
        <w:trPr>
          <w:trHeight w:val="176"/>
        </w:trPr>
        <w:tc>
          <w:tcPr>
            <w:tcW w:w="100" w:type="dxa"/>
            <w:vAlign w:val="bottom"/>
            <w:shd w:val="clear" w:color="auto" w:fill="E1D7AC"/>
          </w:tcPr>
          <w:p>
            <w:pPr>
              <w:spacing w:after="0"/>
              <w:rPr>
                <w:sz w:val="15"/>
                <w:szCs w:val="15"/>
                <w:color w:val="auto"/>
              </w:rPr>
            </w:pPr>
          </w:p>
        </w:tc>
        <w:tc>
          <w:tcPr>
            <w:tcW w:w="880" w:type="dxa"/>
            <w:vAlign w:val="bottom"/>
            <w:shd w:val="clear" w:color="auto" w:fill="E1D7AC"/>
          </w:tcPr>
          <w:p>
            <w:pPr>
              <w:spacing w:after="0"/>
              <w:rPr>
                <w:sz w:val="15"/>
                <w:szCs w:val="15"/>
                <w:color w:val="auto"/>
              </w:rPr>
            </w:pPr>
          </w:p>
        </w:tc>
        <w:tc>
          <w:tcPr>
            <w:tcW w:w="1000" w:type="dxa"/>
            <w:vAlign w:val="bottom"/>
            <w:shd w:val="clear" w:color="auto" w:fill="E1D7AC"/>
          </w:tcPr>
          <w:p>
            <w:pPr>
              <w:spacing w:after="0"/>
              <w:rPr>
                <w:sz w:val="15"/>
                <w:szCs w:val="15"/>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Exercisable</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Unexercisable</w:t>
            </w: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Options</w:t>
            </w:r>
          </w:p>
        </w:tc>
        <w:tc>
          <w:tcPr>
            <w:tcW w:w="8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Price</w:t>
            </w:r>
          </w:p>
        </w:tc>
        <w:tc>
          <w:tcPr>
            <w:tcW w:w="1040" w:type="dxa"/>
            <w:vAlign w:val="bottom"/>
            <w:gridSpan w:val="2"/>
            <w:shd w:val="clear" w:color="auto" w:fill="E1D7AC"/>
          </w:tcPr>
          <w:p>
            <w:pPr>
              <w:jc w:val="right"/>
              <w:ind w:right="100"/>
              <w:spacing w:after="0"/>
              <w:rPr>
                <w:sz w:val="20"/>
                <w:szCs w:val="20"/>
                <w:color w:val="auto"/>
              </w:rPr>
            </w:pPr>
            <w:r>
              <w:rPr>
                <w:rFonts w:ascii="Arial" w:cs="Arial" w:eastAsia="Arial" w:hAnsi="Arial"/>
                <w:sz w:val="13"/>
                <w:szCs w:val="13"/>
                <w:b w:val="1"/>
                <w:bCs w:val="1"/>
                <w:color w:val="auto"/>
              </w:rPr>
              <w:t>Expiration</w:t>
            </w:r>
          </w:p>
        </w:tc>
        <w:tc>
          <w:tcPr>
            <w:tcW w:w="1000" w:type="dxa"/>
            <w:vAlign w:val="bottom"/>
            <w:shd w:val="clear" w:color="auto" w:fill="E1D7AC"/>
          </w:tcPr>
          <w:p>
            <w:pPr>
              <w:jc w:val="right"/>
              <w:ind w:right="17"/>
              <w:spacing w:after="0"/>
              <w:rPr>
                <w:sz w:val="20"/>
                <w:szCs w:val="20"/>
                <w:color w:val="auto"/>
              </w:rPr>
            </w:pPr>
            <w:r>
              <w:rPr>
                <w:rFonts w:ascii="Arial" w:cs="Arial" w:eastAsia="Arial" w:hAnsi="Arial"/>
                <w:sz w:val="13"/>
                <w:szCs w:val="13"/>
                <w:b w:val="1"/>
                <w:bCs w:val="1"/>
                <w:color w:val="auto"/>
              </w:rPr>
              <w:t>Vested</w:t>
            </w:r>
          </w:p>
        </w:tc>
        <w:tc>
          <w:tcPr>
            <w:tcW w:w="960" w:type="dxa"/>
            <w:vAlign w:val="bottom"/>
            <w:gridSpan w:val="2"/>
            <w:shd w:val="clear" w:color="auto" w:fill="E1D7AC"/>
          </w:tcPr>
          <w:p>
            <w:pPr>
              <w:jc w:val="right"/>
              <w:ind w:right="57"/>
              <w:spacing w:after="0"/>
              <w:rPr>
                <w:sz w:val="20"/>
                <w:szCs w:val="20"/>
                <w:color w:val="auto"/>
              </w:rPr>
            </w:pPr>
            <w:r>
              <w:rPr>
                <w:rFonts w:ascii="Arial" w:cs="Arial" w:eastAsia="Arial" w:hAnsi="Arial"/>
                <w:sz w:val="13"/>
                <w:szCs w:val="13"/>
                <w:b w:val="1"/>
                <w:bCs w:val="1"/>
                <w:color w:val="auto"/>
              </w:rPr>
              <w:t>Vested</w:t>
            </w:r>
          </w:p>
        </w:tc>
        <w:tc>
          <w:tcPr>
            <w:tcW w:w="98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Not Vested</w:t>
            </w:r>
          </w:p>
        </w:tc>
        <w:tc>
          <w:tcPr>
            <w:tcW w:w="1180" w:type="dxa"/>
            <w:vAlign w:val="bottom"/>
            <w:gridSpan w:val="2"/>
            <w:shd w:val="clear" w:color="auto" w:fill="E1D7AC"/>
          </w:tcPr>
          <w:p>
            <w:pPr>
              <w:jc w:val="right"/>
              <w:ind w:right="120"/>
              <w:spacing w:after="0"/>
              <w:rPr>
                <w:sz w:val="20"/>
                <w:szCs w:val="20"/>
                <w:color w:val="auto"/>
              </w:rPr>
            </w:pPr>
            <w:r>
              <w:rPr>
                <w:rFonts w:ascii="Arial" w:cs="Arial" w:eastAsia="Arial" w:hAnsi="Arial"/>
                <w:sz w:val="13"/>
                <w:szCs w:val="13"/>
                <w:b w:val="1"/>
                <w:bCs w:val="1"/>
                <w:color w:val="auto"/>
              </w:rPr>
              <w:t>Not Vested</w:t>
            </w:r>
          </w:p>
        </w:tc>
        <w:tc>
          <w:tcPr>
            <w:tcW w:w="0" w:type="dxa"/>
            <w:vAlign w:val="bottom"/>
          </w:tcPr>
          <w:p>
            <w:pPr>
              <w:spacing w:after="0"/>
              <w:rPr>
                <w:sz w:val="1"/>
                <w:szCs w:val="1"/>
                <w:color w:val="auto"/>
              </w:rPr>
            </w:pPr>
          </w:p>
        </w:tc>
      </w:tr>
      <w:tr>
        <w:trPr>
          <w:trHeight w:val="153"/>
        </w:trPr>
        <w:tc>
          <w:tcPr>
            <w:tcW w:w="100" w:type="dxa"/>
            <w:vAlign w:val="bottom"/>
            <w:shd w:val="clear" w:color="auto" w:fill="E1D7AC"/>
          </w:tcPr>
          <w:p>
            <w:pPr>
              <w:spacing w:after="0"/>
              <w:rPr>
                <w:sz w:val="13"/>
                <w:szCs w:val="13"/>
                <w:color w:val="auto"/>
              </w:rPr>
            </w:pPr>
          </w:p>
        </w:tc>
        <w:tc>
          <w:tcPr>
            <w:tcW w:w="880" w:type="dxa"/>
            <w:vAlign w:val="bottom"/>
            <w:shd w:val="clear" w:color="auto" w:fill="E1D7AC"/>
          </w:tcPr>
          <w:p>
            <w:pPr>
              <w:spacing w:after="0"/>
              <w:rPr>
                <w:sz w:val="20"/>
                <w:szCs w:val="20"/>
                <w:color w:val="auto"/>
              </w:rPr>
            </w:pPr>
            <w:r>
              <w:rPr>
                <w:rFonts w:ascii="Arial" w:cs="Arial" w:eastAsia="Arial" w:hAnsi="Arial"/>
                <w:sz w:val="13"/>
                <w:szCs w:val="13"/>
                <w:b w:val="1"/>
                <w:bCs w:val="1"/>
                <w:color w:val="auto"/>
                <w:shd w:val="clear" w:color="auto" w:fill="E1D7AC"/>
              </w:rPr>
              <w:t>Name</w:t>
            </w:r>
          </w:p>
        </w:tc>
        <w:tc>
          <w:tcPr>
            <w:tcW w:w="1000" w:type="dxa"/>
            <w:vAlign w:val="bottom"/>
            <w:shd w:val="clear" w:color="auto" w:fill="E1D7AC"/>
          </w:tcPr>
          <w:p>
            <w:pPr>
              <w:ind w:left="180"/>
              <w:spacing w:after="0"/>
              <w:rPr>
                <w:sz w:val="20"/>
                <w:szCs w:val="20"/>
                <w:color w:val="auto"/>
              </w:rPr>
            </w:pPr>
            <w:r>
              <w:rPr>
                <w:rFonts w:ascii="Arial" w:cs="Arial" w:eastAsia="Arial" w:hAnsi="Arial"/>
                <w:sz w:val="13"/>
                <w:szCs w:val="13"/>
                <w:b w:val="1"/>
                <w:bCs w:val="1"/>
                <w:color w:val="auto"/>
              </w:rPr>
              <w:t>Grant Date</w:t>
            </w:r>
          </w:p>
        </w:tc>
        <w:tc>
          <w:tcPr>
            <w:tcW w:w="1060" w:type="dxa"/>
            <w:vAlign w:val="bottom"/>
            <w:shd w:val="clear" w:color="auto" w:fill="E1D7AC"/>
          </w:tcPr>
          <w:p>
            <w:pPr>
              <w:jc w:val="right"/>
              <w:spacing w:after="0" w:line="15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(1)</w:t>
            </w:r>
          </w:p>
        </w:tc>
        <w:tc>
          <w:tcPr>
            <w:tcW w:w="1180" w:type="dxa"/>
            <w:vAlign w:val="bottom"/>
            <w:gridSpan w:val="2"/>
            <w:shd w:val="clear" w:color="auto" w:fill="E1D7AC"/>
          </w:tcPr>
          <w:p>
            <w:pPr>
              <w:jc w:val="right"/>
              <w:spacing w:after="0" w:line="15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(2)</w:t>
            </w: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gridSpan w:val="2"/>
            <w:shd w:val="clear" w:color="auto" w:fill="E1D7AC"/>
          </w:tcPr>
          <w:p>
            <w:pPr>
              <w:jc w:val="right"/>
              <w:ind w:right="100"/>
              <w:spacing w:after="0" w:line="153"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16"/>
                <w:szCs w:val="16"/>
                <w:b w:val="1"/>
                <w:bCs w:val="1"/>
                <w:color w:val="auto"/>
                <w:vertAlign w:val="superscript"/>
              </w:rPr>
              <w:t>(3)</w:t>
            </w:r>
          </w:p>
        </w:tc>
        <w:tc>
          <w:tcPr>
            <w:tcW w:w="1000" w:type="dxa"/>
            <w:vAlign w:val="bottom"/>
            <w:shd w:val="clear" w:color="auto" w:fill="E1D7AC"/>
          </w:tcPr>
          <w:p>
            <w:pPr>
              <w:jc w:val="right"/>
              <w:ind w:right="17"/>
              <w:spacing w:after="0" w:line="15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(4)</w:t>
            </w:r>
          </w:p>
        </w:tc>
        <w:tc>
          <w:tcPr>
            <w:tcW w:w="960" w:type="dxa"/>
            <w:vAlign w:val="bottom"/>
            <w:gridSpan w:val="2"/>
            <w:shd w:val="clear" w:color="auto" w:fill="E1D7AC"/>
          </w:tcPr>
          <w:p>
            <w:pPr>
              <w:jc w:val="right"/>
              <w:ind w:right="57"/>
              <w:spacing w:after="0" w:line="15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(6)</w:t>
            </w:r>
          </w:p>
        </w:tc>
        <w:tc>
          <w:tcPr>
            <w:tcW w:w="980" w:type="dxa"/>
            <w:vAlign w:val="bottom"/>
            <w:gridSpan w:val="2"/>
            <w:shd w:val="clear" w:color="auto" w:fill="E1D7AC"/>
          </w:tcPr>
          <w:p>
            <w:pPr>
              <w:jc w:val="right"/>
              <w:spacing w:after="0" w:line="15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(5)</w:t>
            </w:r>
          </w:p>
        </w:tc>
        <w:tc>
          <w:tcPr>
            <w:tcW w:w="1080" w:type="dxa"/>
            <w:vAlign w:val="bottom"/>
            <w:shd w:val="clear" w:color="auto" w:fill="E1D7AC"/>
          </w:tcPr>
          <w:p>
            <w:pPr>
              <w:jc w:val="right"/>
              <w:spacing w:after="0" w:line="15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(6)</w:t>
            </w:r>
          </w:p>
        </w:tc>
        <w:tc>
          <w:tcPr>
            <w:tcW w:w="100" w:type="dxa"/>
            <w:vAlign w:val="bottom"/>
            <w:shd w:val="clear" w:color="auto" w:fill="E1D7AC"/>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00" w:type="dxa"/>
            <w:vAlign w:val="bottom"/>
            <w:shd w:val="clear" w:color="auto" w:fill="E1D7AC"/>
          </w:tcPr>
          <w:p>
            <w:pPr>
              <w:spacing w:after="0"/>
              <w:rPr>
                <w:sz w:val="8"/>
                <w:szCs w:val="8"/>
                <w:color w:val="auto"/>
              </w:rPr>
            </w:pPr>
          </w:p>
        </w:tc>
        <w:tc>
          <w:tcPr>
            <w:tcW w:w="880" w:type="dxa"/>
            <w:vAlign w:val="bottom"/>
            <w:shd w:val="clear" w:color="auto" w:fill="E1D7AC"/>
          </w:tcPr>
          <w:p>
            <w:pPr>
              <w:spacing w:after="0"/>
              <w:rPr>
                <w:sz w:val="8"/>
                <w:szCs w:val="8"/>
                <w:color w:val="auto"/>
              </w:rPr>
            </w:pPr>
          </w:p>
        </w:tc>
        <w:tc>
          <w:tcPr>
            <w:tcW w:w="1000" w:type="dxa"/>
            <w:vAlign w:val="bottom"/>
            <w:shd w:val="clear" w:color="auto" w:fill="E1D7AC"/>
          </w:tcPr>
          <w:p>
            <w:pPr>
              <w:spacing w:after="0"/>
              <w:rPr>
                <w:sz w:val="8"/>
                <w:szCs w:val="8"/>
                <w:color w:val="auto"/>
              </w:rPr>
            </w:pPr>
          </w:p>
        </w:tc>
        <w:tc>
          <w:tcPr>
            <w:tcW w:w="1060" w:type="dxa"/>
            <w:vAlign w:val="bottom"/>
            <w:shd w:val="clear" w:color="auto" w:fill="E1D7AC"/>
          </w:tcPr>
          <w:p>
            <w:pPr>
              <w:spacing w:after="0"/>
              <w:rPr>
                <w:sz w:val="8"/>
                <w:szCs w:val="8"/>
                <w:color w:val="auto"/>
              </w:rPr>
            </w:pPr>
          </w:p>
        </w:tc>
        <w:tc>
          <w:tcPr>
            <w:tcW w:w="1020" w:type="dxa"/>
            <w:vAlign w:val="bottom"/>
            <w:shd w:val="clear" w:color="auto" w:fill="E1D7AC"/>
          </w:tcPr>
          <w:p>
            <w:pPr>
              <w:spacing w:after="0"/>
              <w:rPr>
                <w:sz w:val="8"/>
                <w:szCs w:val="8"/>
                <w:color w:val="auto"/>
              </w:rPr>
            </w:pPr>
          </w:p>
        </w:tc>
        <w:tc>
          <w:tcPr>
            <w:tcW w:w="160" w:type="dxa"/>
            <w:vAlign w:val="bottom"/>
            <w:shd w:val="clear" w:color="auto" w:fill="E1D7AC"/>
          </w:tcPr>
          <w:p>
            <w:pPr>
              <w:spacing w:after="0"/>
              <w:rPr>
                <w:sz w:val="8"/>
                <w:szCs w:val="8"/>
                <w:color w:val="auto"/>
              </w:rPr>
            </w:pPr>
          </w:p>
        </w:tc>
        <w:tc>
          <w:tcPr>
            <w:tcW w:w="720" w:type="dxa"/>
            <w:vAlign w:val="bottom"/>
            <w:shd w:val="clear" w:color="auto" w:fill="E1D7AC"/>
          </w:tcPr>
          <w:p>
            <w:pPr>
              <w:spacing w:after="0"/>
              <w:rPr>
                <w:sz w:val="8"/>
                <w:szCs w:val="8"/>
                <w:color w:val="auto"/>
              </w:rPr>
            </w:pPr>
          </w:p>
        </w:tc>
        <w:tc>
          <w:tcPr>
            <w:tcW w:w="340" w:type="dxa"/>
            <w:vAlign w:val="bottom"/>
            <w:shd w:val="clear" w:color="auto" w:fill="E1D7AC"/>
          </w:tcPr>
          <w:p>
            <w:pPr>
              <w:spacing w:after="0"/>
              <w:rPr>
                <w:sz w:val="8"/>
                <w:szCs w:val="8"/>
                <w:color w:val="auto"/>
              </w:rPr>
            </w:pPr>
          </w:p>
        </w:tc>
        <w:tc>
          <w:tcPr>
            <w:tcW w:w="800" w:type="dxa"/>
            <w:vAlign w:val="bottom"/>
            <w:shd w:val="clear" w:color="auto" w:fill="E1D7AC"/>
          </w:tcPr>
          <w:p>
            <w:pPr>
              <w:spacing w:after="0"/>
              <w:rPr>
                <w:sz w:val="8"/>
                <w:szCs w:val="8"/>
                <w:color w:val="auto"/>
              </w:rPr>
            </w:pPr>
          </w:p>
        </w:tc>
        <w:tc>
          <w:tcPr>
            <w:tcW w:w="940" w:type="dxa"/>
            <w:vAlign w:val="bottom"/>
            <w:shd w:val="clear" w:color="auto" w:fill="E1D7AC"/>
          </w:tcPr>
          <w:p>
            <w:pPr>
              <w:spacing w:after="0"/>
              <w:rPr>
                <w:sz w:val="8"/>
                <w:szCs w:val="8"/>
                <w:color w:val="auto"/>
              </w:rPr>
            </w:pPr>
          </w:p>
        </w:tc>
        <w:tc>
          <w:tcPr>
            <w:tcW w:w="100" w:type="dxa"/>
            <w:vAlign w:val="bottom"/>
            <w:shd w:val="clear" w:color="auto" w:fill="E1D7AC"/>
          </w:tcPr>
          <w:p>
            <w:pPr>
              <w:spacing w:after="0"/>
              <w:rPr>
                <w:sz w:val="8"/>
                <w:szCs w:val="8"/>
                <w:color w:val="auto"/>
              </w:rPr>
            </w:pPr>
          </w:p>
        </w:tc>
        <w:tc>
          <w:tcPr>
            <w:tcW w:w="1000" w:type="dxa"/>
            <w:vAlign w:val="bottom"/>
            <w:shd w:val="clear" w:color="auto" w:fill="E1D7AC"/>
          </w:tcPr>
          <w:p>
            <w:pPr>
              <w:spacing w:after="0"/>
              <w:rPr>
                <w:sz w:val="8"/>
                <w:szCs w:val="8"/>
                <w:color w:val="auto"/>
              </w:rPr>
            </w:pPr>
          </w:p>
        </w:tc>
        <w:tc>
          <w:tcPr>
            <w:tcW w:w="600" w:type="dxa"/>
            <w:vAlign w:val="bottom"/>
            <w:shd w:val="clear" w:color="auto" w:fill="E1D7AC"/>
          </w:tcPr>
          <w:p>
            <w:pPr>
              <w:spacing w:after="0"/>
              <w:rPr>
                <w:sz w:val="8"/>
                <w:szCs w:val="8"/>
                <w:color w:val="auto"/>
              </w:rPr>
            </w:pPr>
          </w:p>
        </w:tc>
        <w:tc>
          <w:tcPr>
            <w:tcW w:w="360" w:type="dxa"/>
            <w:vAlign w:val="bottom"/>
            <w:shd w:val="clear" w:color="auto" w:fill="E1D7AC"/>
          </w:tcPr>
          <w:p>
            <w:pPr>
              <w:spacing w:after="0"/>
              <w:rPr>
                <w:sz w:val="8"/>
                <w:szCs w:val="8"/>
                <w:color w:val="auto"/>
              </w:rPr>
            </w:pPr>
          </w:p>
        </w:tc>
        <w:tc>
          <w:tcPr>
            <w:tcW w:w="480" w:type="dxa"/>
            <w:vAlign w:val="bottom"/>
            <w:shd w:val="clear" w:color="auto" w:fill="E1D7AC"/>
          </w:tcPr>
          <w:p>
            <w:pPr>
              <w:spacing w:after="0"/>
              <w:rPr>
                <w:sz w:val="8"/>
                <w:szCs w:val="8"/>
                <w:color w:val="auto"/>
              </w:rPr>
            </w:pPr>
          </w:p>
        </w:tc>
        <w:tc>
          <w:tcPr>
            <w:tcW w:w="500" w:type="dxa"/>
            <w:vAlign w:val="bottom"/>
            <w:shd w:val="clear" w:color="auto" w:fill="E1D7AC"/>
          </w:tcPr>
          <w:p>
            <w:pPr>
              <w:spacing w:after="0"/>
              <w:rPr>
                <w:sz w:val="8"/>
                <w:szCs w:val="8"/>
                <w:color w:val="auto"/>
              </w:rPr>
            </w:pPr>
          </w:p>
        </w:tc>
        <w:tc>
          <w:tcPr>
            <w:tcW w:w="1080" w:type="dxa"/>
            <w:vAlign w:val="bottom"/>
            <w:shd w:val="clear" w:color="auto" w:fill="E1D7AC"/>
          </w:tcPr>
          <w:p>
            <w:pPr>
              <w:spacing w:after="0"/>
              <w:rPr>
                <w:sz w:val="8"/>
                <w:szCs w:val="8"/>
                <w:color w:val="auto"/>
              </w:rPr>
            </w:pPr>
          </w:p>
        </w:tc>
        <w:tc>
          <w:tcPr>
            <w:tcW w:w="100" w:type="dxa"/>
            <w:vAlign w:val="bottom"/>
            <w:shd w:val="clear" w:color="auto" w:fill="E1D7AC"/>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00" w:type="dxa"/>
            <w:vAlign w:val="bottom"/>
            <w:shd w:val="clear" w:color="auto" w:fill="DBDBDB"/>
          </w:tcPr>
          <w:p>
            <w:pPr>
              <w:spacing w:after="0"/>
              <w:rPr>
                <w:sz w:val="18"/>
                <w:szCs w:val="18"/>
                <w:color w:val="auto"/>
              </w:rPr>
            </w:pPr>
          </w:p>
        </w:tc>
        <w:tc>
          <w:tcPr>
            <w:tcW w:w="880" w:type="dxa"/>
            <w:vAlign w:val="bottom"/>
            <w:vMerge w:val="restart"/>
            <w:shd w:val="clear" w:color="auto" w:fill="DBDBDB"/>
          </w:tcPr>
          <w:p>
            <w:pPr>
              <w:spacing w:after="0"/>
              <w:rPr>
                <w:sz w:val="20"/>
                <w:szCs w:val="20"/>
                <w:color w:val="auto"/>
              </w:rPr>
            </w:pPr>
            <w:r>
              <w:rPr>
                <w:rFonts w:ascii="Arial" w:cs="Arial" w:eastAsia="Arial" w:hAnsi="Arial"/>
                <w:sz w:val="13"/>
                <w:szCs w:val="13"/>
                <w:b w:val="1"/>
                <w:bCs w:val="1"/>
                <w:color w:val="auto"/>
              </w:rPr>
              <w:t>Ken C. Hicks</w:t>
            </w: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6"/>
              </w:rPr>
              <w:t>9/16/2018</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164,487</w:t>
            </w:r>
          </w:p>
        </w:tc>
        <w:tc>
          <w:tcPr>
            <w:tcW w:w="102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shd w:val="clear" w:color="auto" w:fill="DBDBDB"/>
          </w:tcPr>
          <w:p>
            <w:pPr>
              <w:spacing w:after="0"/>
              <w:rPr>
                <w:sz w:val="18"/>
                <w:szCs w:val="18"/>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17.14</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9/16/2028</w:t>
            </w: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shd w:val="clear" w:color="auto" w:fill="DBDBDB"/>
          </w:tcPr>
          <w:p>
            <w:pPr>
              <w:spacing w:after="0"/>
              <w:rPr>
                <w:sz w:val="18"/>
                <w:szCs w:val="18"/>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00" w:type="dxa"/>
            <w:vAlign w:val="bottom"/>
            <w:shd w:val="clear" w:color="auto" w:fill="DBDBDB"/>
          </w:tcPr>
          <w:p>
            <w:pPr>
              <w:spacing w:after="0"/>
              <w:rPr>
                <w:sz w:val="12"/>
                <w:szCs w:val="12"/>
                <w:color w:val="auto"/>
              </w:rPr>
            </w:pPr>
          </w:p>
        </w:tc>
        <w:tc>
          <w:tcPr>
            <w:tcW w:w="880" w:type="dxa"/>
            <w:vAlign w:val="bottom"/>
            <w:vMerge w:val="continue"/>
            <w:shd w:val="clear" w:color="auto" w:fill="DBDBDB"/>
          </w:tcPr>
          <w:p>
            <w:pPr>
              <w:spacing w:after="0"/>
              <w:rPr>
                <w:sz w:val="12"/>
                <w:szCs w:val="12"/>
                <w:color w:val="auto"/>
              </w:rPr>
            </w:pPr>
          </w:p>
        </w:tc>
        <w:tc>
          <w:tcPr>
            <w:tcW w:w="1000" w:type="dxa"/>
            <w:vAlign w:val="bottom"/>
            <w:vMerge w:val="restart"/>
            <w:shd w:val="clear" w:color="auto" w:fill="DBDBDB"/>
          </w:tcPr>
          <w:p>
            <w:pPr>
              <w:jc w:val="center"/>
              <w:spacing w:after="0"/>
              <w:rPr>
                <w:sz w:val="20"/>
                <w:szCs w:val="20"/>
                <w:color w:val="auto"/>
              </w:rPr>
            </w:pPr>
            <w:r>
              <w:rPr>
                <w:rFonts w:ascii="Arial" w:cs="Arial" w:eastAsia="Arial" w:hAnsi="Arial"/>
                <w:sz w:val="13"/>
                <w:szCs w:val="13"/>
                <w:color w:val="auto"/>
                <w:w w:val="94"/>
              </w:rPr>
              <w:t>3/7/2019</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108,561</w:t>
            </w:r>
          </w:p>
        </w:tc>
        <w:tc>
          <w:tcPr>
            <w:tcW w:w="1020" w:type="dxa"/>
            <w:vAlign w:val="bottom"/>
            <w:shd w:val="clear" w:color="auto" w:fill="DBDBDB"/>
          </w:tcPr>
          <w:p>
            <w:pPr>
              <w:spacing w:after="0"/>
              <w:rPr>
                <w:sz w:val="12"/>
                <w:szCs w:val="12"/>
                <w:color w:val="auto"/>
              </w:rPr>
            </w:pP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shd w:val="clear" w:color="auto" w:fill="DBDBDB"/>
          </w:tcPr>
          <w:p>
            <w:pPr>
              <w:spacing w:after="0"/>
              <w:rPr>
                <w:sz w:val="12"/>
                <w:szCs w:val="12"/>
                <w:color w:val="auto"/>
              </w:rPr>
            </w:pPr>
          </w:p>
        </w:tc>
        <w:tc>
          <w:tcPr>
            <w:tcW w:w="3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16.57</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3/7/2029</w:t>
            </w:r>
          </w:p>
        </w:tc>
        <w:tc>
          <w:tcPr>
            <w:tcW w:w="100" w:type="dxa"/>
            <w:vAlign w:val="bottom"/>
            <w:shd w:val="clear" w:color="auto" w:fill="DBDBDB"/>
          </w:tcPr>
          <w:p>
            <w:pPr>
              <w:spacing w:after="0"/>
              <w:rPr>
                <w:sz w:val="12"/>
                <w:szCs w:val="12"/>
                <w:color w:val="auto"/>
              </w:rPr>
            </w:pPr>
          </w:p>
        </w:tc>
        <w:tc>
          <w:tcPr>
            <w:tcW w:w="1000" w:type="dxa"/>
            <w:vAlign w:val="bottom"/>
            <w:vMerge w:val="restart"/>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spacing w:after="0"/>
              <w:rPr>
                <w:sz w:val="12"/>
                <w:szCs w:val="12"/>
                <w:color w:val="auto"/>
              </w:rPr>
            </w:pPr>
          </w:p>
        </w:tc>
        <w:tc>
          <w:tcPr>
            <w:tcW w:w="360" w:type="dxa"/>
            <w:vAlign w:val="bottom"/>
            <w:vMerge w:val="restart"/>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shd w:val="clear" w:color="auto" w:fill="DBDBDB"/>
          </w:tcPr>
          <w:p>
            <w:pPr>
              <w:spacing w:after="0"/>
              <w:rPr>
                <w:sz w:val="12"/>
                <w:szCs w:val="12"/>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00" w:type="dxa"/>
            <w:vAlign w:val="bottom"/>
            <w:shd w:val="clear" w:color="auto" w:fill="DBDBDB"/>
          </w:tcPr>
          <w:p>
            <w:pPr>
              <w:spacing w:after="0"/>
              <w:rPr>
                <w:sz w:val="11"/>
                <w:szCs w:val="11"/>
                <w:color w:val="auto"/>
              </w:rPr>
            </w:pPr>
          </w:p>
        </w:tc>
        <w:tc>
          <w:tcPr>
            <w:tcW w:w="880" w:type="dxa"/>
            <w:vAlign w:val="bottom"/>
            <w:shd w:val="clear" w:color="auto" w:fill="DBDBDB"/>
          </w:tcPr>
          <w:p>
            <w:pPr>
              <w:spacing w:after="0"/>
              <w:rPr>
                <w:sz w:val="11"/>
                <w:szCs w:val="11"/>
                <w:color w:val="auto"/>
              </w:rPr>
            </w:pPr>
          </w:p>
        </w:tc>
        <w:tc>
          <w:tcPr>
            <w:tcW w:w="1000" w:type="dxa"/>
            <w:vAlign w:val="bottom"/>
            <w:vMerge w:val="continue"/>
            <w:shd w:val="clear" w:color="auto" w:fill="DBDBDB"/>
          </w:tcPr>
          <w:p>
            <w:pPr>
              <w:spacing w:after="0"/>
              <w:rPr>
                <w:sz w:val="11"/>
                <w:szCs w:val="11"/>
                <w:color w:val="auto"/>
              </w:rPr>
            </w:pPr>
          </w:p>
        </w:tc>
        <w:tc>
          <w:tcPr>
            <w:tcW w:w="1060" w:type="dxa"/>
            <w:vAlign w:val="bottom"/>
            <w:vMerge w:val="continue"/>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160" w:type="dxa"/>
            <w:vAlign w:val="bottom"/>
            <w:vMerge w:val="continue"/>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340" w:type="dxa"/>
            <w:vAlign w:val="bottom"/>
            <w:vMerge w:val="continue"/>
            <w:shd w:val="clear" w:color="auto" w:fill="DBDBDB"/>
          </w:tcPr>
          <w:p>
            <w:pPr>
              <w:spacing w:after="0"/>
              <w:rPr>
                <w:sz w:val="11"/>
                <w:szCs w:val="11"/>
                <w:color w:val="auto"/>
              </w:rPr>
            </w:pPr>
          </w:p>
        </w:tc>
        <w:tc>
          <w:tcPr>
            <w:tcW w:w="800" w:type="dxa"/>
            <w:vAlign w:val="bottom"/>
            <w:vMerge w:val="continue"/>
            <w:shd w:val="clear" w:color="auto" w:fill="DBDBDB"/>
          </w:tcPr>
          <w:p>
            <w:pPr>
              <w:spacing w:after="0"/>
              <w:rPr>
                <w:sz w:val="11"/>
                <w:szCs w:val="11"/>
                <w:color w:val="auto"/>
              </w:rPr>
            </w:pPr>
          </w:p>
        </w:tc>
        <w:tc>
          <w:tcPr>
            <w:tcW w:w="940" w:type="dxa"/>
            <w:vAlign w:val="bottom"/>
            <w:vMerge w:val="continue"/>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000" w:type="dxa"/>
            <w:vAlign w:val="bottom"/>
            <w:vMerge w:val="continue"/>
            <w:shd w:val="clear" w:color="auto" w:fill="DBDBDB"/>
          </w:tcPr>
          <w:p>
            <w:pPr>
              <w:spacing w:after="0"/>
              <w:rPr>
                <w:sz w:val="11"/>
                <w:szCs w:val="11"/>
                <w:color w:val="auto"/>
              </w:rPr>
            </w:pPr>
          </w:p>
        </w:tc>
        <w:tc>
          <w:tcPr>
            <w:tcW w:w="600" w:type="dxa"/>
            <w:vAlign w:val="bottom"/>
            <w:shd w:val="clear" w:color="auto" w:fill="DBDBDB"/>
          </w:tcPr>
          <w:p>
            <w:pPr>
              <w:spacing w:after="0"/>
              <w:rPr>
                <w:sz w:val="11"/>
                <w:szCs w:val="11"/>
                <w:color w:val="auto"/>
              </w:rPr>
            </w:pPr>
          </w:p>
        </w:tc>
        <w:tc>
          <w:tcPr>
            <w:tcW w:w="360" w:type="dxa"/>
            <w:vAlign w:val="bottom"/>
            <w:vMerge w:val="continue"/>
            <w:shd w:val="clear" w:color="auto" w:fill="DBDBDB"/>
          </w:tcPr>
          <w:p>
            <w:pPr>
              <w:spacing w:after="0"/>
              <w:rPr>
                <w:sz w:val="11"/>
                <w:szCs w:val="11"/>
                <w:color w:val="auto"/>
              </w:rPr>
            </w:pPr>
          </w:p>
        </w:tc>
        <w:tc>
          <w:tcPr>
            <w:tcW w:w="480" w:type="dxa"/>
            <w:vAlign w:val="bottom"/>
            <w:shd w:val="clear" w:color="auto" w:fill="DBDBDB"/>
          </w:tcPr>
          <w:p>
            <w:pPr>
              <w:spacing w:after="0"/>
              <w:rPr>
                <w:sz w:val="11"/>
                <w:szCs w:val="11"/>
                <w:color w:val="auto"/>
              </w:rPr>
            </w:pPr>
          </w:p>
        </w:tc>
        <w:tc>
          <w:tcPr>
            <w:tcW w:w="500" w:type="dxa"/>
            <w:vAlign w:val="bottom"/>
            <w:vMerge w:val="continue"/>
            <w:shd w:val="clear" w:color="auto" w:fill="DBDBDB"/>
          </w:tcPr>
          <w:p>
            <w:pPr>
              <w:spacing w:after="0"/>
              <w:rPr>
                <w:sz w:val="11"/>
                <w:szCs w:val="11"/>
                <w:color w:val="auto"/>
              </w:rPr>
            </w:pPr>
          </w:p>
        </w:tc>
        <w:tc>
          <w:tcPr>
            <w:tcW w:w="1180" w:type="dxa"/>
            <w:vAlign w:val="bottom"/>
            <w:gridSpan w:val="2"/>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4"/>
              </w:rPr>
              <w:t>3/7/2019</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220,413</w:t>
            </w:r>
          </w:p>
        </w:tc>
        <w:tc>
          <w:tcPr>
            <w:tcW w:w="102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shd w:val="clear" w:color="auto" w:fill="DBDBDB"/>
          </w:tcPr>
          <w:p>
            <w:pPr>
              <w:spacing w:after="0"/>
              <w:rPr>
                <w:sz w:val="21"/>
                <w:szCs w:val="21"/>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16.57</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3/7/2029</w:t>
            </w:r>
          </w:p>
        </w:tc>
        <w:tc>
          <w:tcPr>
            <w:tcW w:w="100" w:type="dxa"/>
            <w:vAlign w:val="bottom"/>
            <w:shd w:val="clear" w:color="auto" w:fill="DBDBDB"/>
          </w:tcPr>
          <w:p>
            <w:pPr>
              <w:spacing w:after="0"/>
              <w:rPr>
                <w:sz w:val="21"/>
                <w:szCs w:val="21"/>
                <w:color w:val="auto"/>
              </w:rPr>
            </w:pPr>
          </w:p>
        </w:tc>
        <w:tc>
          <w:tcPr>
            <w:tcW w:w="10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spacing w:after="0"/>
              <w:rPr>
                <w:sz w:val="21"/>
                <w:szCs w:val="21"/>
                <w:color w:val="auto"/>
              </w:rPr>
            </w:pPr>
          </w:p>
        </w:tc>
        <w:tc>
          <w:tcPr>
            <w:tcW w:w="36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shd w:val="clear" w:color="auto" w:fill="DBDBDB"/>
          </w:tcPr>
          <w:p>
            <w:pPr>
              <w:spacing w:after="0"/>
              <w:rPr>
                <w:sz w:val="21"/>
                <w:szCs w:val="21"/>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4"/>
              </w:rPr>
              <w:t>3/5/2020</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276,430</w:t>
            </w:r>
          </w:p>
        </w:tc>
        <w:tc>
          <w:tcPr>
            <w:tcW w:w="102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shd w:val="clear" w:color="auto" w:fill="DBDBDB"/>
          </w:tcPr>
          <w:p>
            <w:pPr>
              <w:spacing w:after="0"/>
              <w:rPr>
                <w:sz w:val="18"/>
                <w:szCs w:val="18"/>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17.30</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3/5/2030</w:t>
            </w: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shd w:val="clear" w:color="auto" w:fill="DBDBDB"/>
          </w:tcPr>
          <w:p>
            <w:pPr>
              <w:spacing w:after="0"/>
              <w:rPr>
                <w:sz w:val="18"/>
                <w:szCs w:val="18"/>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10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3"/>
              </w:rPr>
              <w:t>3/31/2021</w:t>
            </w:r>
            <w:r>
              <w:rPr>
                <w:rFonts w:ascii="Arial" w:cs="Arial" w:eastAsia="Arial" w:hAnsi="Arial"/>
                <w:sz w:val="16"/>
                <w:szCs w:val="16"/>
                <w:color w:val="auto"/>
                <w:w w:val="93"/>
                <w:vertAlign w:val="superscript"/>
              </w:rPr>
              <w:t>(7)</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53,901</w:t>
            </w: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233,571</w:t>
            </w:r>
          </w:p>
        </w:tc>
        <w:tc>
          <w:tcPr>
            <w:tcW w:w="720" w:type="dxa"/>
            <w:vAlign w:val="bottom"/>
            <w:shd w:val="clear" w:color="auto" w:fill="DBDBDB"/>
          </w:tcPr>
          <w:p>
            <w:pPr>
              <w:spacing w:after="0"/>
              <w:rPr>
                <w:sz w:val="21"/>
                <w:szCs w:val="21"/>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26.99</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3/31/2031</w:t>
            </w:r>
          </w:p>
        </w:tc>
        <w:tc>
          <w:tcPr>
            <w:tcW w:w="100" w:type="dxa"/>
            <w:vAlign w:val="bottom"/>
            <w:shd w:val="clear" w:color="auto" w:fill="DBDBDB"/>
          </w:tcPr>
          <w:p>
            <w:pPr>
              <w:spacing w:after="0"/>
              <w:rPr>
                <w:sz w:val="21"/>
                <w:szCs w:val="21"/>
                <w:color w:val="auto"/>
              </w:rPr>
            </w:pPr>
          </w:p>
        </w:tc>
        <w:tc>
          <w:tcPr>
            <w:tcW w:w="10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spacing w:after="0"/>
              <w:rPr>
                <w:sz w:val="21"/>
                <w:szCs w:val="21"/>
                <w:color w:val="auto"/>
              </w:rPr>
            </w:pPr>
          </w:p>
        </w:tc>
        <w:tc>
          <w:tcPr>
            <w:tcW w:w="36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shd w:val="clear" w:color="auto" w:fill="DBDBDB"/>
          </w:tcPr>
          <w:p>
            <w:pPr>
              <w:spacing w:after="0"/>
              <w:rPr>
                <w:sz w:val="21"/>
                <w:szCs w:val="21"/>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3"/>
              </w:rPr>
              <w:t>3/31/2021</w:t>
            </w:r>
            <w:r>
              <w:rPr>
                <w:rFonts w:ascii="Arial" w:cs="Arial" w:eastAsia="Arial" w:hAnsi="Arial"/>
                <w:sz w:val="16"/>
                <w:szCs w:val="16"/>
                <w:color w:val="auto"/>
                <w:w w:val="93"/>
                <w:vertAlign w:val="superscript"/>
              </w:rPr>
              <w:t>(8)</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shd w:val="clear" w:color="auto" w:fill="DBDBDB"/>
          </w:tcPr>
          <w:p>
            <w:pPr>
              <w:spacing w:after="0"/>
              <w:rPr>
                <w:sz w:val="18"/>
                <w:szCs w:val="18"/>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61,133</w:t>
            </w: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2,302,269</w:t>
            </w:r>
          </w:p>
        </w:tc>
        <w:tc>
          <w:tcPr>
            <w:tcW w:w="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3"/>
                <w:szCs w:val="13"/>
                <w:b w:val="1"/>
                <w:bCs w:val="1"/>
                <w:color w:val="auto"/>
              </w:rPr>
              <w:t>Michael P.</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3/23/2017</w:t>
            </w:r>
          </w:p>
        </w:tc>
        <w:tc>
          <w:tcPr>
            <w:tcW w:w="1060" w:type="dxa"/>
            <w:vAlign w:val="bottom"/>
          </w:tcPr>
          <w:p>
            <w:pPr>
              <w:jc w:val="right"/>
              <w:spacing w:after="0"/>
              <w:rPr>
                <w:sz w:val="20"/>
                <w:szCs w:val="20"/>
                <w:color w:val="auto"/>
              </w:rPr>
            </w:pPr>
            <w:r>
              <w:rPr>
                <w:rFonts w:ascii="Arial" w:cs="Arial" w:eastAsia="Arial" w:hAnsi="Arial"/>
                <w:sz w:val="13"/>
                <w:szCs w:val="13"/>
                <w:color w:val="auto"/>
              </w:rPr>
              <w:t>8,835</w:t>
            </w:r>
          </w:p>
        </w:tc>
        <w:tc>
          <w:tcPr>
            <w:tcW w:w="10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16.70</w:t>
            </w:r>
          </w:p>
        </w:tc>
        <w:tc>
          <w:tcPr>
            <w:tcW w:w="940" w:type="dxa"/>
            <w:vAlign w:val="bottom"/>
          </w:tcPr>
          <w:p>
            <w:pPr>
              <w:jc w:val="right"/>
              <w:spacing w:after="0"/>
              <w:rPr>
                <w:sz w:val="20"/>
                <w:szCs w:val="20"/>
                <w:color w:val="auto"/>
              </w:rPr>
            </w:pPr>
            <w:r>
              <w:rPr>
                <w:rFonts w:ascii="Arial" w:cs="Arial" w:eastAsia="Arial" w:hAnsi="Arial"/>
                <w:sz w:val="13"/>
                <w:szCs w:val="13"/>
                <w:color w:val="auto"/>
              </w:rPr>
              <w:t>3/23/2027</w:t>
            </w:r>
          </w:p>
        </w:tc>
        <w:tc>
          <w:tcPr>
            <w:tcW w:w="10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23"/>
                <w:szCs w:val="23"/>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3"/>
                <w:szCs w:val="13"/>
                <w:b w:val="1"/>
                <w:bCs w:val="1"/>
                <w:color w:val="auto"/>
              </w:rPr>
              <w:t>Mullican</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6"/>
              </w:rPr>
              <w:t>3/23/2017</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31,277</w:t>
            </w:r>
          </w:p>
        </w:tc>
        <w:tc>
          <w:tcPr>
            <w:tcW w:w="10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16.70</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3/23/2027</w:t>
            </w:r>
          </w:p>
        </w:tc>
        <w:tc>
          <w:tcPr>
            <w:tcW w:w="100" w:type="dxa"/>
            <w:vAlign w:val="bottom"/>
          </w:tcPr>
          <w:p>
            <w:pPr>
              <w:spacing w:after="0"/>
              <w:rPr>
                <w:sz w:val="14"/>
                <w:szCs w:val="14"/>
                <w:color w:val="auto"/>
              </w:rPr>
            </w:pPr>
          </w:p>
        </w:tc>
        <w:tc>
          <w:tcPr>
            <w:tcW w:w="10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3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4"/>
              </w:rPr>
              <w:t>4/5/2018</w:t>
            </w:r>
          </w:p>
        </w:tc>
        <w:tc>
          <w:tcPr>
            <w:tcW w:w="1060" w:type="dxa"/>
            <w:vAlign w:val="bottom"/>
          </w:tcPr>
          <w:p>
            <w:pPr>
              <w:jc w:val="right"/>
              <w:spacing w:after="0"/>
              <w:rPr>
                <w:sz w:val="20"/>
                <w:szCs w:val="20"/>
                <w:color w:val="auto"/>
              </w:rPr>
            </w:pPr>
            <w:r>
              <w:rPr>
                <w:rFonts w:ascii="Arial" w:cs="Arial" w:eastAsia="Arial" w:hAnsi="Arial"/>
                <w:sz w:val="13"/>
                <w:szCs w:val="13"/>
                <w:color w:val="auto"/>
              </w:rPr>
              <w:t>40,896</w:t>
            </w:r>
          </w:p>
        </w:tc>
        <w:tc>
          <w:tcPr>
            <w:tcW w:w="10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16.48</w:t>
            </w:r>
          </w:p>
        </w:tc>
        <w:tc>
          <w:tcPr>
            <w:tcW w:w="940" w:type="dxa"/>
            <w:vAlign w:val="bottom"/>
          </w:tcPr>
          <w:p>
            <w:pPr>
              <w:jc w:val="right"/>
              <w:spacing w:after="0"/>
              <w:rPr>
                <w:sz w:val="20"/>
                <w:szCs w:val="20"/>
                <w:color w:val="auto"/>
              </w:rPr>
            </w:pPr>
            <w:r>
              <w:rPr>
                <w:rFonts w:ascii="Arial" w:cs="Arial" w:eastAsia="Arial" w:hAnsi="Arial"/>
                <w:sz w:val="13"/>
                <w:szCs w:val="13"/>
                <w:color w:val="auto"/>
              </w:rPr>
              <w:t>4/5/2028</w:t>
            </w:r>
          </w:p>
        </w:tc>
        <w:tc>
          <w:tcPr>
            <w:tcW w:w="10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8"/>
                <w:szCs w:val="18"/>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4"/>
              </w:rPr>
              <w:t>3/7/2019</w:t>
            </w:r>
          </w:p>
        </w:tc>
        <w:tc>
          <w:tcPr>
            <w:tcW w:w="1060" w:type="dxa"/>
            <w:vAlign w:val="bottom"/>
          </w:tcPr>
          <w:p>
            <w:pPr>
              <w:jc w:val="right"/>
              <w:spacing w:after="0"/>
              <w:rPr>
                <w:sz w:val="20"/>
                <w:szCs w:val="20"/>
                <w:color w:val="auto"/>
              </w:rPr>
            </w:pPr>
            <w:r>
              <w:rPr>
                <w:rFonts w:ascii="Arial" w:cs="Arial" w:eastAsia="Arial" w:hAnsi="Arial"/>
                <w:sz w:val="13"/>
                <w:szCs w:val="13"/>
                <w:color w:val="auto"/>
              </w:rPr>
              <w:t>21,712</w:t>
            </w:r>
          </w:p>
        </w:tc>
        <w:tc>
          <w:tcPr>
            <w:tcW w:w="10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16.57</w:t>
            </w:r>
          </w:p>
        </w:tc>
        <w:tc>
          <w:tcPr>
            <w:tcW w:w="940" w:type="dxa"/>
            <w:vAlign w:val="bottom"/>
          </w:tcPr>
          <w:p>
            <w:pPr>
              <w:jc w:val="right"/>
              <w:spacing w:after="0"/>
              <w:rPr>
                <w:sz w:val="20"/>
                <w:szCs w:val="20"/>
                <w:color w:val="auto"/>
              </w:rPr>
            </w:pPr>
            <w:r>
              <w:rPr>
                <w:rFonts w:ascii="Arial" w:cs="Arial" w:eastAsia="Arial" w:hAnsi="Arial"/>
                <w:sz w:val="13"/>
                <w:szCs w:val="13"/>
                <w:color w:val="auto"/>
              </w:rPr>
              <w:t>3/7/2029</w:t>
            </w:r>
          </w:p>
        </w:tc>
        <w:tc>
          <w:tcPr>
            <w:tcW w:w="10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8"/>
                <w:szCs w:val="18"/>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4"/>
              </w:rPr>
              <w:t>3/7/2019</w:t>
            </w:r>
          </w:p>
        </w:tc>
        <w:tc>
          <w:tcPr>
            <w:tcW w:w="1060" w:type="dxa"/>
            <w:vAlign w:val="bottom"/>
          </w:tcPr>
          <w:p>
            <w:pPr>
              <w:jc w:val="right"/>
              <w:spacing w:after="0"/>
              <w:rPr>
                <w:sz w:val="20"/>
                <w:szCs w:val="20"/>
                <w:color w:val="auto"/>
              </w:rPr>
            </w:pPr>
            <w:r>
              <w:rPr>
                <w:rFonts w:ascii="Arial" w:cs="Arial" w:eastAsia="Arial" w:hAnsi="Arial"/>
                <w:sz w:val="13"/>
                <w:szCs w:val="13"/>
                <w:color w:val="auto"/>
              </w:rPr>
              <w:t>44,082</w:t>
            </w:r>
          </w:p>
        </w:tc>
        <w:tc>
          <w:tcPr>
            <w:tcW w:w="10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16.57</w:t>
            </w:r>
          </w:p>
        </w:tc>
        <w:tc>
          <w:tcPr>
            <w:tcW w:w="940" w:type="dxa"/>
            <w:vAlign w:val="bottom"/>
          </w:tcPr>
          <w:p>
            <w:pPr>
              <w:jc w:val="right"/>
              <w:spacing w:after="0"/>
              <w:rPr>
                <w:sz w:val="20"/>
                <w:szCs w:val="20"/>
                <w:color w:val="auto"/>
              </w:rPr>
            </w:pPr>
            <w:r>
              <w:rPr>
                <w:rFonts w:ascii="Arial" w:cs="Arial" w:eastAsia="Arial" w:hAnsi="Arial"/>
                <w:sz w:val="13"/>
                <w:szCs w:val="13"/>
                <w:color w:val="auto"/>
              </w:rPr>
              <w:t>3/7/2029</w:t>
            </w:r>
          </w:p>
        </w:tc>
        <w:tc>
          <w:tcPr>
            <w:tcW w:w="10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8"/>
                <w:szCs w:val="18"/>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4"/>
              </w:rPr>
              <w:t>3/5/2020</w:t>
            </w:r>
          </w:p>
        </w:tc>
        <w:tc>
          <w:tcPr>
            <w:tcW w:w="1060" w:type="dxa"/>
            <w:vAlign w:val="bottom"/>
          </w:tcPr>
          <w:p>
            <w:pPr>
              <w:jc w:val="right"/>
              <w:spacing w:after="0"/>
              <w:rPr>
                <w:sz w:val="20"/>
                <w:szCs w:val="20"/>
                <w:color w:val="auto"/>
              </w:rPr>
            </w:pPr>
            <w:r>
              <w:rPr>
                <w:rFonts w:ascii="Arial" w:cs="Arial" w:eastAsia="Arial" w:hAnsi="Arial"/>
                <w:sz w:val="13"/>
                <w:szCs w:val="13"/>
                <w:color w:val="auto"/>
              </w:rPr>
              <w:t>49,757</w:t>
            </w:r>
          </w:p>
        </w:tc>
        <w:tc>
          <w:tcPr>
            <w:tcW w:w="10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17.30</w:t>
            </w:r>
          </w:p>
        </w:tc>
        <w:tc>
          <w:tcPr>
            <w:tcW w:w="940" w:type="dxa"/>
            <w:vAlign w:val="bottom"/>
          </w:tcPr>
          <w:p>
            <w:pPr>
              <w:jc w:val="right"/>
              <w:spacing w:after="0"/>
              <w:rPr>
                <w:sz w:val="20"/>
                <w:szCs w:val="20"/>
                <w:color w:val="auto"/>
              </w:rPr>
            </w:pPr>
            <w:r>
              <w:rPr>
                <w:rFonts w:ascii="Arial" w:cs="Arial" w:eastAsia="Arial" w:hAnsi="Arial"/>
                <w:sz w:val="13"/>
                <w:szCs w:val="13"/>
                <w:color w:val="auto"/>
              </w:rPr>
              <w:t>3/5/2030</w:t>
            </w:r>
          </w:p>
        </w:tc>
        <w:tc>
          <w:tcPr>
            <w:tcW w:w="10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8"/>
                <w:szCs w:val="18"/>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3/31/2021</w:t>
            </w:r>
            <w:r>
              <w:rPr>
                <w:rFonts w:ascii="Arial" w:cs="Arial" w:eastAsia="Arial" w:hAnsi="Arial"/>
                <w:sz w:val="16"/>
                <w:szCs w:val="16"/>
                <w:color w:val="auto"/>
                <w:w w:val="93"/>
                <w:vertAlign w:val="superscript"/>
              </w:rPr>
              <w:t>(9)</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56,843</w:t>
            </w:r>
          </w:p>
        </w:tc>
        <w:tc>
          <w:tcPr>
            <w:tcW w:w="7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26.99</w:t>
            </w:r>
          </w:p>
        </w:tc>
        <w:tc>
          <w:tcPr>
            <w:tcW w:w="940" w:type="dxa"/>
            <w:vAlign w:val="bottom"/>
          </w:tcPr>
          <w:p>
            <w:pPr>
              <w:jc w:val="right"/>
              <w:spacing w:after="0"/>
              <w:rPr>
                <w:sz w:val="20"/>
                <w:szCs w:val="20"/>
                <w:color w:val="auto"/>
              </w:rPr>
            </w:pPr>
            <w:r>
              <w:rPr>
                <w:rFonts w:ascii="Arial" w:cs="Arial" w:eastAsia="Arial" w:hAnsi="Arial"/>
                <w:sz w:val="13"/>
                <w:szCs w:val="13"/>
                <w:color w:val="auto"/>
              </w:rPr>
              <w:t>3/31/2031</w:t>
            </w:r>
          </w:p>
        </w:tc>
        <w:tc>
          <w:tcPr>
            <w:tcW w:w="10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23"/>
                <w:szCs w:val="23"/>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3/31/2021</w:t>
            </w:r>
            <w:r>
              <w:rPr>
                <w:rFonts w:ascii="Arial" w:cs="Arial" w:eastAsia="Arial" w:hAnsi="Arial"/>
                <w:sz w:val="16"/>
                <w:szCs w:val="16"/>
                <w:color w:val="auto"/>
                <w:w w:val="93"/>
                <w:vertAlign w:val="superscript"/>
              </w:rPr>
              <w:t>(10)</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8"/>
                <w:szCs w:val="18"/>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12,226</w:t>
            </w:r>
          </w:p>
        </w:tc>
        <w:tc>
          <w:tcPr>
            <w:tcW w:w="1080" w:type="dxa"/>
            <w:vAlign w:val="bottom"/>
          </w:tcPr>
          <w:p>
            <w:pPr>
              <w:jc w:val="right"/>
              <w:spacing w:after="0"/>
              <w:rPr>
                <w:sz w:val="20"/>
                <w:szCs w:val="20"/>
                <w:color w:val="auto"/>
              </w:rPr>
            </w:pPr>
            <w:r>
              <w:rPr>
                <w:rFonts w:ascii="Arial" w:cs="Arial" w:eastAsia="Arial" w:hAnsi="Arial"/>
                <w:sz w:val="13"/>
                <w:szCs w:val="13"/>
                <w:color w:val="auto"/>
              </w:rPr>
              <w:t>460,431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88"/>
              </w:rPr>
              <w:t>9/10/2021</w:t>
            </w:r>
            <w:r>
              <w:rPr>
                <w:rFonts w:ascii="Arial" w:cs="Arial" w:eastAsia="Arial" w:hAnsi="Arial"/>
                <w:sz w:val="16"/>
                <w:szCs w:val="16"/>
                <w:color w:val="auto"/>
                <w:w w:val="88"/>
                <w:vertAlign w:val="superscript"/>
              </w:rPr>
              <w:t>(11)</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21,862</w:t>
            </w:r>
          </w:p>
        </w:tc>
        <w:tc>
          <w:tcPr>
            <w:tcW w:w="960" w:type="dxa"/>
            <w:vAlign w:val="bottom"/>
            <w:gridSpan w:val="2"/>
          </w:tcPr>
          <w:p>
            <w:pPr>
              <w:jc w:val="right"/>
              <w:ind w:right="57"/>
              <w:spacing w:after="0"/>
              <w:rPr>
                <w:sz w:val="20"/>
                <w:szCs w:val="20"/>
                <w:color w:val="auto"/>
              </w:rPr>
            </w:pPr>
            <w:r>
              <w:rPr>
                <w:rFonts w:ascii="Arial" w:cs="Arial" w:eastAsia="Arial" w:hAnsi="Arial"/>
                <w:sz w:val="13"/>
                <w:szCs w:val="13"/>
                <w:color w:val="auto"/>
              </w:rPr>
              <w:t>823,323</w:t>
            </w:r>
          </w:p>
        </w:tc>
        <w:tc>
          <w:tcPr>
            <w:tcW w:w="4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100" w:type="dxa"/>
            <w:vAlign w:val="bottom"/>
            <w:shd w:val="clear" w:color="auto" w:fill="DBDBDB"/>
          </w:tcPr>
          <w:p>
            <w:pPr>
              <w:spacing w:after="0"/>
              <w:rPr>
                <w:sz w:val="19"/>
                <w:szCs w:val="19"/>
                <w:color w:val="auto"/>
              </w:rPr>
            </w:pPr>
          </w:p>
        </w:tc>
        <w:tc>
          <w:tcPr>
            <w:tcW w:w="880" w:type="dxa"/>
            <w:vAlign w:val="bottom"/>
            <w:vMerge w:val="restart"/>
            <w:shd w:val="clear" w:color="auto" w:fill="DBDBDB"/>
          </w:tcPr>
          <w:p>
            <w:pPr>
              <w:spacing w:after="0"/>
              <w:rPr>
                <w:sz w:val="20"/>
                <w:szCs w:val="20"/>
                <w:color w:val="auto"/>
              </w:rPr>
            </w:pPr>
            <w:r>
              <w:rPr>
                <w:rFonts w:ascii="Arial" w:cs="Arial" w:eastAsia="Arial" w:hAnsi="Arial"/>
                <w:sz w:val="13"/>
                <w:szCs w:val="13"/>
                <w:b w:val="1"/>
                <w:bCs w:val="1"/>
                <w:color w:val="auto"/>
              </w:rPr>
              <w:t>Steve P.</w:t>
            </w: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3"/>
              </w:rPr>
              <w:t>3/31/2021</w:t>
            </w:r>
            <w:r>
              <w:rPr>
                <w:rFonts w:ascii="Arial" w:cs="Arial" w:eastAsia="Arial" w:hAnsi="Arial"/>
                <w:sz w:val="16"/>
                <w:szCs w:val="16"/>
                <w:color w:val="auto"/>
                <w:w w:val="93"/>
                <w:vertAlign w:val="superscript"/>
              </w:rPr>
              <w:t>(9)</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56,843</w:t>
            </w:r>
          </w:p>
        </w:tc>
        <w:tc>
          <w:tcPr>
            <w:tcW w:w="720" w:type="dxa"/>
            <w:vAlign w:val="bottom"/>
            <w:shd w:val="clear" w:color="auto" w:fill="DBDBDB"/>
          </w:tcPr>
          <w:p>
            <w:pPr>
              <w:spacing w:after="0"/>
              <w:rPr>
                <w:sz w:val="19"/>
                <w:szCs w:val="19"/>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26.99</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3/31/2031</w:t>
            </w:r>
          </w:p>
        </w:tc>
        <w:tc>
          <w:tcPr>
            <w:tcW w:w="100" w:type="dxa"/>
            <w:vAlign w:val="bottom"/>
            <w:shd w:val="clear" w:color="auto" w:fill="DBDBDB"/>
          </w:tcPr>
          <w:p>
            <w:pPr>
              <w:spacing w:after="0"/>
              <w:rPr>
                <w:sz w:val="19"/>
                <w:szCs w:val="19"/>
                <w:color w:val="auto"/>
              </w:rPr>
            </w:pPr>
          </w:p>
        </w:tc>
        <w:tc>
          <w:tcPr>
            <w:tcW w:w="10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shd w:val="clear" w:color="auto" w:fill="DBDBDB"/>
          </w:tcPr>
          <w:p>
            <w:pPr>
              <w:spacing w:after="0"/>
              <w:rPr>
                <w:sz w:val="19"/>
                <w:szCs w:val="19"/>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0"/>
        </w:trPr>
        <w:tc>
          <w:tcPr>
            <w:tcW w:w="100" w:type="dxa"/>
            <w:vAlign w:val="bottom"/>
            <w:shd w:val="clear" w:color="auto" w:fill="DBDBDB"/>
          </w:tcPr>
          <w:p>
            <w:pPr>
              <w:spacing w:after="0"/>
              <w:rPr>
                <w:sz w:val="3"/>
                <w:szCs w:val="3"/>
                <w:color w:val="auto"/>
              </w:rPr>
            </w:pPr>
          </w:p>
        </w:tc>
        <w:tc>
          <w:tcPr>
            <w:tcW w:w="880" w:type="dxa"/>
            <w:vAlign w:val="bottom"/>
            <w:vMerge w:val="continue"/>
            <w:shd w:val="clear" w:color="auto" w:fill="DBDBDB"/>
          </w:tcPr>
          <w:p>
            <w:pPr>
              <w:spacing w:after="0"/>
              <w:rPr>
                <w:sz w:val="3"/>
                <w:szCs w:val="3"/>
                <w:color w:val="auto"/>
              </w:rPr>
            </w:pPr>
          </w:p>
        </w:tc>
        <w:tc>
          <w:tcPr>
            <w:tcW w:w="1000" w:type="dxa"/>
            <w:vAlign w:val="bottom"/>
            <w:shd w:val="clear" w:color="auto" w:fill="DBDBDB"/>
          </w:tcPr>
          <w:p>
            <w:pPr>
              <w:spacing w:after="0"/>
              <w:rPr>
                <w:sz w:val="3"/>
                <w:szCs w:val="3"/>
                <w:color w:val="auto"/>
              </w:rPr>
            </w:pPr>
          </w:p>
        </w:tc>
        <w:tc>
          <w:tcPr>
            <w:tcW w:w="1060" w:type="dxa"/>
            <w:vAlign w:val="bottom"/>
            <w:shd w:val="clear" w:color="auto" w:fill="DBDBDB"/>
          </w:tcPr>
          <w:p>
            <w:pPr>
              <w:spacing w:after="0"/>
              <w:rPr>
                <w:sz w:val="3"/>
                <w:szCs w:val="3"/>
                <w:color w:val="auto"/>
              </w:rPr>
            </w:pPr>
          </w:p>
        </w:tc>
        <w:tc>
          <w:tcPr>
            <w:tcW w:w="1020" w:type="dxa"/>
            <w:vAlign w:val="bottom"/>
            <w:shd w:val="clear" w:color="auto" w:fill="DBDBDB"/>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720" w:type="dxa"/>
            <w:vAlign w:val="bottom"/>
            <w:shd w:val="clear" w:color="auto" w:fill="DBDBDB"/>
          </w:tcPr>
          <w:p>
            <w:pPr>
              <w:spacing w:after="0"/>
              <w:rPr>
                <w:sz w:val="3"/>
                <w:szCs w:val="3"/>
                <w:color w:val="auto"/>
              </w:rPr>
            </w:pPr>
          </w:p>
        </w:tc>
        <w:tc>
          <w:tcPr>
            <w:tcW w:w="340" w:type="dxa"/>
            <w:vAlign w:val="bottom"/>
            <w:shd w:val="clear" w:color="auto" w:fill="DBDBDB"/>
          </w:tcPr>
          <w:p>
            <w:pPr>
              <w:spacing w:after="0"/>
              <w:rPr>
                <w:sz w:val="3"/>
                <w:szCs w:val="3"/>
                <w:color w:val="auto"/>
              </w:rPr>
            </w:pPr>
          </w:p>
        </w:tc>
        <w:tc>
          <w:tcPr>
            <w:tcW w:w="800" w:type="dxa"/>
            <w:vAlign w:val="bottom"/>
            <w:shd w:val="clear" w:color="auto" w:fill="DBDBDB"/>
          </w:tcPr>
          <w:p>
            <w:pPr>
              <w:spacing w:after="0"/>
              <w:rPr>
                <w:sz w:val="3"/>
                <w:szCs w:val="3"/>
                <w:color w:val="auto"/>
              </w:rPr>
            </w:pPr>
          </w:p>
        </w:tc>
        <w:tc>
          <w:tcPr>
            <w:tcW w:w="94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000" w:type="dxa"/>
            <w:vAlign w:val="bottom"/>
            <w:shd w:val="clear" w:color="auto" w:fill="DBDBDB"/>
          </w:tcPr>
          <w:p>
            <w:pPr>
              <w:spacing w:after="0"/>
              <w:rPr>
                <w:sz w:val="3"/>
                <w:szCs w:val="3"/>
                <w:color w:val="auto"/>
              </w:rPr>
            </w:pPr>
          </w:p>
        </w:tc>
        <w:tc>
          <w:tcPr>
            <w:tcW w:w="600" w:type="dxa"/>
            <w:vAlign w:val="bottom"/>
            <w:shd w:val="clear" w:color="auto" w:fill="DBDBDB"/>
          </w:tcPr>
          <w:p>
            <w:pPr>
              <w:spacing w:after="0"/>
              <w:rPr>
                <w:sz w:val="3"/>
                <w:szCs w:val="3"/>
                <w:color w:val="auto"/>
              </w:rPr>
            </w:pPr>
          </w:p>
        </w:tc>
        <w:tc>
          <w:tcPr>
            <w:tcW w:w="36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500" w:type="dxa"/>
            <w:vAlign w:val="bottom"/>
            <w:shd w:val="clear" w:color="auto" w:fill="DBDBDB"/>
          </w:tcPr>
          <w:p>
            <w:pPr>
              <w:spacing w:after="0"/>
              <w:rPr>
                <w:sz w:val="3"/>
                <w:szCs w:val="3"/>
                <w:color w:val="auto"/>
              </w:rPr>
            </w:pPr>
          </w:p>
        </w:tc>
        <w:tc>
          <w:tcPr>
            <w:tcW w:w="108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100" w:type="dxa"/>
            <w:vAlign w:val="bottom"/>
            <w:shd w:val="clear" w:color="auto" w:fill="DBDBDB"/>
          </w:tcPr>
          <w:p>
            <w:pPr>
              <w:spacing w:after="0"/>
              <w:rPr>
                <w:sz w:val="23"/>
                <w:szCs w:val="23"/>
                <w:color w:val="auto"/>
              </w:rPr>
            </w:pPr>
          </w:p>
        </w:tc>
        <w:tc>
          <w:tcPr>
            <w:tcW w:w="880" w:type="dxa"/>
            <w:vAlign w:val="bottom"/>
            <w:shd w:val="clear" w:color="auto" w:fill="DBDBDB"/>
          </w:tcPr>
          <w:p>
            <w:pPr>
              <w:spacing w:after="0"/>
              <w:rPr>
                <w:sz w:val="20"/>
                <w:szCs w:val="20"/>
                <w:color w:val="auto"/>
              </w:rPr>
            </w:pPr>
            <w:r>
              <w:rPr>
                <w:rFonts w:ascii="Arial" w:cs="Arial" w:eastAsia="Arial" w:hAnsi="Arial"/>
                <w:sz w:val="13"/>
                <w:szCs w:val="13"/>
                <w:b w:val="1"/>
                <w:bCs w:val="1"/>
                <w:color w:val="auto"/>
              </w:rPr>
              <w:t>Lawrence</w:t>
            </w: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3"/>
              </w:rPr>
              <w:t>3/31/2021</w:t>
            </w:r>
            <w:r>
              <w:rPr>
                <w:rFonts w:ascii="Arial" w:cs="Arial" w:eastAsia="Arial" w:hAnsi="Arial"/>
                <w:sz w:val="16"/>
                <w:szCs w:val="16"/>
                <w:color w:val="auto"/>
                <w:w w:val="93"/>
                <w:vertAlign w:val="superscript"/>
              </w:rPr>
              <w:t>(10)</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DBDBDB"/>
          </w:tcPr>
          <w:p>
            <w:pPr>
              <w:spacing w:after="0"/>
              <w:rPr>
                <w:sz w:val="23"/>
                <w:szCs w:val="23"/>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shd w:val="clear" w:color="auto" w:fill="DBDBDB"/>
          </w:tcPr>
          <w:p>
            <w:pPr>
              <w:spacing w:after="0"/>
              <w:rPr>
                <w:sz w:val="23"/>
                <w:szCs w:val="23"/>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spacing w:after="0"/>
              <w:rPr>
                <w:sz w:val="23"/>
                <w:szCs w:val="23"/>
                <w:color w:val="auto"/>
              </w:rPr>
            </w:pPr>
          </w:p>
        </w:tc>
        <w:tc>
          <w:tcPr>
            <w:tcW w:w="36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12,226</w:t>
            </w: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460,431</w:t>
            </w:r>
          </w:p>
        </w:tc>
        <w:tc>
          <w:tcPr>
            <w:tcW w:w="10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88"/>
              </w:rPr>
              <w:t>9/10/2021</w:t>
            </w:r>
            <w:r>
              <w:rPr>
                <w:rFonts w:ascii="Arial" w:cs="Arial" w:eastAsia="Arial" w:hAnsi="Arial"/>
                <w:sz w:val="16"/>
                <w:szCs w:val="16"/>
                <w:color w:val="auto"/>
                <w:w w:val="88"/>
                <w:vertAlign w:val="superscript"/>
              </w:rPr>
              <w:t>(11)</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shd w:val="clear" w:color="auto" w:fill="DBDBDB"/>
          </w:tcPr>
          <w:p>
            <w:pPr>
              <w:spacing w:after="0"/>
              <w:rPr>
                <w:sz w:val="18"/>
                <w:szCs w:val="18"/>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21,862</w:t>
            </w:r>
          </w:p>
        </w:tc>
        <w:tc>
          <w:tcPr>
            <w:tcW w:w="960" w:type="dxa"/>
            <w:vAlign w:val="bottom"/>
            <w:gridSpan w:val="2"/>
            <w:shd w:val="clear" w:color="auto" w:fill="DBDBDB"/>
          </w:tcPr>
          <w:p>
            <w:pPr>
              <w:jc w:val="right"/>
              <w:ind w:right="57"/>
              <w:spacing w:after="0"/>
              <w:rPr>
                <w:sz w:val="20"/>
                <w:szCs w:val="20"/>
                <w:color w:val="auto"/>
              </w:rPr>
            </w:pPr>
            <w:r>
              <w:rPr>
                <w:rFonts w:ascii="Arial" w:cs="Arial" w:eastAsia="Arial" w:hAnsi="Arial"/>
                <w:sz w:val="13"/>
                <w:szCs w:val="13"/>
                <w:color w:val="auto"/>
              </w:rPr>
              <w:t>823,323</w:t>
            </w:r>
          </w:p>
        </w:tc>
        <w:tc>
          <w:tcPr>
            <w:tcW w:w="480" w:type="dxa"/>
            <w:vAlign w:val="bottom"/>
            <w:shd w:val="clear" w:color="auto" w:fill="DBDBDB"/>
          </w:tcPr>
          <w:p>
            <w:pPr>
              <w:spacing w:after="0"/>
              <w:rPr>
                <w:sz w:val="18"/>
                <w:szCs w:val="18"/>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80" w:type="dxa"/>
            <w:vAlign w:val="bottom"/>
            <w:vMerge w:val="restart"/>
          </w:tcPr>
          <w:p>
            <w:pPr>
              <w:spacing w:after="0"/>
              <w:rPr>
                <w:sz w:val="20"/>
                <w:szCs w:val="20"/>
                <w:color w:val="auto"/>
              </w:rPr>
            </w:pPr>
            <w:r>
              <w:rPr>
                <w:rFonts w:ascii="Arial" w:cs="Arial" w:eastAsia="Arial" w:hAnsi="Arial"/>
                <w:sz w:val="13"/>
                <w:szCs w:val="13"/>
                <w:b w:val="1"/>
                <w:bCs w:val="1"/>
                <w:color w:val="auto"/>
              </w:rPr>
              <w:t>Sam J.</w:t>
            </w:r>
          </w:p>
        </w:tc>
        <w:tc>
          <w:tcPr>
            <w:tcW w:w="1000" w:type="dxa"/>
            <w:vAlign w:val="bottom"/>
          </w:tcPr>
          <w:p>
            <w:pPr>
              <w:jc w:val="center"/>
              <w:spacing w:after="0"/>
              <w:rPr>
                <w:sz w:val="20"/>
                <w:szCs w:val="20"/>
                <w:color w:val="auto"/>
              </w:rPr>
            </w:pPr>
            <w:r>
              <w:rPr>
                <w:rFonts w:ascii="Arial" w:cs="Arial" w:eastAsia="Arial" w:hAnsi="Arial"/>
                <w:sz w:val="13"/>
                <w:szCs w:val="13"/>
                <w:color w:val="auto"/>
                <w:w w:val="94"/>
              </w:rPr>
              <w:t>6/6/2017</w:t>
            </w:r>
          </w:p>
        </w:tc>
        <w:tc>
          <w:tcPr>
            <w:tcW w:w="1060" w:type="dxa"/>
            <w:vAlign w:val="bottom"/>
          </w:tcPr>
          <w:p>
            <w:pPr>
              <w:jc w:val="right"/>
              <w:spacing w:after="0"/>
              <w:rPr>
                <w:sz w:val="20"/>
                <w:szCs w:val="20"/>
                <w:color w:val="auto"/>
              </w:rPr>
            </w:pPr>
            <w:r>
              <w:rPr>
                <w:rFonts w:ascii="Arial" w:cs="Arial" w:eastAsia="Arial" w:hAnsi="Arial"/>
                <w:sz w:val="13"/>
                <w:szCs w:val="13"/>
                <w:color w:val="auto"/>
              </w:rPr>
              <w:t>6,625</w:t>
            </w:r>
          </w:p>
        </w:tc>
        <w:tc>
          <w:tcPr>
            <w:tcW w:w="10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16.70</w:t>
            </w:r>
          </w:p>
        </w:tc>
        <w:tc>
          <w:tcPr>
            <w:tcW w:w="940" w:type="dxa"/>
            <w:vAlign w:val="bottom"/>
          </w:tcPr>
          <w:p>
            <w:pPr>
              <w:jc w:val="right"/>
              <w:spacing w:after="0"/>
              <w:rPr>
                <w:sz w:val="20"/>
                <w:szCs w:val="20"/>
                <w:color w:val="auto"/>
              </w:rPr>
            </w:pPr>
            <w:r>
              <w:rPr>
                <w:rFonts w:ascii="Arial" w:cs="Arial" w:eastAsia="Arial" w:hAnsi="Arial"/>
                <w:sz w:val="13"/>
                <w:szCs w:val="13"/>
                <w:color w:val="auto"/>
              </w:rPr>
              <w:t>6/6/2027</w:t>
            </w:r>
          </w:p>
        </w:tc>
        <w:tc>
          <w:tcPr>
            <w:tcW w:w="10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8"/>
                <w:szCs w:val="18"/>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3"/>
                <w:szCs w:val="13"/>
                <w:b w:val="1"/>
                <w:bCs w:val="1"/>
                <w:color w:val="auto"/>
              </w:rPr>
              <w:t>Johnson</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4"/>
              </w:rPr>
              <w:t>3/7/2019</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18,998</w:t>
            </w:r>
          </w:p>
        </w:tc>
        <w:tc>
          <w:tcPr>
            <w:tcW w:w="10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16.57</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3/7/2029</w:t>
            </w:r>
          </w:p>
        </w:tc>
        <w:tc>
          <w:tcPr>
            <w:tcW w:w="100" w:type="dxa"/>
            <w:vAlign w:val="bottom"/>
          </w:tcPr>
          <w:p>
            <w:pPr>
              <w:spacing w:after="0"/>
              <w:rPr>
                <w:sz w:val="14"/>
                <w:szCs w:val="14"/>
                <w:color w:val="auto"/>
              </w:rPr>
            </w:pPr>
          </w:p>
        </w:tc>
        <w:tc>
          <w:tcPr>
            <w:tcW w:w="10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3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4"/>
              </w:rPr>
              <w:t>3/7/2019</w:t>
            </w:r>
          </w:p>
        </w:tc>
        <w:tc>
          <w:tcPr>
            <w:tcW w:w="1060" w:type="dxa"/>
            <w:vAlign w:val="bottom"/>
          </w:tcPr>
          <w:p>
            <w:pPr>
              <w:jc w:val="right"/>
              <w:spacing w:after="0"/>
              <w:rPr>
                <w:sz w:val="20"/>
                <w:szCs w:val="20"/>
                <w:color w:val="auto"/>
              </w:rPr>
            </w:pPr>
            <w:r>
              <w:rPr>
                <w:rFonts w:ascii="Arial" w:cs="Arial" w:eastAsia="Arial" w:hAnsi="Arial"/>
                <w:sz w:val="13"/>
                <w:szCs w:val="13"/>
                <w:color w:val="auto"/>
              </w:rPr>
              <w:t>38,572</w:t>
            </w:r>
          </w:p>
        </w:tc>
        <w:tc>
          <w:tcPr>
            <w:tcW w:w="10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16.57</w:t>
            </w:r>
          </w:p>
        </w:tc>
        <w:tc>
          <w:tcPr>
            <w:tcW w:w="940" w:type="dxa"/>
            <w:vAlign w:val="bottom"/>
          </w:tcPr>
          <w:p>
            <w:pPr>
              <w:jc w:val="right"/>
              <w:spacing w:after="0"/>
              <w:rPr>
                <w:sz w:val="20"/>
                <w:szCs w:val="20"/>
                <w:color w:val="auto"/>
              </w:rPr>
            </w:pPr>
            <w:r>
              <w:rPr>
                <w:rFonts w:ascii="Arial" w:cs="Arial" w:eastAsia="Arial" w:hAnsi="Arial"/>
                <w:sz w:val="13"/>
                <w:szCs w:val="13"/>
                <w:color w:val="auto"/>
              </w:rPr>
              <w:t>3/7/2029</w:t>
            </w:r>
          </w:p>
        </w:tc>
        <w:tc>
          <w:tcPr>
            <w:tcW w:w="10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21"/>
                <w:szCs w:val="21"/>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4"/>
              </w:rPr>
              <w:t>3/5/2020</w:t>
            </w:r>
          </w:p>
        </w:tc>
        <w:tc>
          <w:tcPr>
            <w:tcW w:w="1060" w:type="dxa"/>
            <w:vAlign w:val="bottom"/>
          </w:tcPr>
          <w:p>
            <w:pPr>
              <w:jc w:val="right"/>
              <w:spacing w:after="0"/>
              <w:rPr>
                <w:sz w:val="20"/>
                <w:szCs w:val="20"/>
                <w:color w:val="auto"/>
              </w:rPr>
            </w:pPr>
            <w:r>
              <w:rPr>
                <w:rFonts w:ascii="Arial" w:cs="Arial" w:eastAsia="Arial" w:hAnsi="Arial"/>
                <w:sz w:val="13"/>
                <w:szCs w:val="13"/>
                <w:color w:val="auto"/>
              </w:rPr>
              <w:t>49,757</w:t>
            </w:r>
          </w:p>
        </w:tc>
        <w:tc>
          <w:tcPr>
            <w:tcW w:w="10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17.30</w:t>
            </w:r>
          </w:p>
        </w:tc>
        <w:tc>
          <w:tcPr>
            <w:tcW w:w="940" w:type="dxa"/>
            <w:vAlign w:val="bottom"/>
          </w:tcPr>
          <w:p>
            <w:pPr>
              <w:jc w:val="right"/>
              <w:spacing w:after="0"/>
              <w:rPr>
                <w:sz w:val="20"/>
                <w:szCs w:val="20"/>
                <w:color w:val="auto"/>
              </w:rPr>
            </w:pPr>
            <w:r>
              <w:rPr>
                <w:rFonts w:ascii="Arial" w:cs="Arial" w:eastAsia="Arial" w:hAnsi="Arial"/>
                <w:sz w:val="13"/>
                <w:szCs w:val="13"/>
                <w:color w:val="auto"/>
              </w:rPr>
              <w:t>3/5/2030</w:t>
            </w:r>
          </w:p>
        </w:tc>
        <w:tc>
          <w:tcPr>
            <w:tcW w:w="10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8"/>
                <w:szCs w:val="18"/>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3/31/2021</w:t>
            </w:r>
            <w:r>
              <w:rPr>
                <w:rFonts w:ascii="Arial" w:cs="Arial" w:eastAsia="Arial" w:hAnsi="Arial"/>
                <w:sz w:val="16"/>
                <w:szCs w:val="16"/>
                <w:color w:val="auto"/>
                <w:w w:val="93"/>
                <w:vertAlign w:val="superscript"/>
              </w:rPr>
              <w:t>(9)</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51,158</w:t>
            </w:r>
          </w:p>
        </w:tc>
        <w:tc>
          <w:tcPr>
            <w:tcW w:w="7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26.99</w:t>
            </w:r>
          </w:p>
        </w:tc>
        <w:tc>
          <w:tcPr>
            <w:tcW w:w="940" w:type="dxa"/>
            <w:vAlign w:val="bottom"/>
          </w:tcPr>
          <w:p>
            <w:pPr>
              <w:jc w:val="right"/>
              <w:spacing w:after="0"/>
              <w:rPr>
                <w:sz w:val="20"/>
                <w:szCs w:val="20"/>
                <w:color w:val="auto"/>
              </w:rPr>
            </w:pPr>
            <w:r>
              <w:rPr>
                <w:rFonts w:ascii="Arial" w:cs="Arial" w:eastAsia="Arial" w:hAnsi="Arial"/>
                <w:sz w:val="13"/>
                <w:szCs w:val="13"/>
                <w:color w:val="auto"/>
              </w:rPr>
              <w:t>3/31/2031</w:t>
            </w:r>
          </w:p>
        </w:tc>
        <w:tc>
          <w:tcPr>
            <w:tcW w:w="10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23"/>
                <w:szCs w:val="23"/>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3/31/2021</w:t>
            </w:r>
            <w:r>
              <w:rPr>
                <w:rFonts w:ascii="Arial" w:cs="Arial" w:eastAsia="Arial" w:hAnsi="Arial"/>
                <w:sz w:val="16"/>
                <w:szCs w:val="16"/>
                <w:color w:val="auto"/>
                <w:w w:val="93"/>
                <w:vertAlign w:val="superscript"/>
              </w:rPr>
              <w:t>(10)</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8"/>
                <w:szCs w:val="18"/>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11,004</w:t>
            </w:r>
          </w:p>
        </w:tc>
        <w:tc>
          <w:tcPr>
            <w:tcW w:w="1080" w:type="dxa"/>
            <w:vAlign w:val="bottom"/>
          </w:tcPr>
          <w:p>
            <w:pPr>
              <w:jc w:val="right"/>
              <w:spacing w:after="0"/>
              <w:rPr>
                <w:sz w:val="20"/>
                <w:szCs w:val="20"/>
                <w:color w:val="auto"/>
              </w:rPr>
            </w:pPr>
            <w:r>
              <w:rPr>
                <w:rFonts w:ascii="Arial" w:cs="Arial" w:eastAsia="Arial" w:hAnsi="Arial"/>
                <w:sz w:val="13"/>
                <w:szCs w:val="13"/>
                <w:color w:val="auto"/>
              </w:rPr>
              <w:t>414,411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88"/>
              </w:rPr>
              <w:t>9/10/2021</w:t>
            </w:r>
            <w:r>
              <w:rPr>
                <w:rFonts w:ascii="Arial" w:cs="Arial" w:eastAsia="Arial" w:hAnsi="Arial"/>
                <w:sz w:val="16"/>
                <w:szCs w:val="16"/>
                <w:color w:val="auto"/>
                <w:w w:val="88"/>
                <w:vertAlign w:val="superscript"/>
              </w:rPr>
              <w:t>(11)</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21,862</w:t>
            </w:r>
          </w:p>
        </w:tc>
        <w:tc>
          <w:tcPr>
            <w:tcW w:w="960" w:type="dxa"/>
            <w:vAlign w:val="bottom"/>
            <w:gridSpan w:val="2"/>
          </w:tcPr>
          <w:p>
            <w:pPr>
              <w:jc w:val="right"/>
              <w:ind w:right="57"/>
              <w:spacing w:after="0"/>
              <w:rPr>
                <w:sz w:val="20"/>
                <w:szCs w:val="20"/>
                <w:color w:val="auto"/>
              </w:rPr>
            </w:pPr>
            <w:r>
              <w:rPr>
                <w:rFonts w:ascii="Arial" w:cs="Arial" w:eastAsia="Arial" w:hAnsi="Arial"/>
                <w:sz w:val="13"/>
                <w:szCs w:val="13"/>
                <w:color w:val="auto"/>
              </w:rPr>
              <w:t>823,323</w:t>
            </w: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770255</wp:posOffset>
            </wp:positionV>
            <wp:extent cx="857250" cy="205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ind w:left="9080"/>
        <w:spacing w:after="0"/>
        <w:rPr>
          <w:sz w:val="20"/>
          <w:szCs w:val="20"/>
          <w:color w:val="auto"/>
        </w:rPr>
      </w:pPr>
      <w:r>
        <w:rPr>
          <w:rFonts w:ascii="Arial" w:cs="Arial" w:eastAsia="Arial" w:hAnsi="Arial"/>
          <w:sz w:val="12"/>
          <w:szCs w:val="12"/>
          <w:color w:val="auto"/>
        </w:rPr>
        <w:t xml:space="preserve">Academy Sports and Outdoors, Inc. </w:t>
      </w:r>
      <w:r>
        <w:rPr>
          <w:rFonts w:ascii="Arial" w:cs="Arial" w:eastAsia="Arial" w:hAnsi="Arial"/>
          <w:sz w:val="12"/>
          <w:szCs w:val="12"/>
          <w:b w:val="1"/>
          <w:bCs w:val="1"/>
          <w:color w:val="007EC4"/>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vMerge w:val="restart"/>
            <w:shd w:val="clear" w:color="auto" w:fill="DBDBDB"/>
          </w:tcPr>
          <w:p>
            <w:pPr>
              <w:ind w:left="100"/>
              <w:spacing w:after="0"/>
              <w:rPr>
                <w:sz w:val="20"/>
                <w:szCs w:val="20"/>
                <w:color w:val="auto"/>
              </w:rPr>
            </w:pPr>
            <w:r>
              <w:rPr>
                <w:rFonts w:ascii="Arial" w:cs="Arial" w:eastAsia="Arial" w:hAnsi="Arial"/>
                <w:sz w:val="13"/>
                <w:szCs w:val="13"/>
                <w:b w:val="1"/>
                <w:bCs w:val="1"/>
                <w:color w:val="auto"/>
              </w:rPr>
              <w:t>Manish Maini</w:t>
            </w: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4"/>
              </w:rPr>
              <w:t>6/6/2017</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9,571</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ind w:left="920"/>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16.70</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6/6/2027</w:t>
            </w:r>
          </w:p>
        </w:tc>
        <w:tc>
          <w:tcPr>
            <w:tcW w:w="10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980" w:type="dxa"/>
            <w:vAlign w:val="bottom"/>
            <w:vMerge w:val="continue"/>
            <w:shd w:val="clear" w:color="auto" w:fill="DBDBDB"/>
          </w:tcPr>
          <w:p>
            <w:pPr>
              <w:spacing w:after="0"/>
              <w:rPr>
                <w:sz w:val="12"/>
                <w:szCs w:val="12"/>
                <w:color w:val="auto"/>
              </w:rPr>
            </w:pPr>
          </w:p>
        </w:tc>
        <w:tc>
          <w:tcPr>
            <w:tcW w:w="1000" w:type="dxa"/>
            <w:vAlign w:val="bottom"/>
            <w:vMerge w:val="restart"/>
            <w:shd w:val="clear" w:color="auto" w:fill="DBDBDB"/>
          </w:tcPr>
          <w:p>
            <w:pPr>
              <w:jc w:val="center"/>
              <w:spacing w:after="0"/>
              <w:rPr>
                <w:sz w:val="20"/>
                <w:szCs w:val="20"/>
                <w:color w:val="auto"/>
              </w:rPr>
            </w:pPr>
            <w:r>
              <w:rPr>
                <w:rFonts w:ascii="Arial" w:cs="Arial" w:eastAsia="Arial" w:hAnsi="Arial"/>
                <w:sz w:val="13"/>
                <w:szCs w:val="13"/>
                <w:color w:val="auto"/>
                <w:w w:val="94"/>
              </w:rPr>
              <w:t>6/6/2017</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131,623</w:t>
            </w: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DBDBDB"/>
          </w:tcPr>
          <w:p>
            <w:pPr>
              <w:ind w:left="920"/>
              <w:spacing w:after="0"/>
              <w:rPr>
                <w:sz w:val="20"/>
                <w:szCs w:val="20"/>
                <w:color w:val="auto"/>
              </w:rPr>
            </w:pPr>
            <w:r>
              <w:rPr>
                <w:rFonts w:ascii="Arial" w:cs="Arial" w:eastAsia="Arial" w:hAnsi="Arial"/>
                <w:sz w:val="13"/>
                <w:szCs w:val="13"/>
                <w:color w:val="auto"/>
                <w:w w:val="91"/>
              </w:rPr>
              <w:t>—</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16.70</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6/6/2027</w:t>
            </w:r>
          </w:p>
        </w:tc>
        <w:tc>
          <w:tcPr>
            <w:tcW w:w="100" w:type="dxa"/>
            <w:vAlign w:val="bottom"/>
            <w:shd w:val="clear" w:color="auto" w:fill="DBDBDB"/>
          </w:tcPr>
          <w:p>
            <w:pPr>
              <w:spacing w:after="0"/>
              <w:rPr>
                <w:sz w:val="12"/>
                <w:szCs w:val="12"/>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80" w:type="dxa"/>
            <w:vAlign w:val="bottom"/>
            <w:vMerge w:val="restart"/>
            <w:shd w:val="clear" w:color="auto" w:fill="DBDBDB"/>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980" w:type="dxa"/>
            <w:vAlign w:val="bottom"/>
            <w:shd w:val="clear" w:color="auto" w:fill="DBDBDB"/>
          </w:tcPr>
          <w:p>
            <w:pPr>
              <w:spacing w:after="0"/>
              <w:rPr>
                <w:sz w:val="11"/>
                <w:szCs w:val="11"/>
                <w:color w:val="auto"/>
              </w:rPr>
            </w:pPr>
          </w:p>
        </w:tc>
        <w:tc>
          <w:tcPr>
            <w:tcW w:w="1000" w:type="dxa"/>
            <w:vAlign w:val="bottom"/>
            <w:vMerge w:val="continue"/>
            <w:shd w:val="clear" w:color="auto" w:fill="DBDBDB"/>
          </w:tcPr>
          <w:p>
            <w:pPr>
              <w:spacing w:after="0"/>
              <w:rPr>
                <w:sz w:val="11"/>
                <w:szCs w:val="11"/>
                <w:color w:val="auto"/>
              </w:rPr>
            </w:pPr>
          </w:p>
        </w:tc>
        <w:tc>
          <w:tcPr>
            <w:tcW w:w="1060" w:type="dxa"/>
            <w:vAlign w:val="bottom"/>
            <w:vMerge w:val="continue"/>
            <w:shd w:val="clear" w:color="auto" w:fill="DBDBDB"/>
          </w:tcPr>
          <w:p>
            <w:pPr>
              <w:spacing w:after="0"/>
              <w:rPr>
                <w:sz w:val="11"/>
                <w:szCs w:val="11"/>
                <w:color w:val="auto"/>
              </w:rPr>
            </w:pPr>
          </w:p>
        </w:tc>
        <w:tc>
          <w:tcPr>
            <w:tcW w:w="1160" w:type="dxa"/>
            <w:vAlign w:val="bottom"/>
            <w:vMerge w:val="continue"/>
            <w:shd w:val="clear" w:color="auto" w:fill="DBDBDB"/>
          </w:tcPr>
          <w:p>
            <w:pPr>
              <w:spacing w:after="0"/>
              <w:rPr>
                <w:sz w:val="11"/>
                <w:szCs w:val="11"/>
                <w:color w:val="auto"/>
              </w:rPr>
            </w:pPr>
          </w:p>
        </w:tc>
        <w:tc>
          <w:tcPr>
            <w:tcW w:w="1060" w:type="dxa"/>
            <w:vAlign w:val="bottom"/>
            <w:vMerge w:val="continue"/>
            <w:shd w:val="clear" w:color="auto" w:fill="DBDBDB"/>
          </w:tcPr>
          <w:p>
            <w:pPr>
              <w:spacing w:after="0"/>
              <w:rPr>
                <w:sz w:val="11"/>
                <w:szCs w:val="11"/>
                <w:color w:val="auto"/>
              </w:rPr>
            </w:pPr>
          </w:p>
        </w:tc>
        <w:tc>
          <w:tcPr>
            <w:tcW w:w="780" w:type="dxa"/>
            <w:vAlign w:val="bottom"/>
            <w:vMerge w:val="continue"/>
            <w:shd w:val="clear" w:color="auto" w:fill="DBDBDB"/>
          </w:tcPr>
          <w:p>
            <w:pPr>
              <w:spacing w:after="0"/>
              <w:rPr>
                <w:sz w:val="11"/>
                <w:szCs w:val="11"/>
                <w:color w:val="auto"/>
              </w:rPr>
            </w:pPr>
          </w:p>
        </w:tc>
        <w:tc>
          <w:tcPr>
            <w:tcW w:w="940" w:type="dxa"/>
            <w:vAlign w:val="bottom"/>
            <w:vMerge w:val="continue"/>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940" w:type="dxa"/>
            <w:vAlign w:val="bottom"/>
            <w:vMerge w:val="continue"/>
            <w:shd w:val="clear" w:color="auto" w:fill="DBDBDB"/>
          </w:tcPr>
          <w:p>
            <w:pPr>
              <w:spacing w:after="0"/>
              <w:rPr>
                <w:sz w:val="11"/>
                <w:szCs w:val="11"/>
                <w:color w:val="auto"/>
              </w:rPr>
            </w:pPr>
          </w:p>
        </w:tc>
        <w:tc>
          <w:tcPr>
            <w:tcW w:w="1280" w:type="dxa"/>
            <w:vAlign w:val="bottom"/>
            <w:vMerge w:val="continue"/>
            <w:shd w:val="clear" w:color="auto" w:fill="DBDBDB"/>
          </w:tcPr>
          <w:p>
            <w:pPr>
              <w:spacing w:after="0"/>
              <w:rPr>
                <w:sz w:val="11"/>
                <w:szCs w:val="11"/>
                <w:color w:val="auto"/>
              </w:rPr>
            </w:pPr>
          </w:p>
        </w:tc>
        <w:tc>
          <w:tcPr>
            <w:tcW w:w="1000" w:type="dxa"/>
            <w:vAlign w:val="bottom"/>
            <w:vMerge w:val="continue"/>
            <w:shd w:val="clear" w:color="auto" w:fill="DBDBDB"/>
          </w:tcPr>
          <w:p>
            <w:pPr>
              <w:spacing w:after="0"/>
              <w:rPr>
                <w:sz w:val="11"/>
                <w:szCs w:val="11"/>
                <w:color w:val="auto"/>
              </w:rPr>
            </w:pPr>
          </w:p>
        </w:tc>
        <w:tc>
          <w:tcPr>
            <w:tcW w:w="940" w:type="dxa"/>
            <w:vAlign w:val="bottom"/>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980" w:type="dxa"/>
            <w:vAlign w:val="bottom"/>
            <w:shd w:val="clear" w:color="auto" w:fill="DBDBDB"/>
          </w:tcPr>
          <w:p>
            <w:pPr>
              <w:spacing w:after="0"/>
              <w:rPr>
                <w:sz w:val="21"/>
                <w:szCs w:val="21"/>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4"/>
              </w:rPr>
              <w:t>4/5/2018</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33,228</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ind w:left="920"/>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16.48</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4/5/2028</w:t>
            </w:r>
          </w:p>
        </w:tc>
        <w:tc>
          <w:tcPr>
            <w:tcW w:w="10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980" w:type="dxa"/>
            <w:vAlign w:val="bottom"/>
            <w:shd w:val="clear" w:color="auto" w:fill="DBDBDB"/>
          </w:tcPr>
          <w:p>
            <w:pPr>
              <w:spacing w:after="0"/>
              <w:rPr>
                <w:sz w:val="18"/>
                <w:szCs w:val="18"/>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4"/>
              </w:rPr>
              <w:t>3/7/2019</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17,641</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ind w:left="920"/>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16.57</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3/7/2029</w:t>
            </w:r>
          </w:p>
        </w:tc>
        <w:tc>
          <w:tcPr>
            <w:tcW w:w="10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980" w:type="dxa"/>
            <w:vAlign w:val="bottom"/>
            <w:shd w:val="clear" w:color="auto" w:fill="DBDBDB"/>
          </w:tcPr>
          <w:p>
            <w:pPr>
              <w:spacing w:after="0"/>
              <w:rPr>
                <w:sz w:val="18"/>
                <w:szCs w:val="18"/>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4"/>
              </w:rPr>
              <w:t>3/7/2019</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35,817</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ind w:left="920"/>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16.57</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3/7/2029</w:t>
            </w:r>
          </w:p>
        </w:tc>
        <w:tc>
          <w:tcPr>
            <w:tcW w:w="10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980" w:type="dxa"/>
            <w:vAlign w:val="bottom"/>
            <w:shd w:val="clear" w:color="auto" w:fill="DBDBDB"/>
          </w:tcPr>
          <w:p>
            <w:pPr>
              <w:spacing w:after="0"/>
              <w:rPr>
                <w:sz w:val="18"/>
                <w:szCs w:val="18"/>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4"/>
              </w:rPr>
              <w:t>3/5/2020</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35,977</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ind w:left="920"/>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17.30</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3/5/2030</w:t>
            </w:r>
          </w:p>
        </w:tc>
        <w:tc>
          <w:tcPr>
            <w:tcW w:w="10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980" w:type="dxa"/>
            <w:vAlign w:val="bottom"/>
            <w:shd w:val="clear" w:color="auto" w:fill="DBDBDB"/>
          </w:tcPr>
          <w:p>
            <w:pPr>
              <w:spacing w:after="0"/>
              <w:rPr>
                <w:sz w:val="21"/>
                <w:szCs w:val="21"/>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3"/>
              </w:rPr>
              <w:t>3/31/2021</w:t>
            </w:r>
            <w:r>
              <w:rPr>
                <w:rFonts w:ascii="Arial" w:cs="Arial" w:eastAsia="Arial" w:hAnsi="Arial"/>
                <w:sz w:val="16"/>
                <w:szCs w:val="16"/>
                <w:color w:val="auto"/>
                <w:w w:val="93"/>
                <w:vertAlign w:val="superscript"/>
              </w:rPr>
              <w:t>(9)</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34,105</w:t>
            </w:r>
          </w:p>
        </w:tc>
        <w:tc>
          <w:tcPr>
            <w:tcW w:w="1060" w:type="dxa"/>
            <w:vAlign w:val="bottom"/>
            <w:shd w:val="clear" w:color="auto" w:fill="DBDBDB"/>
          </w:tcPr>
          <w:p>
            <w:pPr>
              <w:ind w:left="920"/>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26.99</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3/31/2031</w:t>
            </w:r>
          </w:p>
        </w:tc>
        <w:tc>
          <w:tcPr>
            <w:tcW w:w="10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980" w:type="dxa"/>
            <w:vAlign w:val="bottom"/>
            <w:shd w:val="clear" w:color="auto" w:fill="DBDBDB"/>
          </w:tcPr>
          <w:p>
            <w:pPr>
              <w:spacing w:after="0"/>
              <w:rPr>
                <w:sz w:val="18"/>
                <w:szCs w:val="18"/>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3"/>
              </w:rPr>
              <w:t>3/31/2021</w:t>
            </w:r>
            <w:r>
              <w:rPr>
                <w:rFonts w:ascii="Arial" w:cs="Arial" w:eastAsia="Arial" w:hAnsi="Arial"/>
                <w:sz w:val="16"/>
                <w:szCs w:val="16"/>
                <w:color w:val="auto"/>
                <w:w w:val="93"/>
                <w:vertAlign w:val="superscript"/>
              </w:rPr>
              <w:t>(10)</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ind w:left="920"/>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7,336</w:t>
            </w:r>
          </w:p>
        </w:tc>
        <w:tc>
          <w:tcPr>
            <w:tcW w:w="9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276,274</w:t>
            </w:r>
          </w:p>
        </w:tc>
        <w:tc>
          <w:tcPr>
            <w:tcW w:w="0" w:type="dxa"/>
            <w:vAlign w:val="bottom"/>
          </w:tcPr>
          <w:p>
            <w:pPr>
              <w:spacing w:after="0"/>
              <w:rPr>
                <w:sz w:val="1"/>
                <w:szCs w:val="1"/>
                <w:color w:val="auto"/>
              </w:rPr>
            </w:pPr>
          </w:p>
        </w:tc>
      </w:tr>
      <w:tr>
        <w:trPr>
          <w:trHeight w:val="216"/>
        </w:trPr>
        <w:tc>
          <w:tcPr>
            <w:tcW w:w="980" w:type="dxa"/>
            <w:vAlign w:val="bottom"/>
            <w:shd w:val="clear" w:color="auto" w:fill="DBDBDB"/>
          </w:tcPr>
          <w:p>
            <w:pPr>
              <w:spacing w:after="0"/>
              <w:rPr>
                <w:sz w:val="18"/>
                <w:szCs w:val="18"/>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88"/>
              </w:rPr>
              <w:t>9/10/2021</w:t>
            </w:r>
            <w:r>
              <w:rPr>
                <w:rFonts w:ascii="Arial" w:cs="Arial" w:eastAsia="Arial" w:hAnsi="Arial"/>
                <w:sz w:val="16"/>
                <w:szCs w:val="16"/>
                <w:color w:val="auto"/>
                <w:w w:val="88"/>
                <w:vertAlign w:val="superscript"/>
              </w:rPr>
              <w:t>(11)</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ind w:left="920"/>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16,397</w:t>
            </w:r>
          </w:p>
        </w:tc>
        <w:tc>
          <w:tcPr>
            <w:tcW w:w="1280" w:type="dxa"/>
            <w:vAlign w:val="bottom"/>
            <w:shd w:val="clear" w:color="auto" w:fill="DBDBDB"/>
          </w:tcPr>
          <w:p>
            <w:pPr>
              <w:jc w:val="right"/>
              <w:ind w:right="297"/>
              <w:spacing w:after="0"/>
              <w:rPr>
                <w:sz w:val="20"/>
                <w:szCs w:val="20"/>
                <w:color w:val="auto"/>
              </w:rPr>
            </w:pPr>
            <w:r>
              <w:rPr>
                <w:rFonts w:ascii="Arial" w:cs="Arial" w:eastAsia="Arial" w:hAnsi="Arial"/>
                <w:sz w:val="13"/>
                <w:szCs w:val="13"/>
                <w:color w:val="auto"/>
              </w:rPr>
              <w:t>617,511</w:t>
            </w:r>
          </w:p>
        </w:tc>
        <w:tc>
          <w:tcPr>
            <w:tcW w:w="10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numbers in this column represent vested Options outstanding as of January 29, 2022.</w:t>
      </w:r>
    </w:p>
    <w:p>
      <w:pPr>
        <w:spacing w:after="0" w:line="107" w:lineRule="exact"/>
        <w:rPr>
          <w:rFonts w:ascii="Arial" w:cs="Arial" w:eastAsia="Arial" w:hAnsi="Arial"/>
          <w:sz w:val="13"/>
          <w:szCs w:val="13"/>
          <w:color w:val="auto"/>
        </w:rPr>
      </w:pP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numbers in this column represent (i) unvested Options, outstanding as of January 29, 2022.</w:t>
      </w:r>
    </w:p>
    <w:p>
      <w:pPr>
        <w:spacing w:after="0" w:line="120" w:lineRule="exact"/>
        <w:rPr>
          <w:rFonts w:ascii="Arial" w:cs="Arial" w:eastAsia="Arial" w:hAnsi="Arial"/>
          <w:sz w:val="13"/>
          <w:szCs w:val="13"/>
          <w:color w:val="auto"/>
        </w:rPr>
      </w:pP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expiration date for each of the Options is the date that is ten years after the initial grant date.</w:t>
      </w:r>
    </w:p>
    <w:p>
      <w:pPr>
        <w:spacing w:after="0" w:line="107" w:lineRule="exact"/>
        <w:rPr>
          <w:rFonts w:ascii="Arial" w:cs="Arial" w:eastAsia="Arial" w:hAnsi="Arial"/>
          <w:sz w:val="13"/>
          <w:szCs w:val="13"/>
          <w:color w:val="auto"/>
        </w:rPr>
      </w:pP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numbers in this column represent RSUs that are subject to time vesting conditions.</w:t>
      </w:r>
    </w:p>
    <w:p>
      <w:pPr>
        <w:spacing w:after="0" w:line="107" w:lineRule="exact"/>
        <w:rPr>
          <w:rFonts w:ascii="Arial" w:cs="Arial" w:eastAsia="Arial" w:hAnsi="Arial"/>
          <w:sz w:val="13"/>
          <w:szCs w:val="13"/>
          <w:color w:val="auto"/>
        </w:rPr>
      </w:pP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numbers in this column represent RSUs that are subject to performance vesting conditions.</w:t>
      </w:r>
    </w:p>
    <w:p>
      <w:pPr>
        <w:spacing w:after="0" w:line="107" w:lineRule="exact"/>
        <w:rPr>
          <w:rFonts w:ascii="Arial" w:cs="Arial" w:eastAsia="Arial" w:hAnsi="Arial"/>
          <w:sz w:val="13"/>
          <w:szCs w:val="13"/>
          <w:color w:val="auto"/>
        </w:rPr>
      </w:pP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Amounts reported are based on $37.66, which was the closing price of our common stock on January 28, 2022, the last trading day before the end of our 2021 fiscal year.</w:t>
      </w:r>
    </w:p>
    <w:p>
      <w:pPr>
        <w:spacing w:after="0" w:line="107" w:lineRule="exact"/>
        <w:rPr>
          <w:rFonts w:ascii="Arial" w:cs="Arial" w:eastAsia="Arial" w:hAnsi="Arial"/>
          <w:sz w:val="13"/>
          <w:szCs w:val="13"/>
          <w:color w:val="auto"/>
        </w:rPr>
      </w:pPr>
    </w:p>
    <w:p>
      <w:pPr>
        <w:ind w:left="340" w:right="360" w:hanging="332"/>
        <w:spacing w:after="0" w:line="286" w:lineRule="auto"/>
        <w:tabs>
          <w:tab w:leader="none" w:pos="337"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Options granted to Mr. Hicks vest as follows: 1/48th of the Options become vested and exercisable on each monthly anniversary of the grant date, subject to Mr. Hicks’ continued service through the applicable vesting date.</w:t>
      </w:r>
    </w:p>
    <w:p>
      <w:pPr>
        <w:spacing w:after="0" w:line="62" w:lineRule="exact"/>
        <w:rPr>
          <w:rFonts w:ascii="Arial" w:cs="Arial" w:eastAsia="Arial" w:hAnsi="Arial"/>
          <w:sz w:val="13"/>
          <w:szCs w:val="13"/>
          <w:color w:val="auto"/>
        </w:rPr>
      </w:pPr>
    </w:p>
    <w:p>
      <w:pPr>
        <w:ind w:left="340" w:right="20" w:hanging="332"/>
        <w:spacing w:after="0" w:line="276" w:lineRule="auto"/>
        <w:tabs>
          <w:tab w:leader="none" w:pos="337"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Performance RSUs granted to Mr. Hicks are earned based on the Company’s level of achievement of consolidated Adjusted EBIT for the fiscal year in which the grant date occurred. For 2021, the Committee determined that the Company’s actual consolidated Adjusted EBIT for the Performance RSU grant year was greater than the target of $394 million. Accordingly, 100% of the Performance RSUs granted became Earned RSUs and will vest pursuant to the applicable time vesting provisions for Performance RSUs. Upon the Committee’s certification of attainment of the performance goal, 1/48th of the total number of Earned RSUs was deemed vested for each monthly anniversary from the start of the 2021 fiscal year with the remainder continuing to vest in monthly installments thereafter per the terms of Mr. Hicks’ negotiated employment agreement. Earned RSUs will become fully vested by the 4th anniversary of the start of the 2021 fiscal year.</w:t>
      </w:r>
    </w:p>
    <w:p>
      <w:pPr>
        <w:spacing w:after="0" w:line="70" w:lineRule="exact"/>
        <w:rPr>
          <w:rFonts w:ascii="Arial" w:cs="Arial" w:eastAsia="Arial" w:hAnsi="Arial"/>
          <w:sz w:val="12"/>
          <w:szCs w:val="12"/>
          <w:color w:val="auto"/>
        </w:rPr>
      </w:pPr>
    </w:p>
    <w:p>
      <w:pPr>
        <w:ind w:left="320" w:hanging="312"/>
        <w:spacing w:after="0"/>
        <w:tabs>
          <w:tab w:leader="none" w:pos="3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Options granted to the NEO vests as follows: 25% become vested and exercisable on each anniversary of the grant date, subject to continued employment through the applicable vesting date.</w:t>
      </w:r>
    </w:p>
    <w:p>
      <w:pPr>
        <w:spacing w:after="0" w:line="118" w:lineRule="exact"/>
        <w:rPr>
          <w:rFonts w:ascii="Arial" w:cs="Arial" w:eastAsia="Arial" w:hAnsi="Arial"/>
          <w:sz w:val="12"/>
          <w:szCs w:val="12"/>
          <w:color w:val="auto"/>
        </w:rPr>
      </w:pPr>
    </w:p>
    <w:p>
      <w:pPr>
        <w:ind w:left="340" w:right="40" w:hanging="332"/>
        <w:spacing w:after="0" w:line="274" w:lineRule="auto"/>
        <w:tabs>
          <w:tab w:leader="none" w:pos="339"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Performance RSUs granted to the NEO are earned based on the Company’s level of achievement of consolidated Adjusted EBIT for the fiscal year in which the grant date occurred. For 2021, the Committee determined that the Company’s actual consolidated Adjusted EBIT for the Performance RSU grant year was greater than the target of $394 million. Accordingly, 100% of the Performance RSUs became Earned RSUs and will vest pursuant to the applicable time vesting provisions for Performance RSUs. Upon the Committee’s certification of attainment of the performance goal, 25% of the Earned RSUs vested immediately. Thereafter, 25% of the Earned RSUs vest on each of the 2nd, 3rd, and 4th anniversaries of the start of the 2021 fiscal year.</w:t>
      </w:r>
    </w:p>
    <w:p>
      <w:pPr>
        <w:spacing w:after="0" w:line="85" w:lineRule="exact"/>
        <w:rPr>
          <w:rFonts w:ascii="Arial" w:cs="Arial" w:eastAsia="Arial" w:hAnsi="Arial"/>
          <w:sz w:val="12"/>
          <w:szCs w:val="12"/>
          <w:color w:val="auto"/>
        </w:rPr>
      </w:pPr>
    </w:p>
    <w:p>
      <w:pPr>
        <w:ind w:left="340" w:right="320" w:hanging="332"/>
        <w:spacing w:after="0" w:line="264" w:lineRule="auto"/>
        <w:tabs>
          <w:tab w:leader="none" w:pos="33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Time RSUs granted to the NEO vest as follows: 50% become vested and exercisable on the second and third anniversaries of the grant date, subject to the NEO’s continued employment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1097280</wp:posOffset>
            </wp:positionV>
            <wp:extent cx="857250"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color w:val="007EC4"/>
        </w:rPr>
        <w:t xml:space="preserve">54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Option Exercises and RSUs Vested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on Options exercised and RSU awards that vested during the 2021 fiscal year which ended January 29,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0" w:type="dxa"/>
            <w:vAlign w:val="bottom"/>
            <w:tcBorders>
              <w:bottom w:val="single" w:sz="8" w:color="E1D7AC"/>
            </w:tcBorders>
            <w:shd w:val="clear" w:color="auto" w:fill="E1D7AC"/>
          </w:tcPr>
          <w:p>
            <w:pPr>
              <w:spacing w:after="0"/>
              <w:rPr>
                <w:sz w:val="21"/>
                <w:szCs w:val="21"/>
                <w:color w:val="auto"/>
              </w:rPr>
            </w:pPr>
          </w:p>
        </w:tc>
        <w:tc>
          <w:tcPr>
            <w:tcW w:w="400" w:type="dxa"/>
            <w:vAlign w:val="bottom"/>
            <w:tcBorders>
              <w:bottom w:val="single" w:sz="8" w:color="E1D7AC"/>
            </w:tcBorders>
            <w:shd w:val="clear" w:color="auto" w:fill="E1D7AC"/>
          </w:tcPr>
          <w:p>
            <w:pPr>
              <w:spacing w:after="0"/>
              <w:rPr>
                <w:sz w:val="21"/>
                <w:szCs w:val="21"/>
                <w:color w:val="auto"/>
              </w:rPr>
            </w:pPr>
          </w:p>
        </w:tc>
        <w:tc>
          <w:tcPr>
            <w:tcW w:w="1520" w:type="dxa"/>
            <w:vAlign w:val="bottom"/>
            <w:tcBorders>
              <w:bottom w:val="single" w:sz="8" w:color="E1D7AC"/>
            </w:tcBorders>
            <w:shd w:val="clear" w:color="auto" w:fill="E1D7AC"/>
          </w:tcPr>
          <w:p>
            <w:pPr>
              <w:spacing w:after="0"/>
              <w:rPr>
                <w:sz w:val="21"/>
                <w:szCs w:val="21"/>
                <w:color w:val="auto"/>
              </w:rPr>
            </w:pPr>
          </w:p>
        </w:tc>
        <w:tc>
          <w:tcPr>
            <w:tcW w:w="4580" w:type="dxa"/>
            <w:vAlign w:val="bottom"/>
            <w:tcBorders>
              <w:bottom w:val="single" w:sz="8" w:color="E1D7AC"/>
            </w:tcBorders>
            <w:gridSpan w:val="6"/>
            <w:shd w:val="clear" w:color="auto" w:fill="E1D7AC"/>
          </w:tcPr>
          <w:p>
            <w:pPr>
              <w:ind w:left="1320"/>
              <w:spacing w:after="0"/>
              <w:rPr>
                <w:sz w:val="20"/>
                <w:szCs w:val="20"/>
                <w:color w:val="auto"/>
              </w:rPr>
            </w:pPr>
            <w:r>
              <w:rPr>
                <w:rFonts w:ascii="Arial" w:cs="Arial" w:eastAsia="Arial" w:hAnsi="Arial"/>
                <w:sz w:val="14"/>
                <w:szCs w:val="14"/>
                <w:b w:val="1"/>
                <w:bCs w:val="1"/>
                <w:color w:val="auto"/>
              </w:rPr>
              <w:t>Options Awards Exercised</w:t>
            </w:r>
          </w:p>
        </w:tc>
        <w:tc>
          <w:tcPr>
            <w:tcW w:w="4640" w:type="dxa"/>
            <w:vAlign w:val="bottom"/>
            <w:tcBorders>
              <w:bottom w:val="single" w:sz="8" w:color="E1D7AC"/>
            </w:tcBorders>
            <w:gridSpan w:val="6"/>
            <w:shd w:val="clear" w:color="auto" w:fill="E1D7AC"/>
          </w:tcPr>
          <w:p>
            <w:pPr>
              <w:ind w:left="1520"/>
              <w:spacing w:after="0"/>
              <w:rPr>
                <w:sz w:val="20"/>
                <w:szCs w:val="20"/>
                <w:color w:val="auto"/>
              </w:rPr>
            </w:pPr>
            <w:r>
              <w:rPr>
                <w:rFonts w:ascii="Arial" w:cs="Arial" w:eastAsia="Arial" w:hAnsi="Arial"/>
                <w:sz w:val="14"/>
                <w:szCs w:val="14"/>
                <w:b w:val="1"/>
                <w:bCs w:val="1"/>
                <w:color w:val="auto"/>
              </w:rPr>
              <w:t>Stock Awards Vested</w:t>
            </w:r>
          </w:p>
        </w:tc>
        <w:tc>
          <w:tcPr>
            <w:tcW w:w="0" w:type="dxa"/>
            <w:vAlign w:val="bottom"/>
          </w:tcPr>
          <w:p>
            <w:pPr>
              <w:spacing w:after="0"/>
              <w:rPr>
                <w:sz w:val="1"/>
                <w:szCs w:val="1"/>
                <w:color w:val="auto"/>
              </w:rPr>
            </w:pPr>
          </w:p>
        </w:tc>
      </w:tr>
      <w:tr>
        <w:trPr>
          <w:trHeight w:val="183"/>
        </w:trPr>
        <w:tc>
          <w:tcPr>
            <w:tcW w:w="100" w:type="dxa"/>
            <w:vAlign w:val="bottom"/>
            <w:tcBorders>
              <w:top w:val="single" w:sz="8" w:color="E1D7AC"/>
            </w:tcBorders>
            <w:shd w:val="clear" w:color="auto" w:fill="E1D7AC"/>
          </w:tcPr>
          <w:p>
            <w:pPr>
              <w:spacing w:after="0"/>
              <w:rPr>
                <w:sz w:val="15"/>
                <w:szCs w:val="15"/>
                <w:color w:val="auto"/>
              </w:rPr>
            </w:pPr>
          </w:p>
        </w:tc>
        <w:tc>
          <w:tcPr>
            <w:tcW w:w="400" w:type="dxa"/>
            <w:vAlign w:val="bottom"/>
            <w:tcBorders>
              <w:top w:val="single" w:sz="8" w:color="E1D7AC"/>
            </w:tcBorders>
            <w:shd w:val="clear" w:color="auto" w:fill="E1D7AC"/>
          </w:tcPr>
          <w:p>
            <w:pPr>
              <w:spacing w:after="0"/>
              <w:rPr>
                <w:sz w:val="15"/>
                <w:szCs w:val="15"/>
                <w:color w:val="auto"/>
              </w:rPr>
            </w:pPr>
          </w:p>
        </w:tc>
        <w:tc>
          <w:tcPr>
            <w:tcW w:w="1520" w:type="dxa"/>
            <w:vAlign w:val="bottom"/>
            <w:tcBorders>
              <w:top w:val="single" w:sz="8" w:color="E1D7AC"/>
            </w:tcBorders>
            <w:shd w:val="clear" w:color="auto" w:fill="E1D7AC"/>
          </w:tcPr>
          <w:p>
            <w:pPr>
              <w:spacing w:after="0"/>
              <w:rPr>
                <w:sz w:val="15"/>
                <w:szCs w:val="15"/>
                <w:color w:val="auto"/>
              </w:rPr>
            </w:pPr>
          </w:p>
        </w:tc>
        <w:tc>
          <w:tcPr>
            <w:tcW w:w="2220" w:type="dxa"/>
            <w:vAlign w:val="bottom"/>
            <w:tcBorders>
              <w:top w:val="single" w:sz="8" w:color="auto"/>
            </w:tcBorders>
            <w:gridSpan w:val="2"/>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Number of Shares Acquired on</w:t>
            </w:r>
          </w:p>
        </w:tc>
        <w:tc>
          <w:tcPr>
            <w:tcW w:w="1920" w:type="dxa"/>
            <w:vAlign w:val="bottom"/>
            <w:tcBorders>
              <w:top w:val="single" w:sz="8" w:color="auto"/>
            </w:tcBorders>
            <w:shd w:val="clear" w:color="auto" w:fill="E1D7AC"/>
          </w:tcPr>
          <w:p>
            <w:pPr>
              <w:spacing w:after="0"/>
              <w:rPr>
                <w:sz w:val="15"/>
                <w:szCs w:val="15"/>
                <w:color w:val="auto"/>
              </w:rPr>
            </w:pPr>
          </w:p>
        </w:tc>
        <w:tc>
          <w:tcPr>
            <w:tcW w:w="180" w:type="dxa"/>
            <w:vAlign w:val="bottom"/>
            <w:tcBorders>
              <w:top w:val="single" w:sz="8" w:color="auto"/>
            </w:tcBorders>
            <w:shd w:val="clear" w:color="auto" w:fill="E1D7AC"/>
          </w:tcPr>
          <w:p>
            <w:pPr>
              <w:spacing w:after="0"/>
              <w:rPr>
                <w:sz w:val="15"/>
                <w:szCs w:val="15"/>
                <w:color w:val="auto"/>
              </w:rPr>
            </w:pPr>
          </w:p>
        </w:tc>
        <w:tc>
          <w:tcPr>
            <w:tcW w:w="140" w:type="dxa"/>
            <w:vAlign w:val="bottom"/>
            <w:tcBorders>
              <w:top w:val="single" w:sz="8" w:color="auto"/>
            </w:tcBorders>
            <w:shd w:val="clear" w:color="auto" w:fill="E1D7AC"/>
          </w:tcPr>
          <w:p>
            <w:pPr>
              <w:spacing w:after="0"/>
              <w:rPr>
                <w:sz w:val="15"/>
                <w:szCs w:val="15"/>
                <w:color w:val="auto"/>
              </w:rPr>
            </w:pPr>
          </w:p>
        </w:tc>
        <w:tc>
          <w:tcPr>
            <w:tcW w:w="120" w:type="dxa"/>
            <w:vAlign w:val="bottom"/>
            <w:tcBorders>
              <w:top w:val="single" w:sz="8" w:color="E1D7AC"/>
            </w:tcBorders>
            <w:shd w:val="clear" w:color="auto" w:fill="E1D7AC"/>
          </w:tcPr>
          <w:p>
            <w:pPr>
              <w:spacing w:after="0"/>
              <w:rPr>
                <w:sz w:val="15"/>
                <w:szCs w:val="15"/>
                <w:color w:val="auto"/>
              </w:rPr>
            </w:pPr>
          </w:p>
        </w:tc>
        <w:tc>
          <w:tcPr>
            <w:tcW w:w="2240" w:type="dxa"/>
            <w:vAlign w:val="bottom"/>
            <w:tcBorders>
              <w:top w:val="single" w:sz="8" w:color="auto"/>
            </w:tcBorders>
            <w:gridSpan w:val="2"/>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Number of Shares Acquired on</w:t>
            </w:r>
          </w:p>
        </w:tc>
        <w:tc>
          <w:tcPr>
            <w:tcW w:w="1940" w:type="dxa"/>
            <w:vAlign w:val="bottom"/>
            <w:tcBorders>
              <w:top w:val="single" w:sz="8" w:color="auto"/>
            </w:tcBorders>
            <w:shd w:val="clear" w:color="auto" w:fill="E1D7AC"/>
          </w:tcPr>
          <w:p>
            <w:pPr>
              <w:spacing w:after="0"/>
              <w:rPr>
                <w:sz w:val="15"/>
                <w:szCs w:val="15"/>
                <w:color w:val="auto"/>
              </w:rPr>
            </w:pPr>
          </w:p>
        </w:tc>
        <w:tc>
          <w:tcPr>
            <w:tcW w:w="180" w:type="dxa"/>
            <w:vAlign w:val="bottom"/>
            <w:tcBorders>
              <w:top w:val="single" w:sz="8" w:color="auto"/>
            </w:tcBorders>
            <w:shd w:val="clear" w:color="auto" w:fill="E1D7AC"/>
          </w:tcPr>
          <w:p>
            <w:pPr>
              <w:spacing w:after="0"/>
              <w:rPr>
                <w:sz w:val="15"/>
                <w:szCs w:val="15"/>
                <w:color w:val="auto"/>
              </w:rPr>
            </w:pPr>
          </w:p>
        </w:tc>
        <w:tc>
          <w:tcPr>
            <w:tcW w:w="140" w:type="dxa"/>
            <w:vAlign w:val="bottom"/>
            <w:tcBorders>
              <w:top w:val="single" w:sz="8" w:color="auto"/>
            </w:tcBorders>
            <w:shd w:val="clear" w:color="auto" w:fill="E1D7AC"/>
          </w:tcPr>
          <w:p>
            <w:pPr>
              <w:spacing w:after="0"/>
              <w:rPr>
                <w:sz w:val="15"/>
                <w:szCs w:val="15"/>
                <w:color w:val="auto"/>
              </w:rPr>
            </w:pPr>
          </w:p>
        </w:tc>
        <w:tc>
          <w:tcPr>
            <w:tcW w:w="140" w:type="dxa"/>
            <w:vAlign w:val="bottom"/>
            <w:tcBorders>
              <w:top w:val="single" w:sz="8" w:color="E1D7AC"/>
            </w:tcBorders>
            <w:shd w:val="clear" w:color="auto" w:fill="E1D7A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E1D7AC"/>
          </w:tcPr>
          <w:p>
            <w:pPr>
              <w:spacing w:after="0"/>
              <w:rPr>
                <w:sz w:val="16"/>
                <w:szCs w:val="16"/>
                <w:color w:val="auto"/>
              </w:rPr>
            </w:pPr>
          </w:p>
        </w:tc>
        <w:tc>
          <w:tcPr>
            <w:tcW w:w="400" w:type="dxa"/>
            <w:vAlign w:val="bottom"/>
            <w:shd w:val="clear" w:color="auto" w:fill="E1D7AC"/>
          </w:tcPr>
          <w:p>
            <w:pPr>
              <w:spacing w:after="0"/>
              <w:rPr>
                <w:sz w:val="16"/>
                <w:szCs w:val="16"/>
                <w:color w:val="auto"/>
              </w:rPr>
            </w:pPr>
          </w:p>
        </w:tc>
        <w:tc>
          <w:tcPr>
            <w:tcW w:w="1520" w:type="dxa"/>
            <w:vAlign w:val="bottom"/>
            <w:shd w:val="clear" w:color="auto" w:fill="E1D7AC"/>
          </w:tcPr>
          <w:p>
            <w:pPr>
              <w:spacing w:after="0"/>
              <w:rPr>
                <w:sz w:val="16"/>
                <w:szCs w:val="16"/>
                <w:color w:val="auto"/>
              </w:rPr>
            </w:pPr>
          </w:p>
        </w:tc>
        <w:tc>
          <w:tcPr>
            <w:tcW w:w="2220" w:type="dxa"/>
            <w:vAlign w:val="bottom"/>
            <w:gridSpan w:val="2"/>
            <w:shd w:val="clear" w:color="auto" w:fill="E1D7AC"/>
          </w:tcPr>
          <w:p>
            <w:pPr>
              <w:jc w:val="right"/>
              <w:spacing w:after="0"/>
              <w:rPr>
                <w:sz w:val="20"/>
                <w:szCs w:val="20"/>
                <w:color w:val="auto"/>
              </w:rPr>
            </w:pPr>
            <w:r>
              <w:rPr>
                <w:rFonts w:ascii="Arial" w:cs="Arial" w:eastAsia="Arial" w:hAnsi="Arial"/>
                <w:sz w:val="14"/>
                <w:szCs w:val="14"/>
                <w:b w:val="1"/>
                <w:bCs w:val="1"/>
                <w:color w:val="auto"/>
              </w:rPr>
              <w:t>Exercise</w:t>
            </w:r>
          </w:p>
        </w:tc>
        <w:tc>
          <w:tcPr>
            <w:tcW w:w="2240" w:type="dxa"/>
            <w:vAlign w:val="bottom"/>
            <w:gridSpan w:val="3"/>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Value Realized on Exercise</w:t>
            </w:r>
          </w:p>
        </w:tc>
        <w:tc>
          <w:tcPr>
            <w:tcW w:w="120" w:type="dxa"/>
            <w:vAlign w:val="bottom"/>
            <w:shd w:val="clear" w:color="auto" w:fill="E1D7AC"/>
          </w:tcPr>
          <w:p>
            <w:pPr>
              <w:spacing w:after="0"/>
              <w:rPr>
                <w:sz w:val="16"/>
                <w:szCs w:val="16"/>
                <w:color w:val="auto"/>
              </w:rPr>
            </w:pPr>
          </w:p>
        </w:tc>
        <w:tc>
          <w:tcPr>
            <w:tcW w:w="2240" w:type="dxa"/>
            <w:vAlign w:val="bottom"/>
            <w:gridSpan w:val="2"/>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Vesting</w:t>
            </w:r>
          </w:p>
        </w:tc>
        <w:tc>
          <w:tcPr>
            <w:tcW w:w="2260" w:type="dxa"/>
            <w:vAlign w:val="bottom"/>
            <w:gridSpan w:val="3"/>
            <w:shd w:val="clear" w:color="auto" w:fill="E1D7AC"/>
          </w:tcPr>
          <w:p>
            <w:pPr>
              <w:jc w:val="right"/>
              <w:spacing w:after="0"/>
              <w:rPr>
                <w:sz w:val="20"/>
                <w:szCs w:val="20"/>
                <w:color w:val="auto"/>
              </w:rPr>
            </w:pPr>
            <w:r>
              <w:rPr>
                <w:rFonts w:ascii="Arial" w:cs="Arial" w:eastAsia="Arial" w:hAnsi="Arial"/>
                <w:sz w:val="14"/>
                <w:szCs w:val="14"/>
                <w:b w:val="1"/>
                <w:bCs w:val="1"/>
                <w:color w:val="auto"/>
                <w:shd w:val="clear" w:color="auto" w:fill="E1D7AC"/>
              </w:rPr>
              <w:t>Value Realized on Vesting</w:t>
            </w:r>
          </w:p>
        </w:tc>
        <w:tc>
          <w:tcPr>
            <w:tcW w:w="140" w:type="dxa"/>
            <w:vAlign w:val="bottom"/>
            <w:shd w:val="clear" w:color="auto" w:fill="E1D7AC"/>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0" w:type="dxa"/>
            <w:vAlign w:val="bottom"/>
            <w:shd w:val="clear" w:color="auto" w:fill="E1D7AC"/>
          </w:tcPr>
          <w:p>
            <w:pPr>
              <w:spacing w:after="0"/>
              <w:rPr>
                <w:sz w:val="12"/>
                <w:szCs w:val="12"/>
                <w:color w:val="auto"/>
              </w:rPr>
            </w:pPr>
          </w:p>
        </w:tc>
        <w:tc>
          <w:tcPr>
            <w:tcW w:w="400" w:type="dxa"/>
            <w:vAlign w:val="bottom"/>
            <w:vMerge w:val="restart"/>
            <w:shd w:val="clear" w:color="auto" w:fill="E1D7AC"/>
          </w:tcPr>
          <w:p>
            <w:pPr>
              <w:spacing w:after="0"/>
              <w:rPr>
                <w:sz w:val="20"/>
                <w:szCs w:val="20"/>
                <w:color w:val="auto"/>
              </w:rPr>
            </w:pPr>
            <w:r>
              <w:rPr>
                <w:rFonts w:ascii="Arial" w:cs="Arial" w:eastAsia="Arial" w:hAnsi="Arial"/>
                <w:sz w:val="14"/>
                <w:szCs w:val="14"/>
                <w:b w:val="1"/>
                <w:bCs w:val="1"/>
                <w:color w:val="auto"/>
                <w:w w:val="99"/>
                <w:shd w:val="clear" w:color="auto" w:fill="E1D7AC"/>
              </w:rPr>
              <w:t>Name</w:t>
            </w:r>
          </w:p>
        </w:tc>
        <w:tc>
          <w:tcPr>
            <w:tcW w:w="1520" w:type="dxa"/>
            <w:vAlign w:val="bottom"/>
            <w:shd w:val="clear" w:color="auto" w:fill="E1D7AC"/>
          </w:tcPr>
          <w:p>
            <w:pPr>
              <w:spacing w:after="0"/>
              <w:rPr>
                <w:sz w:val="12"/>
                <w:szCs w:val="12"/>
                <w:color w:val="auto"/>
              </w:rPr>
            </w:pPr>
          </w:p>
        </w:tc>
        <w:tc>
          <w:tcPr>
            <w:tcW w:w="2000" w:type="dxa"/>
            <w:vAlign w:val="bottom"/>
            <w:shd w:val="clear" w:color="auto" w:fill="E1D7AC"/>
          </w:tcPr>
          <w:p>
            <w:pPr>
              <w:spacing w:after="0"/>
              <w:rPr>
                <w:sz w:val="12"/>
                <w:szCs w:val="12"/>
                <w:color w:val="auto"/>
              </w:rPr>
            </w:pPr>
          </w:p>
        </w:tc>
        <w:tc>
          <w:tcPr>
            <w:tcW w:w="220" w:type="dxa"/>
            <w:vAlign w:val="bottom"/>
            <w:vMerge w:val="restart"/>
            <w:shd w:val="clear" w:color="auto" w:fill="E1D7AC"/>
          </w:tcPr>
          <w:p>
            <w:pPr>
              <w:jc w:val="right"/>
              <w:spacing w:after="0"/>
              <w:rPr>
                <w:sz w:val="20"/>
                <w:szCs w:val="20"/>
                <w:color w:val="auto"/>
              </w:rPr>
            </w:pPr>
            <w:r>
              <w:rPr>
                <w:rFonts w:ascii="Arial" w:cs="Arial" w:eastAsia="Arial" w:hAnsi="Arial"/>
                <w:sz w:val="14"/>
                <w:szCs w:val="14"/>
                <w:b w:val="1"/>
                <w:bCs w:val="1"/>
                <w:color w:val="auto"/>
              </w:rPr>
              <w:t>(#)</w:t>
            </w:r>
          </w:p>
        </w:tc>
        <w:tc>
          <w:tcPr>
            <w:tcW w:w="1920" w:type="dxa"/>
            <w:vAlign w:val="bottom"/>
            <w:shd w:val="clear" w:color="auto" w:fill="E1D7AC"/>
          </w:tcPr>
          <w:p>
            <w:pPr>
              <w:spacing w:after="0"/>
              <w:rPr>
                <w:sz w:val="12"/>
                <w:szCs w:val="12"/>
                <w:color w:val="auto"/>
              </w:rPr>
            </w:pPr>
          </w:p>
        </w:tc>
        <w:tc>
          <w:tcPr>
            <w:tcW w:w="180" w:type="dxa"/>
            <w:vAlign w:val="bottom"/>
            <w:vMerge w:val="restart"/>
            <w:shd w:val="clear" w:color="auto" w:fill="E1D7AC"/>
          </w:tcPr>
          <w:p>
            <w:pPr>
              <w:jc w:val="right"/>
              <w:spacing w:after="0"/>
              <w:rPr>
                <w:sz w:val="20"/>
                <w:szCs w:val="20"/>
                <w:color w:val="auto"/>
              </w:rPr>
            </w:pPr>
            <w:r>
              <w:rPr>
                <w:rFonts w:ascii="Arial" w:cs="Arial" w:eastAsia="Arial" w:hAnsi="Arial"/>
                <w:sz w:val="14"/>
                <w:szCs w:val="14"/>
                <w:b w:val="1"/>
                <w:bCs w:val="1"/>
                <w:color w:val="auto"/>
                <w:w w:val="93"/>
                <w:shd w:val="clear" w:color="auto" w:fill="E1D7AC"/>
              </w:rPr>
              <w:t>($)</w:t>
            </w:r>
          </w:p>
        </w:tc>
        <w:tc>
          <w:tcPr>
            <w:tcW w:w="140" w:type="dxa"/>
            <w:vAlign w:val="bottom"/>
            <w:shd w:val="clear" w:color="auto" w:fill="E1D7AC"/>
          </w:tcPr>
          <w:p>
            <w:pPr>
              <w:jc w:val="right"/>
              <w:spacing w:after="0"/>
              <w:rPr>
                <w:sz w:val="20"/>
                <w:szCs w:val="20"/>
                <w:color w:val="auto"/>
              </w:rPr>
            </w:pPr>
            <w:r>
              <w:rPr>
                <w:rFonts w:ascii="Arial" w:cs="Arial" w:eastAsia="Arial" w:hAnsi="Arial"/>
                <w:sz w:val="9"/>
                <w:szCs w:val="9"/>
                <w:b w:val="1"/>
                <w:bCs w:val="1"/>
                <w:color w:val="auto"/>
                <w:w w:val="90"/>
                <w:shd w:val="clear" w:color="auto" w:fill="E1D7AC"/>
              </w:rPr>
              <w:t>(1)</w:t>
            </w:r>
          </w:p>
        </w:tc>
        <w:tc>
          <w:tcPr>
            <w:tcW w:w="120" w:type="dxa"/>
            <w:vAlign w:val="bottom"/>
            <w:shd w:val="clear" w:color="auto" w:fill="E1D7AC"/>
          </w:tcPr>
          <w:p>
            <w:pPr>
              <w:spacing w:after="0"/>
              <w:rPr>
                <w:sz w:val="12"/>
                <w:szCs w:val="12"/>
                <w:color w:val="auto"/>
              </w:rPr>
            </w:pPr>
          </w:p>
        </w:tc>
        <w:tc>
          <w:tcPr>
            <w:tcW w:w="2020" w:type="dxa"/>
            <w:vAlign w:val="bottom"/>
            <w:shd w:val="clear" w:color="auto" w:fill="E1D7AC"/>
          </w:tcPr>
          <w:p>
            <w:pPr>
              <w:spacing w:after="0"/>
              <w:rPr>
                <w:sz w:val="12"/>
                <w:szCs w:val="12"/>
                <w:color w:val="auto"/>
              </w:rPr>
            </w:pPr>
          </w:p>
        </w:tc>
        <w:tc>
          <w:tcPr>
            <w:tcW w:w="220" w:type="dxa"/>
            <w:vAlign w:val="bottom"/>
            <w:vMerge w:val="restart"/>
            <w:shd w:val="clear" w:color="auto" w:fill="E1D7AC"/>
          </w:tcPr>
          <w:p>
            <w:pPr>
              <w:jc w:val="right"/>
              <w:spacing w:after="0"/>
              <w:rPr>
                <w:sz w:val="20"/>
                <w:szCs w:val="20"/>
                <w:color w:val="auto"/>
              </w:rPr>
            </w:pPr>
            <w:r>
              <w:rPr>
                <w:rFonts w:ascii="Arial" w:cs="Arial" w:eastAsia="Arial" w:hAnsi="Arial"/>
                <w:sz w:val="14"/>
                <w:szCs w:val="14"/>
                <w:b w:val="1"/>
                <w:bCs w:val="1"/>
                <w:color w:val="auto"/>
              </w:rPr>
              <w:t>(#)</w:t>
            </w:r>
          </w:p>
        </w:tc>
        <w:tc>
          <w:tcPr>
            <w:tcW w:w="1940" w:type="dxa"/>
            <w:vAlign w:val="bottom"/>
            <w:shd w:val="clear" w:color="auto" w:fill="E1D7AC"/>
          </w:tcPr>
          <w:p>
            <w:pPr>
              <w:spacing w:after="0"/>
              <w:rPr>
                <w:sz w:val="12"/>
                <w:szCs w:val="12"/>
                <w:color w:val="auto"/>
              </w:rPr>
            </w:pPr>
          </w:p>
        </w:tc>
        <w:tc>
          <w:tcPr>
            <w:tcW w:w="180" w:type="dxa"/>
            <w:vAlign w:val="bottom"/>
            <w:vMerge w:val="restart"/>
            <w:shd w:val="clear" w:color="auto" w:fill="E1D7AC"/>
          </w:tcPr>
          <w:p>
            <w:pPr>
              <w:jc w:val="right"/>
              <w:spacing w:after="0"/>
              <w:rPr>
                <w:sz w:val="20"/>
                <w:szCs w:val="20"/>
                <w:color w:val="auto"/>
              </w:rPr>
            </w:pPr>
            <w:r>
              <w:rPr>
                <w:rFonts w:ascii="Arial" w:cs="Arial" w:eastAsia="Arial" w:hAnsi="Arial"/>
                <w:sz w:val="14"/>
                <w:szCs w:val="14"/>
                <w:b w:val="1"/>
                <w:bCs w:val="1"/>
                <w:color w:val="auto"/>
                <w:w w:val="93"/>
                <w:shd w:val="clear" w:color="auto" w:fill="E1D7AC"/>
              </w:rPr>
              <w:t>($)</w:t>
            </w:r>
          </w:p>
        </w:tc>
        <w:tc>
          <w:tcPr>
            <w:tcW w:w="140" w:type="dxa"/>
            <w:vAlign w:val="bottom"/>
            <w:shd w:val="clear" w:color="auto" w:fill="E1D7AC"/>
          </w:tcPr>
          <w:p>
            <w:pPr>
              <w:jc w:val="right"/>
              <w:spacing w:after="0"/>
              <w:rPr>
                <w:sz w:val="20"/>
                <w:szCs w:val="20"/>
                <w:color w:val="auto"/>
              </w:rPr>
            </w:pPr>
            <w:r>
              <w:rPr>
                <w:rFonts w:ascii="Arial" w:cs="Arial" w:eastAsia="Arial" w:hAnsi="Arial"/>
                <w:sz w:val="9"/>
                <w:szCs w:val="9"/>
                <w:b w:val="1"/>
                <w:bCs w:val="1"/>
                <w:color w:val="auto"/>
                <w:w w:val="90"/>
                <w:shd w:val="clear" w:color="auto" w:fill="E1D7AC"/>
              </w:rPr>
              <w:t>(2)</w:t>
            </w:r>
          </w:p>
        </w:tc>
        <w:tc>
          <w:tcPr>
            <w:tcW w:w="140" w:type="dxa"/>
            <w:vAlign w:val="bottom"/>
            <w:shd w:val="clear" w:color="auto" w:fill="E1D7AC"/>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00" w:type="dxa"/>
            <w:vAlign w:val="bottom"/>
            <w:shd w:val="clear" w:color="auto" w:fill="E1D7AC"/>
          </w:tcPr>
          <w:p>
            <w:pPr>
              <w:spacing w:after="0"/>
              <w:rPr>
                <w:sz w:val="4"/>
                <w:szCs w:val="4"/>
                <w:color w:val="auto"/>
              </w:rPr>
            </w:pPr>
          </w:p>
        </w:tc>
        <w:tc>
          <w:tcPr>
            <w:tcW w:w="400" w:type="dxa"/>
            <w:vAlign w:val="bottom"/>
            <w:vMerge w:val="continue"/>
            <w:shd w:val="clear" w:color="auto" w:fill="E1D7AC"/>
          </w:tcPr>
          <w:p>
            <w:pPr>
              <w:spacing w:after="0"/>
              <w:rPr>
                <w:sz w:val="4"/>
                <w:szCs w:val="4"/>
                <w:color w:val="auto"/>
              </w:rPr>
            </w:pPr>
          </w:p>
        </w:tc>
        <w:tc>
          <w:tcPr>
            <w:tcW w:w="1520" w:type="dxa"/>
            <w:vAlign w:val="bottom"/>
            <w:shd w:val="clear" w:color="auto" w:fill="E1D7AC"/>
          </w:tcPr>
          <w:p>
            <w:pPr>
              <w:spacing w:after="0"/>
              <w:rPr>
                <w:sz w:val="4"/>
                <w:szCs w:val="4"/>
                <w:color w:val="auto"/>
              </w:rPr>
            </w:pPr>
          </w:p>
        </w:tc>
        <w:tc>
          <w:tcPr>
            <w:tcW w:w="2000" w:type="dxa"/>
            <w:vAlign w:val="bottom"/>
            <w:shd w:val="clear" w:color="auto" w:fill="E1D7AC"/>
          </w:tcPr>
          <w:p>
            <w:pPr>
              <w:spacing w:after="0"/>
              <w:rPr>
                <w:sz w:val="4"/>
                <w:szCs w:val="4"/>
                <w:color w:val="auto"/>
              </w:rPr>
            </w:pPr>
          </w:p>
        </w:tc>
        <w:tc>
          <w:tcPr>
            <w:tcW w:w="220" w:type="dxa"/>
            <w:vAlign w:val="bottom"/>
            <w:vMerge w:val="continue"/>
            <w:shd w:val="clear" w:color="auto" w:fill="E1D7AC"/>
          </w:tcPr>
          <w:p>
            <w:pPr>
              <w:spacing w:after="0"/>
              <w:rPr>
                <w:sz w:val="4"/>
                <w:szCs w:val="4"/>
                <w:color w:val="auto"/>
              </w:rPr>
            </w:pPr>
          </w:p>
        </w:tc>
        <w:tc>
          <w:tcPr>
            <w:tcW w:w="1920" w:type="dxa"/>
            <w:vAlign w:val="bottom"/>
            <w:shd w:val="clear" w:color="auto" w:fill="E1D7AC"/>
          </w:tcPr>
          <w:p>
            <w:pPr>
              <w:spacing w:after="0"/>
              <w:rPr>
                <w:sz w:val="4"/>
                <w:szCs w:val="4"/>
                <w:color w:val="auto"/>
              </w:rPr>
            </w:pPr>
          </w:p>
        </w:tc>
        <w:tc>
          <w:tcPr>
            <w:tcW w:w="180" w:type="dxa"/>
            <w:vAlign w:val="bottom"/>
            <w:vMerge w:val="continue"/>
            <w:shd w:val="clear" w:color="auto" w:fill="E1D7AC"/>
          </w:tcPr>
          <w:p>
            <w:pPr>
              <w:spacing w:after="0"/>
              <w:rPr>
                <w:sz w:val="4"/>
                <w:szCs w:val="4"/>
                <w:color w:val="auto"/>
              </w:rPr>
            </w:pPr>
          </w:p>
        </w:tc>
        <w:tc>
          <w:tcPr>
            <w:tcW w:w="140" w:type="dxa"/>
            <w:vAlign w:val="bottom"/>
            <w:shd w:val="clear" w:color="auto" w:fill="E1D7AC"/>
          </w:tcPr>
          <w:p>
            <w:pPr>
              <w:spacing w:after="0"/>
              <w:rPr>
                <w:sz w:val="4"/>
                <w:szCs w:val="4"/>
                <w:color w:val="auto"/>
              </w:rPr>
            </w:pPr>
          </w:p>
        </w:tc>
        <w:tc>
          <w:tcPr>
            <w:tcW w:w="120" w:type="dxa"/>
            <w:vAlign w:val="bottom"/>
            <w:shd w:val="clear" w:color="auto" w:fill="E1D7AC"/>
          </w:tcPr>
          <w:p>
            <w:pPr>
              <w:spacing w:after="0"/>
              <w:rPr>
                <w:sz w:val="4"/>
                <w:szCs w:val="4"/>
                <w:color w:val="auto"/>
              </w:rPr>
            </w:pPr>
          </w:p>
        </w:tc>
        <w:tc>
          <w:tcPr>
            <w:tcW w:w="2020" w:type="dxa"/>
            <w:vAlign w:val="bottom"/>
            <w:shd w:val="clear" w:color="auto" w:fill="E1D7AC"/>
          </w:tcPr>
          <w:p>
            <w:pPr>
              <w:spacing w:after="0"/>
              <w:rPr>
                <w:sz w:val="4"/>
                <w:szCs w:val="4"/>
                <w:color w:val="auto"/>
              </w:rPr>
            </w:pPr>
          </w:p>
        </w:tc>
        <w:tc>
          <w:tcPr>
            <w:tcW w:w="220" w:type="dxa"/>
            <w:vAlign w:val="bottom"/>
            <w:vMerge w:val="continue"/>
            <w:shd w:val="clear" w:color="auto" w:fill="E1D7AC"/>
          </w:tcPr>
          <w:p>
            <w:pPr>
              <w:spacing w:after="0"/>
              <w:rPr>
                <w:sz w:val="4"/>
                <w:szCs w:val="4"/>
                <w:color w:val="auto"/>
              </w:rPr>
            </w:pPr>
          </w:p>
        </w:tc>
        <w:tc>
          <w:tcPr>
            <w:tcW w:w="1940" w:type="dxa"/>
            <w:vAlign w:val="bottom"/>
            <w:shd w:val="clear" w:color="auto" w:fill="E1D7AC"/>
          </w:tcPr>
          <w:p>
            <w:pPr>
              <w:spacing w:after="0"/>
              <w:rPr>
                <w:sz w:val="4"/>
                <w:szCs w:val="4"/>
                <w:color w:val="auto"/>
              </w:rPr>
            </w:pPr>
          </w:p>
        </w:tc>
        <w:tc>
          <w:tcPr>
            <w:tcW w:w="180" w:type="dxa"/>
            <w:vAlign w:val="bottom"/>
            <w:vMerge w:val="continue"/>
            <w:shd w:val="clear" w:color="auto" w:fill="E1D7AC"/>
          </w:tcPr>
          <w:p>
            <w:pPr>
              <w:spacing w:after="0"/>
              <w:rPr>
                <w:sz w:val="4"/>
                <w:szCs w:val="4"/>
                <w:color w:val="auto"/>
              </w:rPr>
            </w:pPr>
          </w:p>
        </w:tc>
        <w:tc>
          <w:tcPr>
            <w:tcW w:w="140" w:type="dxa"/>
            <w:vAlign w:val="bottom"/>
            <w:shd w:val="clear" w:color="auto" w:fill="E1D7AC"/>
          </w:tcPr>
          <w:p>
            <w:pPr>
              <w:spacing w:after="0"/>
              <w:rPr>
                <w:sz w:val="4"/>
                <w:szCs w:val="4"/>
                <w:color w:val="auto"/>
              </w:rPr>
            </w:pPr>
          </w:p>
        </w:tc>
        <w:tc>
          <w:tcPr>
            <w:tcW w:w="140" w:type="dxa"/>
            <w:vAlign w:val="bottom"/>
            <w:shd w:val="clear" w:color="auto" w:fill="E1D7AC"/>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00" w:type="dxa"/>
            <w:vAlign w:val="bottom"/>
            <w:shd w:val="clear" w:color="auto" w:fill="E1D7AC"/>
          </w:tcPr>
          <w:p>
            <w:pPr>
              <w:spacing w:after="0"/>
              <w:rPr>
                <w:sz w:val="9"/>
                <w:szCs w:val="9"/>
                <w:color w:val="auto"/>
              </w:rPr>
            </w:pPr>
          </w:p>
        </w:tc>
        <w:tc>
          <w:tcPr>
            <w:tcW w:w="400" w:type="dxa"/>
            <w:vAlign w:val="bottom"/>
            <w:shd w:val="clear" w:color="auto" w:fill="E1D7AC"/>
          </w:tcPr>
          <w:p>
            <w:pPr>
              <w:spacing w:after="0"/>
              <w:rPr>
                <w:sz w:val="9"/>
                <w:szCs w:val="9"/>
                <w:color w:val="auto"/>
              </w:rPr>
            </w:pPr>
          </w:p>
        </w:tc>
        <w:tc>
          <w:tcPr>
            <w:tcW w:w="1520" w:type="dxa"/>
            <w:vAlign w:val="bottom"/>
            <w:shd w:val="clear" w:color="auto" w:fill="E1D7AC"/>
          </w:tcPr>
          <w:p>
            <w:pPr>
              <w:spacing w:after="0"/>
              <w:rPr>
                <w:sz w:val="9"/>
                <w:szCs w:val="9"/>
                <w:color w:val="auto"/>
              </w:rPr>
            </w:pPr>
          </w:p>
        </w:tc>
        <w:tc>
          <w:tcPr>
            <w:tcW w:w="2000" w:type="dxa"/>
            <w:vAlign w:val="bottom"/>
            <w:shd w:val="clear" w:color="auto" w:fill="E1D7AC"/>
          </w:tcPr>
          <w:p>
            <w:pPr>
              <w:spacing w:after="0"/>
              <w:rPr>
                <w:sz w:val="9"/>
                <w:szCs w:val="9"/>
                <w:color w:val="auto"/>
              </w:rPr>
            </w:pPr>
          </w:p>
        </w:tc>
        <w:tc>
          <w:tcPr>
            <w:tcW w:w="220" w:type="dxa"/>
            <w:vAlign w:val="bottom"/>
            <w:shd w:val="clear" w:color="auto" w:fill="E1D7AC"/>
          </w:tcPr>
          <w:p>
            <w:pPr>
              <w:spacing w:after="0"/>
              <w:rPr>
                <w:sz w:val="9"/>
                <w:szCs w:val="9"/>
                <w:color w:val="auto"/>
              </w:rPr>
            </w:pPr>
          </w:p>
        </w:tc>
        <w:tc>
          <w:tcPr>
            <w:tcW w:w="1920" w:type="dxa"/>
            <w:vAlign w:val="bottom"/>
            <w:shd w:val="clear" w:color="auto" w:fill="E1D7AC"/>
          </w:tcPr>
          <w:p>
            <w:pPr>
              <w:spacing w:after="0"/>
              <w:rPr>
                <w:sz w:val="9"/>
                <w:szCs w:val="9"/>
                <w:color w:val="auto"/>
              </w:rPr>
            </w:pPr>
          </w:p>
        </w:tc>
        <w:tc>
          <w:tcPr>
            <w:tcW w:w="180" w:type="dxa"/>
            <w:vAlign w:val="bottom"/>
            <w:shd w:val="clear" w:color="auto" w:fill="E1D7AC"/>
          </w:tcPr>
          <w:p>
            <w:pPr>
              <w:spacing w:after="0"/>
              <w:rPr>
                <w:sz w:val="9"/>
                <w:szCs w:val="9"/>
                <w:color w:val="auto"/>
              </w:rPr>
            </w:pPr>
          </w:p>
        </w:tc>
        <w:tc>
          <w:tcPr>
            <w:tcW w:w="140" w:type="dxa"/>
            <w:vAlign w:val="bottom"/>
            <w:shd w:val="clear" w:color="auto" w:fill="E1D7AC"/>
          </w:tcPr>
          <w:p>
            <w:pPr>
              <w:spacing w:after="0"/>
              <w:rPr>
                <w:sz w:val="9"/>
                <w:szCs w:val="9"/>
                <w:color w:val="auto"/>
              </w:rPr>
            </w:pPr>
          </w:p>
        </w:tc>
        <w:tc>
          <w:tcPr>
            <w:tcW w:w="120" w:type="dxa"/>
            <w:vAlign w:val="bottom"/>
            <w:shd w:val="clear" w:color="auto" w:fill="E1D7AC"/>
          </w:tcPr>
          <w:p>
            <w:pPr>
              <w:spacing w:after="0"/>
              <w:rPr>
                <w:sz w:val="9"/>
                <w:szCs w:val="9"/>
                <w:color w:val="auto"/>
              </w:rPr>
            </w:pPr>
          </w:p>
        </w:tc>
        <w:tc>
          <w:tcPr>
            <w:tcW w:w="2020" w:type="dxa"/>
            <w:vAlign w:val="bottom"/>
            <w:shd w:val="clear" w:color="auto" w:fill="E1D7AC"/>
          </w:tcPr>
          <w:p>
            <w:pPr>
              <w:spacing w:after="0"/>
              <w:rPr>
                <w:sz w:val="9"/>
                <w:szCs w:val="9"/>
                <w:color w:val="auto"/>
              </w:rPr>
            </w:pPr>
          </w:p>
        </w:tc>
        <w:tc>
          <w:tcPr>
            <w:tcW w:w="220" w:type="dxa"/>
            <w:vAlign w:val="bottom"/>
            <w:shd w:val="clear" w:color="auto" w:fill="E1D7AC"/>
          </w:tcPr>
          <w:p>
            <w:pPr>
              <w:spacing w:after="0"/>
              <w:rPr>
                <w:sz w:val="9"/>
                <w:szCs w:val="9"/>
                <w:color w:val="auto"/>
              </w:rPr>
            </w:pPr>
          </w:p>
        </w:tc>
        <w:tc>
          <w:tcPr>
            <w:tcW w:w="1940" w:type="dxa"/>
            <w:vAlign w:val="bottom"/>
            <w:shd w:val="clear" w:color="auto" w:fill="E1D7AC"/>
          </w:tcPr>
          <w:p>
            <w:pPr>
              <w:spacing w:after="0"/>
              <w:rPr>
                <w:sz w:val="9"/>
                <w:szCs w:val="9"/>
                <w:color w:val="auto"/>
              </w:rPr>
            </w:pPr>
          </w:p>
        </w:tc>
        <w:tc>
          <w:tcPr>
            <w:tcW w:w="180" w:type="dxa"/>
            <w:vAlign w:val="bottom"/>
            <w:shd w:val="clear" w:color="auto" w:fill="E1D7AC"/>
          </w:tcPr>
          <w:p>
            <w:pPr>
              <w:spacing w:after="0"/>
              <w:rPr>
                <w:sz w:val="9"/>
                <w:szCs w:val="9"/>
                <w:color w:val="auto"/>
              </w:rPr>
            </w:pPr>
          </w:p>
        </w:tc>
        <w:tc>
          <w:tcPr>
            <w:tcW w:w="140" w:type="dxa"/>
            <w:vAlign w:val="bottom"/>
            <w:shd w:val="clear" w:color="auto" w:fill="E1D7AC"/>
          </w:tcPr>
          <w:p>
            <w:pPr>
              <w:spacing w:after="0"/>
              <w:rPr>
                <w:sz w:val="9"/>
                <w:szCs w:val="9"/>
                <w:color w:val="auto"/>
              </w:rPr>
            </w:pPr>
          </w:p>
        </w:tc>
        <w:tc>
          <w:tcPr>
            <w:tcW w:w="140" w:type="dxa"/>
            <w:vAlign w:val="bottom"/>
            <w:shd w:val="clear" w:color="auto" w:fill="E1D7A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00" w:type="dxa"/>
            <w:vAlign w:val="bottom"/>
            <w:tcBorders>
              <w:bottom w:val="single" w:sz="8" w:color="DBDBDB"/>
            </w:tcBorders>
            <w:shd w:val="clear" w:color="auto" w:fill="DBDBDB"/>
          </w:tcPr>
          <w:p>
            <w:pPr>
              <w:spacing w:after="0"/>
              <w:rPr>
                <w:sz w:val="19"/>
                <w:szCs w:val="19"/>
                <w:color w:val="auto"/>
              </w:rPr>
            </w:pPr>
          </w:p>
        </w:tc>
        <w:tc>
          <w:tcPr>
            <w:tcW w:w="19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4"/>
                <w:szCs w:val="14"/>
                <w:b w:val="1"/>
                <w:bCs w:val="1"/>
                <w:color w:val="auto"/>
              </w:rPr>
              <w:t>Ken C. Hicks</w:t>
            </w:r>
          </w:p>
        </w:tc>
        <w:tc>
          <w:tcPr>
            <w:tcW w:w="20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w w:val="99"/>
              </w:rPr>
              <w:t>—</w:t>
            </w:r>
          </w:p>
        </w:tc>
        <w:tc>
          <w:tcPr>
            <w:tcW w:w="1920" w:type="dxa"/>
            <w:vAlign w:val="bottom"/>
            <w:tcBorders>
              <w:bottom w:val="single" w:sz="8" w:color="DBDBDB"/>
            </w:tcBorders>
            <w:shd w:val="clear" w:color="auto" w:fill="DBDBDB"/>
          </w:tcPr>
          <w:p>
            <w:pPr>
              <w:spacing w:after="0"/>
              <w:rPr>
                <w:sz w:val="19"/>
                <w:szCs w:val="19"/>
                <w:color w:val="auto"/>
              </w:rPr>
            </w:pPr>
          </w:p>
        </w:tc>
        <w:tc>
          <w:tcPr>
            <w:tcW w:w="440" w:type="dxa"/>
            <w:vAlign w:val="bottom"/>
            <w:tcBorders>
              <w:bottom w:val="single" w:sz="8" w:color="DBDBDB"/>
            </w:tcBorders>
            <w:gridSpan w:val="3"/>
            <w:shd w:val="clear" w:color="auto" w:fill="DBDBDB"/>
          </w:tcPr>
          <w:p>
            <w:pPr>
              <w:ind w:left="100"/>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4"/>
                <w:szCs w:val="14"/>
                <w:color w:val="auto"/>
              </w:rPr>
              <w:t>343,010</w:t>
            </w:r>
          </w:p>
        </w:tc>
        <w:tc>
          <w:tcPr>
            <w:tcW w:w="226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4"/>
                <w:szCs w:val="14"/>
                <w:color w:val="auto"/>
              </w:rPr>
              <w:t>11,209,494</w:t>
            </w:r>
          </w:p>
        </w:tc>
        <w:tc>
          <w:tcPr>
            <w:tcW w:w="14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Michael P. Mullican</w:t>
            </w:r>
          </w:p>
        </w:tc>
        <w:tc>
          <w:tcPr>
            <w:tcW w:w="20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920" w:type="dxa"/>
            <w:vAlign w:val="bottom"/>
          </w:tcPr>
          <w:p>
            <w:pPr>
              <w:spacing w:after="0"/>
              <w:rPr>
                <w:sz w:val="18"/>
                <w:szCs w:val="18"/>
                <w:color w:val="auto"/>
              </w:rPr>
            </w:pPr>
          </w:p>
        </w:tc>
        <w:tc>
          <w:tcPr>
            <w:tcW w:w="44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2240" w:type="dxa"/>
            <w:vAlign w:val="bottom"/>
            <w:gridSpan w:val="2"/>
          </w:tcPr>
          <w:p>
            <w:pPr>
              <w:jc w:val="right"/>
              <w:spacing w:after="0"/>
              <w:rPr>
                <w:sz w:val="20"/>
                <w:szCs w:val="20"/>
                <w:color w:val="auto"/>
              </w:rPr>
            </w:pPr>
            <w:r>
              <w:rPr>
                <w:rFonts w:ascii="Arial" w:cs="Arial" w:eastAsia="Arial" w:hAnsi="Arial"/>
                <w:sz w:val="14"/>
                <w:szCs w:val="14"/>
                <w:color w:val="auto"/>
              </w:rPr>
              <w:t>186,886</w:t>
            </w:r>
          </w:p>
        </w:tc>
        <w:tc>
          <w:tcPr>
            <w:tcW w:w="2260" w:type="dxa"/>
            <w:vAlign w:val="bottom"/>
            <w:gridSpan w:val="3"/>
          </w:tcPr>
          <w:p>
            <w:pPr>
              <w:jc w:val="right"/>
              <w:spacing w:after="0"/>
              <w:rPr>
                <w:sz w:val="20"/>
                <w:szCs w:val="20"/>
                <w:color w:val="auto"/>
              </w:rPr>
            </w:pPr>
            <w:r>
              <w:rPr>
                <w:rFonts w:ascii="Arial" w:cs="Arial" w:eastAsia="Arial" w:hAnsi="Arial"/>
                <w:sz w:val="14"/>
                <w:szCs w:val="14"/>
                <w:color w:val="auto"/>
              </w:rPr>
              <w:t>6,190,207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Borders>
              <w:bottom w:val="single" w:sz="8" w:color="DBDBDB"/>
            </w:tcBorders>
            <w:shd w:val="clear" w:color="auto" w:fill="DBDBDB"/>
          </w:tcPr>
          <w:p>
            <w:pPr>
              <w:spacing w:after="0"/>
              <w:rPr>
                <w:sz w:val="19"/>
                <w:szCs w:val="19"/>
                <w:color w:val="auto"/>
              </w:rPr>
            </w:pPr>
          </w:p>
        </w:tc>
        <w:tc>
          <w:tcPr>
            <w:tcW w:w="19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4"/>
                <w:szCs w:val="14"/>
                <w:b w:val="1"/>
                <w:bCs w:val="1"/>
                <w:color w:val="auto"/>
              </w:rPr>
              <w:t>Steve P. Lawrence</w:t>
            </w:r>
          </w:p>
        </w:tc>
        <w:tc>
          <w:tcPr>
            <w:tcW w:w="22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4"/>
                <w:szCs w:val="14"/>
                <w:color w:val="auto"/>
              </w:rPr>
              <w:t>233,593</w:t>
            </w:r>
          </w:p>
        </w:tc>
        <w:tc>
          <w:tcPr>
            <w:tcW w:w="224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4"/>
                <w:szCs w:val="14"/>
                <w:color w:val="auto"/>
              </w:rPr>
              <w:t>7,284,696</w:t>
            </w:r>
          </w:p>
        </w:tc>
        <w:tc>
          <w:tcPr>
            <w:tcW w:w="120" w:type="dxa"/>
            <w:vAlign w:val="bottom"/>
            <w:tcBorders>
              <w:bottom w:val="single" w:sz="8" w:color="DBDBDB"/>
            </w:tcBorders>
            <w:shd w:val="clear" w:color="auto" w:fill="DBDBDB"/>
          </w:tcPr>
          <w:p>
            <w:pPr>
              <w:spacing w:after="0"/>
              <w:rPr>
                <w:sz w:val="19"/>
                <w:szCs w:val="19"/>
                <w:color w:val="auto"/>
              </w:rPr>
            </w:pPr>
          </w:p>
        </w:tc>
        <w:tc>
          <w:tcPr>
            <w:tcW w:w="22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4"/>
                <w:szCs w:val="14"/>
                <w:color w:val="auto"/>
              </w:rPr>
              <w:t>167,676</w:t>
            </w:r>
          </w:p>
        </w:tc>
        <w:tc>
          <w:tcPr>
            <w:tcW w:w="226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4"/>
                <w:szCs w:val="14"/>
                <w:color w:val="auto"/>
              </w:rPr>
              <w:t>5,438,513</w:t>
            </w:r>
          </w:p>
        </w:tc>
        <w:tc>
          <w:tcPr>
            <w:tcW w:w="14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Sam J. Johnson</w:t>
            </w:r>
          </w:p>
        </w:tc>
        <w:tc>
          <w:tcPr>
            <w:tcW w:w="2220" w:type="dxa"/>
            <w:vAlign w:val="bottom"/>
            <w:gridSpan w:val="2"/>
          </w:tcPr>
          <w:p>
            <w:pPr>
              <w:jc w:val="right"/>
              <w:spacing w:after="0"/>
              <w:rPr>
                <w:sz w:val="20"/>
                <w:szCs w:val="20"/>
                <w:color w:val="auto"/>
              </w:rPr>
            </w:pPr>
            <w:r>
              <w:rPr>
                <w:rFonts w:ascii="Arial" w:cs="Arial" w:eastAsia="Arial" w:hAnsi="Arial"/>
                <w:sz w:val="14"/>
                <w:szCs w:val="14"/>
                <w:color w:val="auto"/>
              </w:rPr>
              <w:t>56,685</w:t>
            </w:r>
          </w:p>
        </w:tc>
        <w:tc>
          <w:tcPr>
            <w:tcW w:w="2240" w:type="dxa"/>
            <w:vAlign w:val="bottom"/>
            <w:gridSpan w:val="3"/>
          </w:tcPr>
          <w:p>
            <w:pPr>
              <w:jc w:val="right"/>
              <w:spacing w:after="0"/>
              <w:rPr>
                <w:sz w:val="20"/>
                <w:szCs w:val="20"/>
                <w:color w:val="auto"/>
              </w:rPr>
            </w:pPr>
            <w:r>
              <w:rPr>
                <w:rFonts w:ascii="Arial" w:cs="Arial" w:eastAsia="Arial" w:hAnsi="Arial"/>
                <w:sz w:val="14"/>
                <w:szCs w:val="14"/>
                <w:color w:val="auto"/>
              </w:rPr>
              <w:t>1,324,103</w:t>
            </w:r>
          </w:p>
        </w:tc>
        <w:tc>
          <w:tcPr>
            <w:tcW w:w="120" w:type="dxa"/>
            <w:vAlign w:val="bottom"/>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Arial" w:cs="Arial" w:eastAsia="Arial" w:hAnsi="Arial"/>
                <w:sz w:val="14"/>
                <w:szCs w:val="14"/>
                <w:color w:val="auto"/>
              </w:rPr>
              <w:t>164,425</w:t>
            </w:r>
          </w:p>
        </w:tc>
        <w:tc>
          <w:tcPr>
            <w:tcW w:w="2260" w:type="dxa"/>
            <w:vAlign w:val="bottom"/>
            <w:gridSpan w:val="3"/>
          </w:tcPr>
          <w:p>
            <w:pPr>
              <w:jc w:val="right"/>
              <w:spacing w:after="0"/>
              <w:rPr>
                <w:sz w:val="20"/>
                <w:szCs w:val="20"/>
                <w:color w:val="auto"/>
              </w:rPr>
            </w:pPr>
            <w:r>
              <w:rPr>
                <w:rFonts w:ascii="Arial" w:cs="Arial" w:eastAsia="Arial" w:hAnsi="Arial"/>
                <w:sz w:val="14"/>
                <w:szCs w:val="14"/>
                <w:color w:val="auto"/>
              </w:rPr>
              <w:t>5,442,256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0" w:type="dxa"/>
            <w:vAlign w:val="bottom"/>
            <w:shd w:val="clear" w:color="auto" w:fill="DBDBDB"/>
          </w:tcPr>
          <w:p>
            <w:pPr>
              <w:spacing w:after="0"/>
              <w:rPr>
                <w:sz w:val="18"/>
                <w:szCs w:val="18"/>
                <w:color w:val="auto"/>
              </w:rPr>
            </w:pPr>
          </w:p>
        </w:tc>
        <w:tc>
          <w:tcPr>
            <w:tcW w:w="192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auto"/>
              </w:rPr>
              <w:t>Manish Maini</w:t>
            </w:r>
          </w:p>
        </w:tc>
        <w:tc>
          <w:tcPr>
            <w:tcW w:w="2000" w:type="dxa"/>
            <w:vAlign w:val="bottom"/>
            <w:shd w:val="clear" w:color="auto" w:fill="DBDBDB"/>
          </w:tcPr>
          <w:p>
            <w:pPr>
              <w:spacing w:after="0"/>
              <w:rPr>
                <w:sz w:val="18"/>
                <w:szCs w:val="18"/>
                <w:color w:val="auto"/>
              </w:rPr>
            </w:pPr>
          </w:p>
        </w:tc>
        <w:tc>
          <w:tcPr>
            <w:tcW w:w="2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99"/>
              </w:rPr>
              <w:t>—</w:t>
            </w:r>
          </w:p>
        </w:tc>
        <w:tc>
          <w:tcPr>
            <w:tcW w:w="1920" w:type="dxa"/>
            <w:vAlign w:val="bottom"/>
            <w:shd w:val="clear" w:color="auto" w:fill="DBDBDB"/>
          </w:tcPr>
          <w:p>
            <w:pPr>
              <w:spacing w:after="0"/>
              <w:rPr>
                <w:sz w:val="18"/>
                <w:szCs w:val="18"/>
                <w:color w:val="auto"/>
              </w:rPr>
            </w:pPr>
          </w:p>
        </w:tc>
        <w:tc>
          <w:tcPr>
            <w:tcW w:w="440" w:type="dxa"/>
            <w:vAlign w:val="bottom"/>
            <w:gridSpan w:val="3"/>
            <w:shd w:val="clear" w:color="auto" w:fill="DBDBDB"/>
          </w:tcPr>
          <w:p>
            <w:pPr>
              <w:ind w:left="100"/>
              <w:spacing w:after="0"/>
              <w:rPr>
                <w:sz w:val="20"/>
                <w:szCs w:val="20"/>
                <w:color w:val="auto"/>
              </w:rPr>
            </w:pPr>
            <w:r>
              <w:rPr>
                <w:rFonts w:ascii="Arial" w:cs="Arial" w:eastAsia="Arial" w:hAnsi="Arial"/>
                <w:sz w:val="14"/>
                <w:szCs w:val="14"/>
                <w:color w:val="auto"/>
              </w:rPr>
              <w:t>—</w:t>
            </w:r>
          </w:p>
        </w:tc>
        <w:tc>
          <w:tcPr>
            <w:tcW w:w="2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98,575</w:t>
            </w:r>
          </w:p>
        </w:tc>
        <w:tc>
          <w:tcPr>
            <w:tcW w:w="226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3,258,619</w:t>
            </w:r>
          </w:p>
        </w:tc>
        <w:tc>
          <w:tcPr>
            <w:tcW w:w="1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shd w:val="clear" w:color="auto" w:fill="DBDBDB"/>
          </w:tcPr>
          <w:p>
            <w:pPr>
              <w:spacing w:after="0"/>
              <w:rPr>
                <w:sz w:val="2"/>
                <w:szCs w:val="2"/>
                <w:color w:val="auto"/>
              </w:rPr>
            </w:pPr>
          </w:p>
        </w:tc>
        <w:tc>
          <w:tcPr>
            <w:tcW w:w="40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c>
          <w:tcPr>
            <w:tcW w:w="200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92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02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94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40" w:right="180" w:hanging="332"/>
        <w:spacing w:after="0" w:line="264" w:lineRule="auto"/>
        <w:tabs>
          <w:tab w:leader="none" w:pos="337"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value realized equals the difference between the Option exercise price and the Company’s closing stock price on the exercise date, multiplied by the number of shares to which the exercise relates.</w:t>
      </w:r>
    </w:p>
    <w:p>
      <w:pPr>
        <w:spacing w:after="0" w:line="76" w:lineRule="exact"/>
        <w:rPr>
          <w:rFonts w:ascii="Arial" w:cs="Arial" w:eastAsia="Arial" w:hAnsi="Arial"/>
          <w:sz w:val="13"/>
          <w:szCs w:val="13"/>
          <w:color w:val="auto"/>
        </w:rPr>
      </w:pPr>
    </w:p>
    <w:p>
      <w:pPr>
        <w:ind w:left="340" w:right="60" w:hanging="332"/>
        <w:spacing w:after="0" w:line="264" w:lineRule="auto"/>
        <w:tabs>
          <w:tab w:leader="none" w:pos="337"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value realized equals the Company’s closing stock price on the vesting date, multiplied by the number of shares to which the vesting relates. If the vesting date was on a day which the market was not open, then the closing price for the first preceding day the market was open was used.</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Employment Agreements</w:t>
      </w:r>
    </w:p>
    <w:p>
      <w:pPr>
        <w:spacing w:after="0" w:line="13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entered into an employment agreement with each of our NEOs and certain other members of senior management to help ensure the retention of those executive officers critical to the future success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In general, each employment agreement provides for the following terms:</w:t>
      </w:r>
    </w:p>
    <w:p>
      <w:pPr>
        <w:spacing w:after="0" w:line="68" w:lineRule="exact"/>
        <w:rPr>
          <w:sz w:val="20"/>
          <w:szCs w:val="20"/>
          <w:color w:val="auto"/>
        </w:rPr>
      </w:pPr>
    </w:p>
    <w:p>
      <w:pPr>
        <w:ind w:left="500" w:right="20" w:hanging="249"/>
        <w:spacing w:after="0" w:line="275" w:lineRule="auto"/>
        <w:tabs>
          <w:tab w:leader="none" w:pos="4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Employment periods end on the first anniversary of the effective date of the employment agreement and automatically extend for an additional year on each anniversary of the effective date unless written notice of termination is given no later than 30 days prior to the end of the employment period (including any extension thereof) by either the Company or the NEO.</w:t>
      </w:r>
    </w:p>
    <w:p>
      <w:pPr>
        <w:spacing w:after="0" w:line="56" w:lineRule="exact"/>
        <w:rPr>
          <w:rFonts w:ascii="Arial" w:cs="Arial" w:eastAsia="Arial" w:hAnsi="Arial"/>
          <w:sz w:val="16"/>
          <w:szCs w:val="16"/>
          <w:color w:val="auto"/>
        </w:rPr>
      </w:pPr>
    </w:p>
    <w:p>
      <w:pPr>
        <w:ind w:left="500" w:right="20" w:hanging="249"/>
        <w:spacing w:after="0" w:line="286" w:lineRule="auto"/>
        <w:tabs>
          <w:tab w:leader="none" w:pos="4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NEOs are entitled to a base salary, which may be increased at the discretion of the Board or the Committee and are eligible to participate in the Bonus Plan pursuant to target bonus opportunities and pre-established performance targets, as determined by the Board or Committee.</w:t>
      </w:r>
    </w:p>
    <w:p>
      <w:pPr>
        <w:spacing w:after="0" w:line="61" w:lineRule="exact"/>
        <w:rPr>
          <w:rFonts w:ascii="Arial" w:cs="Arial" w:eastAsia="Arial" w:hAnsi="Arial"/>
          <w:sz w:val="16"/>
          <w:szCs w:val="16"/>
          <w:color w:val="auto"/>
        </w:rPr>
      </w:pPr>
    </w:p>
    <w:p>
      <w:pPr>
        <w:ind w:left="500" w:right="180" w:hanging="249"/>
        <w:spacing w:after="0" w:line="275" w:lineRule="auto"/>
        <w:tabs>
          <w:tab w:leader="none" w:pos="4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NEOs are entitled to reimbursement for all reasonable business expenses incurred in performing services under the NEO’s employment agreement in accordance with the Company’s expense reimbursement policy, including all travel expenses while away from home on business or at the request of and in the service of the Company.</w:t>
      </w:r>
    </w:p>
    <w:p>
      <w:pPr>
        <w:spacing w:after="0" w:line="56" w:lineRule="exact"/>
        <w:rPr>
          <w:rFonts w:ascii="Arial" w:cs="Arial" w:eastAsia="Arial" w:hAnsi="Arial"/>
          <w:sz w:val="16"/>
          <w:szCs w:val="16"/>
          <w:color w:val="auto"/>
        </w:rPr>
      </w:pPr>
    </w:p>
    <w:p>
      <w:pPr>
        <w:ind w:left="460" w:hanging="209"/>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following restrictive covenants apply to each NEO:</w:t>
      </w:r>
    </w:p>
    <w:p>
      <w:pPr>
        <w:spacing w:after="0" w:line="113" w:lineRule="exact"/>
        <w:rPr>
          <w:rFonts w:ascii="Arial" w:cs="Arial" w:eastAsia="Arial" w:hAnsi="Arial"/>
          <w:sz w:val="16"/>
          <w:szCs w:val="16"/>
          <w:color w:val="auto"/>
        </w:rPr>
      </w:pPr>
    </w:p>
    <w:p>
      <w:pPr>
        <w:ind w:left="740" w:right="600" w:hanging="246"/>
        <w:spacing w:after="0" w:line="304" w:lineRule="auto"/>
        <w:tabs>
          <w:tab w:leader="none" w:pos="7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assignment of all rights of any intellectual property created during employment to the Company and, during employment and in perpetually thereafter, confidentiality covenant; and</w:t>
      </w:r>
    </w:p>
    <w:p>
      <w:pPr>
        <w:spacing w:after="0" w:line="33" w:lineRule="exact"/>
        <w:rPr>
          <w:rFonts w:ascii="Arial" w:cs="Arial" w:eastAsia="Arial" w:hAnsi="Arial"/>
          <w:sz w:val="16"/>
          <w:szCs w:val="16"/>
          <w:color w:val="auto"/>
        </w:rPr>
      </w:pPr>
    </w:p>
    <w:p>
      <w:pPr>
        <w:ind w:left="740" w:right="40" w:hanging="246"/>
        <w:spacing w:after="0" w:line="304" w:lineRule="auto"/>
        <w:tabs>
          <w:tab w:leader="none" w:pos="735" w:val="left"/>
        </w:tabs>
        <w:numPr>
          <w:ilvl w:val="1"/>
          <w:numId w:val="38"/>
        </w:numPr>
        <w:rPr>
          <w:rFonts w:ascii="Arial" w:cs="Arial" w:eastAsia="Arial" w:hAnsi="Arial"/>
          <w:sz w:val="16"/>
          <w:szCs w:val="16"/>
          <w:color w:val="auto"/>
        </w:rPr>
      </w:pPr>
      <w:r>
        <w:rPr>
          <w:rFonts w:ascii="Arial" w:cs="Arial" w:eastAsia="Arial" w:hAnsi="Arial"/>
          <w:sz w:val="16"/>
          <w:szCs w:val="16"/>
          <w:color w:val="auto"/>
        </w:rPr>
        <w:t>during employment and for up to 24 months (or 18 months for Mr. Maini) following termination, a non-compete, non-solicitation and no hire of team members, and non-solicitation of customers.</w:t>
      </w:r>
    </w:p>
    <w:p>
      <w:pPr>
        <w:spacing w:after="0" w:line="33" w:lineRule="exact"/>
        <w:rPr>
          <w:rFonts w:ascii="Arial" w:cs="Arial" w:eastAsia="Arial" w:hAnsi="Arial"/>
          <w:sz w:val="16"/>
          <w:szCs w:val="16"/>
          <w:color w:val="auto"/>
        </w:rPr>
      </w:pPr>
    </w:p>
    <w:p>
      <w:pPr>
        <w:ind w:left="500" w:right="280" w:hanging="249"/>
        <w:spacing w:after="0" w:line="286" w:lineRule="auto"/>
        <w:tabs>
          <w:tab w:leader="none" w:pos="4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Severance payments following termination of employment under certain circumstances, subject to execution of a release of claims and compliance with certain restrictive covenants, described under the heading “Potential Payments upon Termination of Employment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776605</wp:posOffset>
            </wp:positionV>
            <wp:extent cx="857250" cy="205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Specific Provisions for Mr. Hicks:</w:t>
      </w:r>
    </w:p>
    <w:p>
      <w:pPr>
        <w:spacing w:after="0" w:line="68" w:lineRule="exact"/>
        <w:rPr>
          <w:sz w:val="20"/>
          <w:szCs w:val="20"/>
          <w:color w:val="auto"/>
        </w:rPr>
      </w:pPr>
    </w:p>
    <w:p>
      <w:pPr>
        <w:ind w:left="500" w:right="180" w:hanging="249"/>
        <w:spacing w:after="0" w:line="261" w:lineRule="auto"/>
        <w:tabs>
          <w:tab w:leader="none" w:pos="4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time-vesting component of an annual equity award will provide for ratable monthly vesting over the applicable vesting period for such awards (subject, for any portion of the award that has both time-based and performance-based vesting, to any modifications imposed by the applicable performance vesting conditions, such as no vesting occurring prior to the date on which it is determined that the applicable performance conditions have been achieved); however if his service is terminated by the Company without Cause or due to his resignation for Good Reason (as such terms are defined in Mr. Hicks’ employment agreement) at any time prior to the sixth month anniversary of the grant date, then 6/48th of the annual equity award will be vested and exercisable on the date of such termination.</w:t>
      </w:r>
    </w:p>
    <w:p>
      <w:pPr>
        <w:spacing w:after="0" w:line="81" w:lineRule="exact"/>
        <w:rPr>
          <w:rFonts w:ascii="Arial" w:cs="Arial" w:eastAsia="Arial" w:hAnsi="Arial"/>
          <w:sz w:val="16"/>
          <w:szCs w:val="16"/>
          <w:color w:val="auto"/>
        </w:rPr>
      </w:pPr>
    </w:p>
    <w:p>
      <w:pPr>
        <w:ind w:left="500" w:right="80" w:hanging="249"/>
        <w:spacing w:after="0" w:line="266" w:lineRule="auto"/>
        <w:tabs>
          <w:tab w:leader="none" w:pos="4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Reimbursement for entertainment and travel expenses incurred in performing services under his Employment Agreement and in accordance with the Company’s expense reimbursement policy, including all travel expenses while away from the Katy, Texas area on business or at the request of and in the service of the Company.</w:t>
      </w:r>
    </w:p>
    <w:p>
      <w:pPr>
        <w:spacing w:after="0" w:line="76" w:lineRule="exact"/>
        <w:rPr>
          <w:rFonts w:ascii="Arial" w:cs="Arial" w:eastAsia="Arial" w:hAnsi="Arial"/>
          <w:sz w:val="16"/>
          <w:szCs w:val="16"/>
          <w:color w:val="auto"/>
        </w:rPr>
      </w:pPr>
    </w:p>
    <w:p>
      <w:pPr>
        <w:ind w:left="500" w:right="560" w:hanging="249"/>
        <w:spacing w:after="0" w:line="286" w:lineRule="auto"/>
        <w:tabs>
          <w:tab w:leader="none" w:pos="4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Reimbursement or payment directly by the Company for reasonable monthly rent and utilities costs (including electric, gas, water, alarm, cable, housekeeping and internet but excluding meals and laundry) for a furnished rental apartment in the Katy, Texas area.</w:t>
      </w:r>
    </w:p>
    <w:p>
      <w:pPr>
        <w:spacing w:after="0" w:line="61" w:lineRule="exact"/>
        <w:rPr>
          <w:rFonts w:ascii="Arial" w:cs="Arial" w:eastAsia="Arial" w:hAnsi="Arial"/>
          <w:sz w:val="16"/>
          <w:szCs w:val="16"/>
          <w:color w:val="auto"/>
        </w:rPr>
      </w:pPr>
    </w:p>
    <w:p>
      <w:pPr>
        <w:ind w:left="460" w:hanging="209"/>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Use of a Company-owned vehicle when in Katy, Texas and all maintenance and insurance costs with respect to such vehicle.</w:t>
      </w:r>
    </w:p>
    <w:p>
      <w:pPr>
        <w:spacing w:after="0" w:line="113" w:lineRule="exact"/>
        <w:rPr>
          <w:rFonts w:ascii="Arial" w:cs="Arial" w:eastAsia="Arial" w:hAnsi="Arial"/>
          <w:sz w:val="16"/>
          <w:szCs w:val="16"/>
          <w:color w:val="auto"/>
        </w:rPr>
      </w:pPr>
    </w:p>
    <w:p>
      <w:pPr>
        <w:ind w:left="500" w:right="20" w:hanging="249"/>
        <w:spacing w:after="0" w:line="275" w:lineRule="auto"/>
        <w:tabs>
          <w:tab w:leader="none" w:pos="4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Reimbursement or payment directly by the Company on a monthly basis for reasonable and necessary expenses incurred by Mr. Hicks in connection with periodic travel from work in Katy, Texas to his residence in California (including jet card payments for private air travel, cost of meals on the flights and transportation to and from airports).</w:t>
      </w:r>
    </w:p>
    <w:p>
      <w:pPr>
        <w:spacing w:after="0" w:line="56" w:lineRule="exact"/>
        <w:rPr>
          <w:rFonts w:ascii="Arial" w:cs="Arial" w:eastAsia="Arial" w:hAnsi="Arial"/>
          <w:sz w:val="16"/>
          <w:szCs w:val="16"/>
          <w:color w:val="auto"/>
        </w:rPr>
      </w:pPr>
    </w:p>
    <w:p>
      <w:pPr>
        <w:ind w:left="500" w:right="520" w:hanging="249"/>
        <w:spacing w:after="0" w:line="304" w:lineRule="auto"/>
        <w:tabs>
          <w:tab w:leader="none" w:pos="4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Receipt from the Company on a monthly basis of an additional payment in an amount sufficient to indemnify him on a net after-tax basis for any income tax associated with the provision of these perquisites.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Specific Provisions for Mr. Lawrence:</w:t>
      </w:r>
    </w:p>
    <w:p>
      <w:pPr>
        <w:spacing w:after="0" w:line="68" w:lineRule="exact"/>
        <w:rPr>
          <w:sz w:val="20"/>
          <w:szCs w:val="20"/>
          <w:color w:val="auto"/>
        </w:rPr>
      </w:pPr>
    </w:p>
    <w:p>
      <w:pPr>
        <w:ind w:left="460" w:hanging="209"/>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Agreement has no specified employment term and may be terminated by either the Company or Mr. Lawrence with a written notice of termination.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Severance Arrangements</w:t>
      </w:r>
    </w:p>
    <w:p>
      <w:pPr>
        <w:spacing w:after="0" w:line="112" w:lineRule="exact"/>
        <w:rPr>
          <w:sz w:val="20"/>
          <w:szCs w:val="20"/>
          <w:color w:val="auto"/>
        </w:rPr>
      </w:pPr>
    </w:p>
    <w:p>
      <w:pPr>
        <w:jc w:val="both"/>
        <w:ind w:right="80"/>
        <w:spacing w:after="0" w:line="265" w:lineRule="auto"/>
        <w:rPr>
          <w:sz w:val="20"/>
          <w:szCs w:val="20"/>
          <w:color w:val="auto"/>
        </w:rPr>
      </w:pPr>
      <w:r>
        <w:rPr>
          <w:rFonts w:ascii="Arial" w:cs="Arial" w:eastAsia="Arial" w:hAnsi="Arial"/>
          <w:sz w:val="16"/>
          <w:szCs w:val="16"/>
          <w:color w:val="auto"/>
        </w:rPr>
        <w:t>Each NEO is entitled to receive severance benefits under the terms of his employment agreement upon either termination by us without Cause (as defined below) or a resignation by the NEO for Good Reason (as defined below). We provide these severance benefits in order to provide an overall compensation package that is competitive with that offered by the companies with which we compete for executive talent. Severance benefits help us retain our NEOs and allow our NEOs to focus on our business objectives without concern for their employment security in the event of a termination.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Payments and Benefits</w:t>
      </w:r>
    </w:p>
    <w:p>
      <w:pPr>
        <w:spacing w:after="0" w:line="81" w:lineRule="exact"/>
        <w:rPr>
          <w:sz w:val="20"/>
          <w:szCs w:val="20"/>
          <w:color w:val="auto"/>
        </w:rPr>
      </w:pPr>
    </w:p>
    <w:p>
      <w:pPr>
        <w:ind w:left="500" w:right="280" w:hanging="249"/>
        <w:spacing w:after="0" w:line="286" w:lineRule="auto"/>
        <w:tabs>
          <w:tab w:leader="none" w:pos="476"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severance payments and benefits are subject to timely execution, without revocation, of an effective release of claims in favor of the Company and its affiliates.</w:t>
      </w:r>
    </w:p>
    <w:p>
      <w:pPr>
        <w:spacing w:after="0" w:line="61" w:lineRule="exact"/>
        <w:rPr>
          <w:rFonts w:ascii="Arial" w:cs="Arial" w:eastAsia="Arial" w:hAnsi="Arial"/>
          <w:sz w:val="16"/>
          <w:szCs w:val="16"/>
          <w:color w:val="auto"/>
        </w:rPr>
      </w:pPr>
    </w:p>
    <w:p>
      <w:pPr>
        <w:ind w:left="460" w:hanging="209"/>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NEOs are not entitled to any severance payments or benefits if terminated for Cause or if they resign without Good Reason.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Death or Disability</w:t>
      </w:r>
    </w:p>
    <w:p>
      <w:pPr>
        <w:spacing w:after="0" w:line="68" w:lineRule="exact"/>
        <w:rPr>
          <w:sz w:val="20"/>
          <w:szCs w:val="20"/>
          <w:color w:val="auto"/>
        </w:rPr>
      </w:pPr>
    </w:p>
    <w:p>
      <w:pPr>
        <w:ind w:right="700"/>
        <w:spacing w:after="0" w:line="304" w:lineRule="auto"/>
        <w:rPr>
          <w:sz w:val="20"/>
          <w:szCs w:val="20"/>
          <w:color w:val="auto"/>
        </w:rPr>
      </w:pPr>
      <w:r>
        <w:rPr>
          <w:rFonts w:ascii="Arial" w:cs="Arial" w:eastAsia="Arial" w:hAnsi="Arial"/>
          <w:sz w:val="16"/>
          <w:szCs w:val="16"/>
          <w:color w:val="auto"/>
        </w:rPr>
        <w:t>If employment is terminated due to death or disability, the Company will pay to the executive or the designated beneficiary or legal representative (if applicable):</w:t>
      </w:r>
    </w:p>
    <w:p>
      <w:pPr>
        <w:spacing w:after="0" w:line="141" w:lineRule="exact"/>
        <w:rPr>
          <w:sz w:val="20"/>
          <w:szCs w:val="20"/>
          <w:color w:val="auto"/>
        </w:rPr>
      </w:pPr>
    </w:p>
    <w:p>
      <w:pPr>
        <w:ind w:left="500" w:right="180" w:hanging="249"/>
        <w:spacing w:after="0" w:line="286" w:lineRule="auto"/>
        <w:tabs>
          <w:tab w:leader="none" w:pos="476"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 rata portion of the annual bonus under the Bonus Plan for the fiscal year in which the termination date occurs with the amount paid based solely on the Company’s financial performance metrics.</w:t>
      </w:r>
    </w:p>
    <w:p>
      <w:pPr>
        <w:spacing w:after="0" w:line="61" w:lineRule="exact"/>
        <w:rPr>
          <w:rFonts w:ascii="Arial" w:cs="Arial" w:eastAsia="Arial" w:hAnsi="Arial"/>
          <w:sz w:val="16"/>
          <w:szCs w:val="16"/>
          <w:color w:val="auto"/>
        </w:rPr>
      </w:pPr>
    </w:p>
    <w:p>
      <w:pPr>
        <w:ind w:left="460" w:hanging="209"/>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Termination due to death or disability triggers limited accelerated vesting of outstanding Options (i.e., through the next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817880</wp:posOffset>
            </wp:positionV>
            <wp:extent cx="857250"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color w:val="007EC4"/>
        </w:rPr>
        <w:t xml:space="preserve">56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Without Cause or for Good Reason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If the Company terminates employment without Cause or the NEO resigns for Good Reason, the Company will pay the following benefits:</w:t>
      </w:r>
    </w:p>
    <w:p>
      <w:pPr>
        <w:spacing w:after="0" w:line="235" w:lineRule="exact"/>
        <w:rPr>
          <w:sz w:val="20"/>
          <w:szCs w:val="20"/>
          <w:color w:val="auto"/>
        </w:rPr>
      </w:pPr>
    </w:p>
    <w:p>
      <w:pPr>
        <w:ind w:left="500" w:right="140" w:hanging="249"/>
        <w:spacing w:after="0" w:line="265"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NEOs receive a cash severance payment equal to the product of their severance multiple multiplied by the sum of their current base salary and the average annual bonus paid to (or earned by, to the extent not yet paid as of the termination date) for the two fiscal years immediately preceding the fiscal year in which the termination date occurs. Severance is paid ratably in equal monthly installments following the termination date in accordance with the Company’s normal payroll cycle and procedures.</w:t>
      </w:r>
    </w:p>
    <w:p>
      <w:pPr>
        <w:spacing w:after="0" w:line="160"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276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4"/>
                <w:szCs w:val="14"/>
                <w:b w:val="1"/>
                <w:bCs w:val="1"/>
                <w:color w:val="auto"/>
              </w:rPr>
              <w:t>NEO</w:t>
            </w:r>
          </w:p>
        </w:tc>
        <w:tc>
          <w:tcPr>
            <w:tcW w:w="3700" w:type="dxa"/>
            <w:vAlign w:val="bottom"/>
            <w:tcBorders>
              <w:bottom w:val="single" w:sz="8" w:color="E1D7AC"/>
            </w:tcBorders>
            <w:shd w:val="clear" w:color="auto" w:fill="E1D7AC"/>
          </w:tcPr>
          <w:p>
            <w:pPr>
              <w:jc w:val="center"/>
              <w:ind w:left="248"/>
              <w:spacing w:after="0"/>
              <w:rPr>
                <w:sz w:val="20"/>
                <w:szCs w:val="20"/>
                <w:color w:val="auto"/>
              </w:rPr>
            </w:pPr>
            <w:r>
              <w:rPr>
                <w:rFonts w:ascii="Arial" w:cs="Arial" w:eastAsia="Arial" w:hAnsi="Arial"/>
                <w:sz w:val="14"/>
                <w:szCs w:val="14"/>
                <w:b w:val="1"/>
                <w:bCs w:val="1"/>
                <w:color w:val="auto"/>
              </w:rPr>
              <w:t>Severance Multiple</w:t>
            </w:r>
          </w:p>
        </w:tc>
        <w:tc>
          <w:tcPr>
            <w:tcW w:w="3680" w:type="dxa"/>
            <w:vAlign w:val="bottom"/>
            <w:tcBorders>
              <w:bottom w:val="single" w:sz="8" w:color="E1D7AC"/>
            </w:tcBorders>
            <w:shd w:val="clear" w:color="auto" w:fill="E1D7AC"/>
          </w:tcPr>
          <w:p>
            <w:pPr>
              <w:jc w:val="center"/>
              <w:ind w:left="28"/>
              <w:spacing w:after="0"/>
              <w:rPr>
                <w:sz w:val="20"/>
                <w:szCs w:val="20"/>
                <w:color w:val="auto"/>
              </w:rPr>
            </w:pPr>
            <w:r>
              <w:rPr>
                <w:rFonts w:ascii="Arial" w:cs="Arial" w:eastAsia="Arial" w:hAnsi="Arial"/>
                <w:sz w:val="14"/>
                <w:szCs w:val="14"/>
                <w:b w:val="1"/>
                <w:bCs w:val="1"/>
                <w:color w:val="auto"/>
              </w:rPr>
              <w:t># of Monthly Installments</w:t>
            </w:r>
          </w:p>
        </w:tc>
      </w:tr>
      <w:tr>
        <w:trPr>
          <w:trHeight w:val="223"/>
        </w:trPr>
        <w:tc>
          <w:tcPr>
            <w:tcW w:w="27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Ken C. Hicks</w:t>
            </w:r>
          </w:p>
        </w:tc>
        <w:tc>
          <w:tcPr>
            <w:tcW w:w="3700" w:type="dxa"/>
            <w:vAlign w:val="bottom"/>
            <w:tcBorders>
              <w:bottom w:val="single" w:sz="8" w:color="DBDBDB"/>
            </w:tcBorders>
            <w:shd w:val="clear" w:color="auto" w:fill="DBDBDB"/>
          </w:tcPr>
          <w:p>
            <w:pPr>
              <w:jc w:val="center"/>
              <w:ind w:left="248"/>
              <w:spacing w:after="0"/>
              <w:rPr>
                <w:sz w:val="20"/>
                <w:szCs w:val="20"/>
                <w:color w:val="auto"/>
              </w:rPr>
            </w:pPr>
            <w:r>
              <w:rPr>
                <w:rFonts w:ascii="Arial" w:cs="Arial" w:eastAsia="Arial" w:hAnsi="Arial"/>
                <w:sz w:val="14"/>
                <w:szCs w:val="14"/>
                <w:color w:val="auto"/>
                <w:w w:val="98"/>
              </w:rPr>
              <w:t>2.0x</w:t>
            </w:r>
          </w:p>
        </w:tc>
        <w:tc>
          <w:tcPr>
            <w:tcW w:w="3680" w:type="dxa"/>
            <w:vAlign w:val="bottom"/>
            <w:tcBorders>
              <w:bottom w:val="single" w:sz="8" w:color="DBDBDB"/>
            </w:tcBorders>
            <w:shd w:val="clear" w:color="auto" w:fill="DBDBDB"/>
          </w:tcPr>
          <w:p>
            <w:pPr>
              <w:jc w:val="center"/>
              <w:ind w:left="48"/>
              <w:spacing w:after="0"/>
              <w:rPr>
                <w:sz w:val="20"/>
                <w:szCs w:val="20"/>
                <w:color w:val="auto"/>
              </w:rPr>
            </w:pPr>
            <w:r>
              <w:rPr>
                <w:rFonts w:ascii="Arial" w:cs="Arial" w:eastAsia="Arial" w:hAnsi="Arial"/>
                <w:sz w:val="14"/>
                <w:szCs w:val="14"/>
                <w:color w:val="auto"/>
              </w:rPr>
              <w:t>24</w:t>
            </w:r>
          </w:p>
        </w:tc>
      </w:tr>
      <w:tr>
        <w:trPr>
          <w:trHeight w:val="214"/>
        </w:trPr>
        <w:tc>
          <w:tcPr>
            <w:tcW w:w="2760" w:type="dxa"/>
            <w:vAlign w:val="bottom"/>
          </w:tcPr>
          <w:p>
            <w:pPr>
              <w:ind w:left="100"/>
              <w:spacing w:after="0"/>
              <w:rPr>
                <w:sz w:val="20"/>
                <w:szCs w:val="20"/>
                <w:color w:val="auto"/>
              </w:rPr>
            </w:pPr>
            <w:r>
              <w:rPr>
                <w:rFonts w:ascii="Arial" w:cs="Arial" w:eastAsia="Arial" w:hAnsi="Arial"/>
                <w:sz w:val="14"/>
                <w:szCs w:val="14"/>
                <w:b w:val="1"/>
                <w:bCs w:val="1"/>
                <w:color w:val="auto"/>
              </w:rPr>
              <w:t>Michael P. Mullican</w:t>
            </w:r>
          </w:p>
        </w:tc>
        <w:tc>
          <w:tcPr>
            <w:tcW w:w="3700" w:type="dxa"/>
            <w:vAlign w:val="bottom"/>
          </w:tcPr>
          <w:p>
            <w:pPr>
              <w:jc w:val="center"/>
              <w:ind w:left="248"/>
              <w:spacing w:after="0"/>
              <w:rPr>
                <w:sz w:val="20"/>
                <w:szCs w:val="20"/>
                <w:color w:val="auto"/>
              </w:rPr>
            </w:pPr>
            <w:r>
              <w:rPr>
                <w:rFonts w:ascii="Arial" w:cs="Arial" w:eastAsia="Arial" w:hAnsi="Arial"/>
                <w:sz w:val="14"/>
                <w:szCs w:val="14"/>
                <w:color w:val="auto"/>
                <w:w w:val="98"/>
              </w:rPr>
              <w:t>2.0x</w:t>
            </w:r>
          </w:p>
        </w:tc>
        <w:tc>
          <w:tcPr>
            <w:tcW w:w="3680" w:type="dxa"/>
            <w:vAlign w:val="bottom"/>
          </w:tcPr>
          <w:p>
            <w:pPr>
              <w:jc w:val="center"/>
              <w:ind w:left="48"/>
              <w:spacing w:after="0"/>
              <w:rPr>
                <w:sz w:val="20"/>
                <w:szCs w:val="20"/>
                <w:color w:val="auto"/>
              </w:rPr>
            </w:pPr>
            <w:r>
              <w:rPr>
                <w:rFonts w:ascii="Arial" w:cs="Arial" w:eastAsia="Arial" w:hAnsi="Arial"/>
                <w:sz w:val="14"/>
                <w:szCs w:val="14"/>
                <w:color w:val="auto"/>
              </w:rPr>
              <w:t>24</w:t>
            </w:r>
          </w:p>
        </w:tc>
      </w:tr>
      <w:tr>
        <w:trPr>
          <w:trHeight w:val="29"/>
        </w:trPr>
        <w:tc>
          <w:tcPr>
            <w:tcW w:w="2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23"/>
        </w:trPr>
        <w:tc>
          <w:tcPr>
            <w:tcW w:w="27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Steve P. Lawrence</w:t>
            </w:r>
          </w:p>
        </w:tc>
        <w:tc>
          <w:tcPr>
            <w:tcW w:w="3700" w:type="dxa"/>
            <w:vAlign w:val="bottom"/>
            <w:tcBorders>
              <w:bottom w:val="single" w:sz="8" w:color="DBDBDB"/>
            </w:tcBorders>
            <w:shd w:val="clear" w:color="auto" w:fill="DBDBDB"/>
          </w:tcPr>
          <w:p>
            <w:pPr>
              <w:jc w:val="center"/>
              <w:ind w:left="248"/>
              <w:spacing w:after="0"/>
              <w:rPr>
                <w:sz w:val="20"/>
                <w:szCs w:val="20"/>
                <w:color w:val="auto"/>
              </w:rPr>
            </w:pPr>
            <w:r>
              <w:rPr>
                <w:rFonts w:ascii="Arial" w:cs="Arial" w:eastAsia="Arial" w:hAnsi="Arial"/>
                <w:sz w:val="14"/>
                <w:szCs w:val="14"/>
                <w:color w:val="auto"/>
                <w:w w:val="98"/>
              </w:rPr>
              <w:t>2.0x</w:t>
            </w:r>
          </w:p>
        </w:tc>
        <w:tc>
          <w:tcPr>
            <w:tcW w:w="3680" w:type="dxa"/>
            <w:vAlign w:val="bottom"/>
            <w:tcBorders>
              <w:bottom w:val="single" w:sz="8" w:color="DBDBDB"/>
            </w:tcBorders>
            <w:shd w:val="clear" w:color="auto" w:fill="DBDBDB"/>
          </w:tcPr>
          <w:p>
            <w:pPr>
              <w:jc w:val="center"/>
              <w:ind w:left="48"/>
              <w:spacing w:after="0"/>
              <w:rPr>
                <w:sz w:val="20"/>
                <w:szCs w:val="20"/>
                <w:color w:val="auto"/>
              </w:rPr>
            </w:pPr>
            <w:r>
              <w:rPr>
                <w:rFonts w:ascii="Arial" w:cs="Arial" w:eastAsia="Arial" w:hAnsi="Arial"/>
                <w:sz w:val="14"/>
                <w:szCs w:val="14"/>
                <w:color w:val="auto"/>
              </w:rPr>
              <w:t>24</w:t>
            </w:r>
          </w:p>
        </w:tc>
      </w:tr>
      <w:tr>
        <w:trPr>
          <w:trHeight w:val="214"/>
        </w:trPr>
        <w:tc>
          <w:tcPr>
            <w:tcW w:w="2760" w:type="dxa"/>
            <w:vAlign w:val="bottom"/>
          </w:tcPr>
          <w:p>
            <w:pPr>
              <w:ind w:left="100"/>
              <w:spacing w:after="0"/>
              <w:rPr>
                <w:sz w:val="20"/>
                <w:szCs w:val="20"/>
                <w:color w:val="auto"/>
              </w:rPr>
            </w:pPr>
            <w:r>
              <w:rPr>
                <w:rFonts w:ascii="Arial" w:cs="Arial" w:eastAsia="Arial" w:hAnsi="Arial"/>
                <w:sz w:val="14"/>
                <w:szCs w:val="14"/>
                <w:b w:val="1"/>
                <w:bCs w:val="1"/>
                <w:color w:val="auto"/>
              </w:rPr>
              <w:t>Sam J. Johnson</w:t>
            </w:r>
          </w:p>
        </w:tc>
        <w:tc>
          <w:tcPr>
            <w:tcW w:w="3700" w:type="dxa"/>
            <w:vAlign w:val="bottom"/>
          </w:tcPr>
          <w:p>
            <w:pPr>
              <w:jc w:val="center"/>
              <w:ind w:left="248"/>
              <w:spacing w:after="0"/>
              <w:rPr>
                <w:sz w:val="20"/>
                <w:szCs w:val="20"/>
                <w:color w:val="auto"/>
              </w:rPr>
            </w:pPr>
            <w:r>
              <w:rPr>
                <w:rFonts w:ascii="Arial" w:cs="Arial" w:eastAsia="Arial" w:hAnsi="Arial"/>
                <w:sz w:val="14"/>
                <w:szCs w:val="14"/>
                <w:color w:val="auto"/>
                <w:w w:val="98"/>
              </w:rPr>
              <w:t>2.0x</w:t>
            </w:r>
          </w:p>
        </w:tc>
        <w:tc>
          <w:tcPr>
            <w:tcW w:w="3680" w:type="dxa"/>
            <w:vAlign w:val="bottom"/>
          </w:tcPr>
          <w:p>
            <w:pPr>
              <w:jc w:val="center"/>
              <w:ind w:left="48"/>
              <w:spacing w:after="0"/>
              <w:rPr>
                <w:sz w:val="20"/>
                <w:szCs w:val="20"/>
                <w:color w:val="auto"/>
              </w:rPr>
            </w:pPr>
            <w:r>
              <w:rPr>
                <w:rFonts w:ascii="Arial" w:cs="Arial" w:eastAsia="Arial" w:hAnsi="Arial"/>
                <w:sz w:val="14"/>
                <w:szCs w:val="14"/>
                <w:color w:val="auto"/>
              </w:rPr>
              <w:t>24</w:t>
            </w:r>
          </w:p>
        </w:tc>
      </w:tr>
      <w:tr>
        <w:trPr>
          <w:trHeight w:val="29"/>
        </w:trPr>
        <w:tc>
          <w:tcPr>
            <w:tcW w:w="2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14"/>
        </w:trPr>
        <w:tc>
          <w:tcPr>
            <w:tcW w:w="276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Manish Maini</w:t>
            </w:r>
          </w:p>
        </w:tc>
        <w:tc>
          <w:tcPr>
            <w:tcW w:w="3700" w:type="dxa"/>
            <w:vAlign w:val="bottom"/>
            <w:shd w:val="clear" w:color="auto" w:fill="DBDBDB"/>
          </w:tcPr>
          <w:p>
            <w:pPr>
              <w:jc w:val="center"/>
              <w:ind w:left="248"/>
              <w:spacing w:after="0"/>
              <w:rPr>
                <w:sz w:val="20"/>
                <w:szCs w:val="20"/>
                <w:color w:val="auto"/>
              </w:rPr>
            </w:pPr>
            <w:r>
              <w:rPr>
                <w:rFonts w:ascii="Arial" w:cs="Arial" w:eastAsia="Arial" w:hAnsi="Arial"/>
                <w:sz w:val="14"/>
                <w:szCs w:val="14"/>
                <w:color w:val="auto"/>
                <w:w w:val="98"/>
              </w:rPr>
              <w:t>1.5x</w:t>
            </w:r>
          </w:p>
        </w:tc>
        <w:tc>
          <w:tcPr>
            <w:tcW w:w="3680" w:type="dxa"/>
            <w:vAlign w:val="bottom"/>
            <w:shd w:val="clear" w:color="auto" w:fill="DBDBDB"/>
          </w:tcPr>
          <w:p>
            <w:pPr>
              <w:jc w:val="center"/>
              <w:ind w:left="48"/>
              <w:spacing w:after="0"/>
              <w:rPr>
                <w:sz w:val="20"/>
                <w:szCs w:val="20"/>
                <w:color w:val="auto"/>
              </w:rPr>
            </w:pPr>
            <w:r>
              <w:rPr>
                <w:rFonts w:ascii="Arial" w:cs="Arial" w:eastAsia="Arial" w:hAnsi="Arial"/>
                <w:sz w:val="14"/>
                <w:szCs w:val="14"/>
                <w:color w:val="auto"/>
              </w:rPr>
              <w:t>18</w:t>
            </w:r>
          </w:p>
        </w:tc>
      </w:tr>
      <w:tr>
        <w:trPr>
          <w:trHeight w:val="29"/>
        </w:trPr>
        <w:tc>
          <w:tcPr>
            <w:tcW w:w="2760" w:type="dxa"/>
            <w:vAlign w:val="bottom"/>
            <w:shd w:val="clear" w:color="auto" w:fill="DBDBDB"/>
          </w:tcPr>
          <w:p>
            <w:pPr>
              <w:spacing w:after="0"/>
              <w:rPr>
                <w:sz w:val="2"/>
                <w:szCs w:val="2"/>
                <w:color w:val="auto"/>
              </w:rPr>
            </w:pPr>
          </w:p>
        </w:tc>
        <w:tc>
          <w:tcPr>
            <w:tcW w:w="3700" w:type="dxa"/>
            <w:vAlign w:val="bottom"/>
            <w:shd w:val="clear" w:color="auto" w:fill="DBDBDB"/>
          </w:tcPr>
          <w:p>
            <w:pPr>
              <w:spacing w:after="0"/>
              <w:rPr>
                <w:sz w:val="2"/>
                <w:szCs w:val="2"/>
                <w:color w:val="auto"/>
              </w:rPr>
            </w:pPr>
          </w:p>
        </w:tc>
        <w:tc>
          <w:tcPr>
            <w:tcW w:w="3680" w:type="dxa"/>
            <w:vAlign w:val="bottom"/>
            <w:shd w:val="clear" w:color="auto" w:fill="DBDBDB"/>
          </w:tcPr>
          <w:p>
            <w:pPr>
              <w:spacing w:after="0"/>
              <w:rPr>
                <w:sz w:val="2"/>
                <w:szCs w:val="2"/>
                <w:color w:val="auto"/>
              </w:rPr>
            </w:pPr>
          </w:p>
        </w:tc>
      </w:tr>
    </w:tbl>
    <w:p>
      <w:pPr>
        <w:spacing w:after="0" w:line="242" w:lineRule="exact"/>
        <w:rPr>
          <w:sz w:val="20"/>
          <w:szCs w:val="20"/>
          <w:color w:val="auto"/>
        </w:rPr>
      </w:pPr>
    </w:p>
    <w:p>
      <w:pPr>
        <w:ind w:left="500" w:hanging="249"/>
        <w:spacing w:after="0" w:line="265" w:lineRule="auto"/>
        <w:tabs>
          <w:tab w:leader="none" w:pos="4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NEOs receive a pro rata portion of the annual bonus earned under the Bonus Plan for the fiscal year immediately preceding the fiscal year in which termination occurs (in lieu of the annual bonus that would have otherwise been due under the Bonus Plan for the performance period in which the termination date occurs). This is paid in equal installments ratably over 12 months following the termination date in accordance with the Company’s normal payroll cycle and procedures.</w:t>
      </w:r>
    </w:p>
    <w:p>
      <w:pPr>
        <w:spacing w:after="0" w:line="78" w:lineRule="exact"/>
        <w:rPr>
          <w:rFonts w:ascii="Arial" w:cs="Arial" w:eastAsia="Arial" w:hAnsi="Arial"/>
          <w:sz w:val="16"/>
          <w:szCs w:val="16"/>
          <w:color w:val="auto"/>
        </w:rPr>
      </w:pPr>
    </w:p>
    <w:p>
      <w:pPr>
        <w:ind w:left="500" w:right="200" w:hanging="249"/>
        <w:spacing w:after="0" w:line="286" w:lineRule="auto"/>
        <w:tabs>
          <w:tab w:leader="none" w:pos="491" w:val="left"/>
        </w:tabs>
        <w:numPr>
          <w:ilvl w:val="0"/>
          <w:numId w:val="44"/>
        </w:numPr>
        <w:rPr>
          <w:rFonts w:ascii="Arial" w:cs="Arial" w:eastAsia="Arial" w:hAnsi="Arial"/>
          <w:sz w:val="16"/>
          <w:szCs w:val="16"/>
          <w:color w:val="auto"/>
        </w:rPr>
      </w:pPr>
      <w:r>
        <w:rPr>
          <w:rFonts w:ascii="Arial" w:cs="Arial" w:eastAsia="Arial" w:hAnsi="Arial"/>
          <w:sz w:val="16"/>
          <w:szCs w:val="16"/>
          <w:color w:val="auto"/>
        </w:rPr>
        <w:t>NEOs receive an amount equal to 24 months (or 18 months for Mr. Maini) of basic life insurance premiums at the rates in effect immediately prior to the termination date and paid in a lump sum in cash on the first payroll date following the effective date of the release.</w:t>
      </w:r>
    </w:p>
    <w:p>
      <w:pPr>
        <w:spacing w:after="0" w:line="47" w:lineRule="exact"/>
        <w:rPr>
          <w:rFonts w:ascii="Arial" w:cs="Arial" w:eastAsia="Arial" w:hAnsi="Arial"/>
          <w:sz w:val="16"/>
          <w:szCs w:val="16"/>
          <w:color w:val="auto"/>
        </w:rPr>
      </w:pPr>
    </w:p>
    <w:p>
      <w:pPr>
        <w:ind w:left="500" w:right="20" w:hanging="249"/>
        <w:spacing w:after="0" w:line="262" w:lineRule="auto"/>
        <w:tabs>
          <w:tab w:leader="none" w:pos="488" w:val="left"/>
        </w:tabs>
        <w:numPr>
          <w:ilvl w:val="0"/>
          <w:numId w:val="44"/>
        </w:numPr>
        <w:rPr>
          <w:rFonts w:ascii="Arial" w:cs="Arial" w:eastAsia="Arial" w:hAnsi="Arial"/>
          <w:sz w:val="16"/>
          <w:szCs w:val="16"/>
          <w:color w:val="auto"/>
        </w:rPr>
      </w:pPr>
      <w:r>
        <w:rPr>
          <w:rFonts w:ascii="Arial" w:cs="Arial" w:eastAsia="Arial" w:hAnsi="Arial"/>
          <w:sz w:val="16"/>
          <w:szCs w:val="16"/>
          <w:color w:val="auto"/>
        </w:rPr>
        <w:t>NEOs (other than Mr. Hicks) and covered dependents receive medical insurance benefits (no less favorable than those provided to active NEOs and contingent on electing continuation coverage under the Consolidated Omnibus Budget Reconciliation Act of 1985, as amended, or COBRA) during the 24 month period (or 18 month period for Mr. Maini) following the termination date at a price equal to the COBRA rate while eligible for COBRA and thereafter at the cost of coverage. The Company will pay to the NEO each month during the 24 month period (or 18 month period for Mr. Maini) an amount equal to the excess, if any, of the monthly premium under the Company’s benefit plans under which such medical insurance benefits are provided, over the amount of the NEO’s portion of such premiums as if the NEO was an active employee. Payments provided under this benefit will cease at such time the NEO commences to receive medical insurance benefits from a subsequent employer.</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Equity Award Accelerated Vesting</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have approved accelerated vesting provisions for Options and RSUs in connection with a termination of employment within the 24-month period following a Change of Control (as defined in the 2020 Equity Plan, as applicable to the award), and generally limited acceleration in the cases of termination due to death or disability in the absence of a Change of Control. Each NEO is entitled to a limited vesting acceleration, when the termination is due to death or disability, of outstanding unvested Options through the next vesting date immediately following the termination. Options and RSUs granted in 2021 provide for full accelerated vesting in connection with a termination without “Cause” or resignation for “Good Reason” (each as defined in the applicable award agreements) that occur within the 24-month period following a Change of Control (please see “— Potential Payments Upon Termination of Employment or Change of Control” for additional information regarding accelerated vesting in connection with a Change of Control). If the Change of Control occurs in the first year of a performance period, all performance awards are deemed to be earned; otherwise only Earned RSUs will have accelerated vesting and unearned Performance RSUs will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790575</wp:posOffset>
            </wp:positionV>
            <wp:extent cx="857250" cy="205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ind w:left="9080"/>
        <w:spacing w:after="0"/>
        <w:rPr>
          <w:sz w:val="20"/>
          <w:szCs w:val="20"/>
          <w:color w:val="auto"/>
        </w:rPr>
      </w:pPr>
      <w:r>
        <w:rPr>
          <w:rFonts w:ascii="Arial" w:cs="Arial" w:eastAsia="Arial" w:hAnsi="Arial"/>
          <w:sz w:val="12"/>
          <w:szCs w:val="12"/>
          <w:color w:val="auto"/>
        </w:rPr>
        <w:t xml:space="preserve">Academy Sports and Outdoors, Inc. </w:t>
      </w:r>
      <w:r>
        <w:rPr>
          <w:rFonts w:ascii="Arial" w:cs="Arial" w:eastAsia="Arial" w:hAnsi="Arial"/>
          <w:sz w:val="12"/>
          <w:szCs w:val="12"/>
          <w:b w:val="1"/>
          <w:bCs w:val="1"/>
          <w:color w:val="007EC4"/>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Potential Payments Upon Termination of Employment or Change of Control</w:t>
      </w:r>
    </w:p>
    <w:p>
      <w:pPr>
        <w:spacing w:after="0" w:line="139"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The information below describes and estimates potential payments and benefits to which the NEOs would be entitled under existing arrangements if a qualifying termination of employment occurred on January 29, 2022, the last business day of our 2021 fiscal year, and based on the closing price of our stock of $37.66 on the last trading day of our 2021 fiscal year. These benefits are in addition to benefits available generally to salaried team members. The amounts actually paid or distributed in connection with a termination of employment may differ from the estimates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380" w:type="dxa"/>
            <w:vAlign w:val="bottom"/>
            <w:tcBorders>
              <w:bottom w:val="single" w:sz="8" w:color="E1D7AC"/>
            </w:tcBorders>
            <w:shd w:val="clear" w:color="auto" w:fill="E1D7AC"/>
          </w:tcPr>
          <w:p>
            <w:pPr>
              <w:spacing w:after="0"/>
              <w:rPr>
                <w:sz w:val="21"/>
                <w:szCs w:val="21"/>
                <w:color w:val="auto"/>
              </w:rPr>
            </w:pPr>
          </w:p>
        </w:tc>
        <w:tc>
          <w:tcPr>
            <w:tcW w:w="4240" w:type="dxa"/>
            <w:vAlign w:val="bottom"/>
            <w:tcBorders>
              <w:bottom w:val="single" w:sz="8" w:color="E1D7AC"/>
            </w:tcBorders>
            <w:shd w:val="clear" w:color="auto" w:fill="E1D7AC"/>
          </w:tcPr>
          <w:p>
            <w:pPr>
              <w:spacing w:after="0"/>
              <w:rPr>
                <w:sz w:val="21"/>
                <w:szCs w:val="21"/>
                <w:color w:val="auto"/>
              </w:rPr>
            </w:pPr>
          </w:p>
        </w:tc>
        <w:tc>
          <w:tcPr>
            <w:tcW w:w="1860" w:type="dxa"/>
            <w:vAlign w:val="bottom"/>
            <w:tcBorders>
              <w:bottom w:val="single" w:sz="8" w:color="E1D7AC"/>
            </w:tcBorders>
            <w:shd w:val="clear" w:color="auto" w:fill="E1D7AC"/>
          </w:tcPr>
          <w:p>
            <w:pPr>
              <w:spacing w:after="0"/>
              <w:rPr>
                <w:sz w:val="21"/>
                <w:szCs w:val="21"/>
                <w:color w:val="auto"/>
              </w:rPr>
            </w:pPr>
          </w:p>
        </w:tc>
        <w:tc>
          <w:tcPr>
            <w:tcW w:w="1740" w:type="dxa"/>
            <w:vAlign w:val="bottom"/>
            <w:tcBorders>
              <w:bottom w:val="single" w:sz="8" w:color="E1D7AC"/>
            </w:tcBorders>
            <w:shd w:val="clear" w:color="auto" w:fill="E1D7AC"/>
          </w:tcPr>
          <w:p>
            <w:pPr>
              <w:jc w:val="right"/>
              <w:ind w:right="168"/>
              <w:spacing w:after="0"/>
              <w:rPr>
                <w:sz w:val="20"/>
                <w:szCs w:val="20"/>
                <w:color w:val="auto"/>
              </w:rPr>
            </w:pPr>
            <w:r>
              <w:rPr>
                <w:rFonts w:ascii="Arial" w:cs="Arial" w:eastAsia="Arial" w:hAnsi="Arial"/>
                <w:sz w:val="14"/>
                <w:szCs w:val="14"/>
                <w:b w:val="1"/>
                <w:bCs w:val="1"/>
                <w:color w:val="auto"/>
              </w:rPr>
              <w:t>Termination Event</w:t>
            </w:r>
          </w:p>
        </w:tc>
        <w:tc>
          <w:tcPr>
            <w:tcW w:w="1880" w:type="dxa"/>
            <w:vAlign w:val="bottom"/>
            <w:tcBorders>
              <w:bottom w:val="single" w:sz="8" w:color="E1D7AC"/>
            </w:tcBorders>
            <w:shd w:val="clear" w:color="auto" w:fill="E1D7AC"/>
          </w:tcPr>
          <w:p>
            <w:pPr>
              <w:spacing w:after="0"/>
              <w:rPr>
                <w:sz w:val="21"/>
                <w:szCs w:val="21"/>
                <w:color w:val="auto"/>
              </w:rPr>
            </w:pPr>
          </w:p>
        </w:tc>
        <w:tc>
          <w:tcPr>
            <w:tcW w:w="140" w:type="dxa"/>
            <w:vAlign w:val="bottom"/>
            <w:tcBorders>
              <w:bottom w:val="single" w:sz="8" w:color="E1D7AC"/>
            </w:tcBorders>
            <w:shd w:val="clear" w:color="auto" w:fill="E1D7AC"/>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1380" w:type="dxa"/>
            <w:vAlign w:val="bottom"/>
            <w:tcBorders>
              <w:top w:val="single" w:sz="8" w:color="E1D7AC"/>
            </w:tcBorders>
            <w:shd w:val="clear" w:color="auto" w:fill="E1D7AC"/>
          </w:tcPr>
          <w:p>
            <w:pPr>
              <w:spacing w:after="0"/>
              <w:rPr>
                <w:sz w:val="22"/>
                <w:szCs w:val="22"/>
                <w:color w:val="auto"/>
              </w:rPr>
            </w:pPr>
          </w:p>
        </w:tc>
        <w:tc>
          <w:tcPr>
            <w:tcW w:w="4240" w:type="dxa"/>
            <w:vAlign w:val="bottom"/>
            <w:tcBorders>
              <w:top w:val="single" w:sz="8" w:color="E1D7AC"/>
            </w:tcBorders>
            <w:shd w:val="clear" w:color="auto" w:fill="E1D7AC"/>
          </w:tcPr>
          <w:p>
            <w:pPr>
              <w:spacing w:after="0"/>
              <w:rPr>
                <w:sz w:val="22"/>
                <w:szCs w:val="22"/>
                <w:color w:val="auto"/>
              </w:rPr>
            </w:pPr>
          </w:p>
        </w:tc>
        <w:tc>
          <w:tcPr>
            <w:tcW w:w="1860" w:type="dxa"/>
            <w:vAlign w:val="bottom"/>
            <w:tcBorders>
              <w:top w:val="single" w:sz="8" w:color="auto"/>
            </w:tcBorders>
            <w:shd w:val="clear" w:color="auto" w:fill="E1D7AC"/>
          </w:tcPr>
          <w:p>
            <w:pPr>
              <w:spacing w:after="0"/>
              <w:rPr>
                <w:sz w:val="22"/>
                <w:szCs w:val="22"/>
                <w:color w:val="auto"/>
              </w:rPr>
            </w:pPr>
          </w:p>
        </w:tc>
        <w:tc>
          <w:tcPr>
            <w:tcW w:w="1740" w:type="dxa"/>
            <w:vAlign w:val="bottom"/>
            <w:tcBorders>
              <w:top w:val="single" w:sz="8" w:color="auto"/>
            </w:tcBorders>
            <w:shd w:val="clear" w:color="auto" w:fill="E1D7AC"/>
          </w:tcPr>
          <w:p>
            <w:pPr>
              <w:spacing w:after="0"/>
              <w:rPr>
                <w:sz w:val="22"/>
                <w:szCs w:val="22"/>
                <w:color w:val="auto"/>
              </w:rPr>
            </w:pPr>
          </w:p>
        </w:tc>
        <w:tc>
          <w:tcPr>
            <w:tcW w:w="188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4"/>
                <w:szCs w:val="14"/>
                <w:b w:val="1"/>
                <w:bCs w:val="1"/>
                <w:color w:val="auto"/>
              </w:rPr>
              <w:t>Without Cause or</w:t>
            </w:r>
          </w:p>
        </w:tc>
        <w:tc>
          <w:tcPr>
            <w:tcW w:w="140" w:type="dxa"/>
            <w:vAlign w:val="bottom"/>
            <w:tcBorders>
              <w:top w:val="single" w:sz="8" w:color="E1D7AC"/>
            </w:tcBorders>
            <w:shd w:val="clear" w:color="auto" w:fill="E1D7AC"/>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E1D7AC"/>
          </w:tcPr>
          <w:p>
            <w:pPr>
              <w:spacing w:after="0"/>
              <w:rPr>
                <w:sz w:val="16"/>
                <w:szCs w:val="16"/>
                <w:color w:val="auto"/>
              </w:rPr>
            </w:pPr>
          </w:p>
        </w:tc>
        <w:tc>
          <w:tcPr>
            <w:tcW w:w="4240" w:type="dxa"/>
            <w:vAlign w:val="bottom"/>
            <w:shd w:val="clear" w:color="auto" w:fill="E1D7AC"/>
          </w:tcPr>
          <w:p>
            <w:pPr>
              <w:spacing w:after="0"/>
              <w:rPr>
                <w:sz w:val="16"/>
                <w:szCs w:val="16"/>
                <w:color w:val="auto"/>
              </w:rPr>
            </w:pPr>
          </w:p>
        </w:tc>
        <w:tc>
          <w:tcPr>
            <w:tcW w:w="1860" w:type="dxa"/>
            <w:vAlign w:val="bottom"/>
            <w:shd w:val="clear" w:color="auto" w:fill="E1D7AC"/>
          </w:tcPr>
          <w:p>
            <w:pPr>
              <w:spacing w:after="0"/>
              <w:rPr>
                <w:sz w:val="16"/>
                <w:szCs w:val="16"/>
                <w:color w:val="auto"/>
              </w:rPr>
            </w:pPr>
          </w:p>
        </w:tc>
        <w:tc>
          <w:tcPr>
            <w:tcW w:w="1740" w:type="dxa"/>
            <w:vAlign w:val="bottom"/>
            <w:shd w:val="clear" w:color="auto" w:fill="E1D7AC"/>
          </w:tcPr>
          <w:p>
            <w:pPr>
              <w:jc w:val="right"/>
              <w:ind w:right="28"/>
              <w:spacing w:after="0"/>
              <w:rPr>
                <w:sz w:val="20"/>
                <w:szCs w:val="20"/>
                <w:color w:val="auto"/>
              </w:rPr>
            </w:pPr>
            <w:r>
              <w:rPr>
                <w:rFonts w:ascii="Arial" w:cs="Arial" w:eastAsia="Arial" w:hAnsi="Arial"/>
                <w:sz w:val="14"/>
                <w:szCs w:val="14"/>
                <w:b w:val="1"/>
                <w:bCs w:val="1"/>
                <w:color w:val="auto"/>
              </w:rPr>
              <w:t>Without Cause or</w:t>
            </w:r>
          </w:p>
        </w:tc>
        <w:tc>
          <w:tcPr>
            <w:tcW w:w="2020" w:type="dxa"/>
            <w:vAlign w:val="bottom"/>
            <w:gridSpan w:val="2"/>
            <w:shd w:val="clear" w:color="auto" w:fill="E1D7AC"/>
          </w:tcPr>
          <w:p>
            <w:pPr>
              <w:jc w:val="right"/>
              <w:ind w:right="160"/>
              <w:spacing w:after="0"/>
              <w:rPr>
                <w:sz w:val="20"/>
                <w:szCs w:val="20"/>
                <w:color w:val="auto"/>
              </w:rPr>
            </w:pPr>
            <w:r>
              <w:rPr>
                <w:rFonts w:ascii="Arial" w:cs="Arial" w:eastAsia="Arial" w:hAnsi="Arial"/>
                <w:sz w:val="14"/>
                <w:szCs w:val="14"/>
                <w:b w:val="1"/>
                <w:bCs w:val="1"/>
                <w:color w:val="auto"/>
              </w:rPr>
              <w:t>Resignation for Good</w:t>
            </w:r>
          </w:p>
        </w:tc>
        <w:tc>
          <w:tcPr>
            <w:tcW w:w="0" w:type="dxa"/>
            <w:vAlign w:val="bottom"/>
          </w:tcPr>
          <w:p>
            <w:pPr>
              <w:spacing w:after="0"/>
              <w:rPr>
                <w:sz w:val="1"/>
                <w:szCs w:val="1"/>
                <w:color w:val="auto"/>
              </w:rPr>
            </w:pPr>
          </w:p>
        </w:tc>
      </w:tr>
      <w:tr>
        <w:trPr>
          <w:trHeight w:val="189"/>
        </w:trPr>
        <w:tc>
          <w:tcPr>
            <w:tcW w:w="1380" w:type="dxa"/>
            <w:vAlign w:val="bottom"/>
            <w:shd w:val="clear" w:color="auto" w:fill="E1D7AC"/>
          </w:tcPr>
          <w:p>
            <w:pPr>
              <w:spacing w:after="0"/>
              <w:rPr>
                <w:sz w:val="16"/>
                <w:szCs w:val="16"/>
                <w:color w:val="auto"/>
              </w:rPr>
            </w:pPr>
          </w:p>
        </w:tc>
        <w:tc>
          <w:tcPr>
            <w:tcW w:w="4240" w:type="dxa"/>
            <w:vAlign w:val="bottom"/>
            <w:shd w:val="clear" w:color="auto" w:fill="E1D7AC"/>
          </w:tcPr>
          <w:p>
            <w:pPr>
              <w:spacing w:after="0"/>
              <w:rPr>
                <w:sz w:val="16"/>
                <w:szCs w:val="16"/>
                <w:color w:val="auto"/>
              </w:rPr>
            </w:pPr>
          </w:p>
        </w:tc>
        <w:tc>
          <w:tcPr>
            <w:tcW w:w="1860" w:type="dxa"/>
            <w:vAlign w:val="bottom"/>
            <w:vMerge w:val="restart"/>
            <w:shd w:val="clear" w:color="auto" w:fill="E1D7AC"/>
          </w:tcPr>
          <w:p>
            <w:pPr>
              <w:jc w:val="right"/>
              <w:spacing w:after="0"/>
              <w:rPr>
                <w:sz w:val="20"/>
                <w:szCs w:val="20"/>
                <w:color w:val="auto"/>
              </w:rPr>
            </w:pPr>
            <w:r>
              <w:rPr>
                <w:rFonts w:ascii="Arial" w:cs="Arial" w:eastAsia="Arial" w:hAnsi="Arial"/>
                <w:sz w:val="14"/>
                <w:szCs w:val="14"/>
                <w:b w:val="1"/>
                <w:bCs w:val="1"/>
                <w:color w:val="auto"/>
              </w:rPr>
              <w:t>Death or Disability</w:t>
            </w:r>
          </w:p>
        </w:tc>
        <w:tc>
          <w:tcPr>
            <w:tcW w:w="1740" w:type="dxa"/>
            <w:vAlign w:val="bottom"/>
            <w:shd w:val="clear" w:color="auto" w:fill="E1D7AC"/>
          </w:tcPr>
          <w:p>
            <w:pPr>
              <w:jc w:val="right"/>
              <w:ind w:right="28"/>
              <w:spacing w:after="0"/>
              <w:rPr>
                <w:sz w:val="20"/>
                <w:szCs w:val="20"/>
                <w:color w:val="auto"/>
              </w:rPr>
            </w:pPr>
            <w:r>
              <w:rPr>
                <w:rFonts w:ascii="Arial" w:cs="Arial" w:eastAsia="Arial" w:hAnsi="Arial"/>
                <w:sz w:val="14"/>
                <w:szCs w:val="14"/>
                <w:b w:val="1"/>
                <w:bCs w:val="1"/>
                <w:color w:val="auto"/>
              </w:rPr>
              <w:t>Resignation for Good</w:t>
            </w:r>
          </w:p>
        </w:tc>
        <w:tc>
          <w:tcPr>
            <w:tcW w:w="2020" w:type="dxa"/>
            <w:vAlign w:val="bottom"/>
            <w:gridSpan w:val="2"/>
            <w:shd w:val="clear" w:color="auto" w:fill="E1D7AC"/>
          </w:tcPr>
          <w:p>
            <w:pPr>
              <w:jc w:val="right"/>
              <w:ind w:right="160"/>
              <w:spacing w:after="0"/>
              <w:rPr>
                <w:sz w:val="20"/>
                <w:szCs w:val="20"/>
                <w:color w:val="auto"/>
              </w:rPr>
            </w:pPr>
            <w:r>
              <w:rPr>
                <w:rFonts w:ascii="Arial" w:cs="Arial" w:eastAsia="Arial" w:hAnsi="Arial"/>
                <w:sz w:val="14"/>
                <w:szCs w:val="14"/>
                <w:b w:val="1"/>
                <w:bCs w:val="1"/>
                <w:color w:val="auto"/>
              </w:rPr>
              <w:t>Reason Following Change</w:t>
            </w:r>
          </w:p>
        </w:tc>
        <w:tc>
          <w:tcPr>
            <w:tcW w:w="0" w:type="dxa"/>
            <w:vAlign w:val="bottom"/>
          </w:tcPr>
          <w:p>
            <w:pPr>
              <w:spacing w:after="0"/>
              <w:rPr>
                <w:sz w:val="1"/>
                <w:szCs w:val="1"/>
                <w:color w:val="auto"/>
              </w:rPr>
            </w:pPr>
          </w:p>
        </w:tc>
      </w:tr>
      <w:tr>
        <w:trPr>
          <w:trHeight w:val="176"/>
        </w:trPr>
        <w:tc>
          <w:tcPr>
            <w:tcW w:w="1380" w:type="dxa"/>
            <w:vAlign w:val="bottom"/>
            <w:shd w:val="clear" w:color="auto" w:fill="E1D7AC"/>
          </w:tcPr>
          <w:p>
            <w:pPr>
              <w:spacing w:after="0"/>
              <w:rPr>
                <w:sz w:val="15"/>
                <w:szCs w:val="15"/>
                <w:color w:val="auto"/>
              </w:rPr>
            </w:pPr>
          </w:p>
        </w:tc>
        <w:tc>
          <w:tcPr>
            <w:tcW w:w="4240" w:type="dxa"/>
            <w:vAlign w:val="bottom"/>
            <w:shd w:val="clear" w:color="auto" w:fill="E1D7AC"/>
          </w:tcPr>
          <w:p>
            <w:pPr>
              <w:spacing w:after="0"/>
              <w:rPr>
                <w:sz w:val="15"/>
                <w:szCs w:val="15"/>
                <w:color w:val="auto"/>
              </w:rPr>
            </w:pPr>
          </w:p>
        </w:tc>
        <w:tc>
          <w:tcPr>
            <w:tcW w:w="1860" w:type="dxa"/>
            <w:vAlign w:val="bottom"/>
            <w:vMerge w:val="continue"/>
            <w:shd w:val="clear" w:color="auto" w:fill="E1D7AC"/>
          </w:tcPr>
          <w:p>
            <w:pPr>
              <w:spacing w:after="0"/>
              <w:rPr>
                <w:sz w:val="15"/>
                <w:szCs w:val="15"/>
                <w:color w:val="auto"/>
              </w:rPr>
            </w:pPr>
          </w:p>
        </w:tc>
        <w:tc>
          <w:tcPr>
            <w:tcW w:w="1740" w:type="dxa"/>
            <w:vAlign w:val="bottom"/>
            <w:shd w:val="clear" w:color="auto" w:fill="E1D7AC"/>
          </w:tcPr>
          <w:p>
            <w:pPr>
              <w:jc w:val="right"/>
              <w:ind w:right="28"/>
              <w:spacing w:after="0"/>
              <w:rPr>
                <w:sz w:val="20"/>
                <w:szCs w:val="20"/>
                <w:color w:val="auto"/>
              </w:rPr>
            </w:pPr>
            <w:r>
              <w:rPr>
                <w:rFonts w:ascii="Arial" w:cs="Arial" w:eastAsia="Arial" w:hAnsi="Arial"/>
                <w:sz w:val="14"/>
                <w:szCs w:val="14"/>
                <w:b w:val="1"/>
                <w:bCs w:val="1"/>
                <w:color w:val="auto"/>
              </w:rPr>
              <w:t>Reason</w:t>
            </w:r>
          </w:p>
        </w:tc>
        <w:tc>
          <w:tcPr>
            <w:tcW w:w="2020" w:type="dxa"/>
            <w:vAlign w:val="bottom"/>
            <w:gridSpan w:val="2"/>
            <w:shd w:val="clear" w:color="auto" w:fill="E1D7AC"/>
          </w:tcPr>
          <w:p>
            <w:pPr>
              <w:jc w:val="right"/>
              <w:ind w:right="160"/>
              <w:spacing w:after="0"/>
              <w:rPr>
                <w:sz w:val="20"/>
                <w:szCs w:val="20"/>
                <w:color w:val="auto"/>
              </w:rPr>
            </w:pPr>
            <w:r>
              <w:rPr>
                <w:rFonts w:ascii="Arial" w:cs="Arial" w:eastAsia="Arial" w:hAnsi="Arial"/>
                <w:sz w:val="14"/>
                <w:szCs w:val="14"/>
                <w:b w:val="1"/>
                <w:bCs w:val="1"/>
                <w:color w:val="auto"/>
              </w:rPr>
              <w:t>of Control</w:t>
            </w:r>
          </w:p>
        </w:tc>
        <w:tc>
          <w:tcPr>
            <w:tcW w:w="0" w:type="dxa"/>
            <w:vAlign w:val="bottom"/>
          </w:tcPr>
          <w:p>
            <w:pPr>
              <w:spacing w:after="0"/>
              <w:rPr>
                <w:sz w:val="1"/>
                <w:szCs w:val="1"/>
                <w:color w:val="auto"/>
              </w:rPr>
            </w:pPr>
          </w:p>
        </w:tc>
      </w:tr>
      <w:tr>
        <w:trPr>
          <w:trHeight w:val="259"/>
        </w:trPr>
        <w:tc>
          <w:tcPr>
            <w:tcW w:w="138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4"/>
                <w:szCs w:val="14"/>
                <w:b w:val="1"/>
                <w:bCs w:val="1"/>
                <w:color w:val="auto"/>
              </w:rPr>
              <w:t>NEO</w:t>
            </w:r>
          </w:p>
        </w:tc>
        <w:tc>
          <w:tcPr>
            <w:tcW w:w="424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4"/>
                <w:szCs w:val="14"/>
                <w:b w:val="1"/>
                <w:bCs w:val="1"/>
                <w:color w:val="auto"/>
              </w:rPr>
              <w:t>Payment Type</w:t>
            </w:r>
          </w:p>
        </w:tc>
        <w:tc>
          <w:tcPr>
            <w:tcW w:w="186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E1D7AC"/>
            </w:tcBorders>
            <w:shd w:val="clear" w:color="auto" w:fill="E1D7AC"/>
          </w:tcPr>
          <w:p>
            <w:pPr>
              <w:jc w:val="right"/>
              <w:ind w:right="28"/>
              <w:spacing w:after="0"/>
              <w:rPr>
                <w:sz w:val="20"/>
                <w:szCs w:val="20"/>
                <w:color w:val="auto"/>
              </w:rPr>
            </w:pPr>
            <w:r>
              <w:rPr>
                <w:rFonts w:ascii="Arial" w:cs="Arial" w:eastAsia="Arial" w:hAnsi="Arial"/>
                <w:sz w:val="14"/>
                <w:szCs w:val="14"/>
                <w:b w:val="1"/>
                <w:bCs w:val="1"/>
                <w:color w:val="auto"/>
              </w:rPr>
              <w:t>($)</w:t>
            </w:r>
          </w:p>
        </w:tc>
        <w:tc>
          <w:tcPr>
            <w:tcW w:w="188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40" w:type="dxa"/>
            <w:vAlign w:val="bottom"/>
            <w:tcBorders>
              <w:bottom w:val="single" w:sz="8" w:color="E1D7AC"/>
            </w:tcBorders>
            <w:shd w:val="clear" w:color="auto" w:fill="E1D7AC"/>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38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Ken C. Hicks</w:t>
            </w: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Cash Severance (Salary and Bonus)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9,018,667</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9,018,667</w:t>
            </w:r>
          </w:p>
        </w:tc>
        <w:tc>
          <w:tcPr>
            <w:tcW w:w="1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shd w:val="clear" w:color="auto" w:fill="DBDBDB"/>
          </w:tcPr>
          <w:p>
            <w:pPr>
              <w:spacing w:after="0"/>
              <w:rPr>
                <w:sz w:val="20"/>
                <w:szCs w:val="20"/>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Pro Rata Bonus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3,465,000</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4,950,000</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4,950,000</w:t>
            </w:r>
          </w:p>
        </w:tc>
        <w:tc>
          <w:tcPr>
            <w:tcW w:w="1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DBDBDB"/>
          </w:tcPr>
          <w:p>
            <w:pPr>
              <w:spacing w:after="0"/>
              <w:rPr>
                <w:sz w:val="21"/>
                <w:szCs w:val="21"/>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COBRA Insurance</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02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380" w:type="dxa"/>
            <w:vAlign w:val="bottom"/>
            <w:shd w:val="clear" w:color="auto" w:fill="DBDBDB"/>
          </w:tcPr>
          <w:p>
            <w:pPr>
              <w:spacing w:after="0"/>
              <w:rPr>
                <w:sz w:val="21"/>
                <w:szCs w:val="21"/>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Life Insurance</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339</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339</w:t>
            </w:r>
          </w:p>
        </w:tc>
        <w:tc>
          <w:tcPr>
            <w:tcW w:w="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DBDBDB"/>
          </w:tcPr>
          <w:p>
            <w:pPr>
              <w:spacing w:after="0"/>
              <w:rPr>
                <w:sz w:val="21"/>
                <w:szCs w:val="21"/>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Accelerated Vesting: Options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63,903</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2,492,203</w:t>
            </w:r>
          </w:p>
        </w:tc>
        <w:tc>
          <w:tcPr>
            <w:tcW w:w="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DBDBDB"/>
          </w:tcPr>
          <w:p>
            <w:pPr>
              <w:spacing w:after="0"/>
              <w:rPr>
                <w:sz w:val="21"/>
                <w:szCs w:val="21"/>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Accelerated Vesting: Performance Restricted Units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2,302,269</w:t>
            </w:r>
          </w:p>
        </w:tc>
        <w:tc>
          <w:tcPr>
            <w:tcW w:w="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80" w:type="dxa"/>
            <w:vAlign w:val="bottom"/>
            <w:tcBorders>
              <w:bottom w:val="single" w:sz="8" w:color="DBDBDB"/>
            </w:tcBorders>
            <w:shd w:val="clear" w:color="auto" w:fill="DBDBDB"/>
          </w:tcPr>
          <w:p>
            <w:pPr>
              <w:spacing w:after="0"/>
              <w:rPr>
                <w:sz w:val="22"/>
                <w:szCs w:val="22"/>
                <w:color w:val="auto"/>
              </w:rPr>
            </w:pPr>
          </w:p>
        </w:tc>
        <w:tc>
          <w:tcPr>
            <w:tcW w:w="42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b w:val="1"/>
                <w:bCs w:val="1"/>
                <w:color w:val="auto"/>
              </w:rPr>
              <w:t>Total</w:t>
            </w:r>
          </w:p>
        </w:tc>
        <w:tc>
          <w:tcPr>
            <w:tcW w:w="1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3,528,903</w:t>
            </w:r>
          </w:p>
        </w:tc>
        <w:tc>
          <w:tcPr>
            <w:tcW w:w="1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13,969,006</w:t>
            </w:r>
          </w:p>
        </w:tc>
        <w:tc>
          <w:tcPr>
            <w:tcW w:w="1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18,763,478</w:t>
            </w:r>
          </w:p>
        </w:tc>
        <w:tc>
          <w:tcPr>
            <w:tcW w:w="140" w:type="dxa"/>
            <w:vAlign w:val="bottom"/>
            <w:tcBorders>
              <w:bottom w:val="single" w:sz="8" w:color="DBDBDB"/>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3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Michael P.</w:t>
            </w:r>
          </w:p>
        </w:tc>
        <w:tc>
          <w:tcPr>
            <w:tcW w:w="4240" w:type="dxa"/>
            <w:vAlign w:val="bottom"/>
          </w:tcPr>
          <w:p>
            <w:pPr>
              <w:ind w:left="100"/>
              <w:spacing w:after="0"/>
              <w:rPr>
                <w:sz w:val="20"/>
                <w:szCs w:val="20"/>
                <w:color w:val="auto"/>
              </w:rPr>
            </w:pPr>
            <w:r>
              <w:rPr>
                <w:rFonts w:ascii="Arial" w:cs="Arial" w:eastAsia="Arial" w:hAnsi="Arial"/>
                <w:sz w:val="14"/>
                <w:szCs w:val="14"/>
                <w:color w:val="auto"/>
              </w:rPr>
              <w:t>Cash Severance (Salary and Bonus)</w:t>
            </w:r>
          </w:p>
        </w:tc>
        <w:tc>
          <w:tcPr>
            <w:tcW w:w="18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2,867,765</w:t>
            </w:r>
          </w:p>
        </w:tc>
        <w:tc>
          <w:tcPr>
            <w:tcW w:w="1880" w:type="dxa"/>
            <w:vAlign w:val="bottom"/>
          </w:tcPr>
          <w:p>
            <w:pPr>
              <w:jc w:val="right"/>
              <w:spacing w:after="0"/>
              <w:rPr>
                <w:sz w:val="20"/>
                <w:szCs w:val="20"/>
                <w:color w:val="auto"/>
              </w:rPr>
            </w:pPr>
            <w:r>
              <w:rPr>
                <w:rFonts w:ascii="Arial" w:cs="Arial" w:eastAsia="Arial" w:hAnsi="Arial"/>
                <w:sz w:val="14"/>
                <w:szCs w:val="14"/>
                <w:color w:val="auto"/>
              </w:rPr>
              <w:t>2,867,765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1380" w:type="dxa"/>
            <w:vAlign w:val="bottom"/>
            <w:vMerge w:val="continue"/>
          </w:tcPr>
          <w:p>
            <w:pPr>
              <w:spacing w:after="0"/>
              <w:rPr>
                <w:sz w:val="5"/>
                <w:szCs w:val="5"/>
                <w:color w:val="auto"/>
              </w:rPr>
            </w:pPr>
          </w:p>
        </w:tc>
        <w:tc>
          <w:tcPr>
            <w:tcW w:w="42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100"/>
              <w:spacing w:after="0"/>
              <w:rPr>
                <w:sz w:val="20"/>
                <w:szCs w:val="20"/>
                <w:color w:val="auto"/>
              </w:rPr>
            </w:pPr>
            <w:r>
              <w:rPr>
                <w:rFonts w:ascii="Arial" w:cs="Arial" w:eastAsia="Arial" w:hAnsi="Arial"/>
                <w:sz w:val="14"/>
                <w:szCs w:val="14"/>
                <w:b w:val="1"/>
                <w:bCs w:val="1"/>
                <w:color w:val="auto"/>
              </w:rPr>
              <w:t>Mullican</w:t>
            </w:r>
          </w:p>
        </w:tc>
        <w:tc>
          <w:tcPr>
            <w:tcW w:w="4240" w:type="dxa"/>
            <w:vAlign w:val="bottom"/>
            <w:vMerge w:val="restart"/>
          </w:tcPr>
          <w:p>
            <w:pPr>
              <w:ind w:left="100"/>
              <w:spacing w:after="0"/>
              <w:rPr>
                <w:sz w:val="20"/>
                <w:szCs w:val="20"/>
                <w:color w:val="auto"/>
              </w:rPr>
            </w:pPr>
            <w:r>
              <w:rPr>
                <w:rFonts w:ascii="Arial" w:cs="Arial" w:eastAsia="Arial" w:hAnsi="Arial"/>
                <w:sz w:val="14"/>
                <w:szCs w:val="14"/>
                <w:color w:val="auto"/>
              </w:rPr>
              <w:t>Pro Rata Bonus</w:t>
            </w: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1,458,000</w:t>
            </w: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1,012,412</w:t>
            </w:r>
          </w:p>
        </w:tc>
        <w:tc>
          <w:tcPr>
            <w:tcW w:w="1880" w:type="dxa"/>
            <w:vAlign w:val="bottom"/>
            <w:vMerge w:val="restart"/>
          </w:tcPr>
          <w:p>
            <w:pPr>
              <w:jc w:val="right"/>
              <w:spacing w:after="0"/>
              <w:rPr>
                <w:sz w:val="20"/>
                <w:szCs w:val="20"/>
                <w:color w:val="auto"/>
              </w:rPr>
            </w:pPr>
            <w:r>
              <w:rPr>
                <w:rFonts w:ascii="Arial" w:cs="Arial" w:eastAsia="Arial" w:hAnsi="Arial"/>
                <w:sz w:val="14"/>
                <w:szCs w:val="14"/>
                <w:color w:val="auto"/>
              </w:rPr>
              <w:t>1,012,412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380" w:type="dxa"/>
            <w:vAlign w:val="bottom"/>
          </w:tcPr>
          <w:p>
            <w:pPr>
              <w:spacing w:after="0"/>
              <w:rPr>
                <w:sz w:val="5"/>
                <w:szCs w:val="5"/>
                <w:color w:val="auto"/>
              </w:rPr>
            </w:pPr>
          </w:p>
        </w:tc>
        <w:tc>
          <w:tcPr>
            <w:tcW w:w="4240" w:type="dxa"/>
            <w:vAlign w:val="bottom"/>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18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4240" w:type="dxa"/>
            <w:vAlign w:val="bottom"/>
          </w:tcPr>
          <w:p>
            <w:pPr>
              <w:ind w:left="100"/>
              <w:spacing w:after="0"/>
              <w:rPr>
                <w:sz w:val="20"/>
                <w:szCs w:val="20"/>
                <w:color w:val="auto"/>
              </w:rPr>
            </w:pPr>
            <w:r>
              <w:rPr>
                <w:rFonts w:ascii="Arial" w:cs="Arial" w:eastAsia="Arial" w:hAnsi="Arial"/>
                <w:sz w:val="14"/>
                <w:szCs w:val="14"/>
                <w:color w:val="auto"/>
              </w:rPr>
              <w:t>COBRA Insurance</w:t>
            </w:r>
          </w:p>
        </w:tc>
        <w:tc>
          <w:tcPr>
            <w:tcW w:w="18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33,047</w:t>
            </w:r>
          </w:p>
        </w:tc>
        <w:tc>
          <w:tcPr>
            <w:tcW w:w="1880" w:type="dxa"/>
            <w:vAlign w:val="bottom"/>
          </w:tcPr>
          <w:p>
            <w:pPr>
              <w:jc w:val="right"/>
              <w:spacing w:after="0"/>
              <w:rPr>
                <w:sz w:val="20"/>
                <w:szCs w:val="20"/>
                <w:color w:val="auto"/>
              </w:rPr>
            </w:pPr>
            <w:r>
              <w:rPr>
                <w:rFonts w:ascii="Arial" w:cs="Arial" w:eastAsia="Arial" w:hAnsi="Arial"/>
                <w:sz w:val="14"/>
                <w:szCs w:val="14"/>
                <w:color w:val="auto"/>
              </w:rPr>
              <w:t>33,047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4"/>
                <w:szCs w:val="14"/>
                <w:color w:val="auto"/>
              </w:rPr>
              <w:t>Life Insurance</w:t>
            </w:r>
          </w:p>
        </w:tc>
        <w:tc>
          <w:tcPr>
            <w:tcW w:w="18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521</w:t>
            </w:r>
          </w:p>
        </w:tc>
        <w:tc>
          <w:tcPr>
            <w:tcW w:w="1880" w:type="dxa"/>
            <w:vAlign w:val="bottom"/>
          </w:tcPr>
          <w:p>
            <w:pPr>
              <w:jc w:val="right"/>
              <w:spacing w:after="0"/>
              <w:rPr>
                <w:sz w:val="20"/>
                <w:szCs w:val="20"/>
                <w:color w:val="auto"/>
              </w:rPr>
            </w:pPr>
            <w:r>
              <w:rPr>
                <w:rFonts w:ascii="Arial" w:cs="Arial" w:eastAsia="Arial" w:hAnsi="Arial"/>
                <w:sz w:val="14"/>
                <w:szCs w:val="14"/>
                <w:color w:val="auto"/>
              </w:rPr>
              <w:t>521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4"/>
                <w:szCs w:val="14"/>
                <w:color w:val="auto"/>
              </w:rPr>
              <w:t>Accelerated Vesting: Options</w:t>
            </w:r>
          </w:p>
        </w:tc>
        <w:tc>
          <w:tcPr>
            <w:tcW w:w="1860" w:type="dxa"/>
            <w:vAlign w:val="bottom"/>
          </w:tcPr>
          <w:p>
            <w:pPr>
              <w:jc w:val="right"/>
              <w:spacing w:after="0"/>
              <w:rPr>
                <w:sz w:val="20"/>
                <w:szCs w:val="20"/>
                <w:color w:val="auto"/>
              </w:rPr>
            </w:pPr>
            <w:r>
              <w:rPr>
                <w:rFonts w:ascii="Arial" w:cs="Arial" w:eastAsia="Arial" w:hAnsi="Arial"/>
                <w:sz w:val="14"/>
                <w:szCs w:val="14"/>
                <w:color w:val="auto"/>
              </w:rPr>
              <w:t>151,621</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606,515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4"/>
                <w:szCs w:val="14"/>
                <w:color w:val="auto"/>
              </w:rPr>
              <w:t>Accelerated Vesting: Time Restricted Units</w:t>
            </w:r>
          </w:p>
        </w:tc>
        <w:tc>
          <w:tcPr>
            <w:tcW w:w="18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823,323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4"/>
                <w:szCs w:val="14"/>
                <w:color w:val="auto"/>
              </w:rPr>
              <w:t>Accelerated Vesting: Performance Restricted Units</w:t>
            </w:r>
          </w:p>
        </w:tc>
        <w:tc>
          <w:tcPr>
            <w:tcW w:w="18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460,431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38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1,609,621</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3,913,745</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5,804,014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13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1380" w:type="dxa"/>
            <w:vAlign w:val="bottom"/>
            <w:vMerge w:val="restart"/>
            <w:shd w:val="clear" w:color="auto" w:fill="DBDBDB"/>
          </w:tcPr>
          <w:p>
            <w:pPr>
              <w:ind w:left="100"/>
              <w:spacing w:after="0"/>
              <w:rPr>
                <w:sz w:val="20"/>
                <w:szCs w:val="20"/>
                <w:color w:val="auto"/>
              </w:rPr>
            </w:pPr>
            <w:r>
              <w:rPr>
                <w:rFonts w:ascii="Arial" w:cs="Arial" w:eastAsia="Arial" w:hAnsi="Arial"/>
                <w:sz w:val="14"/>
                <w:szCs w:val="14"/>
                <w:b w:val="1"/>
                <w:bCs w:val="1"/>
                <w:color w:val="auto"/>
              </w:rPr>
              <w:t>Steve P. Lawrence</w:t>
            </w: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Cash Severance (Salary and Bonus)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4,107,740</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4,107,740</w:t>
            </w:r>
          </w:p>
        </w:tc>
        <w:tc>
          <w:tcPr>
            <w:tcW w:w="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380" w:type="dxa"/>
            <w:vAlign w:val="bottom"/>
            <w:vMerge w:val="continue"/>
            <w:shd w:val="clear" w:color="auto" w:fill="DBDBDB"/>
          </w:tcPr>
          <w:p>
            <w:pPr>
              <w:spacing w:after="0"/>
              <w:rPr>
                <w:sz w:val="14"/>
                <w:szCs w:val="14"/>
                <w:color w:val="auto"/>
              </w:rPr>
            </w:pPr>
          </w:p>
        </w:tc>
        <w:tc>
          <w:tcPr>
            <w:tcW w:w="4240" w:type="dxa"/>
            <w:vAlign w:val="bottom"/>
            <w:vMerge w:val="restart"/>
            <w:shd w:val="clear" w:color="auto" w:fill="DBDBDB"/>
          </w:tcPr>
          <w:p>
            <w:pPr>
              <w:ind w:left="100"/>
              <w:spacing w:after="0"/>
              <w:rPr>
                <w:sz w:val="20"/>
                <w:szCs w:val="20"/>
                <w:color w:val="auto"/>
              </w:rPr>
            </w:pPr>
            <w:r>
              <w:rPr>
                <w:rFonts w:ascii="Arial" w:cs="Arial" w:eastAsia="Arial" w:hAnsi="Arial"/>
                <w:sz w:val="14"/>
                <w:szCs w:val="14"/>
                <w:color w:val="auto"/>
              </w:rPr>
              <w:t>Pro Rata Bonus</w:t>
            </w:r>
          </w:p>
        </w:tc>
        <w:tc>
          <w:tcPr>
            <w:tcW w:w="18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1,624,320</w:t>
            </w:r>
          </w:p>
        </w:tc>
        <w:tc>
          <w:tcPr>
            <w:tcW w:w="17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1,745,077</w:t>
            </w:r>
          </w:p>
        </w:tc>
        <w:tc>
          <w:tcPr>
            <w:tcW w:w="18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1,745,077</w:t>
            </w:r>
          </w:p>
        </w:tc>
        <w:tc>
          <w:tcPr>
            <w:tcW w:w="1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80" w:type="dxa"/>
            <w:vAlign w:val="bottom"/>
            <w:shd w:val="clear" w:color="auto" w:fill="DBDBDB"/>
          </w:tcPr>
          <w:p>
            <w:pPr>
              <w:spacing w:after="0"/>
              <w:rPr>
                <w:sz w:val="13"/>
                <w:szCs w:val="13"/>
                <w:color w:val="auto"/>
              </w:rPr>
            </w:pPr>
          </w:p>
        </w:tc>
        <w:tc>
          <w:tcPr>
            <w:tcW w:w="4240" w:type="dxa"/>
            <w:vAlign w:val="bottom"/>
            <w:vMerge w:val="continue"/>
            <w:shd w:val="clear" w:color="auto" w:fill="DBDBDB"/>
          </w:tcPr>
          <w:p>
            <w:pPr>
              <w:spacing w:after="0"/>
              <w:rPr>
                <w:sz w:val="13"/>
                <w:szCs w:val="13"/>
                <w:color w:val="auto"/>
              </w:rPr>
            </w:pPr>
          </w:p>
        </w:tc>
        <w:tc>
          <w:tcPr>
            <w:tcW w:w="1860" w:type="dxa"/>
            <w:vAlign w:val="bottom"/>
            <w:vMerge w:val="continue"/>
            <w:shd w:val="clear" w:color="auto" w:fill="DBDBDB"/>
          </w:tcPr>
          <w:p>
            <w:pPr>
              <w:spacing w:after="0"/>
              <w:rPr>
                <w:sz w:val="13"/>
                <w:szCs w:val="13"/>
                <w:color w:val="auto"/>
              </w:rPr>
            </w:pPr>
          </w:p>
        </w:tc>
        <w:tc>
          <w:tcPr>
            <w:tcW w:w="1740" w:type="dxa"/>
            <w:vAlign w:val="bottom"/>
            <w:vMerge w:val="continue"/>
            <w:shd w:val="clear" w:color="auto" w:fill="DBDBDB"/>
          </w:tcPr>
          <w:p>
            <w:pPr>
              <w:spacing w:after="0"/>
              <w:rPr>
                <w:sz w:val="13"/>
                <w:szCs w:val="13"/>
                <w:color w:val="auto"/>
              </w:rPr>
            </w:pPr>
          </w:p>
        </w:tc>
        <w:tc>
          <w:tcPr>
            <w:tcW w:w="1880" w:type="dxa"/>
            <w:vAlign w:val="bottom"/>
            <w:vMerge w:val="continue"/>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1380" w:type="dxa"/>
            <w:vAlign w:val="bottom"/>
            <w:shd w:val="clear" w:color="auto" w:fill="DBDBDB"/>
          </w:tcPr>
          <w:p>
            <w:pPr>
              <w:spacing w:after="0"/>
              <w:rPr>
                <w:sz w:val="24"/>
                <w:szCs w:val="24"/>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COBRA Insurance</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33,047</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33,047</w:t>
            </w:r>
          </w:p>
        </w:tc>
        <w:tc>
          <w:tcPr>
            <w:tcW w:w="1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DBDBDB"/>
          </w:tcPr>
          <w:p>
            <w:pPr>
              <w:spacing w:after="0"/>
              <w:rPr>
                <w:sz w:val="21"/>
                <w:szCs w:val="21"/>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Life Insurance</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521</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521</w:t>
            </w:r>
          </w:p>
        </w:tc>
        <w:tc>
          <w:tcPr>
            <w:tcW w:w="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DBDBDB"/>
          </w:tcPr>
          <w:p>
            <w:pPr>
              <w:spacing w:after="0"/>
              <w:rPr>
                <w:sz w:val="21"/>
                <w:szCs w:val="21"/>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Accelerated Vesting: Options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151,621</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606,515</w:t>
            </w:r>
          </w:p>
        </w:tc>
        <w:tc>
          <w:tcPr>
            <w:tcW w:w="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DBDBDB"/>
          </w:tcPr>
          <w:p>
            <w:pPr>
              <w:spacing w:after="0"/>
              <w:rPr>
                <w:sz w:val="21"/>
                <w:szCs w:val="21"/>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Accelerated Vesting: Time Restricted Units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823,323</w:t>
            </w:r>
          </w:p>
        </w:tc>
        <w:tc>
          <w:tcPr>
            <w:tcW w:w="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DBDBDB"/>
          </w:tcPr>
          <w:p>
            <w:pPr>
              <w:spacing w:after="0"/>
              <w:rPr>
                <w:sz w:val="21"/>
                <w:szCs w:val="21"/>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Accelerated Vesting: Performance Restricted Units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460,431</w:t>
            </w:r>
          </w:p>
        </w:tc>
        <w:tc>
          <w:tcPr>
            <w:tcW w:w="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380" w:type="dxa"/>
            <w:vAlign w:val="bottom"/>
            <w:shd w:val="clear" w:color="auto" w:fill="DBDBDB"/>
          </w:tcPr>
          <w:p>
            <w:pPr>
              <w:spacing w:after="0"/>
              <w:rPr>
                <w:sz w:val="21"/>
                <w:szCs w:val="21"/>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Total</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1,775,941</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5,886,385</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7,776,654</w:t>
            </w:r>
          </w:p>
        </w:tc>
        <w:tc>
          <w:tcPr>
            <w:tcW w:w="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1380" w:type="dxa"/>
            <w:vAlign w:val="bottom"/>
            <w:shd w:val="clear" w:color="auto" w:fill="DBDBDB"/>
          </w:tcPr>
          <w:p>
            <w:pPr>
              <w:spacing w:after="0"/>
              <w:rPr>
                <w:sz w:val="2"/>
                <w:szCs w:val="2"/>
                <w:color w:val="auto"/>
              </w:rPr>
            </w:pPr>
          </w:p>
        </w:tc>
        <w:tc>
          <w:tcPr>
            <w:tcW w:w="4240" w:type="dxa"/>
            <w:vAlign w:val="bottom"/>
            <w:shd w:val="clear" w:color="auto" w:fill="DBDBDB"/>
          </w:tcPr>
          <w:p>
            <w:pPr>
              <w:spacing w:after="0"/>
              <w:rPr>
                <w:sz w:val="2"/>
                <w:szCs w:val="2"/>
                <w:color w:val="auto"/>
              </w:rPr>
            </w:pPr>
          </w:p>
        </w:tc>
        <w:tc>
          <w:tcPr>
            <w:tcW w:w="1860" w:type="dxa"/>
            <w:vAlign w:val="bottom"/>
            <w:shd w:val="clear" w:color="auto" w:fill="DBDBDB"/>
          </w:tcPr>
          <w:p>
            <w:pPr>
              <w:spacing w:after="0"/>
              <w:rPr>
                <w:sz w:val="2"/>
                <w:szCs w:val="2"/>
                <w:color w:val="auto"/>
              </w:rPr>
            </w:pPr>
          </w:p>
        </w:tc>
        <w:tc>
          <w:tcPr>
            <w:tcW w:w="1740" w:type="dxa"/>
            <w:vAlign w:val="bottom"/>
            <w:shd w:val="clear" w:color="auto" w:fill="DBDBDB"/>
          </w:tcPr>
          <w:p>
            <w:pPr>
              <w:spacing w:after="0"/>
              <w:rPr>
                <w:sz w:val="2"/>
                <w:szCs w:val="2"/>
                <w:color w:val="auto"/>
              </w:rPr>
            </w:pPr>
          </w:p>
        </w:tc>
        <w:tc>
          <w:tcPr>
            <w:tcW w:w="18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788670</wp:posOffset>
            </wp:positionV>
            <wp:extent cx="857250"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color w:val="007EC4"/>
        </w:rPr>
        <w:t xml:space="preserve">58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380" w:type="dxa"/>
            <w:vAlign w:val="bottom"/>
            <w:tcBorders>
              <w:bottom w:val="single" w:sz="8" w:color="E1D7AC"/>
            </w:tcBorders>
            <w:shd w:val="clear" w:color="auto" w:fill="E1D7AC"/>
          </w:tcPr>
          <w:p>
            <w:pPr>
              <w:spacing w:after="0"/>
              <w:rPr>
                <w:sz w:val="21"/>
                <w:szCs w:val="21"/>
                <w:color w:val="auto"/>
              </w:rPr>
            </w:pPr>
          </w:p>
        </w:tc>
        <w:tc>
          <w:tcPr>
            <w:tcW w:w="4240" w:type="dxa"/>
            <w:vAlign w:val="bottom"/>
            <w:tcBorders>
              <w:bottom w:val="single" w:sz="8" w:color="E1D7AC"/>
            </w:tcBorders>
            <w:shd w:val="clear" w:color="auto" w:fill="E1D7AC"/>
          </w:tcPr>
          <w:p>
            <w:pPr>
              <w:spacing w:after="0"/>
              <w:rPr>
                <w:sz w:val="21"/>
                <w:szCs w:val="21"/>
                <w:color w:val="auto"/>
              </w:rPr>
            </w:pPr>
          </w:p>
        </w:tc>
        <w:tc>
          <w:tcPr>
            <w:tcW w:w="1860" w:type="dxa"/>
            <w:vAlign w:val="bottom"/>
            <w:tcBorders>
              <w:bottom w:val="single" w:sz="8" w:color="E1D7AC"/>
            </w:tcBorders>
            <w:shd w:val="clear" w:color="auto" w:fill="E1D7AC"/>
          </w:tcPr>
          <w:p>
            <w:pPr>
              <w:spacing w:after="0"/>
              <w:rPr>
                <w:sz w:val="21"/>
                <w:szCs w:val="21"/>
                <w:color w:val="auto"/>
              </w:rPr>
            </w:pPr>
          </w:p>
        </w:tc>
        <w:tc>
          <w:tcPr>
            <w:tcW w:w="1740" w:type="dxa"/>
            <w:vAlign w:val="bottom"/>
            <w:tcBorders>
              <w:bottom w:val="single" w:sz="8" w:color="E1D7AC"/>
            </w:tcBorders>
            <w:shd w:val="clear" w:color="auto" w:fill="E1D7AC"/>
          </w:tcPr>
          <w:p>
            <w:pPr>
              <w:jc w:val="right"/>
              <w:ind w:right="168"/>
              <w:spacing w:after="0"/>
              <w:rPr>
                <w:sz w:val="20"/>
                <w:szCs w:val="20"/>
                <w:color w:val="auto"/>
              </w:rPr>
            </w:pPr>
            <w:r>
              <w:rPr>
                <w:rFonts w:ascii="Arial" w:cs="Arial" w:eastAsia="Arial" w:hAnsi="Arial"/>
                <w:sz w:val="14"/>
                <w:szCs w:val="14"/>
                <w:b w:val="1"/>
                <w:bCs w:val="1"/>
                <w:color w:val="auto"/>
              </w:rPr>
              <w:t>Termination Event</w:t>
            </w:r>
          </w:p>
        </w:tc>
        <w:tc>
          <w:tcPr>
            <w:tcW w:w="1880" w:type="dxa"/>
            <w:vAlign w:val="bottom"/>
            <w:tcBorders>
              <w:bottom w:val="single" w:sz="8" w:color="E1D7AC"/>
            </w:tcBorders>
            <w:shd w:val="clear" w:color="auto" w:fill="E1D7AC"/>
          </w:tcPr>
          <w:p>
            <w:pPr>
              <w:spacing w:after="0"/>
              <w:rPr>
                <w:sz w:val="21"/>
                <w:szCs w:val="21"/>
                <w:color w:val="auto"/>
              </w:rPr>
            </w:pPr>
          </w:p>
        </w:tc>
        <w:tc>
          <w:tcPr>
            <w:tcW w:w="140" w:type="dxa"/>
            <w:vAlign w:val="bottom"/>
            <w:tcBorders>
              <w:bottom w:val="single" w:sz="8" w:color="E1D7AC"/>
            </w:tcBorders>
            <w:shd w:val="clear" w:color="auto" w:fill="E1D7AC"/>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1380" w:type="dxa"/>
            <w:vAlign w:val="bottom"/>
            <w:tcBorders>
              <w:top w:val="single" w:sz="8" w:color="E1D7AC"/>
            </w:tcBorders>
            <w:shd w:val="clear" w:color="auto" w:fill="E1D7AC"/>
          </w:tcPr>
          <w:p>
            <w:pPr>
              <w:spacing w:after="0"/>
              <w:rPr>
                <w:sz w:val="22"/>
                <w:szCs w:val="22"/>
                <w:color w:val="auto"/>
              </w:rPr>
            </w:pPr>
          </w:p>
        </w:tc>
        <w:tc>
          <w:tcPr>
            <w:tcW w:w="4240" w:type="dxa"/>
            <w:vAlign w:val="bottom"/>
            <w:tcBorders>
              <w:top w:val="single" w:sz="8" w:color="E1D7AC"/>
            </w:tcBorders>
            <w:shd w:val="clear" w:color="auto" w:fill="E1D7AC"/>
          </w:tcPr>
          <w:p>
            <w:pPr>
              <w:spacing w:after="0"/>
              <w:rPr>
                <w:sz w:val="22"/>
                <w:szCs w:val="22"/>
                <w:color w:val="auto"/>
              </w:rPr>
            </w:pPr>
          </w:p>
        </w:tc>
        <w:tc>
          <w:tcPr>
            <w:tcW w:w="1860" w:type="dxa"/>
            <w:vAlign w:val="bottom"/>
            <w:tcBorders>
              <w:top w:val="single" w:sz="8" w:color="auto"/>
            </w:tcBorders>
            <w:shd w:val="clear" w:color="auto" w:fill="E1D7AC"/>
          </w:tcPr>
          <w:p>
            <w:pPr>
              <w:spacing w:after="0"/>
              <w:rPr>
                <w:sz w:val="22"/>
                <w:szCs w:val="22"/>
                <w:color w:val="auto"/>
              </w:rPr>
            </w:pPr>
          </w:p>
        </w:tc>
        <w:tc>
          <w:tcPr>
            <w:tcW w:w="1740" w:type="dxa"/>
            <w:vAlign w:val="bottom"/>
            <w:tcBorders>
              <w:top w:val="single" w:sz="8" w:color="auto"/>
            </w:tcBorders>
            <w:shd w:val="clear" w:color="auto" w:fill="E1D7AC"/>
          </w:tcPr>
          <w:p>
            <w:pPr>
              <w:spacing w:after="0"/>
              <w:rPr>
                <w:sz w:val="22"/>
                <w:szCs w:val="22"/>
                <w:color w:val="auto"/>
              </w:rPr>
            </w:pPr>
          </w:p>
        </w:tc>
        <w:tc>
          <w:tcPr>
            <w:tcW w:w="188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4"/>
                <w:szCs w:val="14"/>
                <w:b w:val="1"/>
                <w:bCs w:val="1"/>
                <w:color w:val="auto"/>
              </w:rPr>
              <w:t>Without Cause or</w:t>
            </w:r>
          </w:p>
        </w:tc>
        <w:tc>
          <w:tcPr>
            <w:tcW w:w="140" w:type="dxa"/>
            <w:vAlign w:val="bottom"/>
            <w:tcBorders>
              <w:top w:val="single" w:sz="8" w:color="E1D7AC"/>
            </w:tcBorders>
            <w:shd w:val="clear" w:color="auto" w:fill="E1D7AC"/>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E1D7AC"/>
          </w:tcPr>
          <w:p>
            <w:pPr>
              <w:spacing w:after="0"/>
              <w:rPr>
                <w:sz w:val="16"/>
                <w:szCs w:val="16"/>
                <w:color w:val="auto"/>
              </w:rPr>
            </w:pPr>
          </w:p>
        </w:tc>
        <w:tc>
          <w:tcPr>
            <w:tcW w:w="4240" w:type="dxa"/>
            <w:vAlign w:val="bottom"/>
            <w:shd w:val="clear" w:color="auto" w:fill="E1D7AC"/>
          </w:tcPr>
          <w:p>
            <w:pPr>
              <w:spacing w:after="0"/>
              <w:rPr>
                <w:sz w:val="16"/>
                <w:szCs w:val="16"/>
                <w:color w:val="auto"/>
              </w:rPr>
            </w:pPr>
          </w:p>
        </w:tc>
        <w:tc>
          <w:tcPr>
            <w:tcW w:w="1860" w:type="dxa"/>
            <w:vAlign w:val="bottom"/>
            <w:shd w:val="clear" w:color="auto" w:fill="E1D7AC"/>
          </w:tcPr>
          <w:p>
            <w:pPr>
              <w:spacing w:after="0"/>
              <w:rPr>
                <w:sz w:val="16"/>
                <w:szCs w:val="16"/>
                <w:color w:val="auto"/>
              </w:rPr>
            </w:pPr>
          </w:p>
        </w:tc>
        <w:tc>
          <w:tcPr>
            <w:tcW w:w="1740" w:type="dxa"/>
            <w:vAlign w:val="bottom"/>
            <w:shd w:val="clear" w:color="auto" w:fill="E1D7AC"/>
          </w:tcPr>
          <w:p>
            <w:pPr>
              <w:jc w:val="right"/>
              <w:ind w:right="28"/>
              <w:spacing w:after="0"/>
              <w:rPr>
                <w:sz w:val="20"/>
                <w:szCs w:val="20"/>
                <w:color w:val="auto"/>
              </w:rPr>
            </w:pPr>
            <w:r>
              <w:rPr>
                <w:rFonts w:ascii="Arial" w:cs="Arial" w:eastAsia="Arial" w:hAnsi="Arial"/>
                <w:sz w:val="14"/>
                <w:szCs w:val="14"/>
                <w:b w:val="1"/>
                <w:bCs w:val="1"/>
                <w:color w:val="auto"/>
              </w:rPr>
              <w:t>Without Cause or</w:t>
            </w:r>
          </w:p>
        </w:tc>
        <w:tc>
          <w:tcPr>
            <w:tcW w:w="2020" w:type="dxa"/>
            <w:vAlign w:val="bottom"/>
            <w:gridSpan w:val="2"/>
            <w:shd w:val="clear" w:color="auto" w:fill="E1D7AC"/>
          </w:tcPr>
          <w:p>
            <w:pPr>
              <w:jc w:val="right"/>
              <w:ind w:right="160"/>
              <w:spacing w:after="0"/>
              <w:rPr>
                <w:sz w:val="20"/>
                <w:szCs w:val="20"/>
                <w:color w:val="auto"/>
              </w:rPr>
            </w:pPr>
            <w:r>
              <w:rPr>
                <w:rFonts w:ascii="Arial" w:cs="Arial" w:eastAsia="Arial" w:hAnsi="Arial"/>
                <w:sz w:val="14"/>
                <w:szCs w:val="14"/>
                <w:b w:val="1"/>
                <w:bCs w:val="1"/>
                <w:color w:val="auto"/>
              </w:rPr>
              <w:t>Resignation for Good</w:t>
            </w:r>
          </w:p>
        </w:tc>
        <w:tc>
          <w:tcPr>
            <w:tcW w:w="0" w:type="dxa"/>
            <w:vAlign w:val="bottom"/>
          </w:tcPr>
          <w:p>
            <w:pPr>
              <w:spacing w:after="0"/>
              <w:rPr>
                <w:sz w:val="1"/>
                <w:szCs w:val="1"/>
                <w:color w:val="auto"/>
              </w:rPr>
            </w:pPr>
          </w:p>
        </w:tc>
      </w:tr>
      <w:tr>
        <w:trPr>
          <w:trHeight w:val="189"/>
        </w:trPr>
        <w:tc>
          <w:tcPr>
            <w:tcW w:w="1380" w:type="dxa"/>
            <w:vAlign w:val="bottom"/>
            <w:shd w:val="clear" w:color="auto" w:fill="E1D7AC"/>
          </w:tcPr>
          <w:p>
            <w:pPr>
              <w:spacing w:after="0"/>
              <w:rPr>
                <w:sz w:val="16"/>
                <w:szCs w:val="16"/>
                <w:color w:val="auto"/>
              </w:rPr>
            </w:pPr>
          </w:p>
        </w:tc>
        <w:tc>
          <w:tcPr>
            <w:tcW w:w="4240" w:type="dxa"/>
            <w:vAlign w:val="bottom"/>
            <w:shd w:val="clear" w:color="auto" w:fill="E1D7AC"/>
          </w:tcPr>
          <w:p>
            <w:pPr>
              <w:spacing w:after="0"/>
              <w:rPr>
                <w:sz w:val="16"/>
                <w:szCs w:val="16"/>
                <w:color w:val="auto"/>
              </w:rPr>
            </w:pPr>
          </w:p>
        </w:tc>
        <w:tc>
          <w:tcPr>
            <w:tcW w:w="1860" w:type="dxa"/>
            <w:vAlign w:val="bottom"/>
            <w:vMerge w:val="restart"/>
            <w:shd w:val="clear" w:color="auto" w:fill="E1D7AC"/>
          </w:tcPr>
          <w:p>
            <w:pPr>
              <w:jc w:val="right"/>
              <w:spacing w:after="0"/>
              <w:rPr>
                <w:sz w:val="20"/>
                <w:szCs w:val="20"/>
                <w:color w:val="auto"/>
              </w:rPr>
            </w:pPr>
            <w:r>
              <w:rPr>
                <w:rFonts w:ascii="Arial" w:cs="Arial" w:eastAsia="Arial" w:hAnsi="Arial"/>
                <w:sz w:val="14"/>
                <w:szCs w:val="14"/>
                <w:b w:val="1"/>
                <w:bCs w:val="1"/>
                <w:color w:val="auto"/>
              </w:rPr>
              <w:t>Death or Disability</w:t>
            </w:r>
          </w:p>
        </w:tc>
        <w:tc>
          <w:tcPr>
            <w:tcW w:w="1740" w:type="dxa"/>
            <w:vAlign w:val="bottom"/>
            <w:shd w:val="clear" w:color="auto" w:fill="E1D7AC"/>
          </w:tcPr>
          <w:p>
            <w:pPr>
              <w:jc w:val="right"/>
              <w:ind w:right="28"/>
              <w:spacing w:after="0"/>
              <w:rPr>
                <w:sz w:val="20"/>
                <w:szCs w:val="20"/>
                <w:color w:val="auto"/>
              </w:rPr>
            </w:pPr>
            <w:r>
              <w:rPr>
                <w:rFonts w:ascii="Arial" w:cs="Arial" w:eastAsia="Arial" w:hAnsi="Arial"/>
                <w:sz w:val="14"/>
                <w:szCs w:val="14"/>
                <w:b w:val="1"/>
                <w:bCs w:val="1"/>
                <w:color w:val="auto"/>
              </w:rPr>
              <w:t>Resignation for Good</w:t>
            </w:r>
          </w:p>
        </w:tc>
        <w:tc>
          <w:tcPr>
            <w:tcW w:w="2020" w:type="dxa"/>
            <w:vAlign w:val="bottom"/>
            <w:gridSpan w:val="2"/>
            <w:shd w:val="clear" w:color="auto" w:fill="E1D7AC"/>
          </w:tcPr>
          <w:p>
            <w:pPr>
              <w:jc w:val="right"/>
              <w:ind w:right="160"/>
              <w:spacing w:after="0"/>
              <w:rPr>
                <w:sz w:val="20"/>
                <w:szCs w:val="20"/>
                <w:color w:val="auto"/>
              </w:rPr>
            </w:pPr>
            <w:r>
              <w:rPr>
                <w:rFonts w:ascii="Arial" w:cs="Arial" w:eastAsia="Arial" w:hAnsi="Arial"/>
                <w:sz w:val="14"/>
                <w:szCs w:val="14"/>
                <w:b w:val="1"/>
                <w:bCs w:val="1"/>
                <w:color w:val="auto"/>
              </w:rPr>
              <w:t>Reason Following Change</w:t>
            </w:r>
          </w:p>
        </w:tc>
        <w:tc>
          <w:tcPr>
            <w:tcW w:w="0" w:type="dxa"/>
            <w:vAlign w:val="bottom"/>
          </w:tcPr>
          <w:p>
            <w:pPr>
              <w:spacing w:after="0"/>
              <w:rPr>
                <w:sz w:val="1"/>
                <w:szCs w:val="1"/>
                <w:color w:val="auto"/>
              </w:rPr>
            </w:pPr>
          </w:p>
        </w:tc>
      </w:tr>
      <w:tr>
        <w:trPr>
          <w:trHeight w:val="176"/>
        </w:trPr>
        <w:tc>
          <w:tcPr>
            <w:tcW w:w="1380" w:type="dxa"/>
            <w:vAlign w:val="bottom"/>
            <w:shd w:val="clear" w:color="auto" w:fill="E1D7AC"/>
          </w:tcPr>
          <w:p>
            <w:pPr>
              <w:spacing w:after="0"/>
              <w:rPr>
                <w:sz w:val="15"/>
                <w:szCs w:val="15"/>
                <w:color w:val="auto"/>
              </w:rPr>
            </w:pPr>
          </w:p>
        </w:tc>
        <w:tc>
          <w:tcPr>
            <w:tcW w:w="4240" w:type="dxa"/>
            <w:vAlign w:val="bottom"/>
            <w:shd w:val="clear" w:color="auto" w:fill="E1D7AC"/>
          </w:tcPr>
          <w:p>
            <w:pPr>
              <w:spacing w:after="0"/>
              <w:rPr>
                <w:sz w:val="15"/>
                <w:szCs w:val="15"/>
                <w:color w:val="auto"/>
              </w:rPr>
            </w:pPr>
          </w:p>
        </w:tc>
        <w:tc>
          <w:tcPr>
            <w:tcW w:w="1860" w:type="dxa"/>
            <w:vAlign w:val="bottom"/>
            <w:vMerge w:val="continue"/>
            <w:shd w:val="clear" w:color="auto" w:fill="E1D7AC"/>
          </w:tcPr>
          <w:p>
            <w:pPr>
              <w:spacing w:after="0"/>
              <w:rPr>
                <w:sz w:val="15"/>
                <w:szCs w:val="15"/>
                <w:color w:val="auto"/>
              </w:rPr>
            </w:pPr>
          </w:p>
        </w:tc>
        <w:tc>
          <w:tcPr>
            <w:tcW w:w="1740" w:type="dxa"/>
            <w:vAlign w:val="bottom"/>
            <w:shd w:val="clear" w:color="auto" w:fill="E1D7AC"/>
          </w:tcPr>
          <w:p>
            <w:pPr>
              <w:jc w:val="right"/>
              <w:ind w:right="28"/>
              <w:spacing w:after="0"/>
              <w:rPr>
                <w:sz w:val="20"/>
                <w:szCs w:val="20"/>
                <w:color w:val="auto"/>
              </w:rPr>
            </w:pPr>
            <w:r>
              <w:rPr>
                <w:rFonts w:ascii="Arial" w:cs="Arial" w:eastAsia="Arial" w:hAnsi="Arial"/>
                <w:sz w:val="14"/>
                <w:szCs w:val="14"/>
                <w:b w:val="1"/>
                <w:bCs w:val="1"/>
                <w:color w:val="auto"/>
              </w:rPr>
              <w:t>Reason</w:t>
            </w:r>
          </w:p>
        </w:tc>
        <w:tc>
          <w:tcPr>
            <w:tcW w:w="2020" w:type="dxa"/>
            <w:vAlign w:val="bottom"/>
            <w:gridSpan w:val="2"/>
            <w:shd w:val="clear" w:color="auto" w:fill="E1D7AC"/>
          </w:tcPr>
          <w:p>
            <w:pPr>
              <w:jc w:val="right"/>
              <w:ind w:right="160"/>
              <w:spacing w:after="0"/>
              <w:rPr>
                <w:sz w:val="20"/>
                <w:szCs w:val="20"/>
                <w:color w:val="auto"/>
              </w:rPr>
            </w:pPr>
            <w:r>
              <w:rPr>
                <w:rFonts w:ascii="Arial" w:cs="Arial" w:eastAsia="Arial" w:hAnsi="Arial"/>
                <w:sz w:val="14"/>
                <w:szCs w:val="14"/>
                <w:b w:val="1"/>
                <w:bCs w:val="1"/>
                <w:color w:val="auto"/>
              </w:rPr>
              <w:t>of Control</w:t>
            </w:r>
          </w:p>
        </w:tc>
        <w:tc>
          <w:tcPr>
            <w:tcW w:w="0" w:type="dxa"/>
            <w:vAlign w:val="bottom"/>
          </w:tcPr>
          <w:p>
            <w:pPr>
              <w:spacing w:after="0"/>
              <w:rPr>
                <w:sz w:val="1"/>
                <w:szCs w:val="1"/>
                <w:color w:val="auto"/>
              </w:rPr>
            </w:pPr>
          </w:p>
        </w:tc>
      </w:tr>
      <w:tr>
        <w:trPr>
          <w:trHeight w:val="225"/>
        </w:trPr>
        <w:tc>
          <w:tcPr>
            <w:tcW w:w="1380" w:type="dxa"/>
            <w:vAlign w:val="bottom"/>
            <w:shd w:val="clear" w:color="auto" w:fill="E1D7AC"/>
          </w:tcPr>
          <w:p>
            <w:pPr>
              <w:ind w:left="100"/>
              <w:spacing w:after="0"/>
              <w:rPr>
                <w:sz w:val="20"/>
                <w:szCs w:val="20"/>
                <w:color w:val="auto"/>
              </w:rPr>
            </w:pPr>
            <w:r>
              <w:rPr>
                <w:rFonts w:ascii="Arial" w:cs="Arial" w:eastAsia="Arial" w:hAnsi="Arial"/>
                <w:sz w:val="14"/>
                <w:szCs w:val="14"/>
                <w:b w:val="1"/>
                <w:bCs w:val="1"/>
                <w:color w:val="auto"/>
              </w:rPr>
              <w:t>NEO</w:t>
            </w:r>
          </w:p>
        </w:tc>
        <w:tc>
          <w:tcPr>
            <w:tcW w:w="4240" w:type="dxa"/>
            <w:vAlign w:val="bottom"/>
            <w:shd w:val="clear" w:color="auto" w:fill="E1D7AC"/>
          </w:tcPr>
          <w:p>
            <w:pPr>
              <w:ind w:left="100"/>
              <w:spacing w:after="0"/>
              <w:rPr>
                <w:sz w:val="20"/>
                <w:szCs w:val="20"/>
                <w:color w:val="auto"/>
              </w:rPr>
            </w:pPr>
            <w:r>
              <w:rPr>
                <w:rFonts w:ascii="Arial" w:cs="Arial" w:eastAsia="Arial" w:hAnsi="Arial"/>
                <w:sz w:val="14"/>
                <w:szCs w:val="14"/>
                <w:b w:val="1"/>
                <w:bCs w:val="1"/>
                <w:color w:val="auto"/>
              </w:rPr>
              <w:t>Payment Type</w:t>
            </w:r>
          </w:p>
        </w:tc>
        <w:tc>
          <w:tcPr>
            <w:tcW w:w="186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E1D7AC"/>
          </w:tcPr>
          <w:p>
            <w:pPr>
              <w:jc w:val="right"/>
              <w:ind w:right="28"/>
              <w:spacing w:after="0"/>
              <w:rPr>
                <w:sz w:val="20"/>
                <w:szCs w:val="20"/>
                <w:color w:val="auto"/>
              </w:rPr>
            </w:pPr>
            <w:r>
              <w:rPr>
                <w:rFonts w:ascii="Arial" w:cs="Arial" w:eastAsia="Arial" w:hAnsi="Arial"/>
                <w:sz w:val="14"/>
                <w:szCs w:val="14"/>
                <w:b w:val="1"/>
                <w:bCs w:val="1"/>
                <w:color w:val="auto"/>
              </w:rPr>
              <w:t>($)</w:t>
            </w:r>
          </w:p>
        </w:tc>
        <w:tc>
          <w:tcPr>
            <w:tcW w:w="1880" w:type="dxa"/>
            <w:vAlign w:val="bottom"/>
            <w:shd w:val="clear" w:color="auto" w:fill="E1D7AC"/>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40" w:type="dxa"/>
            <w:vAlign w:val="bottom"/>
            <w:shd w:val="clear" w:color="auto" w:fill="E1D7AC"/>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3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Sam J. Johnson</w:t>
            </w:r>
          </w:p>
        </w:tc>
        <w:tc>
          <w:tcPr>
            <w:tcW w:w="4240" w:type="dxa"/>
            <w:vAlign w:val="bottom"/>
          </w:tcPr>
          <w:p>
            <w:pPr>
              <w:ind w:left="100"/>
              <w:spacing w:after="0"/>
              <w:rPr>
                <w:sz w:val="20"/>
                <w:szCs w:val="20"/>
                <w:color w:val="auto"/>
              </w:rPr>
            </w:pPr>
            <w:r>
              <w:rPr>
                <w:rFonts w:ascii="Arial" w:cs="Arial" w:eastAsia="Arial" w:hAnsi="Arial"/>
                <w:sz w:val="14"/>
                <w:szCs w:val="14"/>
                <w:color w:val="auto"/>
              </w:rPr>
              <w:t>Cash Severance (Salary and Bonus)</w:t>
            </w:r>
          </w:p>
        </w:tc>
        <w:tc>
          <w:tcPr>
            <w:tcW w:w="18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2,628,558</w:t>
            </w:r>
          </w:p>
        </w:tc>
        <w:tc>
          <w:tcPr>
            <w:tcW w:w="1880" w:type="dxa"/>
            <w:vAlign w:val="bottom"/>
          </w:tcPr>
          <w:p>
            <w:pPr>
              <w:jc w:val="right"/>
              <w:spacing w:after="0"/>
              <w:rPr>
                <w:sz w:val="20"/>
                <w:szCs w:val="20"/>
                <w:color w:val="auto"/>
              </w:rPr>
            </w:pPr>
            <w:r>
              <w:rPr>
                <w:rFonts w:ascii="Arial" w:cs="Arial" w:eastAsia="Arial" w:hAnsi="Arial"/>
                <w:sz w:val="14"/>
                <w:szCs w:val="14"/>
                <w:color w:val="auto"/>
              </w:rPr>
              <w:t>2,628,558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380" w:type="dxa"/>
            <w:vAlign w:val="bottom"/>
            <w:vMerge w:val="continue"/>
          </w:tcPr>
          <w:p>
            <w:pPr>
              <w:spacing w:after="0"/>
              <w:rPr>
                <w:sz w:val="14"/>
                <w:szCs w:val="14"/>
                <w:color w:val="auto"/>
              </w:rPr>
            </w:pPr>
          </w:p>
        </w:tc>
        <w:tc>
          <w:tcPr>
            <w:tcW w:w="4240" w:type="dxa"/>
            <w:vAlign w:val="bottom"/>
            <w:vMerge w:val="restart"/>
          </w:tcPr>
          <w:p>
            <w:pPr>
              <w:ind w:left="100"/>
              <w:spacing w:after="0"/>
              <w:rPr>
                <w:sz w:val="20"/>
                <w:szCs w:val="20"/>
                <w:color w:val="auto"/>
              </w:rPr>
            </w:pPr>
            <w:r>
              <w:rPr>
                <w:rFonts w:ascii="Arial" w:cs="Arial" w:eastAsia="Arial" w:hAnsi="Arial"/>
                <w:sz w:val="14"/>
                <w:szCs w:val="14"/>
                <w:color w:val="auto"/>
              </w:rPr>
              <w:t>Pro Rata Bonus</w:t>
            </w: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1,247,400</w:t>
            </w: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993,049</w:t>
            </w:r>
          </w:p>
        </w:tc>
        <w:tc>
          <w:tcPr>
            <w:tcW w:w="1880" w:type="dxa"/>
            <w:vAlign w:val="bottom"/>
            <w:vMerge w:val="restart"/>
          </w:tcPr>
          <w:p>
            <w:pPr>
              <w:jc w:val="right"/>
              <w:spacing w:after="0"/>
              <w:rPr>
                <w:sz w:val="20"/>
                <w:szCs w:val="20"/>
                <w:color w:val="auto"/>
              </w:rPr>
            </w:pPr>
            <w:r>
              <w:rPr>
                <w:rFonts w:ascii="Arial" w:cs="Arial" w:eastAsia="Arial" w:hAnsi="Arial"/>
                <w:sz w:val="14"/>
                <w:szCs w:val="14"/>
                <w:color w:val="auto"/>
              </w:rPr>
              <w:t>993,049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424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1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4240" w:type="dxa"/>
            <w:vAlign w:val="bottom"/>
          </w:tcPr>
          <w:p>
            <w:pPr>
              <w:ind w:left="100"/>
              <w:spacing w:after="0"/>
              <w:rPr>
                <w:sz w:val="20"/>
                <w:szCs w:val="20"/>
                <w:color w:val="auto"/>
              </w:rPr>
            </w:pPr>
            <w:r>
              <w:rPr>
                <w:rFonts w:ascii="Arial" w:cs="Arial" w:eastAsia="Arial" w:hAnsi="Arial"/>
                <w:sz w:val="14"/>
                <w:szCs w:val="14"/>
                <w:color w:val="auto"/>
              </w:rPr>
              <w:t>COBRA Insurance</w:t>
            </w:r>
          </w:p>
        </w:tc>
        <w:tc>
          <w:tcPr>
            <w:tcW w:w="18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33,047</w:t>
            </w:r>
          </w:p>
        </w:tc>
        <w:tc>
          <w:tcPr>
            <w:tcW w:w="1880" w:type="dxa"/>
            <w:vAlign w:val="bottom"/>
          </w:tcPr>
          <w:p>
            <w:pPr>
              <w:jc w:val="right"/>
              <w:spacing w:after="0"/>
              <w:rPr>
                <w:sz w:val="20"/>
                <w:szCs w:val="20"/>
                <w:color w:val="auto"/>
              </w:rPr>
            </w:pPr>
            <w:r>
              <w:rPr>
                <w:rFonts w:ascii="Arial" w:cs="Arial" w:eastAsia="Arial" w:hAnsi="Arial"/>
                <w:sz w:val="14"/>
                <w:szCs w:val="14"/>
                <w:color w:val="auto"/>
              </w:rPr>
              <w:t>33,047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4"/>
                <w:szCs w:val="14"/>
                <w:color w:val="auto"/>
              </w:rPr>
              <w:t>Life Insurance</w:t>
            </w:r>
          </w:p>
        </w:tc>
        <w:tc>
          <w:tcPr>
            <w:tcW w:w="18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521</w:t>
            </w:r>
          </w:p>
        </w:tc>
        <w:tc>
          <w:tcPr>
            <w:tcW w:w="1880" w:type="dxa"/>
            <w:vAlign w:val="bottom"/>
          </w:tcPr>
          <w:p>
            <w:pPr>
              <w:jc w:val="right"/>
              <w:spacing w:after="0"/>
              <w:rPr>
                <w:sz w:val="20"/>
                <w:szCs w:val="20"/>
                <w:color w:val="auto"/>
              </w:rPr>
            </w:pPr>
            <w:r>
              <w:rPr>
                <w:rFonts w:ascii="Arial" w:cs="Arial" w:eastAsia="Arial" w:hAnsi="Arial"/>
                <w:sz w:val="14"/>
                <w:szCs w:val="14"/>
                <w:color w:val="auto"/>
              </w:rPr>
              <w:t>521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4"/>
                <w:szCs w:val="14"/>
                <w:color w:val="auto"/>
              </w:rPr>
              <w:t>Accelerated Vesting: Options</w:t>
            </w:r>
          </w:p>
        </w:tc>
        <w:tc>
          <w:tcPr>
            <w:tcW w:w="1860" w:type="dxa"/>
            <w:vAlign w:val="bottom"/>
          </w:tcPr>
          <w:p>
            <w:pPr>
              <w:jc w:val="right"/>
              <w:spacing w:after="0"/>
              <w:rPr>
                <w:sz w:val="20"/>
                <w:szCs w:val="20"/>
                <w:color w:val="auto"/>
              </w:rPr>
            </w:pPr>
            <w:r>
              <w:rPr>
                <w:rFonts w:ascii="Arial" w:cs="Arial" w:eastAsia="Arial" w:hAnsi="Arial"/>
                <w:sz w:val="14"/>
                <w:szCs w:val="14"/>
                <w:color w:val="auto"/>
              </w:rPr>
              <w:t>136,459</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545,856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4"/>
                <w:szCs w:val="14"/>
                <w:color w:val="auto"/>
              </w:rPr>
              <w:t>Accelerated Vesting: Time Restricted Units</w:t>
            </w:r>
          </w:p>
        </w:tc>
        <w:tc>
          <w:tcPr>
            <w:tcW w:w="18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823,323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4"/>
                <w:szCs w:val="14"/>
                <w:color w:val="auto"/>
              </w:rPr>
              <w:t>Accelerated Vesting: Performance Restricted Units</w:t>
            </w:r>
          </w:p>
        </w:tc>
        <w:tc>
          <w:tcPr>
            <w:tcW w:w="18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414,411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38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1,383,859</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3,655,175</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5,438,765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13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38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Manish Maini</w:t>
            </w: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Cash Severance (Salary and Bonus)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1,629,157</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1,629,157</w:t>
            </w:r>
          </w:p>
        </w:tc>
        <w:tc>
          <w:tcPr>
            <w:tcW w:w="1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shd w:val="clear" w:color="auto" w:fill="DBDBDB"/>
          </w:tcPr>
          <w:p>
            <w:pPr>
              <w:spacing w:after="0"/>
              <w:rPr>
                <w:sz w:val="20"/>
                <w:szCs w:val="20"/>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Pro Rata Bonus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742,500</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709,421</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709,421</w:t>
            </w:r>
          </w:p>
        </w:tc>
        <w:tc>
          <w:tcPr>
            <w:tcW w:w="1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DBDBDB"/>
          </w:tcPr>
          <w:p>
            <w:pPr>
              <w:spacing w:after="0"/>
              <w:rPr>
                <w:sz w:val="21"/>
                <w:szCs w:val="21"/>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COBRA Insurance</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24,785</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24,785</w:t>
            </w:r>
          </w:p>
        </w:tc>
        <w:tc>
          <w:tcPr>
            <w:tcW w:w="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DBDBDB"/>
          </w:tcPr>
          <w:p>
            <w:pPr>
              <w:spacing w:after="0"/>
              <w:rPr>
                <w:sz w:val="21"/>
                <w:szCs w:val="21"/>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Life Insurance</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390</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390</w:t>
            </w:r>
          </w:p>
        </w:tc>
        <w:tc>
          <w:tcPr>
            <w:tcW w:w="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DBDBDB"/>
          </w:tcPr>
          <w:p>
            <w:pPr>
              <w:spacing w:after="0"/>
              <w:rPr>
                <w:sz w:val="21"/>
                <w:szCs w:val="21"/>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Accelerated Vesting: Options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90,972</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363,900</w:t>
            </w:r>
          </w:p>
        </w:tc>
        <w:tc>
          <w:tcPr>
            <w:tcW w:w="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DBDBDB"/>
          </w:tcPr>
          <w:p>
            <w:pPr>
              <w:spacing w:after="0"/>
              <w:rPr>
                <w:sz w:val="21"/>
                <w:szCs w:val="21"/>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Accelerated Vesting: Time Restricted Units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617,511</w:t>
            </w:r>
          </w:p>
        </w:tc>
        <w:tc>
          <w:tcPr>
            <w:tcW w:w="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DBDBDB"/>
          </w:tcPr>
          <w:p>
            <w:pPr>
              <w:spacing w:after="0"/>
              <w:rPr>
                <w:sz w:val="21"/>
                <w:szCs w:val="21"/>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Accelerated Vesting: Performance Restricted Units</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276,274</w:t>
            </w:r>
          </w:p>
        </w:tc>
        <w:tc>
          <w:tcPr>
            <w:tcW w:w="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380" w:type="dxa"/>
            <w:vAlign w:val="bottom"/>
            <w:shd w:val="clear" w:color="auto" w:fill="DBDBDB"/>
          </w:tcPr>
          <w:p>
            <w:pPr>
              <w:spacing w:after="0"/>
              <w:rPr>
                <w:sz w:val="21"/>
                <w:szCs w:val="21"/>
                <w:color w:val="auto"/>
              </w:rPr>
            </w:pPr>
          </w:p>
        </w:tc>
        <w:tc>
          <w:tcPr>
            <w:tcW w:w="424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Total</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833,472</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2,363,753</w:t>
            </w:r>
          </w:p>
        </w:tc>
        <w:tc>
          <w:tcPr>
            <w:tcW w:w="18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3,621,438</w:t>
            </w:r>
          </w:p>
        </w:tc>
        <w:tc>
          <w:tcPr>
            <w:tcW w:w="1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1380" w:type="dxa"/>
            <w:vAlign w:val="bottom"/>
            <w:shd w:val="clear" w:color="auto" w:fill="DBDBDB"/>
          </w:tcPr>
          <w:p>
            <w:pPr>
              <w:spacing w:after="0"/>
              <w:rPr>
                <w:sz w:val="2"/>
                <w:szCs w:val="2"/>
                <w:color w:val="auto"/>
              </w:rPr>
            </w:pPr>
          </w:p>
        </w:tc>
        <w:tc>
          <w:tcPr>
            <w:tcW w:w="4240" w:type="dxa"/>
            <w:vAlign w:val="bottom"/>
            <w:shd w:val="clear" w:color="auto" w:fill="DBDBDB"/>
          </w:tcPr>
          <w:p>
            <w:pPr>
              <w:spacing w:after="0"/>
              <w:rPr>
                <w:sz w:val="2"/>
                <w:szCs w:val="2"/>
                <w:color w:val="auto"/>
              </w:rPr>
            </w:pPr>
          </w:p>
        </w:tc>
        <w:tc>
          <w:tcPr>
            <w:tcW w:w="1860" w:type="dxa"/>
            <w:vAlign w:val="bottom"/>
            <w:shd w:val="clear" w:color="auto" w:fill="DBDBDB"/>
          </w:tcPr>
          <w:p>
            <w:pPr>
              <w:spacing w:after="0"/>
              <w:rPr>
                <w:sz w:val="2"/>
                <w:szCs w:val="2"/>
                <w:color w:val="auto"/>
              </w:rPr>
            </w:pPr>
          </w:p>
        </w:tc>
        <w:tc>
          <w:tcPr>
            <w:tcW w:w="1740" w:type="dxa"/>
            <w:vAlign w:val="bottom"/>
            <w:shd w:val="clear" w:color="auto" w:fill="DBDBDB"/>
          </w:tcPr>
          <w:p>
            <w:pPr>
              <w:spacing w:after="0"/>
              <w:rPr>
                <w:sz w:val="2"/>
                <w:szCs w:val="2"/>
                <w:color w:val="auto"/>
              </w:rPr>
            </w:pPr>
          </w:p>
        </w:tc>
        <w:tc>
          <w:tcPr>
            <w:tcW w:w="18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Termination must occur within 24-months of a Change of Control to receive applicable equity award vesting acceleration.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1078230</wp:posOffset>
            </wp:positionV>
            <wp:extent cx="857250"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Definitions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EF3B35"/>
        </w:rPr>
        <w:t>Termination for Cause: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reasons qualify as “Cause”:</w:t>
      </w:r>
    </w:p>
    <w:p>
      <w:pPr>
        <w:spacing w:after="0" w:line="221" w:lineRule="exact"/>
        <w:rPr>
          <w:sz w:val="20"/>
          <w:szCs w:val="20"/>
          <w:color w:val="auto"/>
        </w:rPr>
      </w:pPr>
    </w:p>
    <w:p>
      <w:pPr>
        <w:ind w:left="500" w:right="140" w:hanging="249"/>
        <w:spacing w:after="0" w:line="304"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NEO commits gross negligence or willful misconduct, an act of fraud, embezzlement, theft or other criminal act in connection with his duties or in the course of his employment with the Company;</w:t>
      </w:r>
    </w:p>
    <w:p>
      <w:pPr>
        <w:spacing w:after="0" w:line="141" w:lineRule="exact"/>
        <w:rPr>
          <w:rFonts w:ascii="Arial" w:cs="Arial" w:eastAsia="Arial" w:hAnsi="Arial"/>
          <w:sz w:val="16"/>
          <w:szCs w:val="16"/>
          <w:color w:val="auto"/>
        </w:rPr>
      </w:pPr>
    </w:p>
    <w:p>
      <w:pPr>
        <w:ind w:left="480" w:hanging="229"/>
        <w:spacing w:after="0"/>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NEO commits an act leading to a conviction of a felony or a misdemeanor involving moral turpitude;</w:t>
      </w:r>
    </w:p>
    <w:p>
      <w:pPr>
        <w:spacing w:after="0" w:line="221" w:lineRule="exact"/>
        <w:rPr>
          <w:rFonts w:ascii="Arial" w:cs="Arial" w:eastAsia="Arial" w:hAnsi="Arial"/>
          <w:sz w:val="16"/>
          <w:szCs w:val="16"/>
          <w:color w:val="auto"/>
        </w:rPr>
      </w:pPr>
    </w:p>
    <w:p>
      <w:pPr>
        <w:ind w:left="480" w:hanging="229"/>
        <w:spacing w:after="0"/>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NEO commits a material breach of any provision of his employment agreement; or</w:t>
      </w:r>
    </w:p>
    <w:p>
      <w:pPr>
        <w:spacing w:after="0" w:line="234" w:lineRule="exact"/>
        <w:rPr>
          <w:rFonts w:ascii="Arial" w:cs="Arial" w:eastAsia="Arial" w:hAnsi="Arial"/>
          <w:sz w:val="16"/>
          <w:szCs w:val="16"/>
          <w:color w:val="auto"/>
        </w:rPr>
      </w:pPr>
    </w:p>
    <w:p>
      <w:pPr>
        <w:ind w:left="500" w:right="140" w:hanging="249"/>
        <w:spacing w:after="0" w:line="286" w:lineRule="auto"/>
        <w:tabs>
          <w:tab w:leader="none" w:pos="488"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NEO fails to perform any and all covenants contained in his employment agreement (including fiduciary duties and other employment obligations) for any reason other than death, disability.</w:t>
      </w:r>
    </w:p>
    <w:p>
      <w:pPr>
        <w:spacing w:after="0" w:line="156"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Pursuant to the terms of their employment agreement, NEOs will have 30 days after receiving notice of a termination for Cause to cure or remedy any breach pursuant to items (iii) or (iv) above.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EF3B35"/>
        </w:rPr>
        <w:t>Termination for Good Reason: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reasons qualify as “Good Reason” if they occur without the applicable NEO’s prior written consent:</w:t>
      </w:r>
    </w:p>
    <w:p>
      <w:pPr>
        <w:spacing w:after="0" w:line="221" w:lineRule="exact"/>
        <w:rPr>
          <w:sz w:val="20"/>
          <w:szCs w:val="20"/>
          <w:color w:val="auto"/>
        </w:rPr>
      </w:pPr>
    </w:p>
    <w:p>
      <w:pPr>
        <w:ind w:left="500" w:right="140" w:hanging="249"/>
        <w:spacing w:after="0" w:line="275"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NEO (other than Messrs. Lawrence, Johnson, and Maini) is assigned any position, authority, duties or responsibilities that are materially inconsistent with current position, authority, duties, or other responsibilities as contemplated by applicable employment agreement, or, with respect to Messrs. Johnson and Maini, a material diminution of his position, authority, duties or other responsibilities as contemplated by his employment agreement;</w:t>
      </w:r>
    </w:p>
    <w:p>
      <w:pPr>
        <w:spacing w:after="0" w:line="164" w:lineRule="exact"/>
        <w:rPr>
          <w:rFonts w:ascii="Arial" w:cs="Arial" w:eastAsia="Arial" w:hAnsi="Arial"/>
          <w:sz w:val="16"/>
          <w:szCs w:val="16"/>
          <w:color w:val="auto"/>
        </w:rPr>
      </w:pPr>
    </w:p>
    <w:p>
      <w:pPr>
        <w:ind w:left="480" w:hanging="229"/>
        <w:spacing w:after="0"/>
        <w:tabs>
          <w:tab w:leader="none" w:pos="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Reduction to base salary and annual target bonus opportunity in the aggregate;</w:t>
      </w:r>
    </w:p>
    <w:p>
      <w:pPr>
        <w:spacing w:after="0" w:line="234" w:lineRule="exact"/>
        <w:rPr>
          <w:rFonts w:ascii="Arial" w:cs="Arial" w:eastAsia="Arial" w:hAnsi="Arial"/>
          <w:sz w:val="16"/>
          <w:szCs w:val="16"/>
          <w:color w:val="auto"/>
        </w:rPr>
      </w:pPr>
    </w:p>
    <w:p>
      <w:pPr>
        <w:ind w:left="480" w:hanging="229"/>
        <w:spacing w:after="0"/>
        <w:tabs>
          <w:tab w:leader="none" w:pos="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Material breach by the Company of any provision of the applicable employment agreement;</w:t>
      </w:r>
    </w:p>
    <w:p>
      <w:pPr>
        <w:spacing w:after="0" w:line="221" w:lineRule="exact"/>
        <w:rPr>
          <w:rFonts w:ascii="Arial" w:cs="Arial" w:eastAsia="Arial" w:hAnsi="Arial"/>
          <w:sz w:val="16"/>
          <w:szCs w:val="16"/>
          <w:color w:val="auto"/>
        </w:rPr>
      </w:pPr>
    </w:p>
    <w:p>
      <w:pPr>
        <w:ind w:left="500" w:right="40" w:hanging="249"/>
        <w:spacing w:after="0" w:line="286" w:lineRule="auto"/>
        <w:tabs>
          <w:tab w:leader="none" w:pos="488"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Relocation of the principal place of employment to a location more than 35 miles (Mr. Mullican) or 50 miles (other NEOs, excluding Mr. Hicks) from the principal place of employment provided in the employment agreement if a move to such other location materially increases NEO’s commute.</w:t>
      </w:r>
    </w:p>
    <w:p>
      <w:pPr>
        <w:spacing w:after="0" w:line="16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Company will have 30 days after receiving notice of a termination for Good Reason to cure or remedy any breach of the employment agreement by the Company.</w:t>
      </w:r>
    </w:p>
    <w:p>
      <w:pPr>
        <w:spacing w:after="0" w:line="16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NEO will not be treated as having terminated employment for a Good Reason event if NEO incurs a separation from service more than one (1) year for Messrs. Hicks and Mullican, and six (6) months for all other NEOs following the initial existence of the Good Reason condition, or if NEO has not given the Company written notice of the Good Reason condition within 90 days after the initial existence of the Good Reason condition, or NEO waives, in writing, right to claim Good Reason because of the event.</w:t>
      </w:r>
    </w:p>
    <w:p>
      <w:pPr>
        <w:spacing w:after="0" w:line="173"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In the event Messrs. Mullican, Johnson, or Maini elects not to extend the employment agreement, such non-renewal will be deemed a termination by the NEO without Good Reason, and in the event the Company elects not to extend the employment period, such non-renewal will be deemed a termination by the Company of his employment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781685</wp:posOffset>
            </wp:positionV>
            <wp:extent cx="857250" cy="205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color w:val="007EC4"/>
        </w:rPr>
        <w:t xml:space="preserve">60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Stock Ownership Guidelines</w:t>
      </w:r>
    </w:p>
    <w:p>
      <w:pPr>
        <w:spacing w:after="0" w:line="13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Board has adopted Stock Ownership Guidelines applicable to the non-employee directors, the Chief Executive Officer, and the other covered executives and other officers. The guidelines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4"/>
                <w:szCs w:val="14"/>
                <w:b w:val="1"/>
                <w:bCs w:val="1"/>
                <w:color w:val="auto"/>
              </w:rPr>
              <w:t>Covered Position</w:t>
            </w:r>
          </w:p>
        </w:tc>
        <w:tc>
          <w:tcPr>
            <w:tcW w:w="2780" w:type="dxa"/>
            <w:vAlign w:val="bottom"/>
            <w:tcBorders>
              <w:bottom w:val="single" w:sz="8" w:color="E1D7AC"/>
            </w:tcBorders>
            <w:shd w:val="clear" w:color="auto" w:fill="E1D7AC"/>
          </w:tcPr>
          <w:p>
            <w:pPr>
              <w:jc w:val="center"/>
              <w:ind w:left="608"/>
              <w:spacing w:after="0"/>
              <w:rPr>
                <w:sz w:val="20"/>
                <w:szCs w:val="20"/>
                <w:color w:val="auto"/>
              </w:rPr>
            </w:pPr>
            <w:r>
              <w:rPr>
                <w:rFonts w:ascii="Arial" w:cs="Arial" w:eastAsia="Arial" w:hAnsi="Arial"/>
                <w:sz w:val="14"/>
                <w:szCs w:val="14"/>
                <w:b w:val="1"/>
                <w:bCs w:val="1"/>
                <w:color w:val="auto"/>
              </w:rPr>
              <w:t>Multiple of Pay</w:t>
            </w:r>
          </w:p>
        </w:tc>
        <w:tc>
          <w:tcPr>
            <w:tcW w:w="4240" w:type="dxa"/>
            <w:vAlign w:val="bottom"/>
            <w:tcBorders>
              <w:bottom w:val="single" w:sz="8" w:color="E1D7AC"/>
            </w:tcBorders>
            <w:shd w:val="clear" w:color="auto" w:fill="E1D7AC"/>
          </w:tcPr>
          <w:p>
            <w:pPr>
              <w:ind w:left="540"/>
              <w:spacing w:after="0"/>
              <w:rPr>
                <w:sz w:val="20"/>
                <w:szCs w:val="20"/>
                <w:color w:val="auto"/>
              </w:rPr>
            </w:pPr>
            <w:r>
              <w:rPr>
                <w:rFonts w:ascii="Arial" w:cs="Arial" w:eastAsia="Arial" w:hAnsi="Arial"/>
                <w:sz w:val="14"/>
                <w:szCs w:val="14"/>
                <w:b w:val="1"/>
                <w:bCs w:val="1"/>
                <w:color w:val="auto"/>
              </w:rPr>
              <w:t>Applicable Pay</w:t>
            </w:r>
          </w:p>
        </w:tc>
      </w:tr>
      <w:tr>
        <w:trPr>
          <w:trHeight w:val="223"/>
        </w:trPr>
        <w:tc>
          <w:tcPr>
            <w:tcW w:w="42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Non-Employee Directors</w:t>
            </w:r>
          </w:p>
        </w:tc>
        <w:tc>
          <w:tcPr>
            <w:tcW w:w="2780" w:type="dxa"/>
            <w:vAlign w:val="bottom"/>
            <w:tcBorders>
              <w:bottom w:val="single" w:sz="8" w:color="DBDBDB"/>
            </w:tcBorders>
            <w:shd w:val="clear" w:color="auto" w:fill="DBDBDB"/>
          </w:tcPr>
          <w:p>
            <w:pPr>
              <w:jc w:val="center"/>
              <w:ind w:left="628"/>
              <w:spacing w:after="0"/>
              <w:rPr>
                <w:sz w:val="20"/>
                <w:szCs w:val="20"/>
                <w:color w:val="auto"/>
              </w:rPr>
            </w:pPr>
            <w:r>
              <w:rPr>
                <w:rFonts w:ascii="Arial" w:cs="Arial" w:eastAsia="Arial" w:hAnsi="Arial"/>
                <w:sz w:val="14"/>
                <w:szCs w:val="14"/>
                <w:color w:val="auto"/>
              </w:rPr>
              <w:t>3.0x</w:t>
            </w:r>
          </w:p>
        </w:tc>
        <w:tc>
          <w:tcPr>
            <w:tcW w:w="4240" w:type="dxa"/>
            <w:vAlign w:val="bottom"/>
            <w:tcBorders>
              <w:bottom w:val="single" w:sz="8" w:color="DBDBDB"/>
            </w:tcBorders>
            <w:shd w:val="clear" w:color="auto" w:fill="DBDBDB"/>
          </w:tcPr>
          <w:p>
            <w:pPr>
              <w:ind w:left="540"/>
              <w:spacing w:after="0"/>
              <w:rPr>
                <w:sz w:val="20"/>
                <w:szCs w:val="20"/>
                <w:color w:val="auto"/>
              </w:rPr>
            </w:pPr>
            <w:r>
              <w:rPr>
                <w:rFonts w:ascii="Arial" w:cs="Arial" w:eastAsia="Arial" w:hAnsi="Arial"/>
                <w:sz w:val="14"/>
                <w:szCs w:val="14"/>
                <w:color w:val="auto"/>
              </w:rPr>
              <w:t>Annual cash retainer (does not include committee fees)</w:t>
            </w:r>
          </w:p>
        </w:tc>
      </w:tr>
      <w:tr>
        <w:trPr>
          <w:trHeight w:val="208"/>
        </w:trPr>
        <w:tc>
          <w:tcPr>
            <w:tcW w:w="4220" w:type="dxa"/>
            <w:vAlign w:val="bottom"/>
          </w:tcPr>
          <w:p>
            <w:pPr>
              <w:ind w:left="100"/>
              <w:spacing w:after="0"/>
              <w:rPr>
                <w:sz w:val="20"/>
                <w:szCs w:val="20"/>
                <w:color w:val="auto"/>
              </w:rPr>
            </w:pPr>
            <w:r>
              <w:rPr>
                <w:rFonts w:ascii="Arial" w:cs="Arial" w:eastAsia="Arial" w:hAnsi="Arial"/>
                <w:sz w:val="14"/>
                <w:szCs w:val="14"/>
                <w:color w:val="auto"/>
              </w:rPr>
              <w:t>Chief Executive Officer</w:t>
            </w:r>
          </w:p>
        </w:tc>
        <w:tc>
          <w:tcPr>
            <w:tcW w:w="2780" w:type="dxa"/>
            <w:vAlign w:val="bottom"/>
          </w:tcPr>
          <w:p>
            <w:pPr>
              <w:jc w:val="center"/>
              <w:ind w:left="628"/>
              <w:spacing w:after="0"/>
              <w:rPr>
                <w:sz w:val="20"/>
                <w:szCs w:val="20"/>
                <w:color w:val="auto"/>
              </w:rPr>
            </w:pPr>
            <w:r>
              <w:rPr>
                <w:rFonts w:ascii="Arial" w:cs="Arial" w:eastAsia="Arial" w:hAnsi="Arial"/>
                <w:sz w:val="14"/>
                <w:szCs w:val="14"/>
                <w:color w:val="auto"/>
              </w:rPr>
              <w:t>5.0x</w:t>
            </w:r>
          </w:p>
        </w:tc>
        <w:tc>
          <w:tcPr>
            <w:tcW w:w="4240" w:type="dxa"/>
            <w:vAlign w:val="bottom"/>
          </w:tcPr>
          <w:p>
            <w:pPr>
              <w:ind w:left="540"/>
              <w:spacing w:after="0"/>
              <w:rPr>
                <w:sz w:val="20"/>
                <w:szCs w:val="20"/>
                <w:color w:val="auto"/>
              </w:rPr>
            </w:pPr>
            <w:r>
              <w:rPr>
                <w:rFonts w:ascii="Arial" w:cs="Arial" w:eastAsia="Arial" w:hAnsi="Arial"/>
                <w:sz w:val="14"/>
                <w:szCs w:val="14"/>
                <w:color w:val="auto"/>
              </w:rPr>
              <w:t>Annual base salary</w:t>
            </w:r>
          </w:p>
        </w:tc>
      </w:tr>
      <w:tr>
        <w:trPr>
          <w:trHeight w:val="35"/>
        </w:trPr>
        <w:tc>
          <w:tcPr>
            <w:tcW w:w="42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223"/>
        </w:trPr>
        <w:tc>
          <w:tcPr>
            <w:tcW w:w="42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Executive Vice Presidents</w:t>
            </w:r>
          </w:p>
        </w:tc>
        <w:tc>
          <w:tcPr>
            <w:tcW w:w="2780" w:type="dxa"/>
            <w:vAlign w:val="bottom"/>
            <w:tcBorders>
              <w:bottom w:val="single" w:sz="8" w:color="DBDBDB"/>
            </w:tcBorders>
            <w:shd w:val="clear" w:color="auto" w:fill="DBDBDB"/>
          </w:tcPr>
          <w:p>
            <w:pPr>
              <w:jc w:val="center"/>
              <w:ind w:left="628"/>
              <w:spacing w:after="0"/>
              <w:rPr>
                <w:sz w:val="20"/>
                <w:szCs w:val="20"/>
                <w:color w:val="auto"/>
              </w:rPr>
            </w:pPr>
            <w:r>
              <w:rPr>
                <w:rFonts w:ascii="Arial" w:cs="Arial" w:eastAsia="Arial" w:hAnsi="Arial"/>
                <w:sz w:val="14"/>
                <w:szCs w:val="14"/>
                <w:color w:val="auto"/>
              </w:rPr>
              <w:t>3.0x</w:t>
            </w:r>
          </w:p>
        </w:tc>
        <w:tc>
          <w:tcPr>
            <w:tcW w:w="4240" w:type="dxa"/>
            <w:vAlign w:val="bottom"/>
            <w:tcBorders>
              <w:bottom w:val="single" w:sz="8" w:color="DBDBDB"/>
            </w:tcBorders>
            <w:shd w:val="clear" w:color="auto" w:fill="DBDBDB"/>
          </w:tcPr>
          <w:p>
            <w:pPr>
              <w:ind w:left="540"/>
              <w:spacing w:after="0"/>
              <w:rPr>
                <w:sz w:val="20"/>
                <w:szCs w:val="20"/>
                <w:color w:val="auto"/>
              </w:rPr>
            </w:pPr>
            <w:r>
              <w:rPr>
                <w:rFonts w:ascii="Arial" w:cs="Arial" w:eastAsia="Arial" w:hAnsi="Arial"/>
                <w:sz w:val="14"/>
                <w:szCs w:val="14"/>
                <w:color w:val="auto"/>
              </w:rPr>
              <w:t>Annual base salary</w:t>
            </w:r>
          </w:p>
        </w:tc>
      </w:tr>
      <w:tr>
        <w:trPr>
          <w:trHeight w:val="208"/>
        </w:trPr>
        <w:tc>
          <w:tcPr>
            <w:tcW w:w="4220" w:type="dxa"/>
            <w:vAlign w:val="bottom"/>
          </w:tcPr>
          <w:p>
            <w:pPr>
              <w:ind w:left="100"/>
              <w:spacing w:after="0"/>
              <w:rPr>
                <w:sz w:val="20"/>
                <w:szCs w:val="20"/>
                <w:color w:val="auto"/>
              </w:rPr>
            </w:pPr>
            <w:r>
              <w:rPr>
                <w:rFonts w:ascii="Arial" w:cs="Arial" w:eastAsia="Arial" w:hAnsi="Arial"/>
                <w:sz w:val="14"/>
                <w:szCs w:val="14"/>
                <w:color w:val="auto"/>
              </w:rPr>
              <w:t>Senior Vice Presidents – executive team</w:t>
            </w:r>
          </w:p>
        </w:tc>
        <w:tc>
          <w:tcPr>
            <w:tcW w:w="2780" w:type="dxa"/>
            <w:vAlign w:val="bottom"/>
          </w:tcPr>
          <w:p>
            <w:pPr>
              <w:jc w:val="center"/>
              <w:ind w:left="628"/>
              <w:spacing w:after="0"/>
              <w:rPr>
                <w:sz w:val="20"/>
                <w:szCs w:val="20"/>
                <w:color w:val="auto"/>
              </w:rPr>
            </w:pPr>
            <w:r>
              <w:rPr>
                <w:rFonts w:ascii="Arial" w:cs="Arial" w:eastAsia="Arial" w:hAnsi="Arial"/>
                <w:sz w:val="14"/>
                <w:szCs w:val="14"/>
                <w:color w:val="auto"/>
              </w:rPr>
              <w:t>2.0x</w:t>
            </w:r>
          </w:p>
        </w:tc>
        <w:tc>
          <w:tcPr>
            <w:tcW w:w="4240" w:type="dxa"/>
            <w:vAlign w:val="bottom"/>
          </w:tcPr>
          <w:p>
            <w:pPr>
              <w:ind w:left="540"/>
              <w:spacing w:after="0"/>
              <w:rPr>
                <w:sz w:val="20"/>
                <w:szCs w:val="20"/>
                <w:color w:val="auto"/>
              </w:rPr>
            </w:pPr>
            <w:r>
              <w:rPr>
                <w:rFonts w:ascii="Arial" w:cs="Arial" w:eastAsia="Arial" w:hAnsi="Arial"/>
                <w:sz w:val="14"/>
                <w:szCs w:val="14"/>
                <w:color w:val="auto"/>
              </w:rPr>
              <w:t>Annual base salary</w:t>
            </w:r>
          </w:p>
        </w:tc>
      </w:tr>
      <w:tr>
        <w:trPr>
          <w:trHeight w:val="35"/>
        </w:trPr>
        <w:tc>
          <w:tcPr>
            <w:tcW w:w="42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223"/>
        </w:trPr>
        <w:tc>
          <w:tcPr>
            <w:tcW w:w="42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Senior Vice Presidents – non-executive team</w:t>
            </w:r>
          </w:p>
        </w:tc>
        <w:tc>
          <w:tcPr>
            <w:tcW w:w="2780" w:type="dxa"/>
            <w:vAlign w:val="bottom"/>
            <w:tcBorders>
              <w:bottom w:val="single" w:sz="8" w:color="DBDBDB"/>
            </w:tcBorders>
            <w:shd w:val="clear" w:color="auto" w:fill="DBDBDB"/>
          </w:tcPr>
          <w:p>
            <w:pPr>
              <w:jc w:val="center"/>
              <w:ind w:left="628"/>
              <w:spacing w:after="0"/>
              <w:rPr>
                <w:sz w:val="20"/>
                <w:szCs w:val="20"/>
                <w:color w:val="auto"/>
              </w:rPr>
            </w:pPr>
            <w:r>
              <w:rPr>
                <w:rFonts w:ascii="Arial" w:cs="Arial" w:eastAsia="Arial" w:hAnsi="Arial"/>
                <w:sz w:val="14"/>
                <w:szCs w:val="14"/>
                <w:color w:val="auto"/>
              </w:rPr>
              <w:t>1.0x</w:t>
            </w:r>
          </w:p>
        </w:tc>
        <w:tc>
          <w:tcPr>
            <w:tcW w:w="4240" w:type="dxa"/>
            <w:vAlign w:val="bottom"/>
            <w:tcBorders>
              <w:bottom w:val="single" w:sz="8" w:color="DBDBDB"/>
            </w:tcBorders>
            <w:shd w:val="clear" w:color="auto" w:fill="DBDBDB"/>
          </w:tcPr>
          <w:p>
            <w:pPr>
              <w:ind w:left="540"/>
              <w:spacing w:after="0"/>
              <w:rPr>
                <w:sz w:val="20"/>
                <w:szCs w:val="20"/>
                <w:color w:val="auto"/>
              </w:rPr>
            </w:pPr>
            <w:r>
              <w:rPr>
                <w:rFonts w:ascii="Arial" w:cs="Arial" w:eastAsia="Arial" w:hAnsi="Arial"/>
                <w:sz w:val="14"/>
                <w:szCs w:val="14"/>
                <w:color w:val="auto"/>
              </w:rPr>
              <w:t>Annual base salary</w:t>
            </w:r>
          </w:p>
        </w:tc>
      </w:tr>
      <w:tr>
        <w:trPr>
          <w:trHeight w:val="208"/>
        </w:trPr>
        <w:tc>
          <w:tcPr>
            <w:tcW w:w="4220" w:type="dxa"/>
            <w:vAlign w:val="bottom"/>
          </w:tcPr>
          <w:p>
            <w:pPr>
              <w:ind w:left="100"/>
              <w:spacing w:after="0"/>
              <w:rPr>
                <w:sz w:val="20"/>
                <w:szCs w:val="20"/>
                <w:color w:val="auto"/>
              </w:rPr>
            </w:pPr>
            <w:r>
              <w:rPr>
                <w:rFonts w:ascii="Arial" w:cs="Arial" w:eastAsia="Arial" w:hAnsi="Arial"/>
                <w:sz w:val="14"/>
                <w:szCs w:val="14"/>
                <w:color w:val="auto"/>
              </w:rPr>
              <w:t>Vice Presidents</w:t>
            </w:r>
          </w:p>
        </w:tc>
        <w:tc>
          <w:tcPr>
            <w:tcW w:w="2780" w:type="dxa"/>
            <w:vAlign w:val="bottom"/>
          </w:tcPr>
          <w:p>
            <w:pPr>
              <w:jc w:val="center"/>
              <w:ind w:left="628"/>
              <w:spacing w:after="0"/>
              <w:rPr>
                <w:sz w:val="20"/>
                <w:szCs w:val="20"/>
                <w:color w:val="auto"/>
              </w:rPr>
            </w:pPr>
            <w:r>
              <w:rPr>
                <w:rFonts w:ascii="Arial" w:cs="Arial" w:eastAsia="Arial" w:hAnsi="Arial"/>
                <w:sz w:val="14"/>
                <w:szCs w:val="14"/>
                <w:color w:val="auto"/>
              </w:rPr>
              <w:t>0.5x</w:t>
            </w:r>
          </w:p>
        </w:tc>
        <w:tc>
          <w:tcPr>
            <w:tcW w:w="4240" w:type="dxa"/>
            <w:vAlign w:val="bottom"/>
          </w:tcPr>
          <w:p>
            <w:pPr>
              <w:ind w:left="540"/>
              <w:spacing w:after="0"/>
              <w:rPr>
                <w:sz w:val="20"/>
                <w:szCs w:val="20"/>
                <w:color w:val="auto"/>
              </w:rPr>
            </w:pPr>
            <w:r>
              <w:rPr>
                <w:rFonts w:ascii="Arial" w:cs="Arial" w:eastAsia="Arial" w:hAnsi="Arial"/>
                <w:sz w:val="14"/>
                <w:szCs w:val="14"/>
                <w:color w:val="auto"/>
              </w:rPr>
              <w:t>Annual base salary</w:t>
            </w:r>
          </w:p>
        </w:tc>
      </w:tr>
      <w:tr>
        <w:trPr>
          <w:trHeight w:val="35"/>
        </w:trPr>
        <w:tc>
          <w:tcPr>
            <w:tcW w:w="4220" w:type="dxa"/>
            <w:vAlign w:val="bottom"/>
            <w:tcBorders>
              <w:bottom w:val="single" w:sz="8" w:color="ADB1C7"/>
            </w:tcBorders>
          </w:tcPr>
          <w:p>
            <w:pPr>
              <w:spacing w:after="0"/>
              <w:rPr>
                <w:sz w:val="3"/>
                <w:szCs w:val="3"/>
                <w:color w:val="auto"/>
              </w:rPr>
            </w:pPr>
          </w:p>
        </w:tc>
        <w:tc>
          <w:tcPr>
            <w:tcW w:w="2780" w:type="dxa"/>
            <w:vAlign w:val="bottom"/>
            <w:tcBorders>
              <w:bottom w:val="single" w:sz="8" w:color="ADB1C7"/>
            </w:tcBorders>
          </w:tcPr>
          <w:p>
            <w:pPr>
              <w:spacing w:after="0"/>
              <w:rPr>
                <w:sz w:val="3"/>
                <w:szCs w:val="3"/>
                <w:color w:val="auto"/>
              </w:rPr>
            </w:pPr>
          </w:p>
        </w:tc>
        <w:tc>
          <w:tcPr>
            <w:tcW w:w="4240" w:type="dxa"/>
            <w:vAlign w:val="bottom"/>
            <w:tcBorders>
              <w:bottom w:val="single" w:sz="8" w:color="ADB1C7"/>
            </w:tcBorders>
          </w:tcPr>
          <w:p>
            <w:pPr>
              <w:spacing w:after="0"/>
              <w:rPr>
                <w:sz w:val="3"/>
                <w:szCs w:val="3"/>
                <w:color w:val="auto"/>
              </w:rPr>
            </w:pPr>
          </w:p>
        </w:tc>
      </w:tr>
    </w:tbl>
    <w:p>
      <w:pPr>
        <w:spacing w:after="0" w:line="391" w:lineRule="exact"/>
        <w:rPr>
          <w:sz w:val="20"/>
          <w:szCs w:val="20"/>
          <w:color w:val="auto"/>
        </w:rPr>
      </w:pPr>
    </w:p>
    <w:p>
      <w:pPr>
        <w:ind w:right="740"/>
        <w:spacing w:after="0" w:line="304" w:lineRule="auto"/>
        <w:rPr>
          <w:sz w:val="20"/>
          <w:szCs w:val="20"/>
          <w:color w:val="auto"/>
        </w:rPr>
      </w:pPr>
      <w:r>
        <w:rPr>
          <w:rFonts w:ascii="Arial" w:cs="Arial" w:eastAsia="Arial" w:hAnsi="Arial"/>
          <w:sz w:val="16"/>
          <w:szCs w:val="16"/>
          <w:color w:val="auto"/>
        </w:rPr>
        <w:t>The guidelines allow covered directors and executives up to five years to comply with the guidelines. The following holdings are counted as eligible securities:</w:t>
      </w:r>
    </w:p>
    <w:p>
      <w:pPr>
        <w:spacing w:after="0" w:line="141" w:lineRule="exact"/>
        <w:rPr>
          <w:sz w:val="20"/>
          <w:szCs w:val="20"/>
          <w:color w:val="auto"/>
        </w:rPr>
      </w:pPr>
    </w:p>
    <w:p>
      <w:pPr>
        <w:ind w:left="460" w:hanging="209"/>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shares of common stock owned outright by the individual, or jointly with or separately by the individual’s spouse;</w:t>
      </w:r>
    </w:p>
    <w:p>
      <w:pPr>
        <w:spacing w:after="0" w:line="113" w:lineRule="exact"/>
        <w:rPr>
          <w:rFonts w:ascii="Arial" w:cs="Arial" w:eastAsia="Arial" w:hAnsi="Arial"/>
          <w:sz w:val="16"/>
          <w:szCs w:val="16"/>
          <w:color w:val="auto"/>
        </w:rPr>
      </w:pPr>
    </w:p>
    <w:p>
      <w:pPr>
        <w:ind w:left="460" w:hanging="209"/>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shares of common stock held in trust for the benefit of the individual,</w:t>
      </w:r>
    </w:p>
    <w:p>
      <w:pPr>
        <w:spacing w:after="0" w:line="126" w:lineRule="exact"/>
        <w:rPr>
          <w:rFonts w:ascii="Arial" w:cs="Arial" w:eastAsia="Arial" w:hAnsi="Arial"/>
          <w:sz w:val="16"/>
          <w:szCs w:val="16"/>
          <w:color w:val="auto"/>
        </w:rPr>
      </w:pPr>
    </w:p>
    <w:p>
      <w:pPr>
        <w:ind w:left="460" w:hanging="209"/>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shares of common stock held in the Company’s 401(k) Plan;</w:t>
      </w:r>
    </w:p>
    <w:p>
      <w:pPr>
        <w:spacing w:after="0" w:line="113" w:lineRule="exact"/>
        <w:rPr>
          <w:rFonts w:ascii="Arial" w:cs="Arial" w:eastAsia="Arial" w:hAnsi="Arial"/>
          <w:sz w:val="16"/>
          <w:szCs w:val="16"/>
          <w:color w:val="auto"/>
        </w:rPr>
      </w:pPr>
    </w:p>
    <w:p>
      <w:pPr>
        <w:ind w:left="460" w:hanging="209"/>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money” vested Options;</w:t>
      </w:r>
    </w:p>
    <w:p>
      <w:pPr>
        <w:spacing w:after="0" w:line="126" w:lineRule="exact"/>
        <w:rPr>
          <w:rFonts w:ascii="Arial" w:cs="Arial" w:eastAsia="Arial" w:hAnsi="Arial"/>
          <w:sz w:val="16"/>
          <w:szCs w:val="16"/>
          <w:color w:val="auto"/>
        </w:rPr>
      </w:pPr>
    </w:p>
    <w:p>
      <w:pPr>
        <w:ind w:left="460" w:hanging="209"/>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performance-based restricted stock and restricted stock units that have met the performance criteria but have not yet vested and/or settled; and</w:t>
      </w:r>
    </w:p>
    <w:p>
      <w:pPr>
        <w:spacing w:after="0" w:line="113" w:lineRule="exact"/>
        <w:rPr>
          <w:rFonts w:ascii="Arial" w:cs="Arial" w:eastAsia="Arial" w:hAnsi="Arial"/>
          <w:sz w:val="16"/>
          <w:szCs w:val="16"/>
          <w:color w:val="auto"/>
        </w:rPr>
      </w:pPr>
    </w:p>
    <w:p>
      <w:pPr>
        <w:ind w:left="460" w:hanging="209"/>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time-based restricted stock and restricted stock units.</w:t>
      </w:r>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Covered directors and executives who do not achieve the required levels of ownership within the prescribed amount of time will be required to retain 100% of any Company equity acquired (net of taxes) until the next compliance date on which their ownership of eligible securities meets applicable required guidelines. All of the covered directors and executives have achieved the required levels of ownership or are still within the prescribed amount of time for achieving such level of ownership.</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CEO Pay Ratio</w:t>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Pursuant to the Dodd-Frank Wall Street Reform and Consumer Protection Act and Item 402(u) of Regulation S-K, we are required to disclose the ratio of our median team member’s annual compensation to the annual compensation of our CEO. The SEC’s rules for identifying the median compensated team member and calculating the pay ratio based on that team member’s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 The following information is a reasonable good faith estimate calculated in a manner consistent with the SEC pay ratio rules and methods for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789305</wp:posOffset>
            </wp:positionV>
            <wp:extent cx="857250" cy="2057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Methodology to Identify Our Median Team Member</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We identified our median compensated team member as follows:</w:t>
      </w:r>
    </w:p>
    <w:p>
      <w:pPr>
        <w:spacing w:after="0" w:line="235" w:lineRule="exact"/>
        <w:rPr>
          <w:sz w:val="20"/>
          <w:szCs w:val="20"/>
          <w:color w:val="auto"/>
        </w:rPr>
      </w:pPr>
    </w:p>
    <w:p>
      <w:pPr>
        <w:ind w:left="500" w:right="260" w:hanging="249"/>
        <w:spacing w:after="0" w:line="286" w:lineRule="auto"/>
        <w:tabs>
          <w:tab w:leader="none" w:pos="476"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considered all of our active team members as of January 29, 2022, including any full-time, part-time, temporary or seasonal team members but excluding our CEO.</w:t>
      </w:r>
    </w:p>
    <w:p>
      <w:pPr>
        <w:spacing w:after="0" w:line="61" w:lineRule="exact"/>
        <w:rPr>
          <w:rFonts w:ascii="Arial" w:cs="Arial" w:eastAsia="Arial" w:hAnsi="Arial"/>
          <w:sz w:val="16"/>
          <w:szCs w:val="16"/>
          <w:color w:val="auto"/>
        </w:rPr>
      </w:pPr>
    </w:p>
    <w:p>
      <w:pPr>
        <w:jc w:val="both"/>
        <w:ind w:left="500" w:right="240" w:hanging="249"/>
        <w:spacing w:after="0" w:line="266" w:lineRule="auto"/>
        <w:tabs>
          <w:tab w:leader="none" w:pos="476"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used gross wages from our payroll records as reported for calendar year 2021. We converted any earnings paid in local (non-U.S.) currency to U.S. dollars using the published exchange rate as of January 29, 2022. We annualized gross wages for any team member who did not work for the entire year unless designated as a temporary, seasonal or other non-permanent team member as of January 29, 2022.</w:t>
      </w:r>
    </w:p>
    <w:p>
      <w:pPr>
        <w:spacing w:after="0" w:line="76" w:lineRule="exact"/>
        <w:rPr>
          <w:rFonts w:ascii="Arial" w:cs="Arial" w:eastAsia="Arial" w:hAnsi="Arial"/>
          <w:sz w:val="16"/>
          <w:szCs w:val="16"/>
          <w:color w:val="auto"/>
        </w:rPr>
      </w:pPr>
    </w:p>
    <w:p>
      <w:pPr>
        <w:ind w:left="460" w:hanging="209"/>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median team member was a part-time team member working in our stores division and employed the full fiscal year.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Calculating the Ratio</w:t>
      </w:r>
    </w:p>
    <w:p>
      <w:pPr>
        <w:spacing w:after="0" w:line="6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After identifying the median team member, we calculated this team member’s total annual compensation in the same manner as the Chief Executive Officer’s compensation, which is described in the Summary Compensation Table (please see “— Summary Compensation Table” for additional information). The annual total compensation of our median team member was $19,284 for 2021. Mr. Hicks’s 2021 annual compensation was $11,484,293. Thus our CEO pay ratio based on fiscal year 2021 compensation is approximately 596:1.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775970</wp:posOffset>
            </wp:positionV>
            <wp:extent cx="857250"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3"/>
          <w:szCs w:val="13"/>
          <w:b w:val="1"/>
          <w:bCs w:val="1"/>
          <w:color w:val="007EC4"/>
        </w:rPr>
        <w:t xml:space="preserve">62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49"/>
          <w:szCs w:val="49"/>
          <w:b w:val="1"/>
          <w:bCs w:val="1"/>
          <w:color w:val="1B4093"/>
        </w:rPr>
        <w:t>Ownership of Securities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Beneficial Ownership of Company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following table and accompanying footnotes set forth information with respect to the beneficial ownership of our common stock, par value $0.01 per share, as of April 11, 2022 (unless otherwise noted below) by (1) each individual or entity known by us to beneficially own more than 5% of our outstanding common stock, (2) each of our named executive officers, (3) each of our directors and director nominees, and (4) all of our directors and our executive officers as a group. As of the close of business on April 11, 2022, there were 85,484,092 shares of our common stock outstanding.</w:t>
      </w:r>
    </w:p>
    <w:p>
      <w:pPr>
        <w:spacing w:after="0" w:line="17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number of shares beneficially owned by each entity or individual is determined under the SEC rules, and the information is not necessarily indicative of beneficial ownership for any other purpose. Under such rules, beneficial ownership includes any shares as to which the entity or individual has sole or shared voting or investment power and also any shares that the entity or individual has the right to acquire as of June 10, 2022 (60 days after April 11, 2022) through the exercise of any stock options, through the vesting/settlement of restricted stock units payable in shares, or upon the exercise of other rights. Beneficial ownership excludes options or other rights vesting after June 10, 2022 and any restricted stock units vesting/settling, as applicable, on or before June 10, 2022 that may be payable in cash or shares at Academy’s election.</w:t>
      </w:r>
    </w:p>
    <w:p>
      <w:pPr>
        <w:spacing w:after="0" w:line="19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To our knowledge, except as indicated in the footnotes to this table and pursuant to applicable community property laws, the persons named in the following table have sole voting and investment power with respect to all shares of common stock, and unless otherwise indicated, the address of each beneficial owner listed below is c/o Academy Sports and Outdoors, Inc., 1800 North Mason Road, Katy, Texas 77449.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857250"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7" w:name="page68"/>
    <w:bookmarkEnd w:id="67"/>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540" w:type="dxa"/>
            <w:vAlign w:val="bottom"/>
            <w:shd w:val="clear" w:color="auto" w:fill="E1D7AC"/>
          </w:tcPr>
          <w:p>
            <w:pPr>
              <w:spacing w:after="0"/>
              <w:rPr>
                <w:sz w:val="23"/>
                <w:szCs w:val="23"/>
                <w:color w:val="auto"/>
              </w:rPr>
            </w:pPr>
          </w:p>
        </w:tc>
        <w:tc>
          <w:tcPr>
            <w:tcW w:w="5700" w:type="dxa"/>
            <w:vAlign w:val="bottom"/>
            <w:gridSpan w:val="3"/>
            <w:shd w:val="clear" w:color="auto" w:fill="E1D7AC"/>
          </w:tcPr>
          <w:p>
            <w:pPr>
              <w:ind w:left="1460"/>
              <w:spacing w:after="0"/>
              <w:rPr>
                <w:sz w:val="20"/>
                <w:szCs w:val="20"/>
                <w:color w:val="auto"/>
              </w:rPr>
            </w:pPr>
            <w:r>
              <w:rPr>
                <w:rFonts w:ascii="Arial" w:cs="Arial" w:eastAsia="Arial" w:hAnsi="Arial"/>
                <w:sz w:val="14"/>
                <w:szCs w:val="14"/>
                <w:b w:val="1"/>
                <w:bCs w:val="1"/>
                <w:color w:val="auto"/>
              </w:rPr>
              <w:t>Beneficial Ownership of Our Securities</w:t>
            </w:r>
          </w:p>
        </w:tc>
      </w:tr>
      <w:tr>
        <w:trPr>
          <w:trHeight w:val="83"/>
        </w:trPr>
        <w:tc>
          <w:tcPr>
            <w:tcW w:w="5540" w:type="dxa"/>
            <w:vAlign w:val="bottom"/>
            <w:tcBorders>
              <w:bottom w:val="single" w:sz="8" w:color="E1D7AC"/>
            </w:tcBorders>
            <w:shd w:val="clear" w:color="auto" w:fill="E1D7AC"/>
          </w:tcPr>
          <w:p>
            <w:pPr>
              <w:spacing w:after="0"/>
              <w:rPr>
                <w:sz w:val="7"/>
                <w:szCs w:val="7"/>
                <w:color w:val="auto"/>
              </w:rPr>
            </w:pPr>
          </w:p>
        </w:tc>
        <w:tc>
          <w:tcPr>
            <w:tcW w:w="2800" w:type="dxa"/>
            <w:vAlign w:val="bottom"/>
            <w:tcBorders>
              <w:bottom w:val="single" w:sz="8" w:color="auto"/>
            </w:tcBorders>
            <w:shd w:val="clear" w:color="auto" w:fill="E1D7AC"/>
          </w:tcPr>
          <w:p>
            <w:pPr>
              <w:spacing w:after="0"/>
              <w:rPr>
                <w:sz w:val="7"/>
                <w:szCs w:val="7"/>
                <w:color w:val="auto"/>
              </w:rPr>
            </w:pPr>
          </w:p>
        </w:tc>
        <w:tc>
          <w:tcPr>
            <w:tcW w:w="2800" w:type="dxa"/>
            <w:vAlign w:val="bottom"/>
            <w:tcBorders>
              <w:bottom w:val="single" w:sz="8" w:color="auto"/>
            </w:tcBorders>
            <w:shd w:val="clear" w:color="auto" w:fill="E1D7AC"/>
          </w:tcPr>
          <w:p>
            <w:pPr>
              <w:spacing w:after="0"/>
              <w:rPr>
                <w:sz w:val="7"/>
                <w:szCs w:val="7"/>
                <w:color w:val="auto"/>
              </w:rPr>
            </w:pPr>
          </w:p>
        </w:tc>
        <w:tc>
          <w:tcPr>
            <w:tcW w:w="100" w:type="dxa"/>
            <w:vAlign w:val="bottom"/>
            <w:tcBorders>
              <w:bottom w:val="single" w:sz="8" w:color="E1D7AC"/>
            </w:tcBorders>
            <w:shd w:val="clear" w:color="auto" w:fill="E1D7AC"/>
          </w:tcPr>
          <w:p>
            <w:pPr>
              <w:spacing w:after="0"/>
              <w:rPr>
                <w:sz w:val="7"/>
                <w:szCs w:val="7"/>
                <w:color w:val="auto"/>
              </w:rPr>
            </w:pPr>
          </w:p>
        </w:tc>
      </w:tr>
      <w:tr>
        <w:trPr>
          <w:trHeight w:val="248"/>
        </w:trPr>
        <w:tc>
          <w:tcPr>
            <w:tcW w:w="5540" w:type="dxa"/>
            <w:vAlign w:val="bottom"/>
            <w:shd w:val="clear" w:color="auto" w:fill="E1D7AC"/>
          </w:tcPr>
          <w:p>
            <w:pPr>
              <w:ind w:left="100"/>
              <w:spacing w:after="0"/>
              <w:rPr>
                <w:sz w:val="20"/>
                <w:szCs w:val="20"/>
                <w:color w:val="auto"/>
              </w:rPr>
            </w:pPr>
            <w:r>
              <w:rPr>
                <w:rFonts w:ascii="Arial" w:cs="Arial" w:eastAsia="Arial" w:hAnsi="Arial"/>
                <w:sz w:val="14"/>
                <w:szCs w:val="14"/>
                <w:b w:val="1"/>
                <w:bCs w:val="1"/>
                <w:color w:val="auto"/>
              </w:rPr>
              <w:t>Name of Beneficial Owner</w:t>
            </w:r>
          </w:p>
        </w:tc>
        <w:tc>
          <w:tcPr>
            <w:tcW w:w="2800" w:type="dxa"/>
            <w:vAlign w:val="bottom"/>
            <w:shd w:val="clear" w:color="auto" w:fill="E1D7AC"/>
          </w:tcPr>
          <w:p>
            <w:pPr>
              <w:ind w:left="1120"/>
              <w:spacing w:after="0"/>
              <w:rPr>
                <w:sz w:val="20"/>
                <w:szCs w:val="20"/>
                <w:color w:val="auto"/>
              </w:rPr>
            </w:pPr>
            <w:r>
              <w:rPr>
                <w:rFonts w:ascii="Arial" w:cs="Arial" w:eastAsia="Arial" w:hAnsi="Arial"/>
                <w:sz w:val="14"/>
                <w:szCs w:val="14"/>
                <w:b w:val="1"/>
                <w:bCs w:val="1"/>
                <w:color w:val="auto"/>
              </w:rPr>
              <w:t>Number</w:t>
            </w:r>
          </w:p>
        </w:tc>
        <w:tc>
          <w:tcPr>
            <w:tcW w:w="2800" w:type="dxa"/>
            <w:vAlign w:val="bottom"/>
            <w:shd w:val="clear" w:color="auto" w:fill="E1D7AC"/>
          </w:tcPr>
          <w:p>
            <w:pPr>
              <w:ind w:left="180"/>
              <w:spacing w:after="0"/>
              <w:rPr>
                <w:sz w:val="20"/>
                <w:szCs w:val="20"/>
                <w:color w:val="auto"/>
              </w:rPr>
            </w:pPr>
            <w:r>
              <w:rPr>
                <w:rFonts w:ascii="Arial" w:cs="Arial" w:eastAsia="Arial" w:hAnsi="Arial"/>
                <w:sz w:val="14"/>
                <w:szCs w:val="14"/>
                <w:b w:val="1"/>
                <w:bCs w:val="1"/>
                <w:color w:val="auto"/>
              </w:rPr>
              <w:t>Percentage of Total Common Stock</w:t>
            </w:r>
          </w:p>
        </w:tc>
        <w:tc>
          <w:tcPr>
            <w:tcW w:w="100" w:type="dxa"/>
            <w:vAlign w:val="bottom"/>
            <w:shd w:val="clear" w:color="auto" w:fill="E1D7AC"/>
          </w:tcPr>
          <w:p>
            <w:pPr>
              <w:spacing w:after="0"/>
              <w:rPr>
                <w:sz w:val="21"/>
                <w:szCs w:val="21"/>
                <w:color w:val="auto"/>
              </w:rPr>
            </w:pPr>
          </w:p>
        </w:tc>
      </w:tr>
      <w:tr>
        <w:trPr>
          <w:trHeight w:val="83"/>
        </w:trPr>
        <w:tc>
          <w:tcPr>
            <w:tcW w:w="5540" w:type="dxa"/>
            <w:vAlign w:val="bottom"/>
            <w:shd w:val="clear" w:color="auto" w:fill="E1D7AC"/>
          </w:tcPr>
          <w:p>
            <w:pPr>
              <w:spacing w:after="0"/>
              <w:rPr>
                <w:sz w:val="7"/>
                <w:szCs w:val="7"/>
                <w:color w:val="auto"/>
              </w:rPr>
            </w:pPr>
          </w:p>
        </w:tc>
        <w:tc>
          <w:tcPr>
            <w:tcW w:w="2800" w:type="dxa"/>
            <w:vAlign w:val="bottom"/>
            <w:shd w:val="clear" w:color="auto" w:fill="E1D7AC"/>
          </w:tcPr>
          <w:p>
            <w:pPr>
              <w:spacing w:after="0"/>
              <w:rPr>
                <w:sz w:val="7"/>
                <w:szCs w:val="7"/>
                <w:color w:val="auto"/>
              </w:rPr>
            </w:pPr>
          </w:p>
        </w:tc>
        <w:tc>
          <w:tcPr>
            <w:tcW w:w="2800" w:type="dxa"/>
            <w:vAlign w:val="bottom"/>
            <w:shd w:val="clear" w:color="auto" w:fill="E1D7AC"/>
          </w:tcPr>
          <w:p>
            <w:pPr>
              <w:spacing w:after="0"/>
              <w:rPr>
                <w:sz w:val="7"/>
                <w:szCs w:val="7"/>
                <w:color w:val="auto"/>
              </w:rPr>
            </w:pPr>
          </w:p>
        </w:tc>
        <w:tc>
          <w:tcPr>
            <w:tcW w:w="100" w:type="dxa"/>
            <w:vAlign w:val="bottom"/>
            <w:shd w:val="clear" w:color="auto" w:fill="E1D7AC"/>
          </w:tcPr>
          <w:p>
            <w:pPr>
              <w:spacing w:after="0"/>
              <w:rPr>
                <w:sz w:val="7"/>
                <w:szCs w:val="7"/>
                <w:color w:val="auto"/>
              </w:rPr>
            </w:pPr>
          </w:p>
        </w:tc>
      </w:tr>
      <w:tr>
        <w:trPr>
          <w:trHeight w:val="214"/>
        </w:trPr>
        <w:tc>
          <w:tcPr>
            <w:tcW w:w="554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5% Owners:</w:t>
            </w:r>
          </w:p>
        </w:tc>
        <w:tc>
          <w:tcPr>
            <w:tcW w:w="2800" w:type="dxa"/>
            <w:vAlign w:val="bottom"/>
            <w:shd w:val="clear" w:color="auto" w:fill="DBDBDB"/>
          </w:tcPr>
          <w:p>
            <w:pPr>
              <w:spacing w:after="0"/>
              <w:rPr>
                <w:sz w:val="18"/>
                <w:szCs w:val="18"/>
                <w:color w:val="auto"/>
              </w:rPr>
            </w:pPr>
          </w:p>
        </w:tc>
        <w:tc>
          <w:tcPr>
            <w:tcW w:w="2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r>
      <w:tr>
        <w:trPr>
          <w:trHeight w:val="272"/>
        </w:trPr>
        <w:tc>
          <w:tcPr>
            <w:tcW w:w="55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FMR LLC</w:t>
            </w:r>
            <w:r>
              <w:rPr>
                <w:rFonts w:ascii="Arial" w:cs="Arial" w:eastAsia="Arial" w:hAnsi="Arial"/>
                <w:sz w:val="18"/>
                <w:szCs w:val="18"/>
                <w:color w:val="auto"/>
                <w:vertAlign w:val="superscript"/>
              </w:rPr>
              <w:t>(1)</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14,024,228</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16.41%</w:t>
            </w:r>
          </w:p>
        </w:tc>
        <w:tc>
          <w:tcPr>
            <w:tcW w:w="100" w:type="dxa"/>
            <w:vAlign w:val="bottom"/>
            <w:shd w:val="clear" w:color="auto" w:fill="DBDBDB"/>
          </w:tcPr>
          <w:p>
            <w:pPr>
              <w:spacing w:after="0"/>
              <w:rPr>
                <w:sz w:val="23"/>
                <w:szCs w:val="23"/>
                <w:color w:val="auto"/>
              </w:rPr>
            </w:pPr>
          </w:p>
        </w:tc>
      </w:tr>
      <w:tr>
        <w:trPr>
          <w:trHeight w:val="243"/>
        </w:trPr>
        <w:tc>
          <w:tcPr>
            <w:tcW w:w="55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(2)</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13,562,648</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15.87%</w:t>
            </w:r>
          </w:p>
        </w:tc>
        <w:tc>
          <w:tcPr>
            <w:tcW w:w="100" w:type="dxa"/>
            <w:vAlign w:val="bottom"/>
            <w:shd w:val="clear" w:color="auto" w:fill="DBDBDB"/>
          </w:tcPr>
          <w:p>
            <w:pPr>
              <w:spacing w:after="0"/>
              <w:rPr>
                <w:sz w:val="21"/>
                <w:szCs w:val="21"/>
                <w:color w:val="auto"/>
              </w:rPr>
            </w:pPr>
          </w:p>
        </w:tc>
      </w:tr>
      <w:tr>
        <w:trPr>
          <w:trHeight w:val="243"/>
        </w:trPr>
        <w:tc>
          <w:tcPr>
            <w:tcW w:w="55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The Vanguard Group</w:t>
            </w:r>
            <w:r>
              <w:rPr>
                <w:rFonts w:ascii="Arial" w:cs="Arial" w:eastAsia="Arial" w:hAnsi="Arial"/>
                <w:sz w:val="18"/>
                <w:szCs w:val="18"/>
                <w:color w:val="auto"/>
                <w:vertAlign w:val="superscript"/>
              </w:rPr>
              <w:t>(3)</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9,462,337</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11.07%</w:t>
            </w:r>
          </w:p>
        </w:tc>
        <w:tc>
          <w:tcPr>
            <w:tcW w:w="100" w:type="dxa"/>
            <w:vAlign w:val="bottom"/>
            <w:shd w:val="clear" w:color="auto" w:fill="DBDBDB"/>
          </w:tcPr>
          <w:p>
            <w:pPr>
              <w:spacing w:after="0"/>
              <w:rPr>
                <w:sz w:val="21"/>
                <w:szCs w:val="21"/>
                <w:color w:val="auto"/>
              </w:rPr>
            </w:pPr>
          </w:p>
        </w:tc>
      </w:tr>
      <w:tr>
        <w:trPr>
          <w:trHeight w:val="214"/>
        </w:trPr>
        <w:tc>
          <w:tcPr>
            <w:tcW w:w="5540" w:type="dxa"/>
            <w:vAlign w:val="bottom"/>
          </w:tcPr>
          <w:p>
            <w:pPr>
              <w:ind w:left="100"/>
              <w:spacing w:after="0"/>
              <w:rPr>
                <w:sz w:val="20"/>
                <w:szCs w:val="20"/>
                <w:color w:val="auto"/>
              </w:rPr>
            </w:pPr>
            <w:r>
              <w:rPr>
                <w:rFonts w:ascii="Arial" w:cs="Arial" w:eastAsia="Arial" w:hAnsi="Arial"/>
                <w:sz w:val="14"/>
                <w:szCs w:val="14"/>
                <w:b w:val="1"/>
                <w:bCs w:val="1"/>
                <w:color w:val="auto"/>
              </w:rPr>
              <w:t>Named Executive Officers:</w:t>
            </w:r>
          </w:p>
        </w:tc>
        <w:tc>
          <w:tcPr>
            <w:tcW w:w="2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7"/>
        </w:trPr>
        <w:tc>
          <w:tcPr>
            <w:tcW w:w="5540" w:type="dxa"/>
            <w:vAlign w:val="bottom"/>
          </w:tcPr>
          <w:p>
            <w:pPr>
              <w:ind w:left="100"/>
              <w:spacing w:after="0"/>
              <w:rPr>
                <w:sz w:val="20"/>
                <w:szCs w:val="20"/>
                <w:color w:val="auto"/>
              </w:rPr>
            </w:pPr>
            <w:r>
              <w:rPr>
                <w:rFonts w:ascii="Arial" w:cs="Arial" w:eastAsia="Arial" w:hAnsi="Arial"/>
                <w:sz w:val="14"/>
                <w:szCs w:val="14"/>
                <w:color w:val="auto"/>
              </w:rPr>
              <w:t>Ken C. Hicks</w:t>
            </w:r>
            <w:r>
              <w:rPr>
                <w:rFonts w:ascii="Arial" w:cs="Arial" w:eastAsia="Arial" w:hAnsi="Arial"/>
                <w:sz w:val="18"/>
                <w:szCs w:val="18"/>
                <w:color w:val="auto"/>
                <w:vertAlign w:val="superscript"/>
              </w:rPr>
              <w:t>(4)</w:t>
            </w:r>
          </w:p>
        </w:tc>
        <w:tc>
          <w:tcPr>
            <w:tcW w:w="2800" w:type="dxa"/>
            <w:vAlign w:val="bottom"/>
          </w:tcPr>
          <w:p>
            <w:pPr>
              <w:jc w:val="center"/>
              <w:spacing w:after="0"/>
              <w:rPr>
                <w:sz w:val="20"/>
                <w:szCs w:val="20"/>
                <w:color w:val="auto"/>
              </w:rPr>
            </w:pPr>
            <w:r>
              <w:rPr>
                <w:rFonts w:ascii="Arial" w:cs="Arial" w:eastAsia="Arial" w:hAnsi="Arial"/>
                <w:sz w:val="14"/>
                <w:szCs w:val="14"/>
                <w:color w:val="auto"/>
              </w:rPr>
              <w:t>1,308,765</w:t>
            </w:r>
          </w:p>
        </w:tc>
        <w:tc>
          <w:tcPr>
            <w:tcW w:w="2800" w:type="dxa"/>
            <w:vAlign w:val="bottom"/>
          </w:tcPr>
          <w:p>
            <w:pPr>
              <w:jc w:val="center"/>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4"/>
                <w:szCs w:val="24"/>
                <w:color w:val="auto"/>
              </w:rPr>
            </w:pPr>
          </w:p>
        </w:tc>
      </w:tr>
      <w:tr>
        <w:trPr>
          <w:trHeight w:val="243"/>
        </w:trPr>
        <w:tc>
          <w:tcPr>
            <w:tcW w:w="5540" w:type="dxa"/>
            <w:vAlign w:val="bottom"/>
          </w:tcPr>
          <w:p>
            <w:pPr>
              <w:ind w:left="100"/>
              <w:spacing w:after="0"/>
              <w:rPr>
                <w:sz w:val="20"/>
                <w:szCs w:val="20"/>
                <w:color w:val="auto"/>
              </w:rPr>
            </w:pPr>
            <w:r>
              <w:rPr>
                <w:rFonts w:ascii="Arial" w:cs="Arial" w:eastAsia="Arial" w:hAnsi="Arial"/>
                <w:sz w:val="14"/>
                <w:szCs w:val="14"/>
                <w:color w:val="auto"/>
              </w:rPr>
              <w:t>Michael P. Mullican</w:t>
            </w:r>
            <w:r>
              <w:rPr>
                <w:rFonts w:ascii="Arial" w:cs="Arial" w:eastAsia="Arial" w:hAnsi="Arial"/>
                <w:sz w:val="18"/>
                <w:szCs w:val="18"/>
                <w:color w:val="auto"/>
                <w:vertAlign w:val="superscript"/>
              </w:rPr>
              <w:t>(5)</w:t>
            </w:r>
          </w:p>
        </w:tc>
        <w:tc>
          <w:tcPr>
            <w:tcW w:w="2800" w:type="dxa"/>
            <w:vAlign w:val="bottom"/>
          </w:tcPr>
          <w:p>
            <w:pPr>
              <w:jc w:val="center"/>
              <w:spacing w:after="0"/>
              <w:rPr>
                <w:sz w:val="20"/>
                <w:szCs w:val="20"/>
                <w:color w:val="auto"/>
              </w:rPr>
            </w:pPr>
            <w:r>
              <w:rPr>
                <w:rFonts w:ascii="Arial" w:cs="Arial" w:eastAsia="Arial" w:hAnsi="Arial"/>
                <w:sz w:val="14"/>
                <w:szCs w:val="14"/>
                <w:color w:val="auto"/>
              </w:rPr>
              <w:t>315,786</w:t>
            </w:r>
          </w:p>
        </w:tc>
        <w:tc>
          <w:tcPr>
            <w:tcW w:w="280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r>
      <w:tr>
        <w:trPr>
          <w:trHeight w:val="243"/>
        </w:trPr>
        <w:tc>
          <w:tcPr>
            <w:tcW w:w="5540" w:type="dxa"/>
            <w:vAlign w:val="bottom"/>
          </w:tcPr>
          <w:p>
            <w:pPr>
              <w:ind w:left="100"/>
              <w:spacing w:after="0"/>
              <w:rPr>
                <w:sz w:val="20"/>
                <w:szCs w:val="20"/>
                <w:color w:val="auto"/>
              </w:rPr>
            </w:pPr>
            <w:r>
              <w:rPr>
                <w:rFonts w:ascii="Arial" w:cs="Arial" w:eastAsia="Arial" w:hAnsi="Arial"/>
                <w:sz w:val="14"/>
                <w:szCs w:val="14"/>
                <w:color w:val="auto"/>
              </w:rPr>
              <w:t>Steve P. Lawrence</w:t>
            </w:r>
            <w:r>
              <w:rPr>
                <w:rFonts w:ascii="Arial" w:cs="Arial" w:eastAsia="Arial" w:hAnsi="Arial"/>
                <w:sz w:val="18"/>
                <w:szCs w:val="18"/>
                <w:color w:val="auto"/>
                <w:vertAlign w:val="superscript"/>
              </w:rPr>
              <w:t>(6)</w:t>
            </w:r>
          </w:p>
        </w:tc>
        <w:tc>
          <w:tcPr>
            <w:tcW w:w="2800" w:type="dxa"/>
            <w:vAlign w:val="bottom"/>
          </w:tcPr>
          <w:p>
            <w:pPr>
              <w:jc w:val="center"/>
              <w:spacing w:after="0"/>
              <w:rPr>
                <w:sz w:val="20"/>
                <w:szCs w:val="20"/>
                <w:color w:val="auto"/>
              </w:rPr>
            </w:pPr>
            <w:r>
              <w:rPr>
                <w:rFonts w:ascii="Arial" w:cs="Arial" w:eastAsia="Arial" w:hAnsi="Arial"/>
                <w:sz w:val="14"/>
                <w:szCs w:val="14"/>
                <w:color w:val="auto"/>
              </w:rPr>
              <w:t>128,521</w:t>
            </w:r>
          </w:p>
        </w:tc>
        <w:tc>
          <w:tcPr>
            <w:tcW w:w="280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r>
      <w:tr>
        <w:trPr>
          <w:trHeight w:val="243"/>
        </w:trPr>
        <w:tc>
          <w:tcPr>
            <w:tcW w:w="5540" w:type="dxa"/>
            <w:vAlign w:val="bottom"/>
          </w:tcPr>
          <w:p>
            <w:pPr>
              <w:ind w:left="100"/>
              <w:spacing w:after="0"/>
              <w:rPr>
                <w:sz w:val="20"/>
                <w:szCs w:val="20"/>
                <w:color w:val="auto"/>
              </w:rPr>
            </w:pPr>
            <w:r>
              <w:rPr>
                <w:rFonts w:ascii="Arial" w:cs="Arial" w:eastAsia="Arial" w:hAnsi="Arial"/>
                <w:sz w:val="14"/>
                <w:szCs w:val="14"/>
                <w:color w:val="auto"/>
              </w:rPr>
              <w:t>Sam J. Johnson</w:t>
            </w:r>
            <w:r>
              <w:rPr>
                <w:rFonts w:ascii="Arial" w:cs="Arial" w:eastAsia="Arial" w:hAnsi="Arial"/>
                <w:sz w:val="18"/>
                <w:szCs w:val="18"/>
                <w:color w:val="auto"/>
                <w:vertAlign w:val="superscript"/>
              </w:rPr>
              <w:t>(7)</w:t>
            </w:r>
          </w:p>
        </w:tc>
        <w:tc>
          <w:tcPr>
            <w:tcW w:w="2800" w:type="dxa"/>
            <w:vAlign w:val="bottom"/>
          </w:tcPr>
          <w:p>
            <w:pPr>
              <w:jc w:val="center"/>
              <w:spacing w:after="0"/>
              <w:rPr>
                <w:sz w:val="20"/>
                <w:szCs w:val="20"/>
                <w:color w:val="auto"/>
              </w:rPr>
            </w:pPr>
            <w:r>
              <w:rPr>
                <w:rFonts w:ascii="Arial" w:cs="Arial" w:eastAsia="Arial" w:hAnsi="Arial"/>
                <w:sz w:val="14"/>
                <w:szCs w:val="14"/>
                <w:color w:val="auto"/>
              </w:rPr>
              <w:t>259,183</w:t>
            </w:r>
          </w:p>
        </w:tc>
        <w:tc>
          <w:tcPr>
            <w:tcW w:w="280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r>
      <w:tr>
        <w:trPr>
          <w:trHeight w:val="228"/>
        </w:trPr>
        <w:tc>
          <w:tcPr>
            <w:tcW w:w="5540" w:type="dxa"/>
            <w:vAlign w:val="bottom"/>
          </w:tcPr>
          <w:p>
            <w:pPr>
              <w:ind w:left="100"/>
              <w:spacing w:after="0"/>
              <w:rPr>
                <w:sz w:val="20"/>
                <w:szCs w:val="20"/>
                <w:color w:val="auto"/>
              </w:rPr>
            </w:pPr>
            <w:r>
              <w:rPr>
                <w:rFonts w:ascii="Arial" w:cs="Arial" w:eastAsia="Arial" w:hAnsi="Arial"/>
                <w:sz w:val="14"/>
                <w:szCs w:val="14"/>
                <w:color w:val="auto"/>
              </w:rPr>
              <w:t>Manish Maini</w:t>
            </w:r>
            <w:r>
              <w:rPr>
                <w:rFonts w:ascii="Arial" w:cs="Arial" w:eastAsia="Arial" w:hAnsi="Arial"/>
                <w:sz w:val="18"/>
                <w:szCs w:val="18"/>
                <w:color w:val="auto"/>
                <w:vertAlign w:val="superscript"/>
              </w:rPr>
              <w:t>(8)</w:t>
            </w:r>
          </w:p>
        </w:tc>
        <w:tc>
          <w:tcPr>
            <w:tcW w:w="2800" w:type="dxa"/>
            <w:vAlign w:val="bottom"/>
          </w:tcPr>
          <w:p>
            <w:pPr>
              <w:jc w:val="center"/>
              <w:spacing w:after="0"/>
              <w:rPr>
                <w:sz w:val="20"/>
                <w:szCs w:val="20"/>
                <w:color w:val="auto"/>
              </w:rPr>
            </w:pPr>
            <w:r>
              <w:rPr>
                <w:rFonts w:ascii="Arial" w:cs="Arial" w:eastAsia="Arial" w:hAnsi="Arial"/>
                <w:sz w:val="14"/>
                <w:szCs w:val="14"/>
                <w:color w:val="auto"/>
              </w:rPr>
              <w:t>419,457</w:t>
            </w:r>
          </w:p>
        </w:tc>
        <w:tc>
          <w:tcPr>
            <w:tcW w:w="280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r>
      <w:tr>
        <w:trPr>
          <w:trHeight w:val="214"/>
        </w:trPr>
        <w:tc>
          <w:tcPr>
            <w:tcW w:w="554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Directors:</w:t>
            </w:r>
          </w:p>
        </w:tc>
        <w:tc>
          <w:tcPr>
            <w:tcW w:w="2800" w:type="dxa"/>
            <w:vAlign w:val="bottom"/>
            <w:shd w:val="clear" w:color="auto" w:fill="DBDBDB"/>
          </w:tcPr>
          <w:p>
            <w:pPr>
              <w:spacing w:after="0"/>
              <w:rPr>
                <w:sz w:val="18"/>
                <w:szCs w:val="18"/>
                <w:color w:val="auto"/>
              </w:rPr>
            </w:pPr>
          </w:p>
        </w:tc>
        <w:tc>
          <w:tcPr>
            <w:tcW w:w="2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r>
      <w:tr>
        <w:trPr>
          <w:trHeight w:val="272"/>
        </w:trPr>
        <w:tc>
          <w:tcPr>
            <w:tcW w:w="55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Wendy A. Beck</w:t>
            </w:r>
            <w:r>
              <w:rPr>
                <w:rFonts w:ascii="Arial" w:cs="Arial" w:eastAsia="Arial" w:hAnsi="Arial"/>
                <w:sz w:val="18"/>
                <w:szCs w:val="18"/>
                <w:color w:val="auto"/>
                <w:vertAlign w:val="superscript"/>
              </w:rPr>
              <w:t>(9)</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7,468</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23"/>
                <w:szCs w:val="23"/>
                <w:color w:val="auto"/>
              </w:rPr>
            </w:pPr>
          </w:p>
        </w:tc>
      </w:tr>
      <w:tr>
        <w:trPr>
          <w:trHeight w:val="243"/>
        </w:trPr>
        <w:tc>
          <w:tcPr>
            <w:tcW w:w="55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Brian T. Marley</w:t>
            </w:r>
            <w:r>
              <w:rPr>
                <w:rFonts w:ascii="Arial" w:cs="Arial" w:eastAsia="Arial" w:hAnsi="Arial"/>
                <w:sz w:val="18"/>
                <w:szCs w:val="18"/>
                <w:color w:val="auto"/>
                <w:vertAlign w:val="superscript"/>
              </w:rPr>
              <w:t>(10)</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49,528</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21"/>
                <w:szCs w:val="21"/>
                <w:color w:val="auto"/>
              </w:rPr>
            </w:pPr>
          </w:p>
        </w:tc>
      </w:tr>
      <w:tr>
        <w:trPr>
          <w:trHeight w:val="258"/>
        </w:trPr>
        <w:tc>
          <w:tcPr>
            <w:tcW w:w="55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Tom M. Nealon</w:t>
            </w:r>
            <w:r>
              <w:rPr>
                <w:rFonts w:ascii="Arial" w:cs="Arial" w:eastAsia="Arial" w:hAnsi="Arial"/>
                <w:sz w:val="18"/>
                <w:szCs w:val="18"/>
                <w:color w:val="auto"/>
                <w:vertAlign w:val="superscript"/>
              </w:rPr>
              <w:t>(11)</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5,067</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22"/>
                <w:szCs w:val="22"/>
                <w:color w:val="auto"/>
              </w:rPr>
            </w:pPr>
          </w:p>
        </w:tc>
      </w:tr>
      <w:tr>
        <w:trPr>
          <w:trHeight w:val="243"/>
        </w:trPr>
        <w:tc>
          <w:tcPr>
            <w:tcW w:w="55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Allen I. Questrom</w:t>
            </w:r>
            <w:r>
              <w:rPr>
                <w:rFonts w:ascii="Arial" w:cs="Arial" w:eastAsia="Arial" w:hAnsi="Arial"/>
                <w:sz w:val="18"/>
                <w:szCs w:val="18"/>
                <w:color w:val="auto"/>
                <w:vertAlign w:val="superscript"/>
              </w:rPr>
              <w:t>(12)</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8,905</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21"/>
                <w:szCs w:val="21"/>
                <w:color w:val="auto"/>
              </w:rPr>
            </w:pPr>
          </w:p>
        </w:tc>
      </w:tr>
      <w:tr>
        <w:trPr>
          <w:trHeight w:val="245"/>
        </w:trPr>
        <w:tc>
          <w:tcPr>
            <w:tcW w:w="55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Beryl B. Raff</w:t>
            </w:r>
            <w:r>
              <w:rPr>
                <w:rFonts w:ascii="Arial" w:cs="Arial" w:eastAsia="Arial" w:hAnsi="Arial"/>
                <w:sz w:val="18"/>
                <w:szCs w:val="18"/>
                <w:color w:val="auto"/>
                <w:vertAlign w:val="superscript"/>
              </w:rPr>
              <w:t>(13)</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5,227</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21"/>
                <w:szCs w:val="21"/>
                <w:color w:val="auto"/>
              </w:rPr>
            </w:pPr>
          </w:p>
        </w:tc>
      </w:tr>
      <w:tr>
        <w:trPr>
          <w:trHeight w:val="190"/>
        </w:trPr>
        <w:tc>
          <w:tcPr>
            <w:tcW w:w="55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Nate H. Taylor</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DBDBDB"/>
          </w:tcPr>
          <w:p>
            <w:pPr>
              <w:spacing w:after="0"/>
              <w:rPr>
                <w:sz w:val="16"/>
                <w:szCs w:val="16"/>
                <w:color w:val="auto"/>
              </w:rPr>
            </w:pPr>
          </w:p>
        </w:tc>
      </w:tr>
      <w:tr>
        <w:trPr>
          <w:trHeight w:val="293"/>
        </w:trPr>
        <w:tc>
          <w:tcPr>
            <w:tcW w:w="55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Chris L. Turner</w:t>
            </w:r>
            <w:r>
              <w:rPr>
                <w:rFonts w:ascii="Arial" w:cs="Arial" w:eastAsia="Arial" w:hAnsi="Arial"/>
                <w:sz w:val="18"/>
                <w:szCs w:val="18"/>
                <w:color w:val="auto"/>
                <w:vertAlign w:val="superscript"/>
              </w:rPr>
              <w:t>(14)</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1,334</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24"/>
                <w:szCs w:val="24"/>
                <w:color w:val="auto"/>
              </w:rPr>
            </w:pPr>
          </w:p>
        </w:tc>
      </w:tr>
      <w:tr>
        <w:trPr>
          <w:trHeight w:val="243"/>
        </w:trPr>
        <w:tc>
          <w:tcPr>
            <w:tcW w:w="55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Sharen J. Turney</w:t>
            </w:r>
            <w:r>
              <w:rPr>
                <w:rFonts w:ascii="Arial" w:cs="Arial" w:eastAsia="Arial" w:hAnsi="Arial"/>
                <w:sz w:val="18"/>
                <w:szCs w:val="18"/>
                <w:color w:val="auto"/>
                <w:vertAlign w:val="superscript"/>
              </w:rPr>
              <w:t>(15)</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2,870</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21"/>
                <w:szCs w:val="21"/>
                <w:color w:val="auto"/>
              </w:rPr>
            </w:pPr>
          </w:p>
        </w:tc>
      </w:tr>
      <w:tr>
        <w:trPr>
          <w:trHeight w:val="243"/>
        </w:trPr>
        <w:tc>
          <w:tcPr>
            <w:tcW w:w="55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Jeff C. Tweedy</w:t>
            </w:r>
            <w:r>
              <w:rPr>
                <w:rFonts w:ascii="Arial" w:cs="Arial" w:eastAsia="Arial" w:hAnsi="Arial"/>
                <w:sz w:val="18"/>
                <w:szCs w:val="18"/>
                <w:color w:val="auto"/>
                <w:vertAlign w:val="superscript"/>
              </w:rPr>
              <w:t>(16)</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8,905</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21"/>
                <w:szCs w:val="21"/>
                <w:color w:val="auto"/>
              </w:rPr>
            </w:pPr>
          </w:p>
        </w:tc>
      </w:tr>
      <w:tr>
        <w:trPr>
          <w:trHeight w:val="228"/>
        </w:trPr>
        <w:tc>
          <w:tcPr>
            <w:tcW w:w="55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Directors and executive officers as a group</w:t>
            </w:r>
            <w:r>
              <w:rPr>
                <w:rFonts w:ascii="Arial" w:cs="Arial" w:eastAsia="Arial" w:hAnsi="Arial"/>
                <w:sz w:val="18"/>
                <w:szCs w:val="18"/>
                <w:color w:val="auto"/>
                <w:vertAlign w:val="superscript"/>
              </w:rPr>
              <w:t>(17)</w:t>
            </w:r>
            <w:r>
              <w:rPr>
                <w:rFonts w:ascii="Arial" w:cs="Arial" w:eastAsia="Arial" w:hAnsi="Arial"/>
                <w:sz w:val="14"/>
                <w:szCs w:val="14"/>
                <w:color w:val="auto"/>
              </w:rPr>
              <w:t xml:space="preserve"> (18 persons)</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3,063,577</w:t>
            </w:r>
          </w:p>
        </w:tc>
        <w:tc>
          <w:tcPr>
            <w:tcW w:w="2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DBDBDB"/>
          </w:tcPr>
          <w:p>
            <w:pPr>
              <w:spacing w:after="0"/>
              <w:rPr>
                <w:sz w:val="19"/>
                <w:szCs w:val="19"/>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 Less than one percent.</w:t>
      </w:r>
    </w:p>
    <w:p>
      <w:pPr>
        <w:spacing w:after="0" w:line="107" w:lineRule="exact"/>
        <w:rPr>
          <w:sz w:val="20"/>
          <w:szCs w:val="20"/>
          <w:color w:val="auto"/>
        </w:rPr>
      </w:pPr>
    </w:p>
    <w:p>
      <w:pPr>
        <w:ind w:left="340" w:hanging="323"/>
        <w:spacing w:after="0" w:line="248" w:lineRule="auto"/>
        <w:rPr>
          <w:sz w:val="20"/>
          <w:szCs w:val="20"/>
          <w:color w:val="auto"/>
        </w:rPr>
      </w:pPr>
      <w:r>
        <w:rPr>
          <w:rFonts w:ascii="Arial" w:cs="Arial" w:eastAsia="Arial" w:hAnsi="Arial"/>
          <w:sz w:val="13"/>
          <w:szCs w:val="13"/>
          <w:color w:val="auto"/>
        </w:rPr>
        <w:t>1 Based solely on the information disclosed in a Schedule 13G/A filed by FMR LLC, certain related entities and Abigail P. Johnson (the Chairman and Chief</w:t>
      </w:r>
      <w:r>
        <w:rPr>
          <w:sz w:val="20"/>
          <w:szCs w:val="20"/>
          <w:color w:val="auto"/>
        </w:rPr>
        <w:t xml:space="preserve"> </w:t>
      </w:r>
      <w:r>
        <w:rPr>
          <w:rFonts w:ascii="Arial" w:cs="Arial" w:eastAsia="Arial" w:hAnsi="Arial"/>
          <w:sz w:val="13"/>
          <w:szCs w:val="13"/>
          <w:color w:val="auto"/>
        </w:rPr>
        <w:t>Executive Officer of FMR LLC) on February 9, 2022. The number of shares reported is as of December 31, 2021. Members of the Johnson family, including Abigail P. Johnson, are the predominant owners, directly or through trusts, of Series B voting common shares of FMR LLC, representing 49% of the voting power of FMR LLC. FMR LLC reported sole power to vote or direct the vote over 2,509,347 shares of our common stock and sole power to dispose or direct the disposition over 14,024,228 shares of our common stock. Abigail P. Johnson reported sole power to vote or direct the vote over 0 shares of our common stock and sole power to dispose or direct the disposition over 14,024,228 shares of our common stock. The principal business address for FMR LLC, its related entities and Abigail P. Johnson is 245 Summer Street, Boston, Massachusetts 02210.</w:t>
      </w:r>
    </w:p>
    <w:p>
      <w:pPr>
        <w:spacing w:after="0" w:line="240" w:lineRule="exact"/>
        <w:rPr>
          <w:sz w:val="20"/>
          <w:szCs w:val="20"/>
          <w:color w:val="auto"/>
        </w:rPr>
      </w:pPr>
    </w:p>
    <w:p>
      <w:pPr>
        <w:ind w:left="340" w:hanging="323"/>
        <w:spacing w:after="0" w:line="251" w:lineRule="auto"/>
        <w:rPr>
          <w:sz w:val="20"/>
          <w:szCs w:val="20"/>
          <w:color w:val="auto"/>
        </w:rPr>
      </w:pPr>
      <w:r>
        <w:rPr>
          <w:rFonts w:ascii="Arial" w:cs="Arial" w:eastAsia="Arial" w:hAnsi="Arial"/>
          <w:sz w:val="13"/>
          <w:szCs w:val="13"/>
          <w:color w:val="auto"/>
        </w:rPr>
        <w:t>2 Based solely on the information disclosed in a Schedule 13G/A filed by BlackRock, Inc. and certain related entities on April 8, 2022. The number of shares reported is as of March 31, 2021. BlackRock, Inc. reported sole power to vote or direct the vote over 13,340,831 shares of our common stock and sole power to dispose or direct the disposition over 13,562,648 shares of our common stock. The principal business address for BlackRock, Inc. is 55 East 52nd Street, New York, NY 10055.</w:t>
      </w:r>
    </w:p>
    <w:p>
      <w:pPr>
        <w:spacing w:after="0" w:line="98" w:lineRule="exact"/>
        <w:rPr>
          <w:sz w:val="20"/>
          <w:szCs w:val="20"/>
          <w:color w:val="auto"/>
        </w:rPr>
      </w:pPr>
    </w:p>
    <w:p>
      <w:pPr>
        <w:ind w:left="340" w:right="160" w:hanging="323"/>
        <w:spacing w:after="0" w:line="282" w:lineRule="auto"/>
        <w:rPr>
          <w:sz w:val="20"/>
          <w:szCs w:val="20"/>
          <w:color w:val="auto"/>
        </w:rPr>
      </w:pPr>
      <w:r>
        <w:rPr>
          <w:rFonts w:ascii="Arial" w:cs="Arial" w:eastAsia="Arial" w:hAnsi="Arial"/>
          <w:sz w:val="12"/>
          <w:szCs w:val="12"/>
          <w:color w:val="auto"/>
        </w:rPr>
        <w:t>3 Based solely on the information disclosed in a Schedule 13G/A filed by The Vanguard Group on April 8, 2022. The number of shares reported is as of March 31, 2021. The Vanguard Group reported shared power to vote or direct the vote over 63,677 shares of our common stock, shared power to dispose or direct the disposition over 135,974 shares of our common stock and sole power to dispose or direct the disposition over 9,326,363 shares of our common stock. The principal business address for The Vanguard Group is 100 Vanguard Blvd., Malvern, PA 19355.</w:t>
      </w:r>
    </w:p>
    <w:p>
      <w:pPr>
        <w:spacing w:after="0" w:line="67" w:lineRule="exact"/>
        <w:rPr>
          <w:sz w:val="20"/>
          <w:szCs w:val="20"/>
          <w:color w:val="auto"/>
        </w:rPr>
      </w:pPr>
    </w:p>
    <w:p>
      <w:pPr>
        <w:ind w:left="340" w:right="260" w:hanging="323"/>
        <w:spacing w:after="0" w:line="264" w:lineRule="auto"/>
        <w:rPr>
          <w:sz w:val="20"/>
          <w:szCs w:val="20"/>
          <w:color w:val="auto"/>
        </w:rPr>
      </w:pPr>
      <w:r>
        <w:rPr>
          <w:rFonts w:ascii="Arial" w:cs="Arial" w:eastAsia="Arial" w:hAnsi="Arial"/>
          <w:sz w:val="13"/>
          <w:szCs w:val="13"/>
          <w:color w:val="auto"/>
        </w:rPr>
        <w:t>4 Includes 841,759 shares subject to vested options, 11,978 shares subject to stock options that are scheduled to become exercisable by June 10, 2022 and 2,546 shares underlying restricted stock units that are scheduled to settle by June 10, 2022.</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5 Includes 210,769 shares subject to vested 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6 Includes 14,210 shares subject to vested stock options.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7 Includes 126,741 shares subject to vested stock options.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8 Includes 272,383 shares subject to vested stock options.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9 Includes 3,727 shares underlying restricted stock units that are scheduled to settle by June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748030</wp:posOffset>
            </wp:positionV>
            <wp:extent cx="857250"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color w:val="007EC4"/>
        </w:rPr>
        <w:t xml:space="preserve">64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10 Includes 3,727 shares underlying restricted stock units that are scheduled to settle by June 10, 2022.</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11 Includes 3,727 shares underlying restricted stock units that are scheduled to settle by June 10, 2022.</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12 Includes 3,727 shares underlying restricted stock units that are scheduled to settle by June 10, 2022.</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13 Includes 3,727 shares underlying restricted stock units that are scheduled to settle by June 10, 2022.</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14 Includes 1,334 shares underlying restricted stock units that are scheduled to settle by June 10, 2022.</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15 Includes 2,870 shares underlying restricted stock units that are scheduled to settle by June 10, 2022.</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16 Includes 3,727 shares underlying restricted stock units that are scheduled to settle by June 10, 2022.</w:t>
      </w:r>
    </w:p>
    <w:p>
      <w:pPr>
        <w:spacing w:after="0" w:line="107" w:lineRule="exact"/>
        <w:rPr>
          <w:sz w:val="20"/>
          <w:szCs w:val="20"/>
          <w:color w:val="auto"/>
        </w:rPr>
      </w:pPr>
    </w:p>
    <w:p>
      <w:pPr>
        <w:ind w:left="340" w:hanging="323"/>
        <w:spacing w:after="0" w:line="254" w:lineRule="auto"/>
        <w:rPr>
          <w:sz w:val="20"/>
          <w:szCs w:val="20"/>
          <w:color w:val="auto"/>
        </w:rPr>
      </w:pPr>
      <w:r>
        <w:rPr>
          <w:rFonts w:ascii="Arial" w:cs="Arial" w:eastAsia="Arial" w:hAnsi="Arial"/>
          <w:sz w:val="13"/>
          <w:szCs w:val="13"/>
          <w:color w:val="auto"/>
        </w:rPr>
        <w:t>17 The number of shares reported includes shares subject to vested stock options, options that are scheduled to become exercisable by June 10, 2022 and shares underlying restricted stock units that are scheduled to settle by June 10, 2022 as disclosed in footnotes 4 through 16 above as well as the following: (i) 92,978 shares subject to vested stock options held by William (Bill) Ennis, (ii) 127,815 shares subject to vested stock options held by Rene Casares, (iii) 45,551 shares subject to vested stock options held by Sherry Harriman, and (iv) 72,023 shares subject to vested stock options held by Jamey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887095</wp:posOffset>
            </wp:positionV>
            <wp:extent cx="857250" cy="2057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69" w:name="page70"/>
    <w:bookmarkEnd w:id="69"/>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49"/>
          <w:szCs w:val="49"/>
          <w:b w:val="1"/>
          <w:bCs w:val="1"/>
          <w:color w:val="1B4093"/>
        </w:rPr>
        <w:t>Transactions with Related Persons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Related Persons Transaction Policy</w:t>
      </w:r>
    </w:p>
    <w:p>
      <w:pPr>
        <w:spacing w:after="0" w:line="13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Board recognizes the fact that transactions with related persons (as defined in paragraph (a) of Item 404 of Regulation S-K) present a heightened risk of conflicts of interests (or the perception thereof). If such transactions are entered into, they may require disclosure in the Company’s financial statements and filings with the SEC. The Board adopted a written policy regarding transactions with related persons (our “Related Party Transaction Policy”) that is administered by our Audit Committee.</w:t>
      </w:r>
    </w:p>
    <w:p>
      <w:pPr>
        <w:spacing w:after="0" w:line="17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Related Party Transaction Policy requires that the Board or the Audit Committee approve each Related Party Transaction (defined under our policy as any transaction that we anticipate would be reportable by us under Item 404(a) of Regulation S-K in which we were or are to be a participant and the amount involved exceeds $120,000 and in which any related person had or will have a direct or indirect material interest) and all material facts with respect thereto. It is our policy that directors interested in a Related Party Transaction will recuse themselves from any discussion or vote on a Related Party Transaction in which they have an interest. The Board or the Audit Committee will not approve or ratify a Related Party Transaction unless it determines in good faith that, upon consideration of all relevant information, the Related Party Transaction is in, or not inconsistent with, the best interests of the Company. A Related Party Transaction entered into without pre-approval of the Board or the Audit Committee does not violate our Related Party Transaction Policy, so long as the transaction is subsequently timely approved or ratified by the Board or the Audit Committee. Transactions that are determined to be Related Party Transactions are disclosed in the Company’s proxy statement for the relevant year.</w:t>
      </w:r>
    </w:p>
    <w:p>
      <w:pPr>
        <w:spacing w:after="0" w:line="19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To help identify Related Party Transactions, each director and executive officer completes a questionnaire that requires the disclosure of any transaction that the person, or any member of his or her immediate family, has or will have with the Company. Our General Counsel also conducts a review that includes a review of the Company’s accounts payable and receivable to determine if a Related Party engaged in transactions during the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1B4093"/>
        </w:rPr>
        <w:t>Certain Related Person Transactions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Secondary Offerings with Kohlberg Kravis Roberts &amp; Co. L.P. and KKR Capital Markets LLC</w:t>
      </w:r>
    </w:p>
    <w:p>
      <w:pPr>
        <w:spacing w:after="0" w:line="6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In connection with the secondary offerings we completed on February 1, 2021, May 10, 2021 (the “May 2021 Offering”), and September 17, 2021 (the “September 2021 Offering”), the Company entered into Underwriting Agreements with affiliates of KKR, as selling stockholders, the several other selling stockholders named therein, and the several underwriters named therein, including KKR Capital Markets LLC (“KCM”), an affiliate of KKR, as underwriter. The Company did not pay KCM any fees, and the Company did not receive any proceeds, in connection with these secondary offerings. Upon completion of the September 2021 Offering, KKR no longer holds an ownership interest in the Company.</w:t>
      </w:r>
    </w:p>
    <w:p>
      <w:pPr>
        <w:spacing w:after="0" w:line="17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connection with the September 2021 Offering and the May 2021 Offering, we repurchased from the underwriters (i) 3,229,974 shares of ASO, Inc. common stock at $30.96 per share for approximately $100.0 million, and (ii) 4,500,000 shares of ASO, Inc. common stock at approximately $43.52 per share for approximately $195.8 million, respectively, representing the same prices granted to the underwriters, which were at a discount to the prevailing market price at the time of repurchase. The shares repurchased were immediately retired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787400</wp:posOffset>
            </wp:positionV>
            <wp:extent cx="857250"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3"/>
          <w:szCs w:val="13"/>
          <w:b w:val="1"/>
          <w:bCs w:val="1"/>
          <w:color w:val="007EC4"/>
        </w:rPr>
        <w:t xml:space="preserve">66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49"/>
          <w:szCs w:val="49"/>
          <w:b w:val="1"/>
          <w:bCs w:val="1"/>
          <w:color w:val="1B4093"/>
        </w:rPr>
        <w:t>Stockholder Proposals</w:t>
      </w:r>
    </w:p>
    <w:p>
      <w:pPr>
        <w:spacing w:after="0" w:line="108" w:lineRule="exact"/>
        <w:rPr>
          <w:sz w:val="20"/>
          <w:szCs w:val="20"/>
          <w:color w:val="auto"/>
        </w:rPr>
      </w:pPr>
    </w:p>
    <w:p>
      <w:pPr>
        <w:spacing w:after="0"/>
        <w:rPr>
          <w:sz w:val="20"/>
          <w:szCs w:val="20"/>
          <w:color w:val="auto"/>
        </w:rPr>
      </w:pPr>
      <w:r>
        <w:rPr>
          <w:rFonts w:ascii="Arial" w:cs="Arial" w:eastAsia="Arial" w:hAnsi="Arial"/>
          <w:sz w:val="49"/>
          <w:szCs w:val="49"/>
          <w:b w:val="1"/>
          <w:bCs w:val="1"/>
          <w:color w:val="1B4093"/>
        </w:rPr>
        <w:t>for the 2023 Annual Meeting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If any stockholder wishes to propose a matter for inclusion in our proxy materials for our 2023 Annual Meeting of Stockholders (the “2023 Annual Meeting”) under Rule 14a-8 under the Exchange Act (“Rule 14a-8”), the proposal should be mailed to our Corporate Secretary at Academy Sports and Outdoors, Inc., 1800 North Mason Road, Katy, Texas 77449. To be eligible for inclusion in our proxy statement for the 2023 Annual Meeting under Rule 14a-8, a proposal must be received by our Corporate Secretary on or before the close of business on December 23, 2022 and must comply with the remaining Rule 14a-8 requirements.</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addition, our Bylaws permit stockholders to nominate candidates for director and present other business for consideration at our annual meeting of stockholders. To make a director nomination or present other business for consideration at the 2023 Annual Meeting, you must submit a timely notice in accordance with the procedures described in our Bylaws. To be timely, a stockholder’s notice must be delivered to our Corporate Secretary at the principal executive offices of our Company not less than 90 days nor more than 120 days prior to the first anniversary of the preceding year’s annual meeting. Therefore, to be presented at our 2023 Annual Meeting, such a proposal must be received on or after February 2, 2023, but not later than March 4, 2023. In the event that the date of the 2023 Annual Meeting is advanced by more than 30 days, or delayed by more than 70 days, from the anniversary date of this year’s Annual Meeting of Stockholders, to be timely notice by the stockholder, must be so delivered not earlier than the 120th day prior to the first anniversary of the 2022 Annual Meeting and not later than the close of business on the later of the 90th day prior to the first anniversary of the 2022 Annual Meeting or the tenth day following the day on which public announcement of the date of the 2023 Annual Meeting is first made. Any such proposal will be considered timely only if it is otherwise in compliance with the requirements set forth in our Bylaws. Notwithstanding the foregoing, if the number of directors to be elected to the Board at the 2023 Annual Meeting is increased and there is no public announcement by the Company naming all of the nominees for director or specifying the size of the increased Board at least 100 calendar days prior to the first anniversary of the 2022 Annual Meeting (i.e. prior to February 22, 2023), then notice by a stockholder shall be considered timely, but only with respect to nominees for any new positions created by such increase, if it is received by our Corporate Secretary not later than the close of business on 10th calendar day following the day on which such public announcement is first made by the Company. Any such proposal will be considered timely only if it is otherwise in compliance with the requirements set forth in our Bylaws. In addition to satisfying the deadlines in the advance notice provisions of our Bylaws, a stockholder who intends to solicit proxies in support of nominees submitted under these advance notice provisions must provide the notice required under Rule 14a-19 to our Corporate Secretary no later than April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1085215</wp:posOffset>
            </wp:positionV>
            <wp:extent cx="857250" cy="205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1" w:name="page72"/>
    <w:bookmarkEnd w:id="71"/>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49"/>
          <w:szCs w:val="49"/>
          <w:b w:val="1"/>
          <w:bCs w:val="1"/>
          <w:color w:val="1B4093"/>
        </w:rPr>
        <w:t>Householding of Proxy Materials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statements and related materials, by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or the Company’s transfer agent, Broadridge Financial Solutions at (866) 540-7095 or in writing at Broadridge, Householding Department, 51 Mercedes Way, Edgewood, New York 11717.</w:t>
      </w:r>
    </w:p>
    <w:p>
      <w:pPr>
        <w:spacing w:after="0" w:line="17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You can also request prompt delivery free of charge of a copy of this Proxy Statement and our Annual Report on Form 10-K for the fiscal year ended January 29, 2022 by contacting our Corporate Secretary by mail at Academy Sports and Outdoors, Inc., 1800 North Mason Road, Katy, Texas 77449 or by telephone at (281) 646-5362.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49"/>
          <w:szCs w:val="49"/>
          <w:b w:val="1"/>
          <w:bCs w:val="1"/>
          <w:color w:val="1B4093"/>
        </w:rPr>
        <w:t>Other Business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580"/>
        <w:spacing w:after="0" w:line="321" w:lineRule="auto"/>
        <w:rPr>
          <w:sz w:val="20"/>
          <w:szCs w:val="20"/>
          <w:color w:val="auto"/>
        </w:rPr>
      </w:pPr>
      <w:r>
        <w:rPr>
          <w:rFonts w:ascii="Arial" w:cs="Arial" w:eastAsia="Arial" w:hAnsi="Arial"/>
          <w:sz w:val="16"/>
          <w:szCs w:val="16"/>
          <w:color w:val="auto"/>
        </w:rPr>
        <w:t>The Board does not know of any other matters to be brought before the meeting. If other matters are presented, the proxy holders have discretionary authority to vote all proxies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767715</wp:posOffset>
            </wp:positionV>
            <wp:extent cx="857250"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color w:val="007EC4"/>
        </w:rPr>
        <w:t xml:space="preserve">68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93" w:lineRule="auto"/>
        <w:rPr>
          <w:sz w:val="20"/>
          <w:szCs w:val="20"/>
          <w:color w:val="auto"/>
        </w:rPr>
      </w:pPr>
      <w:r>
        <w:rPr>
          <w:rFonts w:ascii="Arial" w:cs="Arial" w:eastAsia="Arial" w:hAnsi="Arial"/>
          <w:sz w:val="49"/>
          <w:szCs w:val="49"/>
          <w:b w:val="1"/>
          <w:bCs w:val="1"/>
          <w:color w:val="1B4093"/>
        </w:rPr>
        <w:t>Reconciliations of GAAP to Non-GAAP Financial Measures</w:t>
      </w:r>
    </w:p>
    <w:p>
      <w:pPr>
        <w:spacing w:after="0" w:line="200" w:lineRule="exact"/>
        <w:rPr>
          <w:sz w:val="20"/>
          <w:szCs w:val="20"/>
          <w:color w:val="auto"/>
        </w:rPr>
      </w:pP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Adjusted EBITDA, Adjusted EBIT, Adjusted Net Income, Pro Forma Adjusted Net Income, and Pro Forma Adjusted Earnings per Share (or “EPS”), as shown below, have been presented in this Proxy Statement, including the Compensation Discussion and Analysis section of this Proxy Statement, as supplemental measures of financial performance that are not required by, or presented in accordance with, accounting principles generally accepted in the United States of America ("GAAP").</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define Adjusted EBITDA as net income (loss) before interest expense, net, income tax expense and depreciation, amortization and impairment, further adjusted to exclude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We define Adjusted EBIT as net income (loss) before interest expense, net, income tax expense, further adjusted to exclude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We describe these adjustments reconciling net income (loss) to Adjusted EBITDA and to Adjusted EBIT in the applicable table below. We define Adjusted Net Income as net income (loss), plus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less the tax effect of these adjustments. We define Pro Forma Adjusted Net Income as Adjusted Net Income less the retrospective tax effect of Adjusted Net Income at our estimated effective tax rate of approximately 25% for periods prior to October 1, 2020, the effective date of our conversion to a C-Corporation. We define basic Pro Forma Adjusted Earnings per Share as Pro Forma Adjusted Net Income divided by the basic weighted average common shares outstanding during the period and diluted Pro Forma Adjusted Earnings per Share as Pro Forma Adjusted Net Income divided by the diluted weighted average common shares outstanding during the period. We describe these adjustments by reconciling net income (loss) to Adjusted Net Income, Pro Forma Adjusted Net Income and Pro Forma Adjusted Earnings per Share in the applicable table below.</w:t>
      </w:r>
    </w:p>
    <w:p>
      <w:pPr>
        <w:spacing w:after="0" w:line="200"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believe Adjusted EBITDA, Adjusted EBIT, Adjusted Net Income, Pro Forma Adjusted Net Income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Pro Forma Adjusted Net Income and Pro Forma Adjusted Earnings per Share is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 Adjusted Net Income, Pro Forma Adjusted Net Income, and Pro Forma Adjusted Earnings per Share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Management supplements GAAP results with non-GAAP financial measures to provide a more complete understanding of the factors and trends affecting the business than GAAP results alone. Adjusted EBITDA, Adjusted EBIT, Adjusted Net Income, Pro Forma Adjusted Net Income, and Pro Forma Adjusted Earnings per Share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Pro Forma Adjusted Net Income and Pro Forma Adjusted Earnings per Share should not be construed to imply that our future results will be unaffected by unusual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791845</wp:posOffset>
            </wp:positionV>
            <wp:extent cx="857250" cy="205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007EC4"/>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580"/>
        <w:spacing w:after="0" w:line="265" w:lineRule="auto"/>
        <w:rPr>
          <w:sz w:val="20"/>
          <w:szCs w:val="20"/>
          <w:color w:val="auto"/>
        </w:rPr>
      </w:pPr>
      <w:r>
        <w:rPr>
          <w:rFonts w:ascii="Arial" w:cs="Arial" w:eastAsia="Arial" w:hAnsi="Arial"/>
          <w:sz w:val="16"/>
          <w:szCs w:val="16"/>
          <w:color w:val="auto"/>
        </w:rPr>
        <w:t>non-recurring items. In evaluating Adjusted EBITDA, Adjusted EBIT, Adjusted Net Income, Pro Forma Adjusted Net Income, and Pro Forma Adjusted Earnings per Share, you should be aware that in the future we may incur expenses that are the same as or similar to some of the adjustments in this presentation. Our presentation of Adjusted EBITDA, Adjusted EBIT, Adjusted Net Income, Pro Forma Adjusted Net Income, and Pro Forma Adjusted Earnings per Share should not be construed to imply that our future results will be unaffected by any such adjustments.</w:t>
      </w:r>
    </w:p>
    <w:p>
      <w:pPr>
        <w:spacing w:after="0" w:line="186"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Our Adjusted EBITDA, Adjusted EBIT, Adjusted Net Income, Pro Forma Adjusted Net Income, and Pro Forma Adjusted Earnings per Share measures have limitations as analytical tools, and you should not consider them in isolation, or as a substitute for analysis of our results as reported under GAAP. Some of these limitations are:</w:t>
      </w:r>
    </w:p>
    <w:p>
      <w:pPr>
        <w:spacing w:after="0" w:line="185" w:lineRule="exact"/>
        <w:rPr>
          <w:sz w:val="20"/>
          <w:szCs w:val="20"/>
          <w:color w:val="auto"/>
        </w:rPr>
      </w:pPr>
    </w:p>
    <w:p>
      <w:pPr>
        <w:ind w:left="660" w:right="20" w:hanging="328"/>
        <w:spacing w:after="0" w:line="286" w:lineRule="auto"/>
        <w:tabs>
          <w:tab w:leader="none" w:pos="6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Adjusted EBITDA, Adjusted EBIT, Adjusted Net Income, Pro Forma Adjusted Net Income and Pro Forma Adjusted Earnings per Share do not reflect costs or cash outlays for capital expenditures or contractual commitments;</w:t>
      </w:r>
    </w:p>
    <w:p>
      <w:pPr>
        <w:spacing w:after="0" w:line="61" w:lineRule="exact"/>
        <w:rPr>
          <w:rFonts w:ascii="Arial" w:cs="Arial" w:eastAsia="Arial" w:hAnsi="Arial"/>
          <w:sz w:val="16"/>
          <w:szCs w:val="16"/>
          <w:color w:val="auto"/>
        </w:rPr>
      </w:pPr>
    </w:p>
    <w:p>
      <w:pPr>
        <w:ind w:left="660" w:right="20" w:hanging="328"/>
        <w:spacing w:after="0" w:line="286" w:lineRule="auto"/>
        <w:tabs>
          <w:tab w:leader="none" w:pos="6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Adjusted EBITDA, Adjusted EBIT, Adjusted Net Income, Pro Forma Adjusted Net Income and Pro Forma Adjusted Earnings per Share do not reflect changes in, or cash requirements for, our working capital needs;</w:t>
      </w:r>
    </w:p>
    <w:p>
      <w:pPr>
        <w:spacing w:after="0" w:line="47" w:lineRule="exact"/>
        <w:rPr>
          <w:rFonts w:ascii="Arial" w:cs="Arial" w:eastAsia="Arial" w:hAnsi="Arial"/>
          <w:sz w:val="16"/>
          <w:szCs w:val="16"/>
          <w:color w:val="auto"/>
        </w:rPr>
      </w:pPr>
    </w:p>
    <w:p>
      <w:pPr>
        <w:ind w:left="660" w:right="640" w:hanging="328"/>
        <w:spacing w:after="0" w:line="304" w:lineRule="auto"/>
        <w:tabs>
          <w:tab w:leader="none" w:pos="6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Adjusted EBITDA and Adjusted EBIT do not reflect the interest expense, or the cash requirements necessary to service interest or principal payments, on our debt;</w:t>
      </w:r>
    </w:p>
    <w:p>
      <w:pPr>
        <w:spacing w:after="0" w:line="33" w:lineRule="exact"/>
        <w:rPr>
          <w:rFonts w:ascii="Arial" w:cs="Arial" w:eastAsia="Arial" w:hAnsi="Arial"/>
          <w:sz w:val="16"/>
          <w:szCs w:val="16"/>
          <w:color w:val="auto"/>
        </w:rPr>
      </w:pPr>
    </w:p>
    <w:p>
      <w:pPr>
        <w:ind w:left="660" w:right="320" w:hanging="328"/>
        <w:spacing w:after="0" w:line="286" w:lineRule="auto"/>
        <w:tabs>
          <w:tab w:leader="none" w:pos="6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Adjusted EBITDA and Adjusted EBIT do not reflect period to period changes in taxes, income tax expense or the cash necessary to pay income taxes;</w:t>
      </w:r>
    </w:p>
    <w:p>
      <w:pPr>
        <w:spacing w:after="0" w:line="61" w:lineRule="exact"/>
        <w:rPr>
          <w:rFonts w:ascii="Arial" w:cs="Arial" w:eastAsia="Arial" w:hAnsi="Arial"/>
          <w:sz w:val="16"/>
          <w:szCs w:val="16"/>
          <w:color w:val="auto"/>
        </w:rPr>
      </w:pPr>
    </w:p>
    <w:p>
      <w:pPr>
        <w:ind w:left="660" w:right="20" w:hanging="328"/>
        <w:spacing w:after="0" w:line="286" w:lineRule="auto"/>
        <w:tabs>
          <w:tab w:leader="none" w:pos="6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Adjusted EBITDA, Adjusted EBIT, Adjusted Net Income, Pro Forma Adjusted Net Income and Pro Forma Adjusted Earnings per Share do not reflect the impact of earnings or charges resulting from matters we consider not to be indicative of our ongoing operations;</w:t>
      </w:r>
    </w:p>
    <w:p>
      <w:pPr>
        <w:spacing w:after="0" w:line="61" w:lineRule="exact"/>
        <w:rPr>
          <w:rFonts w:ascii="Arial" w:cs="Arial" w:eastAsia="Arial" w:hAnsi="Arial"/>
          <w:sz w:val="16"/>
          <w:szCs w:val="16"/>
          <w:color w:val="auto"/>
        </w:rPr>
      </w:pPr>
    </w:p>
    <w:p>
      <w:pPr>
        <w:ind w:left="660" w:right="380" w:hanging="328"/>
        <w:spacing w:after="0" w:line="286" w:lineRule="auto"/>
        <w:tabs>
          <w:tab w:leader="none" w:pos="6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cash requirements for such replacements; and</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other companies in our industry may calculate these measures differently than we do, limiting their usefulness as comparative measures.</w:t>
      </w:r>
    </w:p>
    <w:p>
      <w:pPr>
        <w:spacing w:after="0" w:line="235"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Because of these limitations, Adjusted EBITDA, Adjusted EBIT, Adjusted Net Income, Pro Forma Adjusted Net Income, and Pro Forma Adjusted Earnings per Share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Pro Forma Adjusted Net Income, and Pro Forma Adjusted Earnings per Share supplementally.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1301750</wp:posOffset>
            </wp:positionV>
            <wp:extent cx="857250" cy="205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3"/>
          <w:szCs w:val="13"/>
          <w:b w:val="1"/>
          <w:bCs w:val="1"/>
          <w:color w:val="007EC4"/>
        </w:rPr>
        <w:t xml:space="preserve">70 </w:t>
      </w:r>
      <w:r>
        <w:rPr>
          <w:rFonts w:ascii="Arial" w:cs="Arial" w:eastAsia="Arial" w:hAnsi="Arial"/>
          <w:sz w:val="13"/>
          <w:szCs w:val="13"/>
          <w:color w:val="000000"/>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Adjusted EBITDA and Adjusted EBIT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reconciliations of net income (loss) to Adjusted EBITDA and Adjusted EBIT for the periods presented (amounts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20" w:type="dxa"/>
            <w:vAlign w:val="bottom"/>
            <w:tcBorders>
              <w:bottom w:val="single" w:sz="8" w:color="E1D7AC"/>
            </w:tcBorders>
            <w:shd w:val="clear" w:color="auto" w:fill="E1D7AC"/>
          </w:tcPr>
          <w:p>
            <w:pPr>
              <w:spacing w:after="0"/>
              <w:rPr>
                <w:sz w:val="21"/>
                <w:szCs w:val="21"/>
                <w:color w:val="auto"/>
              </w:rPr>
            </w:pPr>
          </w:p>
        </w:tc>
        <w:tc>
          <w:tcPr>
            <w:tcW w:w="2480" w:type="dxa"/>
            <w:vAlign w:val="bottom"/>
            <w:tcBorders>
              <w:bottom w:val="single" w:sz="8" w:color="E1D7AC"/>
            </w:tcBorders>
            <w:shd w:val="clear" w:color="auto" w:fill="E1D7AC"/>
          </w:tcPr>
          <w:p>
            <w:pPr>
              <w:spacing w:after="0"/>
              <w:rPr>
                <w:sz w:val="21"/>
                <w:szCs w:val="21"/>
                <w:color w:val="auto"/>
              </w:rPr>
            </w:pPr>
          </w:p>
        </w:tc>
        <w:tc>
          <w:tcPr>
            <w:tcW w:w="2540" w:type="dxa"/>
            <w:vAlign w:val="bottom"/>
            <w:tcBorders>
              <w:bottom w:val="single" w:sz="8" w:color="E1D7AC"/>
            </w:tcBorders>
            <w:shd w:val="clear" w:color="auto" w:fill="E1D7AC"/>
          </w:tcPr>
          <w:p>
            <w:pPr>
              <w:jc w:val="right"/>
              <w:ind w:right="968"/>
              <w:spacing w:after="0"/>
              <w:rPr>
                <w:sz w:val="20"/>
                <w:szCs w:val="20"/>
                <w:color w:val="auto"/>
              </w:rPr>
            </w:pPr>
            <w:r>
              <w:rPr>
                <w:rFonts w:ascii="Arial" w:cs="Arial" w:eastAsia="Arial" w:hAnsi="Arial"/>
                <w:sz w:val="14"/>
                <w:szCs w:val="14"/>
                <w:b w:val="1"/>
                <w:bCs w:val="1"/>
                <w:color w:val="auto"/>
              </w:rPr>
              <w:t>Fiscal Year Ended</w:t>
            </w:r>
          </w:p>
        </w:tc>
        <w:tc>
          <w:tcPr>
            <w:tcW w:w="1700" w:type="dxa"/>
            <w:vAlign w:val="bottom"/>
            <w:tcBorders>
              <w:bottom w:val="single" w:sz="8" w:color="E1D7AC"/>
            </w:tcBorders>
            <w:shd w:val="clear" w:color="auto" w:fill="E1D7AC"/>
          </w:tcPr>
          <w:p>
            <w:pPr>
              <w:spacing w:after="0"/>
              <w:rPr>
                <w:sz w:val="21"/>
                <w:szCs w:val="21"/>
                <w:color w:val="auto"/>
              </w:rPr>
            </w:pPr>
          </w:p>
        </w:tc>
        <w:tc>
          <w:tcPr>
            <w:tcW w:w="100" w:type="dxa"/>
            <w:vAlign w:val="bottom"/>
            <w:tcBorders>
              <w:bottom w:val="single" w:sz="8" w:color="E1D7AC"/>
            </w:tcBorders>
            <w:shd w:val="clear" w:color="auto" w:fill="E1D7AC"/>
          </w:tcPr>
          <w:p>
            <w:pPr>
              <w:spacing w:after="0"/>
              <w:rPr>
                <w:sz w:val="21"/>
                <w:szCs w:val="21"/>
                <w:color w:val="auto"/>
              </w:rPr>
            </w:pPr>
          </w:p>
        </w:tc>
      </w:tr>
      <w:tr>
        <w:trPr>
          <w:trHeight w:val="200"/>
        </w:trPr>
        <w:tc>
          <w:tcPr>
            <w:tcW w:w="4420" w:type="dxa"/>
            <w:vAlign w:val="bottom"/>
            <w:tcBorders>
              <w:top w:val="single" w:sz="8" w:color="E1D7AC"/>
            </w:tcBorders>
            <w:shd w:val="clear" w:color="auto" w:fill="E1D7AC"/>
          </w:tcPr>
          <w:p>
            <w:pPr>
              <w:spacing w:after="0"/>
              <w:rPr>
                <w:sz w:val="17"/>
                <w:szCs w:val="17"/>
                <w:color w:val="auto"/>
              </w:rPr>
            </w:pPr>
          </w:p>
        </w:tc>
        <w:tc>
          <w:tcPr>
            <w:tcW w:w="2480" w:type="dxa"/>
            <w:vAlign w:val="bottom"/>
            <w:tcBorders>
              <w:top w:val="single" w:sz="8" w:color="auto"/>
            </w:tcBorders>
            <w:shd w:val="clear" w:color="auto" w:fill="E1D7AC"/>
          </w:tcPr>
          <w:p>
            <w:pPr>
              <w:jc w:val="right"/>
              <w:ind w:right="188"/>
              <w:spacing w:after="0"/>
              <w:rPr>
                <w:sz w:val="20"/>
                <w:szCs w:val="20"/>
                <w:color w:val="auto"/>
              </w:rPr>
            </w:pPr>
            <w:r>
              <w:rPr>
                <w:rFonts w:ascii="Arial" w:cs="Arial" w:eastAsia="Arial" w:hAnsi="Arial"/>
                <w:sz w:val="14"/>
                <w:szCs w:val="14"/>
                <w:b w:val="1"/>
                <w:bCs w:val="1"/>
                <w:color w:val="auto"/>
              </w:rPr>
              <w:t>January 29, 2022</w:t>
            </w:r>
          </w:p>
        </w:tc>
        <w:tc>
          <w:tcPr>
            <w:tcW w:w="2540" w:type="dxa"/>
            <w:vAlign w:val="bottom"/>
            <w:tcBorders>
              <w:top w:val="single" w:sz="8" w:color="auto"/>
            </w:tcBorders>
            <w:shd w:val="clear" w:color="auto" w:fill="E1D7AC"/>
          </w:tcPr>
          <w:p>
            <w:pPr>
              <w:jc w:val="right"/>
              <w:ind w:right="488"/>
              <w:spacing w:after="0"/>
              <w:rPr>
                <w:sz w:val="20"/>
                <w:szCs w:val="20"/>
                <w:color w:val="auto"/>
              </w:rPr>
            </w:pPr>
            <w:r>
              <w:rPr>
                <w:rFonts w:ascii="Arial" w:cs="Arial" w:eastAsia="Arial" w:hAnsi="Arial"/>
                <w:sz w:val="14"/>
                <w:szCs w:val="14"/>
                <w:b w:val="1"/>
                <w:bCs w:val="1"/>
                <w:color w:val="auto"/>
              </w:rPr>
              <w:t>January 30, 2021</w:t>
            </w:r>
          </w:p>
        </w:tc>
        <w:tc>
          <w:tcPr>
            <w:tcW w:w="170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4"/>
                <w:szCs w:val="14"/>
                <w:b w:val="1"/>
                <w:bCs w:val="1"/>
                <w:color w:val="auto"/>
              </w:rPr>
              <w:t>February 1, 2020</w:t>
            </w:r>
          </w:p>
        </w:tc>
        <w:tc>
          <w:tcPr>
            <w:tcW w:w="100" w:type="dxa"/>
            <w:vAlign w:val="bottom"/>
            <w:tcBorders>
              <w:top w:val="single" w:sz="8" w:color="E1D7AC"/>
            </w:tcBorders>
            <w:shd w:val="clear" w:color="auto" w:fill="E1D7AC"/>
          </w:tcPr>
          <w:p>
            <w:pPr>
              <w:spacing w:after="0"/>
              <w:rPr>
                <w:sz w:val="17"/>
                <w:szCs w:val="17"/>
                <w:color w:val="auto"/>
              </w:rPr>
            </w:pPr>
          </w:p>
        </w:tc>
      </w:tr>
      <w:tr>
        <w:trPr>
          <w:trHeight w:val="205"/>
        </w:trPr>
        <w:tc>
          <w:tcPr>
            <w:tcW w:w="4420" w:type="dxa"/>
            <w:vAlign w:val="bottom"/>
            <w:tcBorders>
              <w:bottom w:val="single" w:sz="8" w:color="E1D7AC"/>
            </w:tcBorders>
            <w:shd w:val="clear" w:color="auto" w:fill="E1D7AC"/>
          </w:tcPr>
          <w:p>
            <w:pPr>
              <w:spacing w:after="0"/>
              <w:rPr>
                <w:sz w:val="17"/>
                <w:szCs w:val="17"/>
                <w:color w:val="auto"/>
              </w:rPr>
            </w:pPr>
          </w:p>
        </w:tc>
        <w:tc>
          <w:tcPr>
            <w:tcW w:w="2480" w:type="dxa"/>
            <w:vAlign w:val="bottom"/>
            <w:tcBorders>
              <w:bottom w:val="single" w:sz="8" w:color="E1D7AC"/>
            </w:tcBorders>
            <w:shd w:val="clear" w:color="auto" w:fill="E1D7AC"/>
          </w:tcPr>
          <w:p>
            <w:pPr>
              <w:jc w:val="right"/>
              <w:ind w:right="188"/>
              <w:spacing w:after="0"/>
              <w:rPr>
                <w:sz w:val="20"/>
                <w:szCs w:val="20"/>
                <w:color w:val="auto"/>
              </w:rPr>
            </w:pPr>
            <w:r>
              <w:rPr>
                <w:rFonts w:ascii="Arial" w:cs="Arial" w:eastAsia="Arial" w:hAnsi="Arial"/>
                <w:sz w:val="14"/>
                <w:szCs w:val="14"/>
                <w:b w:val="1"/>
                <w:bCs w:val="1"/>
                <w:color w:val="auto"/>
              </w:rPr>
              <w:t>($)</w:t>
            </w:r>
          </w:p>
        </w:tc>
        <w:tc>
          <w:tcPr>
            <w:tcW w:w="2540" w:type="dxa"/>
            <w:vAlign w:val="bottom"/>
            <w:tcBorders>
              <w:bottom w:val="single" w:sz="8" w:color="E1D7AC"/>
            </w:tcBorders>
            <w:shd w:val="clear" w:color="auto" w:fill="E1D7AC"/>
          </w:tcPr>
          <w:p>
            <w:pPr>
              <w:jc w:val="right"/>
              <w:ind w:right="48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D7AC"/>
            </w:tcBorders>
            <w:shd w:val="clear" w:color="auto" w:fill="E1D7AC"/>
          </w:tcPr>
          <w:p>
            <w:pPr>
              <w:spacing w:after="0"/>
              <w:rPr>
                <w:sz w:val="17"/>
                <w:szCs w:val="17"/>
                <w:color w:val="auto"/>
              </w:rPr>
            </w:pPr>
          </w:p>
        </w:tc>
      </w:tr>
      <w:tr>
        <w:trPr>
          <w:trHeight w:val="223"/>
        </w:trPr>
        <w:tc>
          <w:tcPr>
            <w:tcW w:w="44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Net income</w:t>
            </w:r>
          </w:p>
        </w:tc>
        <w:tc>
          <w:tcPr>
            <w:tcW w:w="248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4"/>
                <w:szCs w:val="14"/>
                <w:b w:val="1"/>
                <w:bCs w:val="1"/>
                <w:color w:val="auto"/>
              </w:rPr>
              <w:t>671,381</w:t>
            </w:r>
          </w:p>
        </w:tc>
        <w:tc>
          <w:tcPr>
            <w:tcW w:w="2540" w:type="dxa"/>
            <w:vAlign w:val="bottom"/>
            <w:tcBorders>
              <w:bottom w:val="single" w:sz="8" w:color="DBDBDB"/>
            </w:tcBorders>
            <w:shd w:val="clear" w:color="auto" w:fill="DBDBDB"/>
          </w:tcPr>
          <w:p>
            <w:pPr>
              <w:jc w:val="right"/>
              <w:ind w:right="528"/>
              <w:spacing w:after="0"/>
              <w:rPr>
                <w:sz w:val="20"/>
                <w:szCs w:val="20"/>
                <w:color w:val="auto"/>
              </w:rPr>
            </w:pPr>
            <w:r>
              <w:rPr>
                <w:rFonts w:ascii="Arial" w:cs="Arial" w:eastAsia="Arial" w:hAnsi="Arial"/>
                <w:sz w:val="14"/>
                <w:szCs w:val="14"/>
                <w:color w:val="auto"/>
              </w:rPr>
              <w:t>308,764</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120,043</w:t>
            </w:r>
          </w:p>
        </w:tc>
        <w:tc>
          <w:tcPr>
            <w:tcW w:w="100" w:type="dxa"/>
            <w:vAlign w:val="bottom"/>
            <w:tcBorders>
              <w:bottom w:val="single" w:sz="8" w:color="DBDBDB"/>
            </w:tcBorders>
            <w:shd w:val="clear" w:color="auto" w:fill="DBDBDB"/>
          </w:tcPr>
          <w:p>
            <w:pPr>
              <w:spacing w:after="0"/>
              <w:rPr>
                <w:sz w:val="19"/>
                <w:szCs w:val="19"/>
                <w:color w:val="auto"/>
              </w:rPr>
            </w:pPr>
          </w:p>
        </w:tc>
      </w:tr>
      <w:tr>
        <w:trPr>
          <w:trHeight w:val="214"/>
        </w:trPr>
        <w:tc>
          <w:tcPr>
            <w:tcW w:w="4420" w:type="dxa"/>
            <w:vAlign w:val="bottom"/>
          </w:tcPr>
          <w:p>
            <w:pPr>
              <w:ind w:left="100"/>
              <w:spacing w:after="0"/>
              <w:rPr>
                <w:sz w:val="20"/>
                <w:szCs w:val="20"/>
                <w:color w:val="auto"/>
              </w:rPr>
            </w:pPr>
            <w:r>
              <w:rPr>
                <w:rFonts w:ascii="Arial" w:cs="Arial" w:eastAsia="Arial" w:hAnsi="Arial"/>
                <w:sz w:val="14"/>
                <w:szCs w:val="14"/>
                <w:color w:val="auto"/>
              </w:rPr>
              <w:t>Interest expense, net</w:t>
            </w:r>
          </w:p>
        </w:tc>
        <w:tc>
          <w:tcPr>
            <w:tcW w:w="2480" w:type="dxa"/>
            <w:vAlign w:val="bottom"/>
          </w:tcPr>
          <w:p>
            <w:pPr>
              <w:jc w:val="right"/>
              <w:ind w:right="228"/>
              <w:spacing w:after="0"/>
              <w:rPr>
                <w:sz w:val="20"/>
                <w:szCs w:val="20"/>
                <w:color w:val="auto"/>
              </w:rPr>
            </w:pPr>
            <w:r>
              <w:rPr>
                <w:rFonts w:ascii="Arial" w:cs="Arial" w:eastAsia="Arial" w:hAnsi="Arial"/>
                <w:sz w:val="14"/>
                <w:szCs w:val="14"/>
                <w:b w:val="1"/>
                <w:bCs w:val="1"/>
                <w:color w:val="auto"/>
              </w:rPr>
              <w:t>48,989</w:t>
            </w:r>
          </w:p>
        </w:tc>
        <w:tc>
          <w:tcPr>
            <w:tcW w:w="2540" w:type="dxa"/>
            <w:vAlign w:val="bottom"/>
          </w:tcPr>
          <w:p>
            <w:pPr>
              <w:jc w:val="right"/>
              <w:ind w:right="528"/>
              <w:spacing w:after="0"/>
              <w:rPr>
                <w:sz w:val="20"/>
                <w:szCs w:val="20"/>
                <w:color w:val="auto"/>
              </w:rPr>
            </w:pPr>
            <w:r>
              <w:rPr>
                <w:rFonts w:ascii="Arial" w:cs="Arial" w:eastAsia="Arial" w:hAnsi="Arial"/>
                <w:sz w:val="14"/>
                <w:szCs w:val="14"/>
                <w:color w:val="auto"/>
              </w:rPr>
              <w:t>86,514</w:t>
            </w:r>
          </w:p>
        </w:tc>
        <w:tc>
          <w:tcPr>
            <w:tcW w:w="1700" w:type="dxa"/>
            <w:vAlign w:val="bottom"/>
          </w:tcPr>
          <w:p>
            <w:pPr>
              <w:jc w:val="right"/>
              <w:spacing w:after="0"/>
              <w:rPr>
                <w:sz w:val="20"/>
                <w:szCs w:val="20"/>
                <w:color w:val="auto"/>
              </w:rPr>
            </w:pPr>
            <w:r>
              <w:rPr>
                <w:rFonts w:ascii="Arial" w:cs="Arial" w:eastAsia="Arial" w:hAnsi="Arial"/>
                <w:sz w:val="14"/>
                <w:szCs w:val="14"/>
                <w:color w:val="auto"/>
              </w:rPr>
              <w:t>101,307</w:t>
            </w:r>
          </w:p>
        </w:tc>
        <w:tc>
          <w:tcPr>
            <w:tcW w:w="100" w:type="dxa"/>
            <w:vAlign w:val="bottom"/>
          </w:tcPr>
          <w:p>
            <w:pPr>
              <w:spacing w:after="0"/>
              <w:rPr>
                <w:sz w:val="18"/>
                <w:szCs w:val="18"/>
                <w:color w:val="auto"/>
              </w:rPr>
            </w:pPr>
          </w:p>
        </w:tc>
      </w:tr>
      <w:tr>
        <w:trPr>
          <w:trHeight w:val="29"/>
        </w:trPr>
        <w:tc>
          <w:tcPr>
            <w:tcW w:w="4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4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Income tax expense</w:t>
            </w:r>
          </w:p>
        </w:tc>
        <w:tc>
          <w:tcPr>
            <w:tcW w:w="248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4"/>
                <w:szCs w:val="14"/>
                <w:b w:val="1"/>
                <w:bCs w:val="1"/>
                <w:color w:val="auto"/>
              </w:rPr>
              <w:t>188,159</w:t>
            </w:r>
          </w:p>
        </w:tc>
        <w:tc>
          <w:tcPr>
            <w:tcW w:w="2540" w:type="dxa"/>
            <w:vAlign w:val="bottom"/>
            <w:tcBorders>
              <w:bottom w:val="single" w:sz="8" w:color="DBDBDB"/>
            </w:tcBorders>
            <w:shd w:val="clear" w:color="auto" w:fill="DBDBDB"/>
          </w:tcPr>
          <w:p>
            <w:pPr>
              <w:jc w:val="right"/>
              <w:ind w:right="528"/>
              <w:spacing w:after="0"/>
              <w:rPr>
                <w:sz w:val="20"/>
                <w:szCs w:val="20"/>
                <w:color w:val="auto"/>
              </w:rPr>
            </w:pPr>
            <w:r>
              <w:rPr>
                <w:rFonts w:ascii="Arial" w:cs="Arial" w:eastAsia="Arial" w:hAnsi="Arial"/>
                <w:sz w:val="14"/>
                <w:szCs w:val="14"/>
                <w:color w:val="auto"/>
              </w:rPr>
              <w:t>30,356</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2,817</w:t>
            </w:r>
          </w:p>
        </w:tc>
        <w:tc>
          <w:tcPr>
            <w:tcW w:w="100" w:type="dxa"/>
            <w:vAlign w:val="bottom"/>
            <w:tcBorders>
              <w:bottom w:val="single" w:sz="8" w:color="DBDBDB"/>
            </w:tcBorders>
            <w:shd w:val="clear" w:color="auto" w:fill="DBDBDB"/>
          </w:tcPr>
          <w:p>
            <w:pPr>
              <w:spacing w:after="0"/>
              <w:rPr>
                <w:sz w:val="19"/>
                <w:szCs w:val="19"/>
                <w:color w:val="auto"/>
              </w:rPr>
            </w:pPr>
          </w:p>
        </w:tc>
      </w:tr>
      <w:tr>
        <w:trPr>
          <w:trHeight w:val="214"/>
        </w:trPr>
        <w:tc>
          <w:tcPr>
            <w:tcW w:w="442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2480" w:type="dxa"/>
            <w:vAlign w:val="bottom"/>
          </w:tcPr>
          <w:p>
            <w:pPr>
              <w:jc w:val="right"/>
              <w:ind w:right="228"/>
              <w:spacing w:after="0"/>
              <w:rPr>
                <w:sz w:val="20"/>
                <w:szCs w:val="20"/>
                <w:color w:val="auto"/>
              </w:rPr>
            </w:pPr>
            <w:r>
              <w:rPr>
                <w:rFonts w:ascii="Arial" w:cs="Arial" w:eastAsia="Arial" w:hAnsi="Arial"/>
                <w:sz w:val="14"/>
                <w:szCs w:val="14"/>
                <w:b w:val="1"/>
                <w:bCs w:val="1"/>
                <w:color w:val="auto"/>
              </w:rPr>
              <w:t>105,274</w:t>
            </w:r>
          </w:p>
        </w:tc>
        <w:tc>
          <w:tcPr>
            <w:tcW w:w="2540" w:type="dxa"/>
            <w:vAlign w:val="bottom"/>
          </w:tcPr>
          <w:p>
            <w:pPr>
              <w:jc w:val="right"/>
              <w:ind w:right="528"/>
              <w:spacing w:after="0"/>
              <w:rPr>
                <w:sz w:val="20"/>
                <w:szCs w:val="20"/>
                <w:color w:val="auto"/>
              </w:rPr>
            </w:pPr>
            <w:r>
              <w:rPr>
                <w:rFonts w:ascii="Arial" w:cs="Arial" w:eastAsia="Arial" w:hAnsi="Arial"/>
                <w:sz w:val="14"/>
                <w:szCs w:val="14"/>
                <w:color w:val="auto"/>
              </w:rPr>
              <w:t>105,481</w:t>
            </w:r>
          </w:p>
        </w:tc>
        <w:tc>
          <w:tcPr>
            <w:tcW w:w="1700" w:type="dxa"/>
            <w:vAlign w:val="bottom"/>
          </w:tcPr>
          <w:p>
            <w:pPr>
              <w:jc w:val="right"/>
              <w:spacing w:after="0"/>
              <w:rPr>
                <w:sz w:val="20"/>
                <w:szCs w:val="20"/>
                <w:color w:val="auto"/>
              </w:rPr>
            </w:pPr>
            <w:r>
              <w:rPr>
                <w:rFonts w:ascii="Arial" w:cs="Arial" w:eastAsia="Arial" w:hAnsi="Arial"/>
                <w:sz w:val="14"/>
                <w:szCs w:val="14"/>
                <w:color w:val="auto"/>
              </w:rPr>
              <w:t>117,254</w:t>
            </w:r>
          </w:p>
        </w:tc>
        <w:tc>
          <w:tcPr>
            <w:tcW w:w="100" w:type="dxa"/>
            <w:vAlign w:val="bottom"/>
          </w:tcPr>
          <w:p>
            <w:pPr>
              <w:spacing w:after="0"/>
              <w:rPr>
                <w:sz w:val="18"/>
                <w:szCs w:val="18"/>
                <w:color w:val="auto"/>
              </w:rPr>
            </w:pPr>
          </w:p>
        </w:tc>
      </w:tr>
      <w:tr>
        <w:trPr>
          <w:trHeight w:val="29"/>
        </w:trPr>
        <w:tc>
          <w:tcPr>
            <w:tcW w:w="4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42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Consulting fees</w:t>
            </w:r>
            <w:r>
              <w:rPr>
                <w:rFonts w:ascii="Arial" w:cs="Arial" w:eastAsia="Arial" w:hAnsi="Arial"/>
                <w:sz w:val="18"/>
                <w:szCs w:val="18"/>
                <w:color w:val="auto"/>
                <w:vertAlign w:val="superscript"/>
              </w:rPr>
              <w:t>(a)</w:t>
            </w:r>
          </w:p>
        </w:tc>
        <w:tc>
          <w:tcPr>
            <w:tcW w:w="2480" w:type="dxa"/>
            <w:vAlign w:val="bottom"/>
            <w:shd w:val="clear" w:color="auto" w:fill="DBDBDB"/>
          </w:tcPr>
          <w:p>
            <w:pPr>
              <w:jc w:val="right"/>
              <w:ind w:right="228"/>
              <w:spacing w:after="0"/>
              <w:rPr>
                <w:sz w:val="20"/>
                <w:szCs w:val="20"/>
                <w:color w:val="auto"/>
              </w:rPr>
            </w:pPr>
            <w:r>
              <w:rPr>
                <w:rFonts w:ascii="Arial" w:cs="Arial" w:eastAsia="Arial" w:hAnsi="Arial"/>
                <w:sz w:val="14"/>
                <w:szCs w:val="14"/>
                <w:b w:val="1"/>
                <w:bCs w:val="1"/>
                <w:color w:val="auto"/>
              </w:rPr>
              <w:t>—</w:t>
            </w:r>
          </w:p>
        </w:tc>
        <w:tc>
          <w:tcPr>
            <w:tcW w:w="2540" w:type="dxa"/>
            <w:vAlign w:val="bottom"/>
            <w:shd w:val="clear" w:color="auto" w:fill="DBDBDB"/>
          </w:tcPr>
          <w:p>
            <w:pPr>
              <w:jc w:val="right"/>
              <w:ind w:right="528"/>
              <w:spacing w:after="0"/>
              <w:rPr>
                <w:sz w:val="20"/>
                <w:szCs w:val="20"/>
                <w:color w:val="auto"/>
              </w:rPr>
            </w:pPr>
            <w:r>
              <w:rPr>
                <w:rFonts w:ascii="Arial" w:cs="Arial" w:eastAsia="Arial" w:hAnsi="Arial"/>
                <w:sz w:val="14"/>
                <w:szCs w:val="14"/>
                <w:color w:val="auto"/>
              </w:rPr>
              <w:t>285</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3,601</w:t>
            </w:r>
          </w:p>
        </w:tc>
        <w:tc>
          <w:tcPr>
            <w:tcW w:w="100" w:type="dxa"/>
            <w:vAlign w:val="bottom"/>
            <w:shd w:val="clear" w:color="auto" w:fill="DBDBDB"/>
          </w:tcPr>
          <w:p>
            <w:pPr>
              <w:spacing w:after="0"/>
              <w:rPr>
                <w:sz w:val="21"/>
                <w:szCs w:val="21"/>
                <w:color w:val="auto"/>
              </w:rPr>
            </w:pPr>
          </w:p>
        </w:tc>
      </w:tr>
      <w:tr>
        <w:trPr>
          <w:trHeight w:val="243"/>
        </w:trPr>
        <w:tc>
          <w:tcPr>
            <w:tcW w:w="4420" w:type="dxa"/>
            <w:vAlign w:val="bottom"/>
          </w:tcPr>
          <w:p>
            <w:pPr>
              <w:ind w:left="100"/>
              <w:spacing w:after="0"/>
              <w:rPr>
                <w:sz w:val="20"/>
                <w:szCs w:val="20"/>
                <w:color w:val="auto"/>
              </w:rPr>
            </w:pPr>
            <w:r>
              <w:rPr>
                <w:rFonts w:ascii="Arial" w:cs="Arial" w:eastAsia="Arial" w:hAnsi="Arial"/>
                <w:sz w:val="14"/>
                <w:szCs w:val="14"/>
                <w:color w:val="auto"/>
              </w:rPr>
              <w:t>Private equity sponsor monitoring fee</w:t>
            </w:r>
            <w:r>
              <w:rPr>
                <w:rFonts w:ascii="Arial" w:cs="Arial" w:eastAsia="Arial" w:hAnsi="Arial"/>
                <w:sz w:val="18"/>
                <w:szCs w:val="18"/>
                <w:color w:val="auto"/>
                <w:vertAlign w:val="superscript"/>
              </w:rPr>
              <w:t>(b)</w:t>
            </w:r>
          </w:p>
        </w:tc>
        <w:tc>
          <w:tcPr>
            <w:tcW w:w="248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2540" w:type="dxa"/>
            <w:vAlign w:val="bottom"/>
          </w:tcPr>
          <w:p>
            <w:pPr>
              <w:jc w:val="right"/>
              <w:ind w:right="528"/>
              <w:spacing w:after="0"/>
              <w:rPr>
                <w:sz w:val="20"/>
                <w:szCs w:val="20"/>
                <w:color w:val="auto"/>
              </w:rPr>
            </w:pPr>
            <w:r>
              <w:rPr>
                <w:rFonts w:ascii="Arial" w:cs="Arial" w:eastAsia="Arial" w:hAnsi="Arial"/>
                <w:sz w:val="14"/>
                <w:szCs w:val="14"/>
                <w:color w:val="auto"/>
              </w:rPr>
              <w:t>14,793</w:t>
            </w:r>
          </w:p>
        </w:tc>
        <w:tc>
          <w:tcPr>
            <w:tcW w:w="1700" w:type="dxa"/>
            <w:vAlign w:val="bottom"/>
          </w:tcPr>
          <w:p>
            <w:pPr>
              <w:jc w:val="right"/>
              <w:spacing w:after="0"/>
              <w:rPr>
                <w:sz w:val="20"/>
                <w:szCs w:val="20"/>
                <w:color w:val="auto"/>
              </w:rPr>
            </w:pPr>
            <w:r>
              <w:rPr>
                <w:rFonts w:ascii="Arial" w:cs="Arial" w:eastAsia="Arial" w:hAnsi="Arial"/>
                <w:sz w:val="14"/>
                <w:szCs w:val="14"/>
                <w:color w:val="auto"/>
              </w:rPr>
              <w:t>3,636</w:t>
            </w:r>
          </w:p>
        </w:tc>
        <w:tc>
          <w:tcPr>
            <w:tcW w:w="100" w:type="dxa"/>
            <w:vAlign w:val="bottom"/>
          </w:tcPr>
          <w:p>
            <w:pPr>
              <w:spacing w:after="0"/>
              <w:rPr>
                <w:sz w:val="21"/>
                <w:szCs w:val="21"/>
                <w:color w:val="auto"/>
              </w:rPr>
            </w:pPr>
          </w:p>
        </w:tc>
      </w:tr>
      <w:tr>
        <w:trPr>
          <w:trHeight w:val="243"/>
        </w:trPr>
        <w:tc>
          <w:tcPr>
            <w:tcW w:w="4420" w:type="dxa"/>
            <w:vAlign w:val="bottom"/>
            <w:shd w:val="clear" w:color="auto" w:fill="DBDBDB"/>
          </w:tcPr>
          <w:p>
            <w:pPr>
              <w:ind w:left="100"/>
              <w:spacing w:after="0"/>
              <w:rPr>
                <w:sz w:val="20"/>
                <w:szCs w:val="20"/>
                <w:color w:val="auto"/>
              </w:rPr>
            </w:pPr>
            <w:r>
              <w:rPr>
                <w:rFonts w:ascii="Arial" w:cs="Arial" w:eastAsia="Arial" w:hAnsi="Arial"/>
                <w:sz w:val="14"/>
                <w:szCs w:val="14"/>
                <w:color w:val="auto"/>
              </w:rPr>
              <w:t>Equity compensation</w:t>
            </w:r>
            <w:r>
              <w:rPr>
                <w:rFonts w:ascii="Arial" w:cs="Arial" w:eastAsia="Arial" w:hAnsi="Arial"/>
                <w:sz w:val="18"/>
                <w:szCs w:val="18"/>
                <w:color w:val="auto"/>
                <w:vertAlign w:val="superscript"/>
              </w:rPr>
              <w:t>(c)</w:t>
            </w:r>
          </w:p>
        </w:tc>
        <w:tc>
          <w:tcPr>
            <w:tcW w:w="2480" w:type="dxa"/>
            <w:vAlign w:val="bottom"/>
            <w:shd w:val="clear" w:color="auto" w:fill="DBDBDB"/>
          </w:tcPr>
          <w:p>
            <w:pPr>
              <w:jc w:val="right"/>
              <w:ind w:right="228"/>
              <w:spacing w:after="0"/>
              <w:rPr>
                <w:sz w:val="20"/>
                <w:szCs w:val="20"/>
                <w:color w:val="auto"/>
              </w:rPr>
            </w:pPr>
            <w:r>
              <w:rPr>
                <w:rFonts w:ascii="Arial" w:cs="Arial" w:eastAsia="Arial" w:hAnsi="Arial"/>
                <w:sz w:val="14"/>
                <w:szCs w:val="14"/>
                <w:b w:val="1"/>
                <w:bCs w:val="1"/>
                <w:color w:val="auto"/>
              </w:rPr>
              <w:t>39,264</w:t>
            </w:r>
          </w:p>
        </w:tc>
        <w:tc>
          <w:tcPr>
            <w:tcW w:w="2540" w:type="dxa"/>
            <w:vAlign w:val="bottom"/>
            <w:shd w:val="clear" w:color="auto" w:fill="DBDBDB"/>
          </w:tcPr>
          <w:p>
            <w:pPr>
              <w:jc w:val="right"/>
              <w:ind w:right="528"/>
              <w:spacing w:after="0"/>
              <w:rPr>
                <w:sz w:val="20"/>
                <w:szCs w:val="20"/>
                <w:color w:val="auto"/>
              </w:rPr>
            </w:pPr>
            <w:r>
              <w:rPr>
                <w:rFonts w:ascii="Arial" w:cs="Arial" w:eastAsia="Arial" w:hAnsi="Arial"/>
                <w:sz w:val="14"/>
                <w:szCs w:val="14"/>
                <w:color w:val="auto"/>
              </w:rPr>
              <w:t>31,617</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7,881</w:t>
            </w:r>
          </w:p>
        </w:tc>
        <w:tc>
          <w:tcPr>
            <w:tcW w:w="100" w:type="dxa"/>
            <w:vAlign w:val="bottom"/>
            <w:shd w:val="clear" w:color="auto" w:fill="DBDBDB"/>
          </w:tcPr>
          <w:p>
            <w:pPr>
              <w:spacing w:after="0"/>
              <w:rPr>
                <w:sz w:val="21"/>
                <w:szCs w:val="21"/>
                <w:color w:val="auto"/>
              </w:rPr>
            </w:pPr>
          </w:p>
        </w:tc>
      </w:tr>
      <w:tr>
        <w:trPr>
          <w:trHeight w:val="214"/>
        </w:trPr>
        <w:tc>
          <w:tcPr>
            <w:tcW w:w="4420" w:type="dxa"/>
            <w:vAlign w:val="bottom"/>
          </w:tcPr>
          <w:p>
            <w:pPr>
              <w:ind w:left="100"/>
              <w:spacing w:after="0"/>
              <w:rPr>
                <w:sz w:val="20"/>
                <w:szCs w:val="20"/>
                <w:color w:val="auto"/>
              </w:rPr>
            </w:pPr>
            <w:r>
              <w:rPr>
                <w:rFonts w:ascii="Arial" w:cs="Arial" w:eastAsia="Arial" w:hAnsi="Arial"/>
                <w:sz w:val="14"/>
                <w:szCs w:val="14"/>
                <w:color w:val="auto"/>
              </w:rPr>
              <w:t>(Gain) loss on early retirement of debt, net</w:t>
            </w:r>
          </w:p>
        </w:tc>
        <w:tc>
          <w:tcPr>
            <w:tcW w:w="2480" w:type="dxa"/>
            <w:vAlign w:val="bottom"/>
          </w:tcPr>
          <w:p>
            <w:pPr>
              <w:jc w:val="right"/>
              <w:ind w:right="228"/>
              <w:spacing w:after="0"/>
              <w:rPr>
                <w:sz w:val="20"/>
                <w:szCs w:val="20"/>
                <w:color w:val="auto"/>
              </w:rPr>
            </w:pPr>
            <w:r>
              <w:rPr>
                <w:rFonts w:ascii="Arial" w:cs="Arial" w:eastAsia="Arial" w:hAnsi="Arial"/>
                <w:sz w:val="14"/>
                <w:szCs w:val="14"/>
                <w:b w:val="1"/>
                <w:bCs w:val="1"/>
                <w:color w:val="auto"/>
              </w:rPr>
              <w:t>2,239</w:t>
            </w:r>
          </w:p>
        </w:tc>
        <w:tc>
          <w:tcPr>
            <w:tcW w:w="2540" w:type="dxa"/>
            <w:vAlign w:val="bottom"/>
          </w:tcPr>
          <w:p>
            <w:pPr>
              <w:jc w:val="right"/>
              <w:ind w:right="488"/>
              <w:spacing w:after="0"/>
              <w:rPr>
                <w:sz w:val="20"/>
                <w:szCs w:val="20"/>
                <w:color w:val="auto"/>
              </w:rPr>
            </w:pPr>
            <w:r>
              <w:rPr>
                <w:rFonts w:ascii="Arial" w:cs="Arial" w:eastAsia="Arial" w:hAnsi="Arial"/>
                <w:sz w:val="14"/>
                <w:szCs w:val="14"/>
                <w:color w:val="auto"/>
              </w:rPr>
              <w:t>(3,582)</w:t>
            </w:r>
          </w:p>
        </w:tc>
        <w:tc>
          <w:tcPr>
            <w:tcW w:w="1700" w:type="dxa"/>
            <w:vAlign w:val="bottom"/>
          </w:tcPr>
          <w:p>
            <w:pPr>
              <w:jc w:val="right"/>
              <w:spacing w:after="0"/>
              <w:rPr>
                <w:sz w:val="20"/>
                <w:szCs w:val="20"/>
                <w:color w:val="auto"/>
              </w:rPr>
            </w:pPr>
            <w:r>
              <w:rPr>
                <w:rFonts w:ascii="Arial" w:cs="Arial" w:eastAsia="Arial" w:hAnsi="Arial"/>
                <w:sz w:val="14"/>
                <w:szCs w:val="14"/>
                <w:color w:val="auto"/>
              </w:rPr>
              <w:t>(42,265)</w:t>
            </w:r>
          </w:p>
        </w:tc>
        <w:tc>
          <w:tcPr>
            <w:tcW w:w="100" w:type="dxa"/>
            <w:vAlign w:val="bottom"/>
          </w:tcPr>
          <w:p>
            <w:pPr>
              <w:spacing w:after="0"/>
              <w:rPr>
                <w:sz w:val="18"/>
                <w:szCs w:val="18"/>
                <w:color w:val="auto"/>
              </w:rPr>
            </w:pPr>
          </w:p>
        </w:tc>
      </w:tr>
      <w:tr>
        <w:trPr>
          <w:trHeight w:val="29"/>
        </w:trPr>
        <w:tc>
          <w:tcPr>
            <w:tcW w:w="4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420" w:type="dxa"/>
            <w:vAlign w:val="bottom"/>
            <w:shd w:val="clear" w:color="auto" w:fill="DBDBDB"/>
          </w:tcPr>
          <w:p>
            <w:pPr>
              <w:ind w:left="100"/>
              <w:spacing w:after="0"/>
              <w:rPr>
                <w:sz w:val="20"/>
                <w:szCs w:val="20"/>
                <w:color w:val="auto"/>
              </w:rPr>
            </w:pPr>
            <w:r>
              <w:rPr>
                <w:rFonts w:ascii="Arial" w:cs="Arial" w:eastAsia="Arial" w:hAnsi="Arial"/>
                <w:sz w:val="14"/>
                <w:szCs w:val="14"/>
                <w:color w:val="auto"/>
              </w:rPr>
              <w:t>Severance and executive transition costs</w:t>
            </w:r>
            <w:r>
              <w:rPr>
                <w:rFonts w:ascii="Arial" w:cs="Arial" w:eastAsia="Arial" w:hAnsi="Arial"/>
                <w:sz w:val="18"/>
                <w:szCs w:val="18"/>
                <w:color w:val="auto"/>
                <w:vertAlign w:val="superscript"/>
              </w:rPr>
              <w:t>(d)</w:t>
            </w:r>
          </w:p>
        </w:tc>
        <w:tc>
          <w:tcPr>
            <w:tcW w:w="2480" w:type="dxa"/>
            <w:vAlign w:val="bottom"/>
            <w:shd w:val="clear" w:color="auto" w:fill="DBDBDB"/>
          </w:tcPr>
          <w:p>
            <w:pPr>
              <w:jc w:val="right"/>
              <w:ind w:right="228"/>
              <w:spacing w:after="0"/>
              <w:rPr>
                <w:sz w:val="20"/>
                <w:szCs w:val="20"/>
                <w:color w:val="auto"/>
              </w:rPr>
            </w:pPr>
            <w:r>
              <w:rPr>
                <w:rFonts w:ascii="Arial" w:cs="Arial" w:eastAsia="Arial" w:hAnsi="Arial"/>
                <w:sz w:val="14"/>
                <w:szCs w:val="14"/>
                <w:b w:val="1"/>
                <w:bCs w:val="1"/>
                <w:color w:val="auto"/>
              </w:rPr>
              <w:t>—</w:t>
            </w:r>
          </w:p>
        </w:tc>
        <w:tc>
          <w:tcPr>
            <w:tcW w:w="2540" w:type="dxa"/>
            <w:vAlign w:val="bottom"/>
            <w:shd w:val="clear" w:color="auto" w:fill="DBDBDB"/>
          </w:tcPr>
          <w:p>
            <w:pPr>
              <w:jc w:val="right"/>
              <w:ind w:right="528"/>
              <w:spacing w:after="0"/>
              <w:rPr>
                <w:sz w:val="20"/>
                <w:szCs w:val="20"/>
                <w:color w:val="auto"/>
              </w:rPr>
            </w:pPr>
            <w:r>
              <w:rPr>
                <w:rFonts w:ascii="Arial" w:cs="Arial" w:eastAsia="Arial" w:hAnsi="Arial"/>
                <w:sz w:val="14"/>
                <w:szCs w:val="14"/>
                <w:color w:val="auto"/>
              </w:rPr>
              <w:t>6,571</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1,429</w:t>
            </w:r>
          </w:p>
        </w:tc>
        <w:tc>
          <w:tcPr>
            <w:tcW w:w="100" w:type="dxa"/>
            <w:vAlign w:val="bottom"/>
            <w:shd w:val="clear" w:color="auto" w:fill="DBDBDB"/>
          </w:tcPr>
          <w:p>
            <w:pPr>
              <w:spacing w:after="0"/>
              <w:rPr>
                <w:sz w:val="21"/>
                <w:szCs w:val="21"/>
                <w:color w:val="auto"/>
              </w:rPr>
            </w:pPr>
          </w:p>
        </w:tc>
      </w:tr>
      <w:tr>
        <w:trPr>
          <w:trHeight w:val="243"/>
        </w:trPr>
        <w:tc>
          <w:tcPr>
            <w:tcW w:w="4420" w:type="dxa"/>
            <w:vAlign w:val="bottom"/>
          </w:tcPr>
          <w:p>
            <w:pPr>
              <w:ind w:left="100"/>
              <w:spacing w:after="0"/>
              <w:rPr>
                <w:sz w:val="20"/>
                <w:szCs w:val="20"/>
                <w:color w:val="auto"/>
              </w:rPr>
            </w:pPr>
            <w:r>
              <w:rPr>
                <w:rFonts w:ascii="Arial" w:cs="Arial" w:eastAsia="Arial" w:hAnsi="Arial"/>
                <w:sz w:val="14"/>
                <w:szCs w:val="14"/>
                <w:color w:val="auto"/>
              </w:rPr>
              <w:t>Costs related to the COVID-19 pandemic</w:t>
            </w:r>
            <w:r>
              <w:rPr>
                <w:rFonts w:ascii="Arial" w:cs="Arial" w:eastAsia="Arial" w:hAnsi="Arial"/>
                <w:sz w:val="18"/>
                <w:szCs w:val="18"/>
                <w:color w:val="auto"/>
                <w:vertAlign w:val="superscript"/>
              </w:rPr>
              <w:t>(e)</w:t>
            </w:r>
          </w:p>
        </w:tc>
        <w:tc>
          <w:tcPr>
            <w:tcW w:w="248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2540" w:type="dxa"/>
            <w:vAlign w:val="bottom"/>
          </w:tcPr>
          <w:p>
            <w:pPr>
              <w:jc w:val="right"/>
              <w:ind w:right="528"/>
              <w:spacing w:after="0"/>
              <w:rPr>
                <w:sz w:val="20"/>
                <w:szCs w:val="20"/>
                <w:color w:val="auto"/>
              </w:rPr>
            </w:pPr>
            <w:r>
              <w:rPr>
                <w:rFonts w:ascii="Arial" w:cs="Arial" w:eastAsia="Arial" w:hAnsi="Arial"/>
                <w:sz w:val="14"/>
                <w:szCs w:val="14"/>
                <w:color w:val="auto"/>
              </w:rPr>
              <w:t>17,632</w:t>
            </w:r>
          </w:p>
        </w:tc>
        <w:tc>
          <w:tcPr>
            <w:tcW w:w="1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43"/>
        </w:trPr>
        <w:tc>
          <w:tcPr>
            <w:tcW w:w="4420" w:type="dxa"/>
            <w:vAlign w:val="bottom"/>
            <w:shd w:val="clear" w:color="auto" w:fill="DBDBDB"/>
          </w:tcPr>
          <w:p>
            <w:pPr>
              <w:ind w:left="100"/>
              <w:spacing w:after="0"/>
              <w:rPr>
                <w:sz w:val="20"/>
                <w:szCs w:val="20"/>
                <w:color w:val="auto"/>
              </w:rPr>
            </w:pPr>
            <w:r>
              <w:rPr>
                <w:rFonts w:ascii="Arial" w:cs="Arial" w:eastAsia="Arial" w:hAnsi="Arial"/>
                <w:sz w:val="14"/>
                <w:szCs w:val="14"/>
                <w:color w:val="auto"/>
              </w:rPr>
              <w:t>Payroll taxes associated with the 2021 Vesting Event</w:t>
            </w:r>
            <w:r>
              <w:rPr>
                <w:rFonts w:ascii="Arial" w:cs="Arial" w:eastAsia="Arial" w:hAnsi="Arial"/>
                <w:sz w:val="18"/>
                <w:szCs w:val="18"/>
                <w:color w:val="auto"/>
                <w:vertAlign w:val="superscript"/>
              </w:rPr>
              <w:t>(f)</w:t>
            </w:r>
          </w:p>
        </w:tc>
        <w:tc>
          <w:tcPr>
            <w:tcW w:w="2480" w:type="dxa"/>
            <w:vAlign w:val="bottom"/>
            <w:shd w:val="clear" w:color="auto" w:fill="DBDBDB"/>
          </w:tcPr>
          <w:p>
            <w:pPr>
              <w:jc w:val="right"/>
              <w:ind w:right="228"/>
              <w:spacing w:after="0"/>
              <w:rPr>
                <w:sz w:val="20"/>
                <w:szCs w:val="20"/>
                <w:color w:val="auto"/>
              </w:rPr>
            </w:pPr>
            <w:r>
              <w:rPr>
                <w:rFonts w:ascii="Arial" w:cs="Arial" w:eastAsia="Arial" w:hAnsi="Arial"/>
                <w:sz w:val="14"/>
                <w:szCs w:val="14"/>
                <w:b w:val="1"/>
                <w:bCs w:val="1"/>
                <w:color w:val="auto"/>
              </w:rPr>
              <w:t>15,418</w:t>
            </w:r>
          </w:p>
        </w:tc>
        <w:tc>
          <w:tcPr>
            <w:tcW w:w="2540" w:type="dxa"/>
            <w:vAlign w:val="bottom"/>
            <w:shd w:val="clear" w:color="auto" w:fill="DBDBDB"/>
          </w:tcPr>
          <w:p>
            <w:pPr>
              <w:jc w:val="right"/>
              <w:ind w:right="528"/>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r>
      <w:tr>
        <w:trPr>
          <w:trHeight w:val="243"/>
        </w:trPr>
        <w:tc>
          <w:tcPr>
            <w:tcW w:w="4420" w:type="dxa"/>
            <w:vAlign w:val="bottom"/>
          </w:tcPr>
          <w:p>
            <w:pPr>
              <w:ind w:left="10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(g)</w:t>
            </w:r>
          </w:p>
        </w:tc>
        <w:tc>
          <w:tcPr>
            <w:tcW w:w="2480" w:type="dxa"/>
            <w:vAlign w:val="bottom"/>
          </w:tcPr>
          <w:p>
            <w:pPr>
              <w:jc w:val="right"/>
              <w:ind w:right="228"/>
              <w:spacing w:after="0"/>
              <w:rPr>
                <w:sz w:val="20"/>
                <w:szCs w:val="20"/>
                <w:color w:val="auto"/>
              </w:rPr>
            </w:pPr>
            <w:r>
              <w:rPr>
                <w:rFonts w:ascii="Arial" w:cs="Arial" w:eastAsia="Arial" w:hAnsi="Arial"/>
                <w:sz w:val="14"/>
                <w:szCs w:val="14"/>
                <w:b w:val="1"/>
                <w:bCs w:val="1"/>
                <w:color w:val="auto"/>
              </w:rPr>
              <w:t>3,118</w:t>
            </w:r>
          </w:p>
        </w:tc>
        <w:tc>
          <w:tcPr>
            <w:tcW w:w="2540" w:type="dxa"/>
            <w:vAlign w:val="bottom"/>
          </w:tcPr>
          <w:p>
            <w:pPr>
              <w:jc w:val="right"/>
              <w:ind w:right="528"/>
              <w:spacing w:after="0"/>
              <w:rPr>
                <w:sz w:val="20"/>
                <w:szCs w:val="20"/>
                <w:color w:val="auto"/>
              </w:rPr>
            </w:pPr>
            <w:r>
              <w:rPr>
                <w:rFonts w:ascii="Arial" w:cs="Arial" w:eastAsia="Arial" w:hAnsi="Arial"/>
                <w:sz w:val="14"/>
                <w:szCs w:val="14"/>
                <w:color w:val="auto"/>
              </w:rPr>
              <w:t>8,592</w:t>
            </w:r>
          </w:p>
        </w:tc>
        <w:tc>
          <w:tcPr>
            <w:tcW w:w="1700" w:type="dxa"/>
            <w:vAlign w:val="bottom"/>
          </w:tcPr>
          <w:p>
            <w:pPr>
              <w:jc w:val="right"/>
              <w:spacing w:after="0"/>
              <w:rPr>
                <w:sz w:val="20"/>
                <w:szCs w:val="20"/>
                <w:color w:val="auto"/>
              </w:rPr>
            </w:pPr>
            <w:r>
              <w:rPr>
                <w:rFonts w:ascii="Arial" w:cs="Arial" w:eastAsia="Arial" w:hAnsi="Arial"/>
                <w:sz w:val="14"/>
                <w:szCs w:val="14"/>
                <w:color w:val="auto"/>
              </w:rPr>
              <w:t>7,111</w:t>
            </w:r>
          </w:p>
        </w:tc>
        <w:tc>
          <w:tcPr>
            <w:tcW w:w="100" w:type="dxa"/>
            <w:vAlign w:val="bottom"/>
          </w:tcPr>
          <w:p>
            <w:pPr>
              <w:spacing w:after="0"/>
              <w:rPr>
                <w:sz w:val="21"/>
                <w:szCs w:val="21"/>
                <w:color w:val="auto"/>
              </w:rPr>
            </w:pPr>
          </w:p>
        </w:tc>
      </w:tr>
      <w:tr>
        <w:trPr>
          <w:trHeight w:val="223"/>
        </w:trPr>
        <w:tc>
          <w:tcPr>
            <w:tcW w:w="44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Adjusted EBITDA</w:t>
            </w:r>
          </w:p>
        </w:tc>
        <w:tc>
          <w:tcPr>
            <w:tcW w:w="248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4"/>
                <w:szCs w:val="14"/>
                <w:b w:val="1"/>
                <w:bCs w:val="1"/>
                <w:color w:val="auto"/>
              </w:rPr>
              <w:t>1,073,842</w:t>
            </w:r>
          </w:p>
        </w:tc>
        <w:tc>
          <w:tcPr>
            <w:tcW w:w="2540" w:type="dxa"/>
            <w:vAlign w:val="bottom"/>
            <w:tcBorders>
              <w:bottom w:val="single" w:sz="8" w:color="DBDBDB"/>
            </w:tcBorders>
            <w:shd w:val="clear" w:color="auto" w:fill="DBDBDB"/>
          </w:tcPr>
          <w:p>
            <w:pPr>
              <w:jc w:val="right"/>
              <w:ind w:right="528"/>
              <w:spacing w:after="0"/>
              <w:rPr>
                <w:sz w:val="20"/>
                <w:szCs w:val="20"/>
                <w:color w:val="auto"/>
              </w:rPr>
            </w:pPr>
            <w:r>
              <w:rPr>
                <w:rFonts w:ascii="Arial" w:cs="Arial" w:eastAsia="Arial" w:hAnsi="Arial"/>
                <w:sz w:val="14"/>
                <w:szCs w:val="14"/>
                <w:color w:val="auto"/>
              </w:rPr>
              <w:t>607,023</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322,814</w:t>
            </w:r>
          </w:p>
        </w:tc>
        <w:tc>
          <w:tcPr>
            <w:tcW w:w="100" w:type="dxa"/>
            <w:vAlign w:val="bottom"/>
            <w:tcBorders>
              <w:bottom w:val="single" w:sz="8" w:color="DBDBDB"/>
            </w:tcBorders>
            <w:shd w:val="clear" w:color="auto" w:fill="DBDBDB"/>
          </w:tcPr>
          <w:p>
            <w:pPr>
              <w:spacing w:after="0"/>
              <w:rPr>
                <w:sz w:val="19"/>
                <w:szCs w:val="19"/>
                <w:color w:val="auto"/>
              </w:rPr>
            </w:pPr>
          </w:p>
        </w:tc>
      </w:tr>
      <w:tr>
        <w:trPr>
          <w:trHeight w:val="214"/>
        </w:trPr>
        <w:tc>
          <w:tcPr>
            <w:tcW w:w="4420" w:type="dxa"/>
            <w:vAlign w:val="bottom"/>
          </w:tcPr>
          <w:p>
            <w:pPr>
              <w:ind w:left="100"/>
              <w:spacing w:after="0"/>
              <w:rPr>
                <w:sz w:val="20"/>
                <w:szCs w:val="20"/>
                <w:color w:val="auto"/>
              </w:rPr>
            </w:pPr>
            <w:r>
              <w:rPr>
                <w:rFonts w:ascii="Arial" w:cs="Arial" w:eastAsia="Arial" w:hAnsi="Arial"/>
                <w:sz w:val="14"/>
                <w:szCs w:val="14"/>
                <w:color w:val="auto"/>
              </w:rPr>
              <w:t>Less: Depreciation and amortization</w:t>
            </w:r>
          </w:p>
        </w:tc>
        <w:tc>
          <w:tcPr>
            <w:tcW w:w="2480" w:type="dxa"/>
            <w:vAlign w:val="bottom"/>
          </w:tcPr>
          <w:p>
            <w:pPr>
              <w:jc w:val="right"/>
              <w:ind w:right="188"/>
              <w:spacing w:after="0"/>
              <w:rPr>
                <w:sz w:val="20"/>
                <w:szCs w:val="20"/>
                <w:color w:val="auto"/>
              </w:rPr>
            </w:pPr>
            <w:r>
              <w:rPr>
                <w:rFonts w:ascii="Arial" w:cs="Arial" w:eastAsia="Arial" w:hAnsi="Arial"/>
                <w:sz w:val="14"/>
                <w:szCs w:val="14"/>
                <w:b w:val="1"/>
                <w:bCs w:val="1"/>
                <w:color w:val="auto"/>
              </w:rPr>
              <w:t>(105,274)</w:t>
            </w:r>
          </w:p>
        </w:tc>
        <w:tc>
          <w:tcPr>
            <w:tcW w:w="2540" w:type="dxa"/>
            <w:vAlign w:val="bottom"/>
          </w:tcPr>
          <w:p>
            <w:pPr>
              <w:jc w:val="right"/>
              <w:ind w:right="488"/>
              <w:spacing w:after="0"/>
              <w:rPr>
                <w:sz w:val="20"/>
                <w:szCs w:val="20"/>
                <w:color w:val="auto"/>
              </w:rPr>
            </w:pPr>
            <w:r>
              <w:rPr>
                <w:rFonts w:ascii="Arial" w:cs="Arial" w:eastAsia="Arial" w:hAnsi="Arial"/>
                <w:sz w:val="14"/>
                <w:szCs w:val="14"/>
                <w:color w:val="auto"/>
              </w:rPr>
              <w:t>(105,481)</w:t>
            </w:r>
          </w:p>
        </w:tc>
        <w:tc>
          <w:tcPr>
            <w:tcW w:w="1700" w:type="dxa"/>
            <w:vAlign w:val="bottom"/>
          </w:tcPr>
          <w:p>
            <w:pPr>
              <w:jc w:val="right"/>
              <w:spacing w:after="0"/>
              <w:rPr>
                <w:sz w:val="20"/>
                <w:szCs w:val="20"/>
                <w:color w:val="auto"/>
              </w:rPr>
            </w:pPr>
            <w:r>
              <w:rPr>
                <w:rFonts w:ascii="Arial" w:cs="Arial" w:eastAsia="Arial" w:hAnsi="Arial"/>
                <w:sz w:val="14"/>
                <w:szCs w:val="14"/>
                <w:color w:val="auto"/>
              </w:rPr>
              <w:t>(117,254)</w:t>
            </w:r>
          </w:p>
        </w:tc>
        <w:tc>
          <w:tcPr>
            <w:tcW w:w="100" w:type="dxa"/>
            <w:vAlign w:val="bottom"/>
          </w:tcPr>
          <w:p>
            <w:pPr>
              <w:spacing w:after="0"/>
              <w:rPr>
                <w:sz w:val="18"/>
                <w:szCs w:val="18"/>
                <w:color w:val="auto"/>
              </w:rPr>
            </w:pPr>
          </w:p>
        </w:tc>
      </w:tr>
      <w:tr>
        <w:trPr>
          <w:trHeight w:val="29"/>
        </w:trPr>
        <w:tc>
          <w:tcPr>
            <w:tcW w:w="4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442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Adjusted EBIT</w:t>
            </w:r>
          </w:p>
        </w:tc>
        <w:tc>
          <w:tcPr>
            <w:tcW w:w="2480" w:type="dxa"/>
            <w:vAlign w:val="bottom"/>
            <w:shd w:val="clear" w:color="auto" w:fill="DBDBDB"/>
          </w:tcPr>
          <w:p>
            <w:pPr>
              <w:jc w:val="right"/>
              <w:ind w:right="228"/>
              <w:spacing w:after="0"/>
              <w:rPr>
                <w:sz w:val="20"/>
                <w:szCs w:val="20"/>
                <w:color w:val="auto"/>
              </w:rPr>
            </w:pPr>
            <w:r>
              <w:rPr>
                <w:rFonts w:ascii="Arial" w:cs="Arial" w:eastAsia="Arial" w:hAnsi="Arial"/>
                <w:sz w:val="14"/>
                <w:szCs w:val="14"/>
                <w:b w:val="1"/>
                <w:bCs w:val="1"/>
                <w:color w:val="auto"/>
              </w:rPr>
              <w:t>968,568</w:t>
            </w:r>
          </w:p>
        </w:tc>
        <w:tc>
          <w:tcPr>
            <w:tcW w:w="2540" w:type="dxa"/>
            <w:vAlign w:val="bottom"/>
            <w:shd w:val="clear" w:color="auto" w:fill="DBDBDB"/>
          </w:tcPr>
          <w:p>
            <w:pPr>
              <w:jc w:val="right"/>
              <w:ind w:right="528"/>
              <w:spacing w:after="0"/>
              <w:rPr>
                <w:sz w:val="20"/>
                <w:szCs w:val="20"/>
                <w:color w:val="auto"/>
              </w:rPr>
            </w:pPr>
            <w:r>
              <w:rPr>
                <w:rFonts w:ascii="Arial" w:cs="Arial" w:eastAsia="Arial" w:hAnsi="Arial"/>
                <w:sz w:val="14"/>
                <w:szCs w:val="14"/>
                <w:color w:val="auto"/>
              </w:rPr>
              <w:t>501,542</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205,560</w:t>
            </w:r>
          </w:p>
        </w:tc>
        <w:tc>
          <w:tcPr>
            <w:tcW w:w="100" w:type="dxa"/>
            <w:vAlign w:val="bottom"/>
            <w:shd w:val="clear" w:color="auto" w:fill="DBDBDB"/>
          </w:tcPr>
          <w:p>
            <w:pPr>
              <w:spacing w:after="0"/>
              <w:rPr>
                <w:sz w:val="18"/>
                <w:szCs w:val="18"/>
                <w:color w:val="auto"/>
              </w:rPr>
            </w:pPr>
          </w:p>
        </w:tc>
      </w:tr>
      <w:tr>
        <w:trPr>
          <w:trHeight w:val="29"/>
        </w:trPr>
        <w:tc>
          <w:tcPr>
            <w:tcW w:w="4420" w:type="dxa"/>
            <w:vAlign w:val="bottom"/>
            <w:shd w:val="clear" w:color="auto" w:fill="DBDBDB"/>
          </w:tcPr>
          <w:p>
            <w:pPr>
              <w:spacing w:after="0"/>
              <w:rPr>
                <w:sz w:val="2"/>
                <w:szCs w:val="2"/>
                <w:color w:val="auto"/>
              </w:rPr>
            </w:pPr>
          </w:p>
        </w:tc>
        <w:tc>
          <w:tcPr>
            <w:tcW w:w="2480" w:type="dxa"/>
            <w:vAlign w:val="bottom"/>
            <w:shd w:val="clear" w:color="auto" w:fill="DBDBDB"/>
          </w:tcPr>
          <w:p>
            <w:pPr>
              <w:spacing w:after="0"/>
              <w:rPr>
                <w:sz w:val="2"/>
                <w:szCs w:val="2"/>
                <w:color w:val="auto"/>
              </w:rPr>
            </w:pPr>
          </w:p>
        </w:tc>
        <w:tc>
          <w:tcPr>
            <w:tcW w:w="2540" w:type="dxa"/>
            <w:vAlign w:val="bottom"/>
            <w:shd w:val="clear" w:color="auto" w:fill="DBDBDB"/>
          </w:tcPr>
          <w:p>
            <w:pPr>
              <w:spacing w:after="0"/>
              <w:rPr>
                <w:sz w:val="2"/>
                <w:szCs w:val="2"/>
                <w:color w:val="auto"/>
              </w:rPr>
            </w:pPr>
          </w:p>
        </w:tc>
        <w:tc>
          <w:tcPr>
            <w:tcW w:w="17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r>
    </w:tbl>
    <w:p>
      <w:pPr>
        <w:spacing w:after="0" w:line="72"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outside consulting fees associated with our strategic cost savings and business optimization initiatives.</w:t>
      </w:r>
    </w:p>
    <w:p>
      <w:pPr>
        <w:spacing w:after="0" w:line="122"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our contractual payments under the Monitoring Agreement. See Note 14 to the consolidated financial statements in the Annual Report.</w:t>
      </w:r>
    </w:p>
    <w:p>
      <w:pPr>
        <w:spacing w:after="0" w:line="122" w:lineRule="exact"/>
        <w:rPr>
          <w:rFonts w:ascii="Arial" w:cs="Arial" w:eastAsia="Arial" w:hAnsi="Arial"/>
          <w:sz w:val="14"/>
          <w:szCs w:val="14"/>
          <w:color w:val="auto"/>
        </w:rPr>
      </w:pPr>
    </w:p>
    <w:p>
      <w:pPr>
        <w:ind w:left="340" w:right="200" w:hanging="332"/>
        <w:spacing w:after="0" w:line="305" w:lineRule="auto"/>
        <w:tabs>
          <w:tab w:leader="none" w:pos="33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non-cash charges related to equity based compensation, which vary from period to period depending on certain factors such as the 2021 Vesting Event (see Note 1 to the consolidated financial statements in the Annual Report), timing and valuation of awards, achievement of performance targets and equity award forfeitures.</w:t>
      </w:r>
    </w:p>
    <w:p>
      <w:pPr>
        <w:spacing w:after="0" w:line="49"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severance costs associated with executive leadership changes and enterprise-wide organizational changes.</w:t>
      </w:r>
    </w:p>
    <w:p>
      <w:pPr>
        <w:spacing w:after="0" w:line="109" w:lineRule="exact"/>
        <w:rPr>
          <w:rFonts w:ascii="Arial" w:cs="Arial" w:eastAsia="Arial" w:hAnsi="Arial"/>
          <w:sz w:val="14"/>
          <w:szCs w:val="14"/>
          <w:color w:val="auto"/>
        </w:rPr>
      </w:pPr>
    </w:p>
    <w:p>
      <w:pPr>
        <w:ind w:left="340" w:right="80" w:hanging="332"/>
        <w:spacing w:after="0" w:line="276" w:lineRule="auto"/>
        <w:tabs>
          <w:tab w:leader="none" w:pos="338"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69" w:lineRule="exact"/>
        <w:rPr>
          <w:rFonts w:ascii="Arial" w:cs="Arial" w:eastAsia="Arial" w:hAnsi="Arial"/>
          <w:sz w:val="14"/>
          <w:szCs w:val="14"/>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cash expenses related to taxes on equity-based compensation resulting from the 2021 Vesting Event.</w:t>
      </w:r>
    </w:p>
    <w:p>
      <w:pPr>
        <w:spacing w:after="0" w:line="109" w:lineRule="exact"/>
        <w:rPr>
          <w:rFonts w:ascii="Arial" w:cs="Arial" w:eastAsia="Arial" w:hAnsi="Arial"/>
          <w:sz w:val="14"/>
          <w:szCs w:val="14"/>
          <w:color w:val="auto"/>
        </w:rPr>
      </w:pPr>
    </w:p>
    <w:p>
      <w:pPr>
        <w:ind w:left="340" w:right="20" w:hanging="332"/>
        <w:spacing w:after="0" w:line="276" w:lineRule="auto"/>
        <w:tabs>
          <w:tab w:leader="none" w:pos="325" w:val="left"/>
        </w:tabs>
        <w:numPr>
          <w:ilvl w:val="0"/>
          <w:numId w:val="51"/>
        </w:numPr>
        <w:rPr>
          <w:rFonts w:ascii="Arial" w:cs="Arial" w:eastAsia="Arial" w:hAnsi="Arial"/>
          <w:sz w:val="14"/>
          <w:szCs w:val="14"/>
          <w:color w:val="auto"/>
        </w:rPr>
      </w:pPr>
      <w:r>
        <w:rPr>
          <w:rFonts w:ascii="Arial" w:cs="Arial" w:eastAsia="Arial" w:hAnsi="Arial"/>
          <w:sz w:val="14"/>
          <w:szCs w:val="14"/>
          <w:color w:val="auto"/>
        </w:rPr>
        <w:t>Other adjustments include (representing deductions or additions to Adjusted EBITDA and Adjusted EBIT) amounts that management believes are not representative of our operating performance, including investment income, installation costs for energy savings associated with our profitability initiatives, legal fees associated with a distribution to New Academy Holding Company LLC’s members and our 2020 Omnibus Incentive Plan, store exit costs and other costs associated with strategic cost savings and business optimization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778510</wp:posOffset>
            </wp:positionV>
            <wp:extent cx="857250"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ind w:left="9080"/>
        <w:spacing w:after="0"/>
        <w:rPr>
          <w:sz w:val="20"/>
          <w:szCs w:val="20"/>
          <w:color w:val="auto"/>
        </w:rPr>
      </w:pPr>
      <w:r>
        <w:rPr>
          <w:rFonts w:ascii="Arial" w:cs="Arial" w:eastAsia="Arial" w:hAnsi="Arial"/>
          <w:sz w:val="12"/>
          <w:szCs w:val="12"/>
          <w:color w:val="auto"/>
        </w:rPr>
        <w:t xml:space="preserve">Academy Sports and Outdoors, Inc. </w:t>
      </w:r>
      <w:r>
        <w:rPr>
          <w:rFonts w:ascii="Arial" w:cs="Arial" w:eastAsia="Arial" w:hAnsi="Arial"/>
          <w:sz w:val="12"/>
          <w:szCs w:val="12"/>
          <w:b w:val="1"/>
          <w:bCs w:val="1"/>
          <w:color w:val="007EC4"/>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07EC4"/>
        </w:rPr>
        <w:t>Adjusted Net Income, Pro Forma Adjusted Net Income and Pro Forma Adjusted Earnings per Share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net income to Adjusted Net Income, Pro Forma Adjusted Net Income and Pro Forma Adjusted Earnings per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Share for the periods presented (amounts in thousands, except per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Borders>
              <w:bottom w:val="single" w:sz="8" w:color="E1D7AC"/>
            </w:tcBorders>
            <w:shd w:val="clear" w:color="auto" w:fill="E1D7AC"/>
          </w:tcPr>
          <w:p>
            <w:pPr>
              <w:spacing w:after="0"/>
              <w:rPr>
                <w:sz w:val="17"/>
                <w:szCs w:val="17"/>
                <w:color w:val="auto"/>
              </w:rPr>
            </w:pPr>
          </w:p>
        </w:tc>
        <w:tc>
          <w:tcPr>
            <w:tcW w:w="2000" w:type="dxa"/>
            <w:vAlign w:val="bottom"/>
            <w:tcBorders>
              <w:bottom w:val="single" w:sz="8" w:color="auto"/>
            </w:tcBorders>
            <w:shd w:val="clear" w:color="auto" w:fill="E1D7AC"/>
          </w:tcPr>
          <w:p>
            <w:pPr>
              <w:spacing w:after="0"/>
              <w:rPr>
                <w:sz w:val="17"/>
                <w:szCs w:val="17"/>
                <w:color w:val="auto"/>
              </w:rPr>
            </w:pPr>
          </w:p>
        </w:tc>
        <w:tc>
          <w:tcPr>
            <w:tcW w:w="2080" w:type="dxa"/>
            <w:vAlign w:val="bottom"/>
            <w:tcBorders>
              <w:bottom w:val="single" w:sz="8" w:color="auto"/>
            </w:tcBorders>
            <w:shd w:val="clear" w:color="auto" w:fill="E1D7AC"/>
          </w:tcPr>
          <w:p>
            <w:pPr>
              <w:jc w:val="right"/>
              <w:ind w:right="568"/>
              <w:spacing w:after="0"/>
              <w:rPr>
                <w:sz w:val="20"/>
                <w:szCs w:val="20"/>
                <w:color w:val="auto"/>
              </w:rPr>
            </w:pPr>
            <w:r>
              <w:rPr>
                <w:rFonts w:ascii="Arial" w:cs="Arial" w:eastAsia="Arial" w:hAnsi="Arial"/>
                <w:sz w:val="14"/>
                <w:szCs w:val="14"/>
                <w:b w:val="1"/>
                <w:bCs w:val="1"/>
                <w:color w:val="auto"/>
              </w:rPr>
              <w:t>Fiscal Year Ended</w:t>
            </w:r>
          </w:p>
        </w:tc>
        <w:tc>
          <w:tcPr>
            <w:tcW w:w="1540" w:type="dxa"/>
            <w:vAlign w:val="bottom"/>
            <w:tcBorders>
              <w:bottom w:val="single" w:sz="8" w:color="auto"/>
            </w:tcBorders>
            <w:shd w:val="clear" w:color="auto" w:fill="E1D7AC"/>
          </w:tcPr>
          <w:p>
            <w:pPr>
              <w:spacing w:after="0"/>
              <w:rPr>
                <w:sz w:val="17"/>
                <w:szCs w:val="17"/>
                <w:color w:val="auto"/>
              </w:rPr>
            </w:pPr>
          </w:p>
        </w:tc>
        <w:tc>
          <w:tcPr>
            <w:tcW w:w="100" w:type="dxa"/>
            <w:vAlign w:val="bottom"/>
            <w:tcBorders>
              <w:bottom w:val="single" w:sz="8" w:color="E1D7AC"/>
            </w:tcBorders>
            <w:shd w:val="clear" w:color="auto" w:fill="E1D7AC"/>
          </w:tcPr>
          <w:p>
            <w:pPr>
              <w:spacing w:after="0"/>
              <w:rPr>
                <w:sz w:val="17"/>
                <w:szCs w:val="17"/>
                <w:color w:val="auto"/>
              </w:rPr>
            </w:pPr>
          </w:p>
        </w:tc>
      </w:tr>
      <w:tr>
        <w:trPr>
          <w:trHeight w:val="200"/>
        </w:trPr>
        <w:tc>
          <w:tcPr>
            <w:tcW w:w="5520" w:type="dxa"/>
            <w:vAlign w:val="bottom"/>
            <w:shd w:val="clear" w:color="auto" w:fill="E1D7AC"/>
          </w:tcPr>
          <w:p>
            <w:pPr>
              <w:spacing w:after="0"/>
              <w:rPr>
                <w:sz w:val="17"/>
                <w:szCs w:val="17"/>
                <w:color w:val="auto"/>
              </w:rPr>
            </w:pPr>
          </w:p>
        </w:tc>
        <w:tc>
          <w:tcPr>
            <w:tcW w:w="2000" w:type="dxa"/>
            <w:vAlign w:val="bottom"/>
            <w:shd w:val="clear" w:color="auto" w:fill="E1D7AC"/>
          </w:tcPr>
          <w:p>
            <w:pPr>
              <w:jc w:val="right"/>
              <w:ind w:right="128"/>
              <w:spacing w:after="0"/>
              <w:rPr>
                <w:sz w:val="20"/>
                <w:szCs w:val="20"/>
                <w:color w:val="auto"/>
              </w:rPr>
            </w:pPr>
            <w:r>
              <w:rPr>
                <w:rFonts w:ascii="Arial" w:cs="Arial" w:eastAsia="Arial" w:hAnsi="Arial"/>
                <w:sz w:val="14"/>
                <w:szCs w:val="14"/>
                <w:b w:val="1"/>
                <w:bCs w:val="1"/>
                <w:color w:val="auto"/>
              </w:rPr>
              <w:t>January 29, 2022</w:t>
            </w:r>
          </w:p>
        </w:tc>
        <w:tc>
          <w:tcPr>
            <w:tcW w:w="2080" w:type="dxa"/>
            <w:vAlign w:val="bottom"/>
            <w:shd w:val="clear" w:color="auto" w:fill="E1D7AC"/>
          </w:tcPr>
          <w:p>
            <w:pPr>
              <w:jc w:val="right"/>
              <w:ind w:right="308"/>
              <w:spacing w:after="0"/>
              <w:rPr>
                <w:sz w:val="20"/>
                <w:szCs w:val="20"/>
                <w:color w:val="auto"/>
              </w:rPr>
            </w:pPr>
            <w:r>
              <w:rPr>
                <w:rFonts w:ascii="Arial" w:cs="Arial" w:eastAsia="Arial" w:hAnsi="Arial"/>
                <w:sz w:val="14"/>
                <w:szCs w:val="14"/>
                <w:b w:val="1"/>
                <w:bCs w:val="1"/>
                <w:color w:val="auto"/>
              </w:rPr>
              <w:t>January 30, 2021</w:t>
            </w:r>
          </w:p>
        </w:tc>
        <w:tc>
          <w:tcPr>
            <w:tcW w:w="1640" w:type="dxa"/>
            <w:vAlign w:val="bottom"/>
            <w:gridSpan w:val="2"/>
            <w:shd w:val="clear" w:color="auto" w:fill="E1D7AC"/>
          </w:tcPr>
          <w:p>
            <w:pPr>
              <w:ind w:left="400"/>
              <w:spacing w:after="0"/>
              <w:rPr>
                <w:sz w:val="20"/>
                <w:szCs w:val="20"/>
                <w:color w:val="auto"/>
              </w:rPr>
            </w:pPr>
            <w:r>
              <w:rPr>
                <w:rFonts w:ascii="Arial" w:cs="Arial" w:eastAsia="Arial" w:hAnsi="Arial"/>
                <w:sz w:val="14"/>
                <w:szCs w:val="14"/>
                <w:b w:val="1"/>
                <w:bCs w:val="1"/>
                <w:color w:val="auto"/>
              </w:rPr>
              <w:t>February 1, 2020</w:t>
            </w:r>
          </w:p>
        </w:tc>
      </w:tr>
      <w:tr>
        <w:trPr>
          <w:trHeight w:val="205"/>
        </w:trPr>
        <w:tc>
          <w:tcPr>
            <w:tcW w:w="5520" w:type="dxa"/>
            <w:vAlign w:val="bottom"/>
            <w:tcBorders>
              <w:bottom w:val="single" w:sz="8" w:color="E1D7AC"/>
            </w:tcBorders>
            <w:shd w:val="clear" w:color="auto" w:fill="E1D7AC"/>
          </w:tcPr>
          <w:p>
            <w:pPr>
              <w:spacing w:after="0"/>
              <w:rPr>
                <w:sz w:val="17"/>
                <w:szCs w:val="17"/>
                <w:color w:val="auto"/>
              </w:rPr>
            </w:pPr>
          </w:p>
        </w:tc>
        <w:tc>
          <w:tcPr>
            <w:tcW w:w="2000" w:type="dxa"/>
            <w:vAlign w:val="bottom"/>
            <w:tcBorders>
              <w:bottom w:val="single" w:sz="8" w:color="E1D7AC"/>
            </w:tcBorders>
            <w:shd w:val="clear" w:color="auto" w:fill="E1D7AC"/>
          </w:tcPr>
          <w:p>
            <w:pPr>
              <w:jc w:val="right"/>
              <w:ind w:right="128"/>
              <w:spacing w:after="0"/>
              <w:rPr>
                <w:sz w:val="20"/>
                <w:szCs w:val="20"/>
                <w:color w:val="auto"/>
              </w:rPr>
            </w:pPr>
            <w:r>
              <w:rPr>
                <w:rFonts w:ascii="Arial" w:cs="Arial" w:eastAsia="Arial" w:hAnsi="Arial"/>
                <w:sz w:val="14"/>
                <w:szCs w:val="14"/>
                <w:b w:val="1"/>
                <w:bCs w:val="1"/>
                <w:color w:val="auto"/>
              </w:rPr>
              <w:t>($)</w:t>
            </w:r>
          </w:p>
        </w:tc>
        <w:tc>
          <w:tcPr>
            <w:tcW w:w="2080" w:type="dxa"/>
            <w:vAlign w:val="bottom"/>
            <w:tcBorders>
              <w:bottom w:val="single" w:sz="8" w:color="E1D7AC"/>
            </w:tcBorders>
            <w:shd w:val="clear" w:color="auto" w:fill="E1D7AC"/>
          </w:tcPr>
          <w:p>
            <w:pPr>
              <w:jc w:val="right"/>
              <w:ind w:right="30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D7AC"/>
            </w:tcBorders>
            <w:shd w:val="clear" w:color="auto" w:fill="E1D7AC"/>
          </w:tcPr>
          <w:p>
            <w:pPr>
              <w:spacing w:after="0"/>
              <w:rPr>
                <w:sz w:val="17"/>
                <w:szCs w:val="17"/>
                <w:color w:val="auto"/>
              </w:rPr>
            </w:pPr>
          </w:p>
        </w:tc>
      </w:tr>
      <w:tr>
        <w:trPr>
          <w:trHeight w:val="203"/>
        </w:trPr>
        <w:tc>
          <w:tcPr>
            <w:tcW w:w="552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income</w:t>
            </w:r>
          </w:p>
        </w:tc>
        <w:tc>
          <w:tcPr>
            <w:tcW w:w="2000" w:type="dxa"/>
            <w:vAlign w:val="bottom"/>
            <w:shd w:val="clear" w:color="auto" w:fill="DBDBDB"/>
          </w:tcPr>
          <w:p>
            <w:pPr>
              <w:jc w:val="right"/>
              <w:ind w:right="168"/>
              <w:spacing w:after="0"/>
              <w:rPr>
                <w:sz w:val="20"/>
                <w:szCs w:val="20"/>
                <w:color w:val="auto"/>
              </w:rPr>
            </w:pPr>
            <w:r>
              <w:rPr>
                <w:rFonts w:ascii="Arial" w:cs="Arial" w:eastAsia="Arial" w:hAnsi="Arial"/>
                <w:sz w:val="14"/>
                <w:szCs w:val="14"/>
                <w:b w:val="1"/>
                <w:bCs w:val="1"/>
                <w:color w:val="auto"/>
              </w:rPr>
              <w:t>671,381</w:t>
            </w:r>
          </w:p>
        </w:tc>
        <w:tc>
          <w:tcPr>
            <w:tcW w:w="208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auto"/>
              </w:rPr>
              <w:t>308,764</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120,043</w:t>
            </w:r>
          </w:p>
        </w:tc>
        <w:tc>
          <w:tcPr>
            <w:tcW w:w="100" w:type="dxa"/>
            <w:vAlign w:val="bottom"/>
            <w:shd w:val="clear" w:color="auto" w:fill="DBDBDB"/>
          </w:tcPr>
          <w:p>
            <w:pPr>
              <w:spacing w:after="0"/>
              <w:rPr>
                <w:sz w:val="17"/>
                <w:szCs w:val="17"/>
                <w:color w:val="auto"/>
              </w:rPr>
            </w:pP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Consulting fees </w:t>
            </w:r>
            <w:r>
              <w:rPr>
                <w:rFonts w:ascii="Arial" w:cs="Arial" w:eastAsia="Arial" w:hAnsi="Arial"/>
                <w:sz w:val="18"/>
                <w:szCs w:val="18"/>
                <w:color w:val="auto"/>
                <w:vertAlign w:val="superscript"/>
              </w:rPr>
              <w:t>(a)</w:t>
            </w:r>
          </w:p>
        </w:tc>
        <w:tc>
          <w:tcPr>
            <w:tcW w:w="200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2080" w:type="dxa"/>
            <w:vAlign w:val="bottom"/>
          </w:tcPr>
          <w:p>
            <w:pPr>
              <w:jc w:val="right"/>
              <w:ind w:right="348"/>
              <w:spacing w:after="0"/>
              <w:rPr>
                <w:sz w:val="20"/>
                <w:szCs w:val="20"/>
                <w:color w:val="auto"/>
              </w:rPr>
            </w:pPr>
            <w:r>
              <w:rPr>
                <w:rFonts w:ascii="Arial" w:cs="Arial" w:eastAsia="Arial" w:hAnsi="Arial"/>
                <w:sz w:val="14"/>
                <w:szCs w:val="14"/>
                <w:color w:val="auto"/>
              </w:rPr>
              <w:t>285</w:t>
            </w:r>
          </w:p>
        </w:tc>
        <w:tc>
          <w:tcPr>
            <w:tcW w:w="1540" w:type="dxa"/>
            <w:vAlign w:val="bottom"/>
          </w:tcPr>
          <w:p>
            <w:pPr>
              <w:jc w:val="right"/>
              <w:spacing w:after="0"/>
              <w:rPr>
                <w:sz w:val="20"/>
                <w:szCs w:val="20"/>
                <w:color w:val="auto"/>
              </w:rPr>
            </w:pPr>
            <w:r>
              <w:rPr>
                <w:rFonts w:ascii="Arial" w:cs="Arial" w:eastAsia="Arial" w:hAnsi="Arial"/>
                <w:sz w:val="14"/>
                <w:szCs w:val="14"/>
                <w:color w:val="auto"/>
              </w:rPr>
              <w:t>3,601</w:t>
            </w:r>
          </w:p>
        </w:tc>
        <w:tc>
          <w:tcPr>
            <w:tcW w:w="100" w:type="dxa"/>
            <w:vAlign w:val="bottom"/>
          </w:tcPr>
          <w:p>
            <w:pPr>
              <w:spacing w:after="0"/>
              <w:rPr>
                <w:sz w:val="17"/>
                <w:szCs w:val="17"/>
                <w:color w:val="auto"/>
              </w:rPr>
            </w:pPr>
          </w:p>
        </w:tc>
      </w:tr>
      <w:tr>
        <w:trPr>
          <w:trHeight w:val="203"/>
        </w:trPr>
        <w:tc>
          <w:tcPr>
            <w:tcW w:w="5520" w:type="dxa"/>
            <w:vAlign w:val="bottom"/>
            <w:shd w:val="clear" w:color="auto" w:fill="DBDBDB"/>
          </w:tcPr>
          <w:p>
            <w:pPr>
              <w:ind w:left="20"/>
              <w:spacing w:after="0" w:line="202" w:lineRule="exact"/>
              <w:rPr>
                <w:sz w:val="20"/>
                <w:szCs w:val="20"/>
                <w:color w:val="auto"/>
              </w:rPr>
            </w:pPr>
            <w:r>
              <w:rPr>
                <w:rFonts w:ascii="Arial" w:cs="Arial" w:eastAsia="Arial" w:hAnsi="Arial"/>
                <w:sz w:val="14"/>
                <w:szCs w:val="14"/>
                <w:color w:val="auto"/>
              </w:rPr>
              <w:t xml:space="preserve">Private equity sponsor monitoring fee </w:t>
            </w:r>
            <w:r>
              <w:rPr>
                <w:rFonts w:ascii="Arial" w:cs="Arial" w:eastAsia="Arial" w:hAnsi="Arial"/>
                <w:sz w:val="18"/>
                <w:szCs w:val="18"/>
                <w:color w:val="auto"/>
                <w:vertAlign w:val="superscript"/>
              </w:rPr>
              <w:t>(b)</w:t>
            </w:r>
          </w:p>
        </w:tc>
        <w:tc>
          <w:tcPr>
            <w:tcW w:w="2000" w:type="dxa"/>
            <w:vAlign w:val="bottom"/>
            <w:shd w:val="clear" w:color="auto" w:fill="DBDBDB"/>
          </w:tcPr>
          <w:p>
            <w:pPr>
              <w:jc w:val="right"/>
              <w:ind w:right="168"/>
              <w:spacing w:after="0"/>
              <w:rPr>
                <w:sz w:val="20"/>
                <w:szCs w:val="20"/>
                <w:color w:val="auto"/>
              </w:rPr>
            </w:pPr>
            <w:r>
              <w:rPr>
                <w:rFonts w:ascii="Arial" w:cs="Arial" w:eastAsia="Arial" w:hAnsi="Arial"/>
                <w:sz w:val="14"/>
                <w:szCs w:val="14"/>
                <w:b w:val="1"/>
                <w:bCs w:val="1"/>
                <w:color w:val="auto"/>
              </w:rPr>
              <w:t>—</w:t>
            </w:r>
          </w:p>
        </w:tc>
        <w:tc>
          <w:tcPr>
            <w:tcW w:w="208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auto"/>
              </w:rPr>
              <w:t>14,793</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3,636</w:t>
            </w:r>
          </w:p>
        </w:tc>
        <w:tc>
          <w:tcPr>
            <w:tcW w:w="100" w:type="dxa"/>
            <w:vAlign w:val="bottom"/>
            <w:shd w:val="clear" w:color="auto" w:fill="DBDBDB"/>
          </w:tcPr>
          <w:p>
            <w:pPr>
              <w:spacing w:after="0"/>
              <w:rPr>
                <w:sz w:val="17"/>
                <w:szCs w:val="17"/>
                <w:color w:val="auto"/>
              </w:rPr>
            </w:pP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Equity compensation </w:t>
            </w:r>
            <w:r>
              <w:rPr>
                <w:rFonts w:ascii="Arial" w:cs="Arial" w:eastAsia="Arial" w:hAnsi="Arial"/>
                <w:sz w:val="18"/>
                <w:szCs w:val="18"/>
                <w:color w:val="auto"/>
                <w:vertAlign w:val="superscript"/>
              </w:rPr>
              <w:t>(c)</w:t>
            </w:r>
          </w:p>
        </w:tc>
        <w:tc>
          <w:tcPr>
            <w:tcW w:w="2000" w:type="dxa"/>
            <w:vAlign w:val="bottom"/>
          </w:tcPr>
          <w:p>
            <w:pPr>
              <w:jc w:val="right"/>
              <w:ind w:right="168"/>
              <w:spacing w:after="0"/>
              <w:rPr>
                <w:sz w:val="20"/>
                <w:szCs w:val="20"/>
                <w:color w:val="auto"/>
              </w:rPr>
            </w:pPr>
            <w:r>
              <w:rPr>
                <w:rFonts w:ascii="Arial" w:cs="Arial" w:eastAsia="Arial" w:hAnsi="Arial"/>
                <w:sz w:val="14"/>
                <w:szCs w:val="14"/>
                <w:b w:val="1"/>
                <w:bCs w:val="1"/>
                <w:color w:val="auto"/>
              </w:rPr>
              <w:t>39,264</w:t>
            </w:r>
          </w:p>
        </w:tc>
        <w:tc>
          <w:tcPr>
            <w:tcW w:w="2080" w:type="dxa"/>
            <w:vAlign w:val="bottom"/>
          </w:tcPr>
          <w:p>
            <w:pPr>
              <w:jc w:val="right"/>
              <w:ind w:right="348"/>
              <w:spacing w:after="0"/>
              <w:rPr>
                <w:sz w:val="20"/>
                <w:szCs w:val="20"/>
                <w:color w:val="auto"/>
              </w:rPr>
            </w:pPr>
            <w:r>
              <w:rPr>
                <w:rFonts w:ascii="Arial" w:cs="Arial" w:eastAsia="Arial" w:hAnsi="Arial"/>
                <w:sz w:val="14"/>
                <w:szCs w:val="14"/>
                <w:color w:val="auto"/>
              </w:rPr>
              <w:t>31,617</w:t>
            </w:r>
          </w:p>
        </w:tc>
        <w:tc>
          <w:tcPr>
            <w:tcW w:w="1540" w:type="dxa"/>
            <w:vAlign w:val="bottom"/>
          </w:tcPr>
          <w:p>
            <w:pPr>
              <w:jc w:val="right"/>
              <w:spacing w:after="0"/>
              <w:rPr>
                <w:sz w:val="20"/>
                <w:szCs w:val="20"/>
                <w:color w:val="auto"/>
              </w:rPr>
            </w:pPr>
            <w:r>
              <w:rPr>
                <w:rFonts w:ascii="Arial" w:cs="Arial" w:eastAsia="Arial" w:hAnsi="Arial"/>
                <w:sz w:val="14"/>
                <w:szCs w:val="14"/>
                <w:color w:val="auto"/>
              </w:rPr>
              <w:t>7,881</w:t>
            </w:r>
          </w:p>
        </w:tc>
        <w:tc>
          <w:tcPr>
            <w:tcW w:w="100" w:type="dxa"/>
            <w:vAlign w:val="bottom"/>
          </w:tcPr>
          <w:p>
            <w:pPr>
              <w:spacing w:after="0"/>
              <w:rPr>
                <w:sz w:val="17"/>
                <w:szCs w:val="17"/>
                <w:color w:val="auto"/>
              </w:rPr>
            </w:pPr>
          </w:p>
        </w:tc>
      </w:tr>
      <w:tr>
        <w:trPr>
          <w:trHeight w:val="203"/>
        </w:trPr>
        <w:tc>
          <w:tcPr>
            <w:tcW w:w="5520" w:type="dxa"/>
            <w:vAlign w:val="bottom"/>
            <w:shd w:val="clear" w:color="auto" w:fill="DBDBDB"/>
          </w:tcPr>
          <w:p>
            <w:pPr>
              <w:ind w:left="20"/>
              <w:spacing w:after="0"/>
              <w:rPr>
                <w:sz w:val="20"/>
                <w:szCs w:val="20"/>
                <w:color w:val="auto"/>
              </w:rPr>
            </w:pPr>
            <w:r>
              <w:rPr>
                <w:rFonts w:ascii="Arial" w:cs="Arial" w:eastAsia="Arial" w:hAnsi="Arial"/>
                <w:sz w:val="14"/>
                <w:szCs w:val="14"/>
                <w:color w:val="auto"/>
              </w:rPr>
              <w:t>(Gain) loss on early retirement of debt, net</w:t>
            </w:r>
          </w:p>
        </w:tc>
        <w:tc>
          <w:tcPr>
            <w:tcW w:w="2000" w:type="dxa"/>
            <w:vAlign w:val="bottom"/>
            <w:shd w:val="clear" w:color="auto" w:fill="DBDBDB"/>
          </w:tcPr>
          <w:p>
            <w:pPr>
              <w:jc w:val="right"/>
              <w:ind w:right="168"/>
              <w:spacing w:after="0"/>
              <w:rPr>
                <w:sz w:val="20"/>
                <w:szCs w:val="20"/>
                <w:color w:val="auto"/>
              </w:rPr>
            </w:pPr>
            <w:r>
              <w:rPr>
                <w:rFonts w:ascii="Arial" w:cs="Arial" w:eastAsia="Arial" w:hAnsi="Arial"/>
                <w:sz w:val="14"/>
                <w:szCs w:val="14"/>
                <w:b w:val="1"/>
                <w:bCs w:val="1"/>
                <w:color w:val="auto"/>
              </w:rPr>
              <w:t>2,239</w:t>
            </w:r>
          </w:p>
        </w:tc>
        <w:tc>
          <w:tcPr>
            <w:tcW w:w="20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auto"/>
              </w:rPr>
              <w:t>(3,582)</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(42,265)</w:t>
            </w:r>
          </w:p>
        </w:tc>
        <w:tc>
          <w:tcPr>
            <w:tcW w:w="100" w:type="dxa"/>
            <w:vAlign w:val="bottom"/>
            <w:shd w:val="clear" w:color="auto" w:fill="DBDBDB"/>
          </w:tcPr>
          <w:p>
            <w:pPr>
              <w:spacing w:after="0"/>
              <w:rPr>
                <w:sz w:val="17"/>
                <w:szCs w:val="17"/>
                <w:color w:val="auto"/>
              </w:rPr>
            </w:pP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Severance and executive transition costs </w:t>
            </w:r>
            <w:r>
              <w:rPr>
                <w:rFonts w:ascii="Arial" w:cs="Arial" w:eastAsia="Arial" w:hAnsi="Arial"/>
                <w:sz w:val="18"/>
                <w:szCs w:val="18"/>
                <w:color w:val="auto"/>
                <w:vertAlign w:val="superscript"/>
              </w:rPr>
              <w:t>(d)</w:t>
            </w:r>
          </w:p>
        </w:tc>
        <w:tc>
          <w:tcPr>
            <w:tcW w:w="200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2080" w:type="dxa"/>
            <w:vAlign w:val="bottom"/>
          </w:tcPr>
          <w:p>
            <w:pPr>
              <w:jc w:val="right"/>
              <w:ind w:right="348"/>
              <w:spacing w:after="0"/>
              <w:rPr>
                <w:sz w:val="20"/>
                <w:szCs w:val="20"/>
                <w:color w:val="auto"/>
              </w:rPr>
            </w:pPr>
            <w:r>
              <w:rPr>
                <w:rFonts w:ascii="Arial" w:cs="Arial" w:eastAsia="Arial" w:hAnsi="Arial"/>
                <w:sz w:val="14"/>
                <w:szCs w:val="14"/>
                <w:color w:val="auto"/>
              </w:rPr>
              <w:t>6,571</w:t>
            </w:r>
          </w:p>
        </w:tc>
        <w:tc>
          <w:tcPr>
            <w:tcW w:w="1540" w:type="dxa"/>
            <w:vAlign w:val="bottom"/>
          </w:tcPr>
          <w:p>
            <w:pPr>
              <w:jc w:val="right"/>
              <w:spacing w:after="0"/>
              <w:rPr>
                <w:sz w:val="20"/>
                <w:szCs w:val="20"/>
                <w:color w:val="auto"/>
              </w:rPr>
            </w:pPr>
            <w:r>
              <w:rPr>
                <w:rFonts w:ascii="Arial" w:cs="Arial" w:eastAsia="Arial" w:hAnsi="Arial"/>
                <w:sz w:val="14"/>
                <w:szCs w:val="14"/>
                <w:color w:val="auto"/>
              </w:rPr>
              <w:t>1,429</w:t>
            </w:r>
          </w:p>
        </w:tc>
        <w:tc>
          <w:tcPr>
            <w:tcW w:w="100" w:type="dxa"/>
            <w:vAlign w:val="bottom"/>
          </w:tcPr>
          <w:p>
            <w:pPr>
              <w:spacing w:after="0"/>
              <w:rPr>
                <w:sz w:val="17"/>
                <w:szCs w:val="17"/>
                <w:color w:val="auto"/>
              </w:rPr>
            </w:pPr>
          </w:p>
        </w:tc>
      </w:tr>
      <w:tr>
        <w:trPr>
          <w:trHeight w:val="203"/>
        </w:trPr>
        <w:tc>
          <w:tcPr>
            <w:tcW w:w="5520" w:type="dxa"/>
            <w:vAlign w:val="bottom"/>
            <w:shd w:val="clear" w:color="auto" w:fill="DBDBDB"/>
          </w:tcPr>
          <w:p>
            <w:pPr>
              <w:ind w:left="20"/>
              <w:spacing w:after="0" w:line="202" w:lineRule="exact"/>
              <w:rPr>
                <w:sz w:val="20"/>
                <w:szCs w:val="20"/>
                <w:color w:val="auto"/>
              </w:rPr>
            </w:pPr>
            <w:r>
              <w:rPr>
                <w:rFonts w:ascii="Arial" w:cs="Arial" w:eastAsia="Arial" w:hAnsi="Arial"/>
                <w:sz w:val="14"/>
                <w:szCs w:val="14"/>
                <w:color w:val="auto"/>
              </w:rPr>
              <w:t xml:space="preserve">Costs related to the COVID-19 pandemic </w:t>
            </w:r>
            <w:r>
              <w:rPr>
                <w:rFonts w:ascii="Arial" w:cs="Arial" w:eastAsia="Arial" w:hAnsi="Arial"/>
                <w:sz w:val="18"/>
                <w:szCs w:val="18"/>
                <w:color w:val="auto"/>
                <w:vertAlign w:val="superscript"/>
              </w:rPr>
              <w:t>(e)</w:t>
            </w:r>
          </w:p>
        </w:tc>
        <w:tc>
          <w:tcPr>
            <w:tcW w:w="2000" w:type="dxa"/>
            <w:vAlign w:val="bottom"/>
            <w:shd w:val="clear" w:color="auto" w:fill="DBDBDB"/>
          </w:tcPr>
          <w:p>
            <w:pPr>
              <w:jc w:val="right"/>
              <w:ind w:right="168"/>
              <w:spacing w:after="0"/>
              <w:rPr>
                <w:sz w:val="20"/>
                <w:szCs w:val="20"/>
                <w:color w:val="auto"/>
              </w:rPr>
            </w:pPr>
            <w:r>
              <w:rPr>
                <w:rFonts w:ascii="Arial" w:cs="Arial" w:eastAsia="Arial" w:hAnsi="Arial"/>
                <w:sz w:val="14"/>
                <w:szCs w:val="14"/>
                <w:b w:val="1"/>
                <w:bCs w:val="1"/>
                <w:color w:val="auto"/>
              </w:rPr>
              <w:t>—</w:t>
            </w:r>
          </w:p>
        </w:tc>
        <w:tc>
          <w:tcPr>
            <w:tcW w:w="208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auto"/>
              </w:rPr>
              <w:t>17,632</w:t>
            </w:r>
          </w:p>
        </w:tc>
        <w:tc>
          <w:tcPr>
            <w:tcW w:w="16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Payroll taxes associated with the 2021 Vesting Event </w:t>
            </w:r>
            <w:r>
              <w:rPr>
                <w:rFonts w:ascii="Arial" w:cs="Arial" w:eastAsia="Arial" w:hAnsi="Arial"/>
                <w:sz w:val="18"/>
                <w:szCs w:val="18"/>
                <w:color w:val="auto"/>
                <w:vertAlign w:val="superscript"/>
              </w:rPr>
              <w:t>(f)</w:t>
            </w:r>
          </w:p>
        </w:tc>
        <w:tc>
          <w:tcPr>
            <w:tcW w:w="2000" w:type="dxa"/>
            <w:vAlign w:val="bottom"/>
          </w:tcPr>
          <w:p>
            <w:pPr>
              <w:jc w:val="right"/>
              <w:ind w:right="168"/>
              <w:spacing w:after="0"/>
              <w:rPr>
                <w:sz w:val="20"/>
                <w:szCs w:val="20"/>
                <w:color w:val="auto"/>
              </w:rPr>
            </w:pPr>
            <w:r>
              <w:rPr>
                <w:rFonts w:ascii="Arial" w:cs="Arial" w:eastAsia="Arial" w:hAnsi="Arial"/>
                <w:sz w:val="14"/>
                <w:szCs w:val="14"/>
                <w:b w:val="1"/>
                <w:bCs w:val="1"/>
                <w:color w:val="auto"/>
              </w:rPr>
              <w:t>15,418</w:t>
            </w:r>
          </w:p>
        </w:tc>
        <w:tc>
          <w:tcPr>
            <w:tcW w:w="20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03"/>
        </w:trPr>
        <w:tc>
          <w:tcPr>
            <w:tcW w:w="5520" w:type="dxa"/>
            <w:vAlign w:val="bottom"/>
            <w:shd w:val="clear" w:color="auto" w:fill="DBDBDB"/>
          </w:tcPr>
          <w:p>
            <w:pPr>
              <w:ind w:left="20"/>
              <w:spacing w:after="0" w:line="202"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(g)</w:t>
            </w:r>
          </w:p>
        </w:tc>
        <w:tc>
          <w:tcPr>
            <w:tcW w:w="2000" w:type="dxa"/>
            <w:vAlign w:val="bottom"/>
            <w:shd w:val="clear" w:color="auto" w:fill="DBDBDB"/>
          </w:tcPr>
          <w:p>
            <w:pPr>
              <w:jc w:val="right"/>
              <w:ind w:right="168"/>
              <w:spacing w:after="0"/>
              <w:rPr>
                <w:sz w:val="20"/>
                <w:szCs w:val="20"/>
                <w:color w:val="auto"/>
              </w:rPr>
            </w:pPr>
            <w:r>
              <w:rPr>
                <w:rFonts w:ascii="Arial" w:cs="Arial" w:eastAsia="Arial" w:hAnsi="Arial"/>
                <w:sz w:val="14"/>
                <w:szCs w:val="14"/>
                <w:b w:val="1"/>
                <w:bCs w:val="1"/>
                <w:color w:val="auto"/>
              </w:rPr>
              <w:t>3,118</w:t>
            </w:r>
          </w:p>
        </w:tc>
        <w:tc>
          <w:tcPr>
            <w:tcW w:w="208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auto"/>
              </w:rPr>
              <w:t>8,592</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7,111</w:t>
            </w:r>
          </w:p>
        </w:tc>
        <w:tc>
          <w:tcPr>
            <w:tcW w:w="100" w:type="dxa"/>
            <w:vAlign w:val="bottom"/>
            <w:shd w:val="clear" w:color="auto" w:fill="DBDBDB"/>
          </w:tcPr>
          <w:p>
            <w:pPr>
              <w:spacing w:after="0"/>
              <w:rPr>
                <w:sz w:val="17"/>
                <w:szCs w:val="17"/>
                <w:color w:val="auto"/>
              </w:rPr>
            </w:pP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Tax effects of these adjustments </w:t>
            </w:r>
            <w:r>
              <w:rPr>
                <w:rFonts w:ascii="Arial" w:cs="Arial" w:eastAsia="Arial" w:hAnsi="Arial"/>
                <w:sz w:val="18"/>
                <w:szCs w:val="18"/>
                <w:color w:val="auto"/>
                <w:vertAlign w:val="superscript"/>
              </w:rPr>
              <w:t>(h)</w:t>
            </w:r>
          </w:p>
        </w:tc>
        <w:tc>
          <w:tcPr>
            <w:tcW w:w="2000" w:type="dxa"/>
            <w:vAlign w:val="bottom"/>
          </w:tcPr>
          <w:p>
            <w:pPr>
              <w:jc w:val="right"/>
              <w:ind w:right="128"/>
              <w:spacing w:after="0"/>
              <w:rPr>
                <w:sz w:val="20"/>
                <w:szCs w:val="20"/>
                <w:color w:val="auto"/>
              </w:rPr>
            </w:pPr>
            <w:r>
              <w:rPr>
                <w:rFonts w:ascii="Arial" w:cs="Arial" w:eastAsia="Arial" w:hAnsi="Arial"/>
                <w:sz w:val="14"/>
                <w:szCs w:val="14"/>
                <w:b w:val="1"/>
                <w:bCs w:val="1"/>
                <w:color w:val="auto"/>
              </w:rPr>
              <w:t>(14,884)</w:t>
            </w:r>
          </w:p>
        </w:tc>
        <w:tc>
          <w:tcPr>
            <w:tcW w:w="2080" w:type="dxa"/>
            <w:vAlign w:val="bottom"/>
          </w:tcPr>
          <w:p>
            <w:pPr>
              <w:jc w:val="right"/>
              <w:ind w:right="308"/>
              <w:spacing w:after="0"/>
              <w:rPr>
                <w:sz w:val="20"/>
                <w:szCs w:val="20"/>
                <w:color w:val="auto"/>
              </w:rPr>
            </w:pPr>
            <w:r>
              <w:rPr>
                <w:rFonts w:ascii="Arial" w:cs="Arial" w:eastAsia="Arial" w:hAnsi="Arial"/>
                <w:sz w:val="14"/>
                <w:szCs w:val="14"/>
                <w:color w:val="auto"/>
              </w:rPr>
              <w:t>(136)</w:t>
            </w:r>
          </w:p>
        </w:tc>
        <w:tc>
          <w:tcPr>
            <w:tcW w:w="154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r>
      <w:tr>
        <w:trPr>
          <w:trHeight w:val="203"/>
        </w:trPr>
        <w:tc>
          <w:tcPr>
            <w:tcW w:w="5520" w:type="dxa"/>
            <w:vAlign w:val="bottom"/>
            <w:shd w:val="clear" w:color="auto" w:fill="DBDBDB"/>
          </w:tcPr>
          <w:p>
            <w:pPr>
              <w:ind w:left="240"/>
              <w:spacing w:after="0"/>
              <w:rPr>
                <w:sz w:val="20"/>
                <w:szCs w:val="20"/>
                <w:color w:val="auto"/>
              </w:rPr>
            </w:pPr>
            <w:r>
              <w:rPr>
                <w:rFonts w:ascii="Arial" w:cs="Arial" w:eastAsia="Arial" w:hAnsi="Arial"/>
                <w:sz w:val="14"/>
                <w:szCs w:val="14"/>
                <w:color w:val="auto"/>
              </w:rPr>
              <w:t>Adjusted Net Income</w:t>
            </w:r>
          </w:p>
        </w:tc>
        <w:tc>
          <w:tcPr>
            <w:tcW w:w="2000" w:type="dxa"/>
            <w:vAlign w:val="bottom"/>
            <w:shd w:val="clear" w:color="auto" w:fill="DBDBDB"/>
          </w:tcPr>
          <w:p>
            <w:pPr>
              <w:jc w:val="right"/>
              <w:ind w:right="168"/>
              <w:spacing w:after="0"/>
              <w:rPr>
                <w:sz w:val="20"/>
                <w:szCs w:val="20"/>
                <w:color w:val="auto"/>
              </w:rPr>
            </w:pPr>
            <w:r>
              <w:rPr>
                <w:rFonts w:ascii="Arial" w:cs="Arial" w:eastAsia="Arial" w:hAnsi="Arial"/>
                <w:sz w:val="14"/>
                <w:szCs w:val="14"/>
                <w:b w:val="1"/>
                <w:bCs w:val="1"/>
                <w:color w:val="auto"/>
              </w:rPr>
              <w:t>716,536</w:t>
            </w:r>
          </w:p>
        </w:tc>
        <w:tc>
          <w:tcPr>
            <w:tcW w:w="208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auto"/>
              </w:rPr>
              <w:t>384,536</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101,469</w:t>
            </w:r>
          </w:p>
        </w:tc>
        <w:tc>
          <w:tcPr>
            <w:tcW w:w="100" w:type="dxa"/>
            <w:vAlign w:val="bottom"/>
            <w:shd w:val="clear" w:color="auto" w:fill="DBDBDB"/>
          </w:tcPr>
          <w:p>
            <w:pPr>
              <w:spacing w:after="0"/>
              <w:rPr>
                <w:sz w:val="17"/>
                <w:szCs w:val="17"/>
                <w:color w:val="auto"/>
              </w:rPr>
            </w:pP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Estimated tax effect of change to C-Corporation status </w:t>
            </w:r>
            <w:r>
              <w:rPr>
                <w:rFonts w:ascii="Arial" w:cs="Arial" w:eastAsia="Arial" w:hAnsi="Arial"/>
                <w:sz w:val="18"/>
                <w:szCs w:val="18"/>
                <w:color w:val="auto"/>
                <w:vertAlign w:val="superscript"/>
              </w:rPr>
              <w:t>(i)</w:t>
            </w:r>
          </w:p>
        </w:tc>
        <w:tc>
          <w:tcPr>
            <w:tcW w:w="200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2080" w:type="dxa"/>
            <w:vAlign w:val="bottom"/>
          </w:tcPr>
          <w:p>
            <w:pPr>
              <w:jc w:val="right"/>
              <w:ind w:right="308"/>
              <w:spacing w:after="0"/>
              <w:rPr>
                <w:sz w:val="20"/>
                <w:szCs w:val="20"/>
                <w:color w:val="auto"/>
              </w:rPr>
            </w:pPr>
            <w:r>
              <w:rPr>
                <w:rFonts w:ascii="Arial" w:cs="Arial" w:eastAsia="Arial" w:hAnsi="Arial"/>
                <w:sz w:val="14"/>
                <w:szCs w:val="14"/>
                <w:color w:val="auto"/>
              </w:rPr>
              <w:t>(72,844)</w:t>
            </w:r>
          </w:p>
        </w:tc>
        <w:tc>
          <w:tcPr>
            <w:tcW w:w="1540" w:type="dxa"/>
            <w:vAlign w:val="bottom"/>
          </w:tcPr>
          <w:p>
            <w:pPr>
              <w:jc w:val="right"/>
              <w:spacing w:after="0"/>
              <w:rPr>
                <w:sz w:val="20"/>
                <w:szCs w:val="20"/>
                <w:color w:val="auto"/>
              </w:rPr>
            </w:pPr>
            <w:r>
              <w:rPr>
                <w:rFonts w:ascii="Arial" w:cs="Arial" w:eastAsia="Arial" w:hAnsi="Arial"/>
                <w:sz w:val="14"/>
                <w:szCs w:val="14"/>
                <w:color w:val="auto"/>
              </w:rPr>
              <w:t>(25,542)</w:t>
            </w:r>
          </w:p>
        </w:tc>
        <w:tc>
          <w:tcPr>
            <w:tcW w:w="100" w:type="dxa"/>
            <w:vAlign w:val="bottom"/>
          </w:tcPr>
          <w:p>
            <w:pPr>
              <w:spacing w:after="0"/>
              <w:rPr>
                <w:sz w:val="17"/>
                <w:szCs w:val="17"/>
                <w:color w:val="auto"/>
              </w:rPr>
            </w:pPr>
          </w:p>
        </w:tc>
      </w:tr>
      <w:tr>
        <w:trPr>
          <w:trHeight w:val="203"/>
        </w:trPr>
        <w:tc>
          <w:tcPr>
            <w:tcW w:w="5520" w:type="dxa"/>
            <w:vAlign w:val="bottom"/>
            <w:shd w:val="clear" w:color="auto" w:fill="DBDBDB"/>
          </w:tcPr>
          <w:p>
            <w:pPr>
              <w:ind w:left="240"/>
              <w:spacing w:after="0"/>
              <w:rPr>
                <w:sz w:val="20"/>
                <w:szCs w:val="20"/>
                <w:color w:val="auto"/>
              </w:rPr>
            </w:pPr>
            <w:r>
              <w:rPr>
                <w:rFonts w:ascii="Arial" w:cs="Arial" w:eastAsia="Arial" w:hAnsi="Arial"/>
                <w:sz w:val="14"/>
                <w:szCs w:val="14"/>
                <w:color w:val="auto"/>
              </w:rPr>
              <w:t>Pro Forma Adjusted Net Income</w:t>
            </w:r>
          </w:p>
        </w:tc>
        <w:tc>
          <w:tcPr>
            <w:tcW w:w="2000" w:type="dxa"/>
            <w:vAlign w:val="bottom"/>
            <w:shd w:val="clear" w:color="auto" w:fill="DBDBDB"/>
          </w:tcPr>
          <w:p>
            <w:pPr>
              <w:jc w:val="right"/>
              <w:ind w:right="168"/>
              <w:spacing w:after="0"/>
              <w:rPr>
                <w:sz w:val="20"/>
                <w:szCs w:val="20"/>
                <w:color w:val="auto"/>
              </w:rPr>
            </w:pPr>
            <w:r>
              <w:rPr>
                <w:rFonts w:ascii="Arial" w:cs="Arial" w:eastAsia="Arial" w:hAnsi="Arial"/>
                <w:sz w:val="14"/>
                <w:szCs w:val="14"/>
                <w:b w:val="1"/>
                <w:bCs w:val="1"/>
                <w:color w:val="auto"/>
              </w:rPr>
              <w:t>716,536</w:t>
            </w:r>
          </w:p>
        </w:tc>
        <w:tc>
          <w:tcPr>
            <w:tcW w:w="208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auto"/>
              </w:rPr>
              <w:t>311,692</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75,927</w:t>
            </w:r>
          </w:p>
        </w:tc>
        <w:tc>
          <w:tcPr>
            <w:tcW w:w="100" w:type="dxa"/>
            <w:vAlign w:val="bottom"/>
            <w:shd w:val="clear" w:color="auto" w:fill="DBDBDB"/>
          </w:tcPr>
          <w:p>
            <w:pPr>
              <w:spacing w:after="0"/>
              <w:rPr>
                <w:sz w:val="17"/>
                <w:szCs w:val="17"/>
                <w:color w:val="auto"/>
              </w:rPr>
            </w:pPr>
          </w:p>
        </w:tc>
      </w:tr>
      <w:tr>
        <w:trPr>
          <w:trHeight w:val="108"/>
        </w:trPr>
        <w:tc>
          <w:tcPr>
            <w:tcW w:w="55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3"/>
        </w:trPr>
        <w:tc>
          <w:tcPr>
            <w:tcW w:w="552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Pro Forma Adjusted Earnings per Share</w:t>
            </w:r>
          </w:p>
        </w:tc>
        <w:tc>
          <w:tcPr>
            <w:tcW w:w="2000" w:type="dxa"/>
            <w:vAlign w:val="bottom"/>
            <w:shd w:val="clear" w:color="auto" w:fill="DBDBDB"/>
          </w:tcPr>
          <w:p>
            <w:pPr>
              <w:spacing w:after="0"/>
              <w:rPr>
                <w:sz w:val="17"/>
                <w:szCs w:val="17"/>
                <w:color w:val="auto"/>
              </w:rPr>
            </w:pPr>
          </w:p>
        </w:tc>
        <w:tc>
          <w:tcPr>
            <w:tcW w:w="2080" w:type="dxa"/>
            <w:vAlign w:val="bottom"/>
            <w:shd w:val="clear" w:color="auto" w:fill="DBDBDB"/>
          </w:tcPr>
          <w:p>
            <w:pPr>
              <w:spacing w:after="0"/>
              <w:rPr>
                <w:sz w:val="17"/>
                <w:szCs w:val="17"/>
                <w:color w:val="auto"/>
              </w:rPr>
            </w:pPr>
          </w:p>
        </w:tc>
        <w:tc>
          <w:tcPr>
            <w:tcW w:w="15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r>
      <w:tr>
        <w:trPr>
          <w:trHeight w:val="202"/>
        </w:trPr>
        <w:tc>
          <w:tcPr>
            <w:tcW w:w="5520" w:type="dxa"/>
            <w:vAlign w:val="bottom"/>
          </w:tcPr>
          <w:p>
            <w:pPr>
              <w:ind w:left="240"/>
              <w:spacing w:after="0"/>
              <w:rPr>
                <w:sz w:val="20"/>
                <w:szCs w:val="20"/>
                <w:color w:val="auto"/>
              </w:rPr>
            </w:pPr>
            <w:r>
              <w:rPr>
                <w:rFonts w:ascii="Arial" w:cs="Arial" w:eastAsia="Arial" w:hAnsi="Arial"/>
                <w:sz w:val="14"/>
                <w:szCs w:val="14"/>
                <w:color w:val="auto"/>
              </w:rPr>
              <w:t>Basic</w:t>
            </w:r>
          </w:p>
        </w:tc>
        <w:tc>
          <w:tcPr>
            <w:tcW w:w="2000" w:type="dxa"/>
            <w:vAlign w:val="bottom"/>
          </w:tcPr>
          <w:p>
            <w:pPr>
              <w:jc w:val="right"/>
              <w:ind w:right="168"/>
              <w:spacing w:after="0"/>
              <w:rPr>
                <w:sz w:val="20"/>
                <w:szCs w:val="20"/>
                <w:color w:val="auto"/>
              </w:rPr>
            </w:pPr>
            <w:r>
              <w:rPr>
                <w:rFonts w:ascii="Arial" w:cs="Arial" w:eastAsia="Arial" w:hAnsi="Arial"/>
                <w:sz w:val="14"/>
                <w:szCs w:val="14"/>
                <w:b w:val="1"/>
                <w:bCs w:val="1"/>
                <w:color w:val="auto"/>
              </w:rPr>
              <w:t>7.88</w:t>
            </w:r>
          </w:p>
        </w:tc>
        <w:tc>
          <w:tcPr>
            <w:tcW w:w="2080" w:type="dxa"/>
            <w:vAlign w:val="bottom"/>
          </w:tcPr>
          <w:p>
            <w:pPr>
              <w:jc w:val="right"/>
              <w:ind w:right="348"/>
              <w:spacing w:after="0"/>
              <w:rPr>
                <w:sz w:val="20"/>
                <w:szCs w:val="20"/>
                <w:color w:val="auto"/>
              </w:rPr>
            </w:pPr>
            <w:r>
              <w:rPr>
                <w:rFonts w:ascii="Arial" w:cs="Arial" w:eastAsia="Arial" w:hAnsi="Arial"/>
                <w:sz w:val="14"/>
                <w:szCs w:val="14"/>
                <w:color w:val="auto"/>
              </w:rPr>
              <w:t>4.00</w:t>
            </w:r>
          </w:p>
        </w:tc>
        <w:tc>
          <w:tcPr>
            <w:tcW w:w="154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r>
      <w:tr>
        <w:trPr>
          <w:trHeight w:val="203"/>
        </w:trPr>
        <w:tc>
          <w:tcPr>
            <w:tcW w:w="5520" w:type="dxa"/>
            <w:vAlign w:val="bottom"/>
            <w:shd w:val="clear" w:color="auto" w:fill="DBDBDB"/>
          </w:tcPr>
          <w:p>
            <w:pPr>
              <w:ind w:left="240"/>
              <w:spacing w:after="0"/>
              <w:rPr>
                <w:sz w:val="20"/>
                <w:szCs w:val="20"/>
                <w:color w:val="auto"/>
              </w:rPr>
            </w:pPr>
            <w:r>
              <w:rPr>
                <w:rFonts w:ascii="Arial" w:cs="Arial" w:eastAsia="Arial" w:hAnsi="Arial"/>
                <w:sz w:val="14"/>
                <w:szCs w:val="14"/>
                <w:color w:val="auto"/>
              </w:rPr>
              <w:t>Diluted</w:t>
            </w:r>
          </w:p>
        </w:tc>
        <w:tc>
          <w:tcPr>
            <w:tcW w:w="2000" w:type="dxa"/>
            <w:vAlign w:val="bottom"/>
            <w:shd w:val="clear" w:color="auto" w:fill="DBDBDB"/>
          </w:tcPr>
          <w:p>
            <w:pPr>
              <w:jc w:val="right"/>
              <w:ind w:right="168"/>
              <w:spacing w:after="0"/>
              <w:rPr>
                <w:sz w:val="20"/>
                <w:szCs w:val="20"/>
                <w:color w:val="auto"/>
              </w:rPr>
            </w:pPr>
            <w:r>
              <w:rPr>
                <w:rFonts w:ascii="Arial" w:cs="Arial" w:eastAsia="Arial" w:hAnsi="Arial"/>
                <w:sz w:val="14"/>
                <w:szCs w:val="14"/>
                <w:b w:val="1"/>
                <w:bCs w:val="1"/>
                <w:color w:val="auto"/>
              </w:rPr>
              <w:t>7.60</w:t>
            </w:r>
          </w:p>
        </w:tc>
        <w:tc>
          <w:tcPr>
            <w:tcW w:w="208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auto"/>
              </w:rPr>
              <w:t>3.83</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DBDBDB"/>
          </w:tcPr>
          <w:p>
            <w:pPr>
              <w:spacing w:after="0"/>
              <w:rPr>
                <w:sz w:val="17"/>
                <w:szCs w:val="17"/>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20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5520" w:type="dxa"/>
            <w:vAlign w:val="bottom"/>
            <w:shd w:val="clear" w:color="auto" w:fill="DBDBDB"/>
          </w:tcPr>
          <w:p>
            <w:pPr>
              <w:ind w:left="240"/>
              <w:spacing w:after="0"/>
              <w:rPr>
                <w:sz w:val="20"/>
                <w:szCs w:val="20"/>
                <w:color w:val="auto"/>
              </w:rPr>
            </w:pPr>
            <w:r>
              <w:rPr>
                <w:rFonts w:ascii="Arial" w:cs="Arial" w:eastAsia="Arial" w:hAnsi="Arial"/>
                <w:sz w:val="14"/>
                <w:szCs w:val="14"/>
                <w:color w:val="auto"/>
              </w:rPr>
              <w:t>Basic</w:t>
            </w:r>
          </w:p>
        </w:tc>
        <w:tc>
          <w:tcPr>
            <w:tcW w:w="2000" w:type="dxa"/>
            <w:vAlign w:val="bottom"/>
            <w:shd w:val="clear" w:color="auto" w:fill="DBDBDB"/>
          </w:tcPr>
          <w:p>
            <w:pPr>
              <w:jc w:val="right"/>
              <w:ind w:right="168"/>
              <w:spacing w:after="0"/>
              <w:rPr>
                <w:sz w:val="20"/>
                <w:szCs w:val="20"/>
                <w:color w:val="auto"/>
              </w:rPr>
            </w:pPr>
            <w:r>
              <w:rPr>
                <w:rFonts w:ascii="Arial" w:cs="Arial" w:eastAsia="Arial" w:hAnsi="Arial"/>
                <w:sz w:val="14"/>
                <w:szCs w:val="14"/>
                <w:b w:val="1"/>
                <w:bCs w:val="1"/>
                <w:color w:val="auto"/>
              </w:rPr>
              <w:t>90,956</w:t>
            </w:r>
          </w:p>
        </w:tc>
        <w:tc>
          <w:tcPr>
            <w:tcW w:w="208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auto"/>
              </w:rPr>
              <w:t>77,994</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72,477</w:t>
            </w:r>
          </w:p>
        </w:tc>
        <w:tc>
          <w:tcPr>
            <w:tcW w:w="100" w:type="dxa"/>
            <w:vAlign w:val="bottom"/>
            <w:shd w:val="clear" w:color="auto" w:fill="DBDBDB"/>
          </w:tcPr>
          <w:p>
            <w:pPr>
              <w:spacing w:after="0"/>
              <w:rPr>
                <w:sz w:val="17"/>
                <w:szCs w:val="17"/>
                <w:color w:val="auto"/>
              </w:rPr>
            </w:pPr>
          </w:p>
        </w:tc>
      </w:tr>
      <w:tr>
        <w:trPr>
          <w:trHeight w:val="201"/>
        </w:trPr>
        <w:tc>
          <w:tcPr>
            <w:tcW w:w="55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Diluted</w:t>
            </w:r>
          </w:p>
        </w:tc>
        <w:tc>
          <w:tcPr>
            <w:tcW w:w="20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94,284</w:t>
            </w:r>
          </w:p>
        </w:tc>
        <w:tc>
          <w:tcPr>
            <w:tcW w:w="2080" w:type="dxa"/>
            <w:vAlign w:val="bottom"/>
            <w:tcBorders>
              <w:bottom w:val="single" w:sz="8" w:color="DBDBDB"/>
            </w:tcBorders>
          </w:tcPr>
          <w:p>
            <w:pPr>
              <w:jc w:val="right"/>
              <w:ind w:right="348"/>
              <w:spacing w:after="0"/>
              <w:rPr>
                <w:sz w:val="20"/>
                <w:szCs w:val="20"/>
                <w:color w:val="auto"/>
              </w:rPr>
            </w:pPr>
            <w:r>
              <w:rPr>
                <w:rFonts w:ascii="Arial" w:cs="Arial" w:eastAsia="Arial" w:hAnsi="Arial"/>
                <w:sz w:val="14"/>
                <w:szCs w:val="14"/>
                <w:color w:val="auto"/>
              </w:rPr>
              <w:t>81,431</w:t>
            </w:r>
          </w:p>
        </w:tc>
        <w:tc>
          <w:tcPr>
            <w:tcW w:w="1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74,795</w:t>
            </w:r>
          </w:p>
        </w:tc>
        <w:tc>
          <w:tcPr>
            <w:tcW w:w="100" w:type="dxa"/>
            <w:vAlign w:val="bottom"/>
            <w:tcBorders>
              <w:bottom w:val="single" w:sz="8" w:color="DBDBDB"/>
            </w:tcBorders>
          </w:tcPr>
          <w:p>
            <w:pPr>
              <w:spacing w:after="0"/>
              <w:rPr>
                <w:sz w:val="17"/>
                <w:szCs w:val="17"/>
                <w:color w:val="auto"/>
              </w:rPr>
            </w:pPr>
          </w:p>
        </w:tc>
      </w:tr>
    </w:tbl>
    <w:p>
      <w:pPr>
        <w:spacing w:after="0" w:line="99" w:lineRule="exact"/>
        <w:rPr>
          <w:sz w:val="20"/>
          <w:szCs w:val="20"/>
          <w:color w:val="auto"/>
        </w:rPr>
      </w:pPr>
    </w:p>
    <w:p>
      <w:pPr>
        <w:ind w:left="560" w:hanging="534"/>
        <w:spacing w:after="0"/>
        <w:tabs>
          <w:tab w:leader="none" w:pos="5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outside consulting fees associated with our strategic cost savings and business optimization initiatives.</w:t>
      </w:r>
    </w:p>
    <w:p>
      <w:pPr>
        <w:spacing w:after="0" w:line="55" w:lineRule="exact"/>
        <w:rPr>
          <w:rFonts w:ascii="Arial" w:cs="Arial" w:eastAsia="Arial" w:hAnsi="Arial"/>
          <w:sz w:val="14"/>
          <w:szCs w:val="14"/>
          <w:color w:val="auto"/>
        </w:rPr>
      </w:pPr>
    </w:p>
    <w:p>
      <w:pPr>
        <w:ind w:left="560" w:hanging="534"/>
        <w:spacing w:after="0"/>
        <w:tabs>
          <w:tab w:leader="none" w:pos="5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our contractual payments under the Monitoring Agreement. See Note 14 to the consolidated financial statements in the Annual Report.</w:t>
      </w:r>
    </w:p>
    <w:p>
      <w:pPr>
        <w:spacing w:after="0" w:line="68" w:lineRule="exact"/>
        <w:rPr>
          <w:rFonts w:ascii="Arial" w:cs="Arial" w:eastAsia="Arial" w:hAnsi="Arial"/>
          <w:sz w:val="14"/>
          <w:szCs w:val="14"/>
          <w:color w:val="auto"/>
        </w:rPr>
      </w:pPr>
    </w:p>
    <w:p>
      <w:pPr>
        <w:ind w:left="560" w:right="300" w:hanging="534"/>
        <w:spacing w:after="0" w:line="263" w:lineRule="auto"/>
        <w:tabs>
          <w:tab w:leader="none" w:pos="5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non-cash charges related to equity based compensation, which vary from period to period depending on certain factors such as the 2021 Vesting Event (See Note 1 to the consolidated financial statements in the Annual Report, timing and valuation of awards, achievement of performance targets and equity award forfeitures.</w:t>
      </w:r>
    </w:p>
    <w:p>
      <w:pPr>
        <w:spacing w:after="0" w:line="10" w:lineRule="exact"/>
        <w:rPr>
          <w:rFonts w:ascii="Arial" w:cs="Arial" w:eastAsia="Arial" w:hAnsi="Arial"/>
          <w:sz w:val="14"/>
          <w:szCs w:val="14"/>
          <w:color w:val="auto"/>
        </w:rPr>
      </w:pPr>
    </w:p>
    <w:p>
      <w:pPr>
        <w:ind w:left="560" w:hanging="534"/>
        <w:spacing w:after="0"/>
        <w:tabs>
          <w:tab w:leader="none" w:pos="5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severance costs associated with executive leadership changes and enterprise-wide organizational changes.</w:t>
      </w:r>
    </w:p>
    <w:p>
      <w:pPr>
        <w:spacing w:after="0" w:line="55" w:lineRule="exact"/>
        <w:rPr>
          <w:rFonts w:ascii="Arial" w:cs="Arial" w:eastAsia="Arial" w:hAnsi="Arial"/>
          <w:sz w:val="14"/>
          <w:szCs w:val="14"/>
          <w:color w:val="auto"/>
        </w:rPr>
      </w:pPr>
    </w:p>
    <w:p>
      <w:pPr>
        <w:ind w:left="560" w:right="200" w:hanging="534"/>
        <w:spacing w:after="0" w:line="271" w:lineRule="auto"/>
        <w:tabs>
          <w:tab w:leader="none" w:pos="5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purchases earlier in the year to maintain stock, and legal fees associated with consulting in local jurisdictions. These costs were no longer added back beginning in the third quarter of 2020.</w:t>
      </w:r>
    </w:p>
    <w:p>
      <w:pPr>
        <w:spacing w:after="0" w:line="15" w:lineRule="exact"/>
        <w:rPr>
          <w:rFonts w:ascii="Arial" w:cs="Arial" w:eastAsia="Arial" w:hAnsi="Arial"/>
          <w:sz w:val="14"/>
          <w:szCs w:val="14"/>
          <w:color w:val="auto"/>
        </w:rPr>
      </w:pPr>
    </w:p>
    <w:p>
      <w:pPr>
        <w:ind w:left="560" w:hanging="534"/>
        <w:spacing w:after="0"/>
        <w:tabs>
          <w:tab w:leader="none" w:pos="5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cash expenses related to taxes on equity-based compensation resulting from the 2021 Vesting Event.</w:t>
      </w:r>
    </w:p>
    <w:p>
      <w:pPr>
        <w:spacing w:after="0" w:line="68" w:lineRule="exact"/>
        <w:rPr>
          <w:rFonts w:ascii="Arial" w:cs="Arial" w:eastAsia="Arial" w:hAnsi="Arial"/>
          <w:sz w:val="14"/>
          <w:szCs w:val="14"/>
          <w:color w:val="auto"/>
        </w:rPr>
      </w:pPr>
    </w:p>
    <w:p>
      <w:pPr>
        <w:ind w:left="560" w:right="220" w:hanging="534"/>
        <w:spacing w:after="0" w:line="275" w:lineRule="auto"/>
        <w:tabs>
          <w:tab w:leader="none" w:pos="5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Other adjustments include (representing deductions or additions to Adjusted Net Income)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13" w:lineRule="exact"/>
        <w:rPr>
          <w:rFonts w:ascii="Arial" w:cs="Arial" w:eastAsia="Arial" w:hAnsi="Arial"/>
          <w:sz w:val="14"/>
          <w:szCs w:val="14"/>
          <w:color w:val="auto"/>
        </w:rPr>
      </w:pPr>
    </w:p>
    <w:p>
      <w:pPr>
        <w:ind w:left="560" w:hanging="534"/>
        <w:spacing w:after="0"/>
        <w:tabs>
          <w:tab w:leader="none" w:pos="5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made to arrive at Adjusted Net Income at our historical tax rate.</w:t>
      </w:r>
    </w:p>
    <w:p>
      <w:pPr>
        <w:spacing w:after="0" w:line="68" w:lineRule="exact"/>
        <w:rPr>
          <w:rFonts w:ascii="Arial" w:cs="Arial" w:eastAsia="Arial" w:hAnsi="Arial"/>
          <w:sz w:val="14"/>
          <w:szCs w:val="14"/>
          <w:color w:val="auto"/>
        </w:rPr>
      </w:pPr>
    </w:p>
    <w:p>
      <w:pPr>
        <w:ind w:left="560" w:right="540" w:hanging="534"/>
        <w:spacing w:after="0" w:line="305" w:lineRule="auto"/>
        <w:tabs>
          <w:tab w:leader="none" w:pos="5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the retrospective tax effect of Adjusted Net Income at our estimated effective tax rate of approximately 25% for periods prior to October 1, 2020, the effective date of our conversion to a C-Corporation, upon which we became subject to federal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843280</wp:posOffset>
            </wp:positionV>
            <wp:extent cx="857250" cy="205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0" cy="2057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58"/>
          <w:szCs w:val="58"/>
          <w:b w:val="1"/>
          <w:bCs w:val="1"/>
          <w:color w:val="auto"/>
        </w:rPr>
        <w:t>Thank You</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57"/>
          <w:szCs w:val="57"/>
          <w:b w:val="1"/>
          <w:bCs w:val="1"/>
          <w:color w:val="auto"/>
        </w:rPr>
        <w:t>for being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934720</wp:posOffset>
            </wp:positionV>
            <wp:extent cx="4380230" cy="19284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8023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Learn more at academy.com.</w:t>
      </w:r>
    </w:p>
    <w:p>
      <w:pPr>
        <w:sectPr>
          <w:pgSz w:w="11900" w:h="16838" w:orient="portrait"/>
          <w:cols w:equalWidth="0" w:num="1">
            <w:col w:w="9019"/>
          </w:cols>
          <w:pgMar w:left="1440" w:top="1440" w:right="1440" w:bottom="1440" w:gutter="0" w:footer="0" w:header="0"/>
        </w:sectPr>
      </w:pPr>
    </w:p>
    <w:bookmarkStart w:id="77" w:name="page78"/>
    <w:bookmarkEnd w:id="77"/>
    <w:p>
      <w:pPr>
        <w:spacing w:after="0" w:line="200" w:lineRule="exact"/>
        <w:rPr>
          <w:sz w:val="20"/>
          <w:szCs w:val="20"/>
          <w:color w:val="auto"/>
        </w:rPr>
      </w:pPr>
    </w:p>
    <w:p>
      <w:pPr>
        <w:spacing w:after="0" w:line="362"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5820" w:type="dxa"/>
            <w:vAlign w:val="bottom"/>
          </w:tcPr>
          <w:p>
            <w:pPr>
              <w:ind w:left="1260"/>
              <w:spacing w:after="0"/>
              <w:rPr>
                <w:sz w:val="20"/>
                <w:szCs w:val="20"/>
                <w:color w:val="auto"/>
              </w:rPr>
            </w:pPr>
            <w:r>
              <w:rPr>
                <w:rFonts w:ascii="Arial" w:cs="Arial" w:eastAsia="Arial" w:hAnsi="Arial"/>
                <w:sz w:val="13"/>
                <w:szCs w:val="13"/>
                <w:b w:val="1"/>
                <w:bCs w:val="1"/>
                <w:color w:val="auto"/>
              </w:rPr>
              <w:t>VOTE BY INTERNET - www.proxyvote.com</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5820" w:type="dxa"/>
            <w:vAlign w:val="bottom"/>
          </w:tcPr>
          <w:p>
            <w:pPr>
              <w:ind w:left="1260"/>
              <w:spacing w:after="0" w:line="131" w:lineRule="exact"/>
              <w:rPr>
                <w:sz w:val="20"/>
                <w:szCs w:val="20"/>
                <w:color w:val="auto"/>
              </w:rPr>
            </w:pPr>
            <w:r>
              <w:rPr>
                <w:rFonts w:ascii="Arial" w:cs="Arial" w:eastAsia="Arial" w:hAnsi="Arial"/>
                <w:sz w:val="13"/>
                <w:szCs w:val="13"/>
                <w:color w:val="auto"/>
                <w:w w:val="98"/>
              </w:rPr>
              <w:t>Use the Internet to transmit your voting instructions and for electronic delivery of</w:t>
            </w:r>
          </w:p>
        </w:tc>
        <w:tc>
          <w:tcPr>
            <w:tcW w:w="0" w:type="dxa"/>
            <w:vAlign w:val="bottom"/>
          </w:tcPr>
          <w:p>
            <w:pPr>
              <w:spacing w:after="0"/>
              <w:rPr>
                <w:sz w:val="1"/>
                <w:szCs w:val="1"/>
                <w:color w:val="auto"/>
              </w:rPr>
            </w:pPr>
          </w:p>
        </w:tc>
      </w:tr>
      <w:tr>
        <w:trPr>
          <w:trHeight w:val="126"/>
        </w:trPr>
        <w:tc>
          <w:tcPr>
            <w:tcW w:w="3820" w:type="dxa"/>
            <w:vAlign w:val="bottom"/>
            <w:vMerge w:val="restart"/>
          </w:tcPr>
          <w:p>
            <w:pPr>
              <w:spacing w:after="0"/>
              <w:rPr>
                <w:sz w:val="20"/>
                <w:szCs w:val="20"/>
                <w:color w:val="auto"/>
              </w:rPr>
            </w:pPr>
            <w:r>
              <w:rPr>
                <w:rFonts w:ascii="Arial" w:cs="Arial" w:eastAsia="Arial" w:hAnsi="Arial"/>
                <w:sz w:val="13"/>
                <w:szCs w:val="13"/>
                <w:i w:val="1"/>
                <w:iCs w:val="1"/>
                <w:color w:val="auto"/>
              </w:rPr>
              <w:t>ACADEMY SPORTS AND OUTDOORS, INC.</w:t>
            </w:r>
          </w:p>
        </w:tc>
        <w:tc>
          <w:tcPr>
            <w:tcW w:w="5820" w:type="dxa"/>
            <w:vAlign w:val="bottom"/>
          </w:tcPr>
          <w:p>
            <w:pPr>
              <w:ind w:left="1260"/>
              <w:spacing w:after="0" w:line="126" w:lineRule="exact"/>
              <w:rPr>
                <w:sz w:val="20"/>
                <w:szCs w:val="20"/>
                <w:color w:val="auto"/>
              </w:rPr>
            </w:pPr>
            <w:r>
              <w:rPr>
                <w:rFonts w:ascii="Arial" w:cs="Arial" w:eastAsia="Arial" w:hAnsi="Arial"/>
                <w:sz w:val="13"/>
                <w:szCs w:val="13"/>
                <w:color w:val="auto"/>
              </w:rPr>
              <w:t>information up until 10:59 P.M. Central Time the day before the meeting date.</w:t>
            </w:r>
          </w:p>
        </w:tc>
        <w:tc>
          <w:tcPr>
            <w:tcW w:w="0" w:type="dxa"/>
            <w:vAlign w:val="bottom"/>
          </w:tcPr>
          <w:p>
            <w:pPr>
              <w:spacing w:after="0"/>
              <w:rPr>
                <w:sz w:val="1"/>
                <w:szCs w:val="1"/>
                <w:color w:val="auto"/>
              </w:rPr>
            </w:pPr>
          </w:p>
        </w:tc>
      </w:tr>
      <w:tr>
        <w:trPr>
          <w:trHeight w:val="122"/>
        </w:trPr>
        <w:tc>
          <w:tcPr>
            <w:tcW w:w="3820" w:type="dxa"/>
            <w:vAlign w:val="bottom"/>
            <w:vMerge w:val="continue"/>
          </w:tcPr>
          <w:p>
            <w:pPr>
              <w:spacing w:after="0"/>
              <w:rPr>
                <w:sz w:val="10"/>
                <w:szCs w:val="10"/>
                <w:color w:val="auto"/>
              </w:rPr>
            </w:pPr>
          </w:p>
        </w:tc>
        <w:tc>
          <w:tcPr>
            <w:tcW w:w="5820" w:type="dxa"/>
            <w:vAlign w:val="bottom"/>
          </w:tcPr>
          <w:p>
            <w:pPr>
              <w:ind w:left="1260"/>
              <w:spacing w:after="0" w:line="122" w:lineRule="exact"/>
              <w:rPr>
                <w:sz w:val="20"/>
                <w:szCs w:val="20"/>
                <w:color w:val="auto"/>
              </w:rPr>
            </w:pPr>
            <w:r>
              <w:rPr>
                <w:rFonts w:ascii="Arial" w:cs="Arial" w:eastAsia="Arial" w:hAnsi="Arial"/>
                <w:sz w:val="13"/>
                <w:szCs w:val="13"/>
                <w:color w:val="auto"/>
              </w:rPr>
              <w:t>Have this proxy card in hand when you access the web site and then follow the</w:t>
            </w:r>
          </w:p>
        </w:tc>
        <w:tc>
          <w:tcPr>
            <w:tcW w:w="0" w:type="dxa"/>
            <w:vAlign w:val="bottom"/>
          </w:tcPr>
          <w:p>
            <w:pPr>
              <w:spacing w:after="0"/>
              <w:rPr>
                <w:sz w:val="1"/>
                <w:szCs w:val="1"/>
                <w:color w:val="auto"/>
              </w:rPr>
            </w:pPr>
          </w:p>
        </w:tc>
      </w:tr>
      <w:tr>
        <w:trPr>
          <w:trHeight w:val="131"/>
        </w:trPr>
        <w:tc>
          <w:tcPr>
            <w:tcW w:w="3820" w:type="dxa"/>
            <w:vAlign w:val="bottom"/>
          </w:tcPr>
          <w:p>
            <w:pPr>
              <w:spacing w:after="0" w:line="131" w:lineRule="exact"/>
              <w:rPr>
                <w:sz w:val="20"/>
                <w:szCs w:val="20"/>
                <w:color w:val="auto"/>
              </w:rPr>
            </w:pPr>
            <w:r>
              <w:rPr>
                <w:rFonts w:ascii="Arial" w:cs="Arial" w:eastAsia="Arial" w:hAnsi="Arial"/>
                <w:sz w:val="13"/>
                <w:szCs w:val="13"/>
                <w:i w:val="1"/>
                <w:iCs w:val="1"/>
                <w:color w:val="auto"/>
              </w:rPr>
              <w:t>1800 NORTH MASON ROAD</w:t>
            </w:r>
          </w:p>
        </w:tc>
        <w:tc>
          <w:tcPr>
            <w:tcW w:w="5820" w:type="dxa"/>
            <w:vAlign w:val="bottom"/>
          </w:tcPr>
          <w:p>
            <w:pPr>
              <w:ind w:left="1260"/>
              <w:spacing w:after="0" w:line="131" w:lineRule="exact"/>
              <w:rPr>
                <w:sz w:val="20"/>
                <w:szCs w:val="20"/>
                <w:color w:val="auto"/>
              </w:rPr>
            </w:pPr>
            <w:r>
              <w:rPr>
                <w:rFonts w:ascii="Arial" w:cs="Arial" w:eastAsia="Arial" w:hAnsi="Arial"/>
                <w:sz w:val="13"/>
                <w:szCs w:val="13"/>
                <w:color w:val="auto"/>
              </w:rPr>
              <w:t>instructions to obtain your records and to create an electronic voting instruction</w:t>
            </w:r>
          </w:p>
        </w:tc>
        <w:tc>
          <w:tcPr>
            <w:tcW w:w="0" w:type="dxa"/>
            <w:vAlign w:val="bottom"/>
          </w:tcPr>
          <w:p>
            <w:pPr>
              <w:spacing w:after="0"/>
              <w:rPr>
                <w:sz w:val="1"/>
                <w:szCs w:val="1"/>
                <w:color w:val="auto"/>
              </w:rPr>
            </w:pPr>
          </w:p>
        </w:tc>
      </w:tr>
      <w:tr>
        <w:trPr>
          <w:trHeight w:val="166"/>
        </w:trPr>
        <w:tc>
          <w:tcPr>
            <w:tcW w:w="3820" w:type="dxa"/>
            <w:vAlign w:val="bottom"/>
          </w:tcPr>
          <w:p>
            <w:pPr>
              <w:spacing w:after="0"/>
              <w:rPr>
                <w:sz w:val="20"/>
                <w:szCs w:val="20"/>
                <w:color w:val="auto"/>
              </w:rPr>
            </w:pPr>
            <w:r>
              <w:rPr>
                <w:rFonts w:ascii="Arial" w:cs="Arial" w:eastAsia="Arial" w:hAnsi="Arial"/>
                <w:sz w:val="13"/>
                <w:szCs w:val="13"/>
                <w:i w:val="1"/>
                <w:iCs w:val="1"/>
                <w:color w:val="auto"/>
              </w:rPr>
              <w:t>KATY, TEXAS 77449</w:t>
            </w:r>
          </w:p>
        </w:tc>
        <w:tc>
          <w:tcPr>
            <w:tcW w:w="5820" w:type="dxa"/>
            <w:vAlign w:val="bottom"/>
          </w:tcPr>
          <w:p>
            <w:pPr>
              <w:ind w:left="1260"/>
              <w:spacing w:after="0"/>
              <w:rPr>
                <w:sz w:val="20"/>
                <w:szCs w:val="20"/>
                <w:color w:val="auto"/>
              </w:rPr>
            </w:pPr>
            <w:r>
              <w:rPr>
                <w:rFonts w:ascii="Arial" w:cs="Arial" w:eastAsia="Arial" w:hAnsi="Arial"/>
                <w:sz w:val="13"/>
                <w:szCs w:val="13"/>
                <w:color w:val="auto"/>
              </w:rPr>
              <w:t>form.</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5880"/>
        <w:spacing w:after="0"/>
        <w:rPr>
          <w:sz w:val="20"/>
          <w:szCs w:val="20"/>
          <w:color w:val="auto"/>
        </w:rPr>
      </w:pPr>
      <w:r>
        <w:rPr>
          <w:rFonts w:ascii="Arial" w:cs="Arial" w:eastAsia="Arial" w:hAnsi="Arial"/>
          <w:sz w:val="13"/>
          <w:szCs w:val="13"/>
          <w:b w:val="1"/>
          <w:bCs w:val="1"/>
          <w:color w:val="auto"/>
        </w:rPr>
        <w:t>ELECTRONIC DELIVERY OF FUTURE PROXY MATERIALS</w:t>
      </w:r>
    </w:p>
    <w:p>
      <w:pPr>
        <w:ind w:left="5880"/>
        <w:spacing w:after="0" w:line="216" w:lineRule="auto"/>
        <w:rPr>
          <w:sz w:val="20"/>
          <w:szCs w:val="20"/>
          <w:color w:val="auto"/>
        </w:rPr>
      </w:pPr>
      <w:r>
        <w:rPr>
          <w:rFonts w:ascii="Arial" w:cs="Arial" w:eastAsia="Arial" w:hAnsi="Arial"/>
          <w:sz w:val="13"/>
          <w:szCs w:val="13"/>
          <w:color w:val="auto"/>
        </w:rPr>
        <w:t>If you would like to reduce the costs incurred by our company in mailing proxy</w:t>
      </w:r>
    </w:p>
    <w:p>
      <w:pPr>
        <w:ind w:left="5880"/>
        <w:spacing w:after="0" w:line="195" w:lineRule="auto"/>
        <w:rPr>
          <w:sz w:val="20"/>
          <w:szCs w:val="20"/>
          <w:color w:val="auto"/>
        </w:rPr>
      </w:pPr>
      <w:r>
        <w:rPr>
          <w:rFonts w:ascii="Arial" w:cs="Arial" w:eastAsia="Arial" w:hAnsi="Arial"/>
          <w:sz w:val="13"/>
          <w:szCs w:val="13"/>
          <w:color w:val="auto"/>
        </w:rPr>
        <w:t>materials, you can consent to receiving all future proxy statements, proxy cards</w:t>
      </w:r>
    </w:p>
    <w:p>
      <w:pPr>
        <w:ind w:left="5880"/>
        <w:spacing w:after="0" w:line="195" w:lineRule="auto"/>
        <w:rPr>
          <w:sz w:val="20"/>
          <w:szCs w:val="20"/>
          <w:color w:val="auto"/>
        </w:rPr>
      </w:pPr>
      <w:r>
        <w:rPr>
          <w:rFonts w:ascii="Arial" w:cs="Arial" w:eastAsia="Arial" w:hAnsi="Arial"/>
          <w:sz w:val="13"/>
          <w:szCs w:val="13"/>
          <w:color w:val="auto"/>
        </w:rPr>
        <w:t>and annual reports electronically via e-mail or the Internet. To sign up for</w:t>
      </w:r>
    </w:p>
    <w:p>
      <w:pPr>
        <w:ind w:left="5880"/>
        <w:spacing w:after="0" w:line="217" w:lineRule="auto"/>
        <w:rPr>
          <w:sz w:val="20"/>
          <w:szCs w:val="20"/>
          <w:color w:val="auto"/>
        </w:rPr>
      </w:pPr>
      <w:r>
        <w:rPr>
          <w:rFonts w:ascii="Arial" w:cs="Arial" w:eastAsia="Arial" w:hAnsi="Arial"/>
          <w:sz w:val="13"/>
          <w:szCs w:val="13"/>
          <w:color w:val="auto"/>
        </w:rPr>
        <w:t>electronic delivery, please follow the instructions above to vote using the Internet</w:t>
      </w:r>
    </w:p>
    <w:p>
      <w:pPr>
        <w:ind w:left="5880"/>
        <w:spacing w:after="0" w:line="195" w:lineRule="auto"/>
        <w:rPr>
          <w:sz w:val="20"/>
          <w:szCs w:val="20"/>
          <w:color w:val="auto"/>
        </w:rPr>
      </w:pPr>
      <w:r>
        <w:rPr>
          <w:rFonts w:ascii="Arial" w:cs="Arial" w:eastAsia="Arial" w:hAnsi="Arial"/>
          <w:sz w:val="13"/>
          <w:szCs w:val="13"/>
          <w:color w:val="auto"/>
        </w:rPr>
        <w:t>and, when prompted, indicate that you agree to receive or access proxy materials</w:t>
      </w:r>
    </w:p>
    <w:p>
      <w:pPr>
        <w:ind w:left="5880"/>
        <w:spacing w:after="0"/>
        <w:rPr>
          <w:sz w:val="20"/>
          <w:szCs w:val="20"/>
          <w:color w:val="auto"/>
        </w:rPr>
      </w:pPr>
      <w:r>
        <w:rPr>
          <w:rFonts w:ascii="Arial" w:cs="Arial" w:eastAsia="Arial" w:hAnsi="Arial"/>
          <w:sz w:val="13"/>
          <w:szCs w:val="13"/>
          <w:color w:val="auto"/>
        </w:rPr>
        <w:t>electronically in future years.</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3"/>
          <w:szCs w:val="13"/>
          <w:b w:val="1"/>
          <w:bCs w:val="1"/>
          <w:color w:val="auto"/>
        </w:rPr>
        <w:t>VOTE BY PHONE - 1-800-690-6903</w:t>
      </w:r>
    </w:p>
    <w:p>
      <w:pPr>
        <w:ind w:left="5880"/>
        <w:spacing w:after="0" w:line="216" w:lineRule="auto"/>
        <w:rPr>
          <w:sz w:val="20"/>
          <w:szCs w:val="20"/>
          <w:color w:val="auto"/>
        </w:rPr>
      </w:pPr>
      <w:r>
        <w:rPr>
          <w:rFonts w:ascii="Arial" w:cs="Arial" w:eastAsia="Arial" w:hAnsi="Arial"/>
          <w:sz w:val="13"/>
          <w:szCs w:val="13"/>
          <w:color w:val="auto"/>
        </w:rPr>
        <w:t>Use any touch-tone telephone to transmit your voting instructions up until 10:59</w:t>
      </w:r>
    </w:p>
    <w:p>
      <w:pPr>
        <w:ind w:left="5880"/>
        <w:spacing w:after="0" w:line="195" w:lineRule="auto"/>
        <w:rPr>
          <w:sz w:val="20"/>
          <w:szCs w:val="20"/>
          <w:color w:val="auto"/>
        </w:rPr>
      </w:pPr>
      <w:r>
        <w:rPr>
          <w:rFonts w:ascii="Arial" w:cs="Arial" w:eastAsia="Arial" w:hAnsi="Arial"/>
          <w:sz w:val="13"/>
          <w:szCs w:val="13"/>
          <w:color w:val="auto"/>
        </w:rPr>
        <w:t>P.M. Central Time the day before the meeting date. Have this proxy card in hand</w:t>
      </w:r>
    </w:p>
    <w:p>
      <w:pPr>
        <w:ind w:left="5880"/>
        <w:spacing w:after="0"/>
        <w:rPr>
          <w:sz w:val="20"/>
          <w:szCs w:val="20"/>
          <w:color w:val="auto"/>
        </w:rPr>
      </w:pPr>
      <w:r>
        <w:rPr>
          <w:rFonts w:ascii="Arial" w:cs="Arial" w:eastAsia="Arial" w:hAnsi="Arial"/>
          <w:sz w:val="13"/>
          <w:szCs w:val="13"/>
          <w:color w:val="auto"/>
        </w:rPr>
        <w:t>when you call and then follow the instructions.</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3"/>
          <w:szCs w:val="13"/>
          <w:b w:val="1"/>
          <w:bCs w:val="1"/>
          <w:color w:val="auto"/>
        </w:rPr>
        <w:t>VOTE BY MAIL</w:t>
      </w:r>
    </w:p>
    <w:p>
      <w:pPr>
        <w:ind w:left="5880"/>
        <w:spacing w:after="0" w:line="216" w:lineRule="auto"/>
        <w:rPr>
          <w:sz w:val="20"/>
          <w:szCs w:val="20"/>
          <w:color w:val="auto"/>
        </w:rPr>
      </w:pPr>
      <w:r>
        <w:rPr>
          <w:rFonts w:ascii="Arial" w:cs="Arial" w:eastAsia="Arial" w:hAnsi="Arial"/>
          <w:sz w:val="13"/>
          <w:szCs w:val="13"/>
          <w:color w:val="auto"/>
        </w:rPr>
        <w:t>Mark, sign and date your proxy card and return it in the postage-paid envelope we</w:t>
      </w:r>
    </w:p>
    <w:p>
      <w:pPr>
        <w:ind w:left="5880"/>
        <w:spacing w:after="0" w:line="195" w:lineRule="auto"/>
        <w:rPr>
          <w:sz w:val="20"/>
          <w:szCs w:val="20"/>
          <w:color w:val="auto"/>
        </w:rPr>
      </w:pPr>
      <w:r>
        <w:rPr>
          <w:rFonts w:ascii="Arial" w:cs="Arial" w:eastAsia="Arial" w:hAnsi="Arial"/>
          <w:sz w:val="13"/>
          <w:szCs w:val="13"/>
          <w:color w:val="auto"/>
        </w:rPr>
        <w:t>have provided or return it to Vote Processing, c/o Broadridge, 51 Mercedes Way,</w:t>
      </w:r>
    </w:p>
    <w:p>
      <w:pPr>
        <w:ind w:left="5880"/>
        <w:spacing w:after="0"/>
        <w:rPr>
          <w:sz w:val="20"/>
          <w:szCs w:val="20"/>
          <w:color w:val="auto"/>
        </w:rPr>
      </w:pPr>
      <w:r>
        <w:rPr>
          <w:rFonts w:ascii="Arial" w:cs="Arial" w:eastAsia="Arial" w:hAnsi="Arial"/>
          <w:sz w:val="13"/>
          <w:szCs w:val="13"/>
          <w:color w:val="auto"/>
        </w:rPr>
        <w:t>Edgewood, NY 11717.</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1"/>
          <w:szCs w:val="11"/>
          <w:color w:val="auto"/>
        </w:rPr>
        <w:t>TO VOTE, MARK BLOCKS BELOW IN BLUE OR BLACK INK AS FOLLOWS:</w:t>
      </w:r>
    </w:p>
    <w:p>
      <w:pPr>
        <w:spacing w:after="0" w:line="238" w:lineRule="exact"/>
        <w:rPr>
          <w:sz w:val="20"/>
          <w:szCs w:val="20"/>
          <w:color w:val="auto"/>
        </w:rPr>
      </w:pPr>
    </w:p>
    <w:p>
      <w:pPr>
        <w:ind w:left="4540"/>
        <w:spacing w:after="0"/>
        <w:rPr>
          <w:sz w:val="20"/>
          <w:szCs w:val="20"/>
          <w:color w:val="auto"/>
        </w:rPr>
      </w:pPr>
      <w:r>
        <w:rPr>
          <w:rFonts w:ascii="Arial" w:cs="Arial" w:eastAsia="Arial" w:hAnsi="Arial"/>
          <w:sz w:val="11"/>
          <w:szCs w:val="11"/>
          <w:color w:val="auto"/>
        </w:rPr>
        <w:t>D68959-P66375 KEEP THIS PORTION FOR YOUR RECORDS</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1"/>
          <w:szCs w:val="11"/>
          <w:color w:val="auto"/>
        </w:rPr>
        <w:t>------------------------------------------------------------------------------------------------------------------------------------------------------------------------------------------------------------------------------------</w:t>
      </w:r>
    </w:p>
    <w:p>
      <w:pPr>
        <w:jc w:val="right"/>
        <w:spacing w:after="0"/>
        <w:rPr>
          <w:sz w:val="20"/>
          <w:szCs w:val="20"/>
          <w:color w:val="auto"/>
        </w:rPr>
      </w:pPr>
      <w:r>
        <w:rPr>
          <w:rFonts w:ascii="Arial" w:cs="Arial" w:eastAsia="Arial" w:hAnsi="Arial"/>
          <w:sz w:val="11"/>
          <w:szCs w:val="11"/>
          <w:color w:val="auto"/>
        </w:rPr>
        <w:t>DETACH AND RETURN THIS PORTION ONLY</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180975</wp:posOffset>
            </wp:positionV>
            <wp:extent cx="2691765" cy="35229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91765" cy="3522980"/>
                    </a:xfrm>
                    <a:prstGeom prst="rect">
                      <a:avLst/>
                    </a:prstGeom>
                    <a:noFill/>
                  </pic:spPr>
                </pic:pic>
              </a:graphicData>
            </a:graphic>
          </wp:anchor>
        </w:drawing>
      </w:r>
    </w:p>
    <w:p>
      <w:pPr>
        <w:spacing w:after="0" w:line="270" w:lineRule="exact"/>
        <w:rPr>
          <w:sz w:val="20"/>
          <w:szCs w:val="20"/>
          <w:color w:val="auto"/>
        </w:rPr>
      </w:pPr>
    </w:p>
    <w:p>
      <w:pPr>
        <w:ind w:left="1780"/>
        <w:spacing w:after="0"/>
        <w:rPr>
          <w:sz w:val="20"/>
          <w:szCs w:val="20"/>
          <w:color w:val="auto"/>
        </w:rPr>
      </w:pPr>
      <w:r>
        <w:rPr>
          <w:rFonts w:ascii="Arial" w:cs="Arial" w:eastAsia="Arial" w:hAnsi="Arial"/>
          <w:sz w:val="11"/>
          <w:szCs w:val="11"/>
          <w:b w:val="1"/>
          <w:bCs w:val="1"/>
          <w:color w:val="auto"/>
        </w:rPr>
        <w:t>ACADEMY SPORTS</w:t>
      </w:r>
    </w:p>
    <w:p>
      <w:pPr>
        <w:ind w:left="1780"/>
        <w:spacing w:after="0"/>
        <w:rPr>
          <w:sz w:val="20"/>
          <w:szCs w:val="20"/>
          <w:color w:val="auto"/>
        </w:rPr>
      </w:pPr>
      <w:r>
        <w:rPr>
          <w:rFonts w:ascii="Arial" w:cs="Arial" w:eastAsia="Arial" w:hAnsi="Arial"/>
          <w:sz w:val="11"/>
          <w:szCs w:val="11"/>
          <w:b w:val="1"/>
          <w:bCs w:val="1"/>
          <w:color w:val="auto"/>
        </w:rPr>
        <w:t>AND OUTDOORS, INC.</w:t>
      </w:r>
    </w:p>
    <w:p>
      <w:pPr>
        <w:spacing w:after="0" w:line="17" w:lineRule="exact"/>
        <w:rPr>
          <w:sz w:val="20"/>
          <w:szCs w:val="20"/>
          <w:color w:val="auto"/>
        </w:rPr>
      </w:pPr>
    </w:p>
    <w:p>
      <w:pPr>
        <w:ind w:left="1780"/>
        <w:spacing w:after="0"/>
        <w:rPr>
          <w:sz w:val="20"/>
          <w:szCs w:val="20"/>
          <w:color w:val="auto"/>
        </w:rPr>
      </w:pPr>
      <w:r>
        <w:rPr>
          <w:rFonts w:ascii="Arial" w:cs="Arial" w:eastAsia="Arial" w:hAnsi="Arial"/>
          <w:sz w:val="11"/>
          <w:szCs w:val="11"/>
          <w:b w:val="1"/>
          <w:bCs w:val="1"/>
          <w:color w:val="auto"/>
        </w:rPr>
        <w:t>The Board of Directors recommends</w:t>
      </w:r>
    </w:p>
    <w:p>
      <w:pPr>
        <w:ind w:left="1780"/>
        <w:spacing w:after="0" w:line="204" w:lineRule="auto"/>
        <w:rPr>
          <w:sz w:val="20"/>
          <w:szCs w:val="20"/>
          <w:color w:val="auto"/>
        </w:rPr>
      </w:pPr>
      <w:r>
        <w:rPr>
          <w:rFonts w:ascii="Arial" w:cs="Arial" w:eastAsia="Arial" w:hAnsi="Arial"/>
          <w:sz w:val="11"/>
          <w:szCs w:val="11"/>
          <w:b w:val="1"/>
          <w:bCs w:val="1"/>
          <w:color w:val="auto"/>
        </w:rPr>
        <w:t>you vote FOR ALL of the director</w:t>
      </w:r>
    </w:p>
    <w:p>
      <w:pPr>
        <w:ind w:left="1780"/>
        <w:spacing w:after="0"/>
        <w:rPr>
          <w:sz w:val="20"/>
          <w:szCs w:val="20"/>
          <w:color w:val="auto"/>
        </w:rPr>
      </w:pPr>
      <w:r>
        <w:rPr>
          <w:rFonts w:ascii="Arial" w:cs="Arial" w:eastAsia="Arial" w:hAnsi="Arial"/>
          <w:sz w:val="11"/>
          <w:szCs w:val="11"/>
          <w:b w:val="1"/>
          <w:bCs w:val="1"/>
          <w:color w:val="auto"/>
        </w:rPr>
        <w:t>nominees in Proposal 1.</w:t>
      </w:r>
    </w:p>
    <w:p>
      <w:pPr>
        <w:spacing w:after="0" w:line="17" w:lineRule="exact"/>
        <w:rPr>
          <w:sz w:val="20"/>
          <w:szCs w:val="20"/>
          <w:color w:val="auto"/>
        </w:rPr>
      </w:pPr>
    </w:p>
    <w:p>
      <w:pPr>
        <w:ind w:left="1940"/>
        <w:spacing w:after="0"/>
        <w:tabs>
          <w:tab w:leader="none" w:pos="2420" w:val="left"/>
        </w:tabs>
        <w:rPr>
          <w:sz w:val="20"/>
          <w:szCs w:val="20"/>
          <w:color w:val="auto"/>
        </w:rPr>
      </w:pPr>
      <w:r>
        <w:rPr>
          <w:rFonts w:ascii="Arial" w:cs="Arial" w:eastAsia="Arial" w:hAnsi="Arial"/>
          <w:sz w:val="11"/>
          <w:szCs w:val="11"/>
          <w:color w:val="auto"/>
        </w:rPr>
        <w:t>1.</w:t>
      </w:r>
      <w:r>
        <w:rPr>
          <w:sz w:val="20"/>
          <w:szCs w:val="20"/>
          <w:color w:val="auto"/>
        </w:rPr>
        <w:tab/>
      </w:r>
      <w:r>
        <w:rPr>
          <w:rFonts w:ascii="Arial" w:cs="Arial" w:eastAsia="Arial" w:hAnsi="Arial"/>
          <w:sz w:val="11"/>
          <w:szCs w:val="11"/>
          <w:color w:val="auto"/>
        </w:rPr>
        <w:t>Election of</w:t>
      </w:r>
    </w:p>
    <w:p>
      <w:pPr>
        <w:ind w:left="2440"/>
        <w:spacing w:after="0" w:line="204" w:lineRule="auto"/>
        <w:rPr>
          <w:sz w:val="20"/>
          <w:szCs w:val="20"/>
          <w:color w:val="auto"/>
        </w:rPr>
      </w:pPr>
      <w:r>
        <w:rPr>
          <w:rFonts w:ascii="Arial" w:cs="Arial" w:eastAsia="Arial" w:hAnsi="Arial"/>
          <w:sz w:val="11"/>
          <w:szCs w:val="11"/>
          <w:color w:val="auto"/>
        </w:rPr>
        <w:t>Class II</w:t>
      </w:r>
    </w:p>
    <w:p>
      <w:pPr>
        <w:ind w:left="2440"/>
        <w:spacing w:after="0"/>
        <w:rPr>
          <w:sz w:val="20"/>
          <w:szCs w:val="20"/>
          <w:color w:val="auto"/>
        </w:rPr>
      </w:pPr>
      <w:r>
        <w:rPr>
          <w:rFonts w:ascii="Arial" w:cs="Arial" w:eastAsia="Arial" w:hAnsi="Arial"/>
          <w:sz w:val="11"/>
          <w:szCs w:val="11"/>
          <w:color w:val="auto"/>
        </w:rPr>
        <w:t>Directors</w:t>
      </w:r>
    </w:p>
    <w:p>
      <w:pPr>
        <w:sectPr>
          <w:pgSz w:w="11900" w:h="16838" w:orient="portrait"/>
          <w:cols w:equalWidth="0" w:num="1">
            <w:col w:w="11240"/>
          </w:cols>
          <w:pgMar w:left="320" w:top="1440" w:right="339" w:bottom="1440" w:gutter="0" w:footer="0" w:header="0"/>
        </w:sectPr>
      </w:pPr>
    </w:p>
    <w:p>
      <w:pPr>
        <w:spacing w:after="0" w:line="215" w:lineRule="exact"/>
        <w:rPr>
          <w:sz w:val="20"/>
          <w:szCs w:val="20"/>
          <w:color w:val="auto"/>
        </w:rPr>
      </w:pPr>
    </w:p>
    <w:p>
      <w:pPr>
        <w:ind w:left="2440"/>
        <w:spacing w:after="0"/>
        <w:rPr>
          <w:sz w:val="20"/>
          <w:szCs w:val="20"/>
          <w:color w:val="auto"/>
        </w:rPr>
      </w:pPr>
      <w:r>
        <w:rPr>
          <w:rFonts w:ascii="Arial" w:cs="Arial" w:eastAsia="Arial" w:hAnsi="Arial"/>
          <w:sz w:val="11"/>
          <w:szCs w:val="11"/>
          <w:b w:val="1"/>
          <w:bCs w:val="1"/>
          <w:color w:val="auto"/>
        </w:rPr>
        <w:t>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20"/>
        <w:spacing w:after="0"/>
        <w:rPr>
          <w:sz w:val="20"/>
          <w:szCs w:val="20"/>
          <w:color w:val="auto"/>
        </w:rPr>
      </w:pPr>
      <w:r>
        <w:rPr>
          <w:rFonts w:ascii="Arial" w:cs="Arial" w:eastAsia="Arial" w:hAnsi="Arial"/>
          <w:sz w:val="11"/>
          <w:szCs w:val="11"/>
          <w:b w:val="1"/>
          <w:bCs w:val="1"/>
          <w:color w:val="auto"/>
        </w:rPr>
        <w:t>For Withhold</w:t>
      </w:r>
    </w:p>
    <w:p>
      <w:pPr>
        <w:spacing w:after="0" w:line="6" w:lineRule="exact"/>
        <w:rPr>
          <w:sz w:val="20"/>
          <w:szCs w:val="20"/>
          <w:color w:val="auto"/>
        </w:rPr>
      </w:pPr>
    </w:p>
    <w:p>
      <w:pPr>
        <w:jc w:val="right"/>
        <w:ind w:right="20"/>
        <w:spacing w:after="0" w:line="148" w:lineRule="exact"/>
        <w:tabs>
          <w:tab w:leader="none" w:pos="1580" w:val="left"/>
          <w:tab w:leader="none" w:pos="1200" w:val="left"/>
          <w:tab w:leader="none" w:pos="160" w:val="left"/>
        </w:tabs>
        <w:rPr>
          <w:sz w:val="20"/>
          <w:szCs w:val="20"/>
          <w:color w:val="auto"/>
        </w:rPr>
      </w:pPr>
      <w:r>
        <w:rPr>
          <w:rFonts w:ascii="Arial" w:cs="Arial" w:eastAsia="Arial" w:hAnsi="Arial"/>
          <w:sz w:val="11"/>
          <w:szCs w:val="11"/>
          <w:color w:val="auto"/>
        </w:rPr>
        <w:t>1a) Wendy A.</w:t>
      </w:r>
      <w:r>
        <w:rPr>
          <w:sz w:val="20"/>
          <w:szCs w:val="20"/>
          <w:color w:val="auto"/>
        </w:rPr>
        <w:tab/>
      </w:r>
      <w:r>
        <w:rPr>
          <w:rFonts w:ascii="MS PGothic" w:cs="MS PGothic" w:eastAsia="MS PGothic" w:hAnsi="MS PGothic"/>
          <w:sz w:val="11"/>
          <w:szCs w:val="11"/>
          <w:color w:val="auto"/>
          <w:highlight w:val="black"/>
        </w:rPr>
        <w:t>☐</w:t>
      </w:r>
      <w:r>
        <w:rPr>
          <w:sz w:val="20"/>
          <w:szCs w:val="20"/>
          <w:color w:val="auto"/>
        </w:rPr>
        <w:tab/>
      </w:r>
      <w:r>
        <w:rPr>
          <w:rFonts w:ascii="MS PGothic" w:cs="MS PGothic" w:eastAsia="MS PGothic" w:hAnsi="MS PGothic"/>
          <w:sz w:val="11"/>
          <w:szCs w:val="11"/>
          <w:color w:val="auto"/>
          <w:highlight w:val="black"/>
        </w:rPr>
        <w:t>☐</w:t>
      </w:r>
      <w:r>
        <w:rPr>
          <w:sz w:val="20"/>
          <w:szCs w:val="20"/>
          <w:color w:val="auto"/>
        </w:rPr>
        <w:tab/>
      </w:r>
      <w:r>
        <w:rPr>
          <w:rFonts w:ascii="Arial" w:cs="Arial" w:eastAsia="Arial" w:hAnsi="Arial"/>
          <w:sz w:val="11"/>
          <w:szCs w:val="11"/>
          <w:color w:val="auto"/>
        </w:rPr>
        <w:t>1b)</w:t>
      </w:r>
    </w:p>
    <w:p>
      <w:pPr>
        <w:jc w:val="both"/>
        <w:ind w:left="2740"/>
        <w:spacing w:after="0"/>
        <w:tabs>
          <w:tab w:leader="none" w:pos="3800" w:val="left"/>
        </w:tabs>
        <w:rPr>
          <w:sz w:val="20"/>
          <w:szCs w:val="20"/>
          <w:color w:val="auto"/>
        </w:rPr>
      </w:pPr>
      <w:r>
        <w:rPr>
          <w:rFonts w:ascii="Arial" w:cs="Arial" w:eastAsia="Arial" w:hAnsi="Arial"/>
          <w:sz w:val="11"/>
          <w:szCs w:val="11"/>
          <w:color w:val="auto"/>
        </w:rPr>
        <w:t>Beck</w:t>
      </w:r>
      <w:r>
        <w:rPr>
          <w:sz w:val="20"/>
          <w:szCs w:val="20"/>
          <w:color w:val="auto"/>
        </w:rPr>
        <w:tab/>
      </w:r>
      <w:r>
        <w:rPr>
          <w:rFonts w:ascii="Arial" w:cs="Arial" w:eastAsia="Arial" w:hAnsi="Arial"/>
          <w:sz w:val="11"/>
          <w:szCs w:val="11"/>
          <w:color w:val="auto"/>
        </w:rPr>
        <w:t>Sharen J. Turney</w:t>
      </w:r>
    </w:p>
    <w:p>
      <w:pPr>
        <w:spacing w:after="0" w:line="26" w:lineRule="exact"/>
        <w:rPr>
          <w:sz w:val="20"/>
          <w:szCs w:val="20"/>
          <w:color w:val="auto"/>
        </w:rPr>
      </w:pPr>
    </w:p>
    <w:p>
      <w:pPr>
        <w:ind w:left="1780" w:right="260"/>
        <w:spacing w:after="0" w:line="245" w:lineRule="auto"/>
        <w:rPr>
          <w:sz w:val="20"/>
          <w:szCs w:val="20"/>
          <w:color w:val="auto"/>
        </w:rPr>
      </w:pPr>
      <w:r>
        <w:rPr>
          <w:rFonts w:ascii="Arial" w:cs="Arial" w:eastAsia="Arial" w:hAnsi="Arial"/>
          <w:sz w:val="11"/>
          <w:szCs w:val="11"/>
          <w:b w:val="1"/>
          <w:bCs w:val="1"/>
          <w:color w:val="auto"/>
        </w:rPr>
        <w:t>The Board of Directors recommends you vote FOR Proposals 2 and 3.</w:t>
      </w:r>
    </w:p>
    <w:p>
      <w:pPr>
        <w:spacing w:after="0" w:line="12" w:lineRule="exact"/>
        <w:rPr>
          <w:sz w:val="20"/>
          <w:szCs w:val="20"/>
          <w:color w:val="auto"/>
        </w:rPr>
      </w:pPr>
    </w:p>
    <w:p>
      <w:pPr>
        <w:ind w:left="2200" w:right="100" w:hanging="211"/>
        <w:spacing w:after="0" w:line="226" w:lineRule="auto"/>
        <w:tabs>
          <w:tab w:leader="none" w:pos="2116" w:val="left"/>
        </w:tabs>
        <w:numPr>
          <w:ilvl w:val="0"/>
          <w:numId w:val="53"/>
        </w:numPr>
        <w:rPr>
          <w:rFonts w:ascii="Arial" w:cs="Arial" w:eastAsia="Arial" w:hAnsi="Arial"/>
          <w:sz w:val="11"/>
          <w:szCs w:val="11"/>
          <w:color w:val="auto"/>
        </w:rPr>
      </w:pPr>
      <w:r>
        <w:rPr>
          <w:rFonts w:ascii="Arial" w:cs="Arial" w:eastAsia="Arial" w:hAnsi="Arial"/>
          <w:sz w:val="11"/>
          <w:szCs w:val="11"/>
          <w:color w:val="auto"/>
        </w:rPr>
        <w:t>Ratification of the appointment of Deloitte &amp; Touche LLP as the independent registered public accounting firm for fiscal year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 Withhold</w:t>
      </w:r>
    </w:p>
    <w:p>
      <w:pPr>
        <w:spacing w:after="0" w:line="73" w:lineRule="exact"/>
        <w:rPr>
          <w:sz w:val="20"/>
          <w:szCs w:val="20"/>
          <w:color w:val="auto"/>
        </w:rPr>
      </w:pPr>
    </w:p>
    <w:p>
      <w:pPr>
        <w:ind w:left="40"/>
        <w:spacing w:after="0" w:line="111" w:lineRule="exact"/>
        <w:tabs>
          <w:tab w:leader="none" w:pos="380" w:val="left"/>
        </w:tabs>
        <w:rPr>
          <w:sz w:val="20"/>
          <w:szCs w:val="20"/>
          <w:color w:val="auto"/>
        </w:rPr>
      </w:pPr>
      <w:r>
        <w:rPr>
          <w:rFonts w:ascii="MS PGothic" w:cs="MS PGothic" w:eastAsia="MS PGothic" w:hAnsi="MS PGothic"/>
          <w:sz w:val="11"/>
          <w:szCs w:val="11"/>
          <w:color w:val="auto"/>
          <w:highlight w:val="black"/>
        </w:rPr>
        <w:t>☐</w:t>
      </w:r>
      <w:r>
        <w:rPr>
          <w:sz w:val="20"/>
          <w:szCs w:val="20"/>
          <w:color w:val="auto"/>
        </w:rPr>
        <w:tab/>
      </w:r>
      <w:r>
        <w:rPr>
          <w:rFonts w:ascii="MS PGothic" w:cs="MS PGothic" w:eastAsia="MS PGothic" w:hAnsi="MS PGothic"/>
          <w:sz w:val="11"/>
          <w:szCs w:val="11"/>
          <w:color w:val="auto"/>
          <w:highlight w:val="black"/>
        </w:rPr>
        <w:t>☐</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  Against Abstain</w:t>
      </w:r>
    </w:p>
    <w:p>
      <w:pPr>
        <w:spacing w:after="0" w:line="73" w:lineRule="exact"/>
        <w:rPr>
          <w:sz w:val="20"/>
          <w:szCs w:val="20"/>
          <w:color w:val="auto"/>
        </w:rPr>
      </w:pPr>
    </w:p>
    <w:p>
      <w:pPr>
        <w:ind w:left="40"/>
        <w:spacing w:after="0" w:line="111" w:lineRule="exact"/>
        <w:tabs>
          <w:tab w:leader="none" w:pos="380" w:val="left"/>
          <w:tab w:leader="none" w:pos="860" w:val="left"/>
        </w:tabs>
        <w:rPr>
          <w:sz w:val="20"/>
          <w:szCs w:val="20"/>
          <w:color w:val="auto"/>
        </w:rPr>
      </w:pPr>
      <w:r>
        <w:rPr>
          <w:rFonts w:ascii="MS PGothic" w:cs="MS PGothic" w:eastAsia="MS PGothic" w:hAnsi="MS PGothic"/>
          <w:sz w:val="11"/>
          <w:szCs w:val="11"/>
          <w:color w:val="auto"/>
          <w:highlight w:val="black"/>
        </w:rPr>
        <w:t>☐</w:t>
      </w:r>
      <w:r>
        <w:rPr>
          <w:sz w:val="20"/>
          <w:szCs w:val="20"/>
          <w:color w:val="auto"/>
        </w:rPr>
        <w:tab/>
      </w:r>
      <w:r>
        <w:rPr>
          <w:rFonts w:ascii="MS PGothic" w:cs="MS PGothic" w:eastAsia="MS PGothic" w:hAnsi="MS PGothic"/>
          <w:sz w:val="11"/>
          <w:szCs w:val="11"/>
          <w:color w:val="auto"/>
          <w:highlight w:val="black"/>
        </w:rPr>
        <w:t>☐</w:t>
      </w:r>
      <w:r>
        <w:rPr>
          <w:sz w:val="20"/>
          <w:szCs w:val="20"/>
          <w:color w:val="auto"/>
        </w:rPr>
        <w:tab/>
      </w:r>
      <w:r>
        <w:rPr>
          <w:rFonts w:ascii="MS PGothic" w:cs="MS PGothic" w:eastAsia="MS PGothic" w:hAnsi="MS PGothic"/>
          <w:sz w:val="8"/>
          <w:szCs w:val="8"/>
          <w:color w:val="auto"/>
          <w:highlight w:val="black"/>
        </w:rPr>
        <w:t>☐</w:t>
      </w:r>
    </w:p>
    <w:p>
      <w:pPr>
        <w:spacing w:after="0" w:line="264" w:lineRule="exact"/>
        <w:rPr>
          <w:sz w:val="20"/>
          <w:szCs w:val="20"/>
          <w:color w:val="auto"/>
        </w:rPr>
      </w:pPr>
    </w:p>
    <w:p>
      <w:pPr>
        <w:sectPr>
          <w:pgSz w:w="11900" w:h="16838" w:orient="portrait"/>
          <w:cols w:equalWidth="0" w:num="2">
            <w:col w:w="4660" w:space="40"/>
            <w:col w:w="6540"/>
          </w:cols>
          <w:pgMar w:left="320" w:top="1440" w:right="339" w:bottom="1440" w:gutter="0" w:footer="0" w:header="0"/>
          <w:type w:val="continuous"/>
        </w:sectPr>
      </w:pPr>
    </w:p>
    <w:p>
      <w:pPr>
        <w:ind w:left="1960"/>
        <w:spacing w:after="0" w:line="122" w:lineRule="exact"/>
        <w:tabs>
          <w:tab w:leader="none" w:pos="4720" w:val="left"/>
          <w:tab w:leader="none" w:pos="5080" w:val="left"/>
          <w:tab w:leader="none" w:pos="5560" w:val="left"/>
        </w:tabs>
        <w:rPr>
          <w:sz w:val="20"/>
          <w:szCs w:val="20"/>
          <w:color w:val="auto"/>
        </w:rPr>
      </w:pPr>
      <w:r>
        <w:rPr>
          <w:rFonts w:ascii="Arial" w:cs="Arial" w:eastAsia="Arial" w:hAnsi="Arial"/>
          <w:sz w:val="11"/>
          <w:szCs w:val="11"/>
          <w:color w:val="auto"/>
        </w:rPr>
        <w:t>3. Approval, by non-binding advisory vote, of the fiscal</w:t>
      </w:r>
      <w:r>
        <w:rPr>
          <w:sz w:val="20"/>
          <w:szCs w:val="20"/>
          <w:color w:val="auto"/>
        </w:rPr>
        <w:tab/>
      </w:r>
      <w:r>
        <w:rPr>
          <w:rFonts w:ascii="MS PGothic" w:cs="MS PGothic" w:eastAsia="MS PGothic" w:hAnsi="MS PGothic"/>
          <w:sz w:val="11"/>
          <w:szCs w:val="11"/>
          <w:color w:val="auto"/>
          <w:highlight w:val="black"/>
        </w:rPr>
        <w:t>☐</w:t>
      </w:r>
      <w:r>
        <w:rPr>
          <w:sz w:val="20"/>
          <w:szCs w:val="20"/>
          <w:color w:val="auto"/>
        </w:rPr>
        <w:tab/>
      </w:r>
      <w:r>
        <w:rPr>
          <w:rFonts w:ascii="MS PGothic" w:cs="MS PGothic" w:eastAsia="MS PGothic" w:hAnsi="MS PGothic"/>
          <w:sz w:val="11"/>
          <w:szCs w:val="11"/>
          <w:color w:val="auto"/>
          <w:highlight w:val="black"/>
        </w:rPr>
        <w:t>☐</w:t>
      </w:r>
      <w:r>
        <w:rPr>
          <w:sz w:val="20"/>
          <w:szCs w:val="20"/>
          <w:color w:val="auto"/>
        </w:rPr>
        <w:tab/>
      </w:r>
      <w:r>
        <w:rPr>
          <w:rFonts w:ascii="MS PGothic" w:cs="MS PGothic" w:eastAsia="MS PGothic" w:hAnsi="MS PGothic"/>
          <w:sz w:val="8"/>
          <w:szCs w:val="8"/>
          <w:color w:val="auto"/>
          <w:highlight w:val="black"/>
        </w:rPr>
        <w:t>☐</w:t>
      </w:r>
    </w:p>
    <w:p>
      <w:pPr>
        <w:ind w:left="1780"/>
        <w:spacing w:after="0" w:line="237" w:lineRule="auto"/>
        <w:rPr>
          <w:sz w:val="20"/>
          <w:szCs w:val="20"/>
          <w:color w:val="auto"/>
        </w:rPr>
      </w:pPr>
      <w:r>
        <w:rPr>
          <w:rFonts w:ascii="Arial" w:cs="Arial" w:eastAsia="Arial" w:hAnsi="Arial"/>
          <w:sz w:val="11"/>
          <w:szCs w:val="11"/>
          <w:color w:val="auto"/>
        </w:rPr>
        <w:t>year 2021 compensation paid to the named executive</w:t>
      </w:r>
    </w:p>
    <w:p>
      <w:pPr>
        <w:ind w:left="1780"/>
        <w:spacing w:after="0"/>
        <w:rPr>
          <w:sz w:val="20"/>
          <w:szCs w:val="20"/>
          <w:color w:val="auto"/>
        </w:rPr>
      </w:pPr>
      <w:r>
        <w:rPr>
          <w:rFonts w:ascii="Arial" w:cs="Arial" w:eastAsia="Arial" w:hAnsi="Arial"/>
          <w:sz w:val="11"/>
          <w:szCs w:val="11"/>
          <w:color w:val="auto"/>
        </w:rPr>
        <w:t>officers.</w:t>
      </w:r>
    </w:p>
    <w:p>
      <w:pPr>
        <w:spacing w:after="0" w:line="17" w:lineRule="exact"/>
        <w:rPr>
          <w:sz w:val="20"/>
          <w:szCs w:val="20"/>
          <w:color w:val="auto"/>
        </w:rPr>
      </w:pPr>
    </w:p>
    <w:p>
      <w:pPr>
        <w:ind w:left="1780"/>
        <w:spacing w:after="0"/>
        <w:rPr>
          <w:sz w:val="20"/>
          <w:szCs w:val="20"/>
          <w:color w:val="auto"/>
        </w:rPr>
      </w:pPr>
      <w:r>
        <w:rPr>
          <w:rFonts w:ascii="Arial" w:cs="Arial" w:eastAsia="Arial" w:hAnsi="Arial"/>
          <w:sz w:val="11"/>
          <w:szCs w:val="11"/>
          <w:color w:val="auto"/>
        </w:rPr>
        <w:t>Note: The proxies will vote in their discretion upon such</w:t>
      </w:r>
    </w:p>
    <w:p>
      <w:pPr>
        <w:ind w:left="1780"/>
        <w:spacing w:after="0" w:line="204" w:lineRule="auto"/>
        <w:rPr>
          <w:sz w:val="20"/>
          <w:szCs w:val="20"/>
          <w:color w:val="auto"/>
        </w:rPr>
      </w:pPr>
      <w:r>
        <w:rPr>
          <w:rFonts w:ascii="Arial" w:cs="Arial" w:eastAsia="Arial" w:hAnsi="Arial"/>
          <w:sz w:val="11"/>
          <w:szCs w:val="11"/>
          <w:color w:val="auto"/>
        </w:rPr>
        <w:t>other business as may properly come before the Annual</w:t>
      </w:r>
    </w:p>
    <w:p>
      <w:pPr>
        <w:ind w:left="1780"/>
        <w:spacing w:after="0"/>
        <w:rPr>
          <w:sz w:val="20"/>
          <w:szCs w:val="20"/>
          <w:color w:val="auto"/>
        </w:rPr>
      </w:pPr>
      <w:r>
        <w:rPr>
          <w:rFonts w:ascii="Arial" w:cs="Arial" w:eastAsia="Arial" w:hAnsi="Arial"/>
          <w:sz w:val="11"/>
          <w:szCs w:val="11"/>
          <w:color w:val="auto"/>
        </w:rPr>
        <w:t>Meeting or any adjournment or postponement thereof.</w:t>
      </w:r>
    </w:p>
    <w:p>
      <w:pPr>
        <w:spacing w:after="0" w:line="174" w:lineRule="exact"/>
        <w:rPr>
          <w:sz w:val="20"/>
          <w:szCs w:val="20"/>
          <w:color w:val="auto"/>
        </w:rPr>
      </w:pPr>
    </w:p>
    <w:p>
      <w:pPr>
        <w:ind w:left="1780"/>
        <w:spacing w:after="0"/>
        <w:rPr>
          <w:sz w:val="20"/>
          <w:szCs w:val="20"/>
          <w:color w:val="auto"/>
        </w:rPr>
      </w:pPr>
      <w:r>
        <w:rPr>
          <w:rFonts w:ascii="Arial" w:cs="Arial" w:eastAsia="Arial" w:hAnsi="Arial"/>
          <w:sz w:val="10"/>
          <w:szCs w:val="10"/>
          <w:color w:val="auto"/>
        </w:rPr>
        <w:t>Authorized Signatures. This section must be completed for your vote to be counted.</w:t>
      </w:r>
    </w:p>
    <w:p>
      <w:pPr>
        <w:ind w:left="1780"/>
        <w:spacing w:after="0" w:line="210" w:lineRule="auto"/>
        <w:rPr>
          <w:sz w:val="20"/>
          <w:szCs w:val="20"/>
          <w:color w:val="auto"/>
        </w:rPr>
      </w:pPr>
      <w:r>
        <w:rPr>
          <w:rFonts w:ascii="Arial" w:cs="Arial" w:eastAsia="Arial" w:hAnsi="Arial"/>
          <w:sz w:val="11"/>
          <w:szCs w:val="11"/>
          <w:color w:val="auto"/>
        </w:rPr>
        <w:t>Date and sign below. Please sign exactly as name(s) appear(s) hereon. Joint</w:t>
      </w:r>
    </w:p>
    <w:p>
      <w:pPr>
        <w:ind w:left="1780"/>
        <w:spacing w:after="0" w:line="205" w:lineRule="auto"/>
        <w:rPr>
          <w:sz w:val="20"/>
          <w:szCs w:val="20"/>
          <w:color w:val="auto"/>
        </w:rPr>
      </w:pPr>
      <w:r>
        <w:rPr>
          <w:rFonts w:ascii="Arial" w:cs="Arial" w:eastAsia="Arial" w:hAnsi="Arial"/>
          <w:sz w:val="11"/>
          <w:szCs w:val="11"/>
          <w:color w:val="auto"/>
        </w:rPr>
        <w:t>owners should each sign. When signing as attorney, executor, administrator,</w:t>
      </w:r>
    </w:p>
    <w:p>
      <w:pPr>
        <w:ind w:left="1780"/>
        <w:spacing w:after="0"/>
        <w:rPr>
          <w:sz w:val="20"/>
          <w:szCs w:val="20"/>
          <w:color w:val="auto"/>
        </w:rPr>
      </w:pPr>
      <w:r>
        <w:rPr>
          <w:rFonts w:ascii="Arial" w:cs="Arial" w:eastAsia="Arial" w:hAnsi="Arial"/>
          <w:sz w:val="11"/>
          <w:szCs w:val="11"/>
          <w:color w:val="auto"/>
        </w:rPr>
        <w:t>corporate officer, trustee, guardian, or custodian, please give full title.</w:t>
      </w:r>
    </w:p>
    <w:p>
      <w:pPr>
        <w:sectPr>
          <w:pgSz w:w="11900" w:h="16838" w:orient="portrait"/>
          <w:cols w:equalWidth="0" w:num="1">
            <w:col w:w="11240"/>
          </w:cols>
          <w:pgMar w:left="320" w:top="1440" w:right="339" w:bottom="1440" w:gutter="0" w:footer="0" w:header="0"/>
          <w:type w:val="continuous"/>
        </w:sectPr>
      </w:pPr>
    </w:p>
    <w:p>
      <w:pPr>
        <w:spacing w:after="0" w:line="113" w:lineRule="exact"/>
        <w:rPr>
          <w:sz w:val="20"/>
          <w:szCs w:val="20"/>
          <w:color w:val="auto"/>
        </w:rPr>
      </w:pPr>
    </w:p>
    <w:tbl>
      <w:tblPr>
        <w:tblLayout w:type="fixed"/>
        <w:tblInd w:w="1790" w:type="dxa"/>
        <w:tblCellMar>
          <w:top w:w="0" w:type="dxa"/>
          <w:left w:w="0" w:type="dxa"/>
          <w:bottom w:w="0" w:type="dxa"/>
          <w:right w:w="0" w:type="dxa"/>
        </w:tblCellMar>
      </w:tblPr>
      <w:tr>
        <w:trPr>
          <w:trHeight w:val="264"/>
        </w:trPr>
        <w:tc>
          <w:tcPr>
            <w:tcW w:w="12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740" w:type="dxa"/>
            <w:vAlign w:val="bottom"/>
            <w:tcBorders>
              <w:top w:val="single" w:sz="8" w:color="auto"/>
              <w:bottom w:val="single" w:sz="8" w:color="auto"/>
              <w:right w:val="single" w:sz="8" w:color="auto"/>
            </w:tcBorders>
          </w:tcPr>
          <w:p>
            <w:pPr>
              <w:spacing w:after="0"/>
              <w:rPr>
                <w:sz w:val="22"/>
                <w:szCs w:val="22"/>
                <w:color w:val="auto"/>
              </w:rPr>
            </w:pPr>
          </w:p>
        </w:tc>
      </w:tr>
      <w:tr>
        <w:trPr>
          <w:trHeight w:val="108"/>
        </w:trPr>
        <w:tc>
          <w:tcPr>
            <w:tcW w:w="1240" w:type="dxa"/>
            <w:vAlign w:val="bottom"/>
          </w:tcPr>
          <w:p>
            <w:pPr>
              <w:spacing w:after="0" w:line="109" w:lineRule="exact"/>
              <w:rPr>
                <w:sz w:val="20"/>
                <w:szCs w:val="20"/>
                <w:color w:val="auto"/>
              </w:rPr>
            </w:pPr>
            <w:r>
              <w:rPr>
                <w:rFonts w:ascii="Arial" w:cs="Arial" w:eastAsia="Arial" w:hAnsi="Arial"/>
                <w:sz w:val="11"/>
                <w:szCs w:val="11"/>
                <w:color w:val="auto"/>
              </w:rPr>
              <w:t>Signature [PLEASE</w:t>
            </w:r>
          </w:p>
        </w:tc>
        <w:tc>
          <w:tcPr>
            <w:tcW w:w="740" w:type="dxa"/>
            <w:vAlign w:val="bottom"/>
          </w:tcPr>
          <w:p>
            <w:pPr>
              <w:spacing w:after="0" w:line="109" w:lineRule="exact"/>
              <w:rPr>
                <w:sz w:val="20"/>
                <w:szCs w:val="20"/>
                <w:color w:val="auto"/>
              </w:rPr>
            </w:pPr>
            <w:r>
              <w:rPr>
                <w:rFonts w:ascii="Arial" w:cs="Arial" w:eastAsia="Arial" w:hAnsi="Arial"/>
                <w:sz w:val="11"/>
                <w:szCs w:val="11"/>
                <w:color w:val="auto"/>
              </w:rPr>
              <w:t>Date</w:t>
            </w:r>
          </w:p>
        </w:tc>
      </w:tr>
      <w:tr>
        <w:trPr>
          <w:trHeight w:val="108"/>
        </w:trPr>
        <w:tc>
          <w:tcPr>
            <w:tcW w:w="1240" w:type="dxa"/>
            <w:vAlign w:val="bottom"/>
          </w:tcPr>
          <w:p>
            <w:pPr>
              <w:spacing w:after="0" w:line="108" w:lineRule="exact"/>
              <w:rPr>
                <w:sz w:val="20"/>
                <w:szCs w:val="20"/>
                <w:color w:val="auto"/>
              </w:rPr>
            </w:pPr>
            <w:r>
              <w:rPr>
                <w:rFonts w:ascii="Arial" w:cs="Arial" w:eastAsia="Arial" w:hAnsi="Arial"/>
                <w:sz w:val="11"/>
                <w:szCs w:val="11"/>
                <w:color w:val="auto"/>
              </w:rPr>
              <w:t>SIGN WITHIN THE</w:t>
            </w:r>
          </w:p>
        </w:tc>
        <w:tc>
          <w:tcPr>
            <w:tcW w:w="740" w:type="dxa"/>
            <w:vAlign w:val="bottom"/>
          </w:tcPr>
          <w:p>
            <w:pPr>
              <w:spacing w:after="0"/>
              <w:rPr>
                <w:sz w:val="9"/>
                <w:szCs w:val="9"/>
                <w:color w:val="auto"/>
              </w:rPr>
            </w:pPr>
          </w:p>
        </w:tc>
      </w:tr>
      <w:tr>
        <w:trPr>
          <w:trHeight w:val="142"/>
        </w:trPr>
        <w:tc>
          <w:tcPr>
            <w:tcW w:w="1240" w:type="dxa"/>
            <w:vAlign w:val="bottom"/>
          </w:tcPr>
          <w:p>
            <w:pPr>
              <w:spacing w:after="0"/>
              <w:rPr>
                <w:sz w:val="20"/>
                <w:szCs w:val="20"/>
                <w:color w:val="auto"/>
              </w:rPr>
            </w:pPr>
            <w:r>
              <w:rPr>
                <w:rFonts w:ascii="Arial" w:cs="Arial" w:eastAsia="Arial" w:hAnsi="Arial"/>
                <w:sz w:val="11"/>
                <w:szCs w:val="11"/>
                <w:color w:val="auto"/>
              </w:rPr>
              <w:t>BOX]</w:t>
            </w:r>
          </w:p>
        </w:tc>
        <w:tc>
          <w:tcPr>
            <w:tcW w:w="7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64"/>
        </w:trPr>
        <w:tc>
          <w:tcPr>
            <w:tcW w:w="11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940" w:type="dxa"/>
            <w:vAlign w:val="bottom"/>
            <w:tcBorders>
              <w:top w:val="single" w:sz="8" w:color="auto"/>
              <w:bottom w:val="single" w:sz="8" w:color="auto"/>
              <w:right w:val="single" w:sz="8" w:color="auto"/>
            </w:tcBorders>
          </w:tcPr>
          <w:p>
            <w:pPr>
              <w:spacing w:after="0"/>
              <w:rPr>
                <w:sz w:val="22"/>
                <w:szCs w:val="22"/>
                <w:color w:val="auto"/>
              </w:rPr>
            </w:pPr>
          </w:p>
        </w:tc>
      </w:tr>
      <w:tr>
        <w:trPr>
          <w:trHeight w:val="108"/>
        </w:trPr>
        <w:tc>
          <w:tcPr>
            <w:tcW w:w="1100" w:type="dxa"/>
            <w:vAlign w:val="bottom"/>
          </w:tcPr>
          <w:p>
            <w:pPr>
              <w:spacing w:after="0" w:line="109" w:lineRule="exact"/>
              <w:rPr>
                <w:sz w:val="20"/>
                <w:szCs w:val="20"/>
                <w:color w:val="auto"/>
              </w:rPr>
            </w:pPr>
            <w:r>
              <w:rPr>
                <w:rFonts w:ascii="Arial" w:cs="Arial" w:eastAsia="Arial" w:hAnsi="Arial"/>
                <w:sz w:val="11"/>
                <w:szCs w:val="11"/>
                <w:color w:val="auto"/>
              </w:rPr>
              <w:t>Signature (Joint</w:t>
            </w:r>
          </w:p>
        </w:tc>
        <w:tc>
          <w:tcPr>
            <w:tcW w:w="940" w:type="dxa"/>
            <w:vAlign w:val="bottom"/>
          </w:tcPr>
          <w:p>
            <w:pPr>
              <w:spacing w:after="0" w:line="109" w:lineRule="exact"/>
              <w:rPr>
                <w:sz w:val="20"/>
                <w:szCs w:val="20"/>
                <w:color w:val="auto"/>
              </w:rPr>
            </w:pPr>
            <w:r>
              <w:rPr>
                <w:rFonts w:ascii="Arial" w:cs="Arial" w:eastAsia="Arial" w:hAnsi="Arial"/>
                <w:sz w:val="11"/>
                <w:szCs w:val="11"/>
                <w:color w:val="auto"/>
              </w:rPr>
              <w:t>Date</w:t>
            </w:r>
          </w:p>
        </w:tc>
      </w:tr>
      <w:tr>
        <w:trPr>
          <w:trHeight w:val="142"/>
        </w:trPr>
        <w:tc>
          <w:tcPr>
            <w:tcW w:w="1100" w:type="dxa"/>
            <w:vAlign w:val="bottom"/>
          </w:tcPr>
          <w:p>
            <w:pPr>
              <w:spacing w:after="0"/>
              <w:rPr>
                <w:sz w:val="20"/>
                <w:szCs w:val="20"/>
                <w:color w:val="auto"/>
              </w:rPr>
            </w:pPr>
            <w:r>
              <w:rPr>
                <w:rFonts w:ascii="Arial" w:cs="Arial" w:eastAsia="Arial" w:hAnsi="Arial"/>
                <w:sz w:val="11"/>
                <w:szCs w:val="11"/>
                <w:color w:val="auto"/>
              </w:rPr>
              <w:t>Owners)</w:t>
            </w:r>
          </w:p>
        </w:tc>
        <w:tc>
          <w:tcPr>
            <w:tcW w:w="940" w:type="dxa"/>
            <w:vAlign w:val="bottom"/>
          </w:tcPr>
          <w:p>
            <w:pPr>
              <w:spacing w:after="0"/>
              <w:rPr>
                <w:sz w:val="12"/>
                <w:szCs w:val="12"/>
                <w:color w:val="auto"/>
              </w:rPr>
            </w:pPr>
          </w:p>
        </w:tc>
      </w:tr>
    </w:tbl>
    <w:p>
      <w:pPr>
        <w:sectPr>
          <w:pgSz w:w="11900" w:h="16838" w:orient="portrait"/>
          <w:cols w:equalWidth="0" w:num="2">
            <w:col w:w="3740" w:space="80"/>
            <w:col w:w="7420"/>
          </w:cols>
          <w:pgMar w:left="320" w:top="1440" w:right="339" w:bottom="1440" w:gutter="0" w:footer="0" w:header="0"/>
          <w:type w:val="continuous"/>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Notice,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D68960-P66375</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jc w:val="center"/>
        <w:ind w:right="20"/>
        <w:spacing w:after="0"/>
        <w:rPr>
          <w:sz w:val="20"/>
          <w:szCs w:val="20"/>
          <w:color w:val="auto"/>
        </w:rPr>
      </w:pPr>
      <w:r>
        <w:rPr>
          <w:rFonts w:ascii="Arial" w:cs="Arial" w:eastAsia="Arial" w:hAnsi="Arial"/>
          <w:sz w:val="16"/>
          <w:szCs w:val="16"/>
          <w:b w:val="1"/>
          <w:bCs w:val="1"/>
          <w:color w:val="auto"/>
        </w:rPr>
        <w:t>OF ACADEMY SPORTS AND OUTDOORS, INC.</w:t>
      </w:r>
    </w:p>
    <w:p>
      <w:pPr>
        <w:spacing w:after="0" w:line="286"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I hereby appoint Brian T. Marley and Tom M. Nealon, or either of them, as proxies, with power of substitution to each, to vote all shares of common stock that I am entitled to vote at the Annual Meeting of Stockholders of Academy Sports and Outdoors, Inc. to be held on Thursday, June 2, 2022 at 8:00 A.M. Central Time, or at any adjournment or postponement thereof, in accordance with the instruction on the reverse side of this card and with the same effect as though I were present at the Annual Meeting and voting such shares. My appointed proxies are authorized in their discretion to vote upon such other business as may properly come before the Annual Meeting or any adjournment or postponement thereof.</w:t>
      </w:r>
    </w:p>
    <w:p>
      <w:pPr>
        <w:spacing w:after="0" w:line="295"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auto"/>
        </w:rPr>
        <w:t>UNLESS A CONTRARY DIRECTION IS INDICATED, THIS PROXY, WHEN PROPERLY EXECUTED AND RETURNED, WILL BE VOTED “FOR ALL” NOMINEES FOR DIRECTOR LISTED IN PROPOSAL 1, “FOR” PROPOSALS 2 AND 3, AND IN THE DISCRETION OF THE APPOINTED PROXIES UPON SUCH OTHER BUSINESS AS MAY PROPERLY COME BEFORE THE ANNUAL MEETING OR ANY ADJOURNMENT OR POSTPONEMENT THEREOF. IF SPECIFIC INSTRUCTIONS ARE INDICATED, THIS PROXY WILL BE VOTED IN ACCORDANCE THEREWITH.</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If you vote by phone or Internet, please do not mail your proxy card.</w:t>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Thank You For Voting.</w:t>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(CONTINUED AND TO BE SIGNED AND DATED ON REVERSE SIDE)</w:t>
      </w:r>
    </w:p>
    <w:sectPr>
      <w:pgSz w:w="11900" w:h="16838" w:orient="portrait"/>
      <w:cols w:equalWidth="0" w:num="1">
        <w:col w:w="10400"/>
      </w:cols>
      <w:pgMar w:left="116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o"/>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lvl w:ilvl="1">
      <w:lvlJc w:val="left"/>
      <w:lvlText w:val="◦"/>
      <w:numFmt w:val="bullet"/>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lvl w:ilvl="1">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x"/>
      <w:numFmt w:val="bullet"/>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lowerRoman"/>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
      <w:numFmt w:val="bullet"/>
      <w:start w:val="1"/>
    </w:lvl>
    <w:lvl w:ilvl="1">
      <w:lvlJc w:val="left"/>
      <w:lvlText w:val="%2."/>
      <w:numFmt w:val="lowerRoman"/>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lowerRoman"/>
      <w:start w:val="1"/>
    </w:lvl>
  </w:abstractNum>
  <w:abstractNum w:abstractNumId="43">
    <w:nsid w:val="32FFF902"/>
    <w:multiLevelType w:val="hybridMultilevel"/>
    <w:lvl w:ilvl="0">
      <w:lvlJc w:val="left"/>
      <w:lvlText w:val="%1."/>
      <w:numFmt w:val="lowerRoman"/>
      <w:start w:val="2"/>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lowerRoman"/>
      <w:start w:val="1"/>
    </w:lvl>
  </w:abstractNum>
  <w:abstractNum w:abstractNumId="46">
    <w:nsid w:val="749ABB43"/>
    <w:multiLevelType w:val="hybridMultilevel"/>
    <w:lvl w:ilvl="0">
      <w:lvlJc w:val="left"/>
      <w:lvlText w:val="%1."/>
      <w:numFmt w:val="lowerRoman"/>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2022-04-22T15:19:43Z</dcterms:created>
  <dcterms:modified xsi:type="dcterms:W3CDTF">2022-04-22T15:19:43Z</dcterms:modified>
</cp:coreProperties>
</file>